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3BB20C">
      <w:pPr>
        <w:pStyle w:val="28"/>
        <w:tabs>
          <w:tab w:val="right" w:leader="dot" w:pos="8721"/>
        </w:tabs>
        <w:ind w:firstLine="4322" w:firstLineChars="2050"/>
        <w:rPr>
          <w:rFonts w:ascii="Times New Roman" w:hAnsi="Times New Roman"/>
          <w:color w:val="000000" w:themeColor="text1"/>
          <w:sz w:val="21"/>
          <w:szCs w:val="21"/>
        </w:rPr>
      </w:pPr>
      <w:bookmarkStart w:id="0" w:name="_Toc290295700"/>
      <w:bookmarkStart w:id="1" w:name="_Toc280621001"/>
      <w:r>
        <w:rPr>
          <w:rFonts w:ascii="Times New Roman" w:hAnsi="Times New Roman"/>
          <w:color w:val="000000" w:themeColor="text1"/>
          <w:sz w:val="21"/>
          <w:szCs w:val="21"/>
        </w:rPr>
        <w:t>目录</w:t>
      </w:r>
    </w:p>
    <w:p w14:paraId="522CC69F">
      <w:pPr>
        <w:pStyle w:val="28"/>
        <w:tabs>
          <w:tab w:val="right" w:leader="dot" w:pos="8297"/>
        </w:tabs>
        <w:rPr>
          <w:rFonts w:ascii="Times New Roman" w:hAnsi="Times New Roman" w:eastAsiaTheme="minorEastAsia"/>
          <w:b w:val="0"/>
          <w:bCs w:val="0"/>
          <w:caps w:val="0"/>
          <w:sz w:val="21"/>
          <w:szCs w:val="22"/>
        </w:rPr>
      </w:pPr>
      <w:r>
        <w:rPr>
          <w:rFonts w:ascii="Times New Roman" w:hAnsi="Times New Roman"/>
          <w:color w:val="000000" w:themeColor="text1"/>
          <w:sz w:val="21"/>
          <w:szCs w:val="21"/>
        </w:rPr>
        <w:fldChar w:fldCharType="begin"/>
      </w:r>
      <w:r>
        <w:rPr>
          <w:rFonts w:ascii="Times New Roman" w:hAnsi="Times New Roman"/>
          <w:color w:val="000000" w:themeColor="text1"/>
          <w:sz w:val="21"/>
          <w:szCs w:val="21"/>
        </w:rPr>
        <w:instrText xml:space="preserve"> TOC \o "1-2" \h \z \u </w:instrText>
      </w:r>
      <w:r>
        <w:rPr>
          <w:rFonts w:ascii="Times New Roman" w:hAnsi="Times New Roman"/>
          <w:color w:val="000000" w:themeColor="text1"/>
          <w:sz w:val="21"/>
          <w:szCs w:val="21"/>
        </w:rPr>
        <w:fldChar w:fldCharType="separate"/>
      </w:r>
      <w:r>
        <w:fldChar w:fldCharType="begin"/>
      </w:r>
      <w:r>
        <w:instrText xml:space="preserve"> HYPERLINK \l "_Toc28117673" </w:instrText>
      </w:r>
      <w:r>
        <w:fldChar w:fldCharType="separate"/>
      </w:r>
      <w:r>
        <w:rPr>
          <w:rStyle w:val="47"/>
          <w:rFonts w:ascii="Times New Roman" w:hAnsi="Times New Roman"/>
        </w:rPr>
        <w:t>概述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_Toc28117673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6720DB1A">
      <w:pPr>
        <w:pStyle w:val="28"/>
        <w:tabs>
          <w:tab w:val="right" w:leader="dot" w:pos="8297"/>
        </w:tabs>
        <w:rPr>
          <w:rFonts w:ascii="Times New Roman" w:hAnsi="Times New Roman" w:eastAsiaTheme="minorEastAsia"/>
          <w:b w:val="0"/>
          <w:bCs w:val="0"/>
          <w:caps w:val="0"/>
          <w:sz w:val="21"/>
          <w:szCs w:val="22"/>
        </w:rPr>
      </w:pPr>
      <w:r>
        <w:fldChar w:fldCharType="begin"/>
      </w:r>
      <w:r>
        <w:instrText xml:space="preserve"> HYPERLINK \l "_Toc28117674" </w:instrText>
      </w:r>
      <w:r>
        <w:fldChar w:fldCharType="separate"/>
      </w:r>
      <w:r>
        <w:rPr>
          <w:rStyle w:val="47"/>
          <w:rFonts w:ascii="Times New Roman" w:hAnsi="Times New Roman"/>
        </w:rPr>
        <w:t>1总则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_Toc28117674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14:paraId="3480A782">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"_Toc28117675" </w:instrText>
      </w:r>
      <w:r>
        <w:fldChar w:fldCharType="separate"/>
      </w:r>
      <w:r>
        <w:rPr>
          <w:rStyle w:val="47"/>
          <w:rFonts w:ascii="Times New Roman" w:hAnsi="Times New Roman"/>
        </w:rPr>
        <w:t>1.1编制依据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_Toc28117675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14:paraId="080B9A72">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"_Toc28117676" </w:instrText>
      </w:r>
      <w:r>
        <w:fldChar w:fldCharType="separate"/>
      </w:r>
      <w:r>
        <w:rPr>
          <w:rStyle w:val="47"/>
          <w:rFonts w:ascii="Times New Roman" w:hAnsi="Times New Roman"/>
        </w:rPr>
        <w:t>1.2评价目的和原则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_Toc28117676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14:paraId="1C3B576C">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"_Toc28117677" </w:instrText>
      </w:r>
      <w:r>
        <w:fldChar w:fldCharType="separate"/>
      </w:r>
      <w:r>
        <w:rPr>
          <w:rStyle w:val="47"/>
          <w:rFonts w:ascii="Times New Roman" w:hAnsi="Times New Roman"/>
        </w:rPr>
        <w:t>1.3评价标准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_Toc28117677 \h </w:instrText>
      </w:r>
      <w:r>
        <w:rPr>
          <w:rFonts w:ascii="Times New Roman" w:hAnsi="Times New Roman"/>
        </w:rPr>
        <w:fldChar w:fldCharType="separate"/>
      </w:r>
      <w:r>
        <w:rPr>
          <w:rFonts w:ascii="Times New Roman" w:hAnsi="Times New Roman"/>
        </w:rPr>
        <w:t>12</w:t>
      </w:r>
      <w:r>
        <w:rPr>
          <w:rFonts w:ascii="Times New Roman" w:hAnsi="Times New Roman"/>
        </w:rPr>
        <w:fldChar w:fldCharType="end"/>
      </w:r>
      <w:r>
        <w:rPr>
          <w:rFonts w:ascii="Times New Roman" w:hAnsi="Times New Roman"/>
        </w:rPr>
        <w:fldChar w:fldCharType="end"/>
      </w:r>
    </w:p>
    <w:p w14:paraId="09CE6CF4">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"_Toc28117678" </w:instrText>
      </w:r>
      <w:r>
        <w:fldChar w:fldCharType="separate"/>
      </w:r>
      <w:r>
        <w:rPr>
          <w:rStyle w:val="47"/>
          <w:rFonts w:ascii="Times New Roman" w:hAnsi="Times New Roman"/>
        </w:rPr>
        <w:t>1.4环境影响因子识别和评价因子的筛选</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_Toc28117678 \h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fldChar w:fldCharType="end"/>
      </w:r>
    </w:p>
    <w:p w14:paraId="0E43EB44">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"_Toc28117679" </w:instrText>
      </w:r>
      <w:r>
        <w:fldChar w:fldCharType="separate"/>
      </w:r>
      <w:r>
        <w:rPr>
          <w:rStyle w:val="47"/>
          <w:rFonts w:ascii="Times New Roman" w:hAnsi="Times New Roman"/>
        </w:rPr>
        <w:t>1.5评价等级、评价重点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_Toc28117679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14:paraId="1F2308B7">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"_Toc28117680" </w:instrText>
      </w:r>
      <w:r>
        <w:fldChar w:fldCharType="separate"/>
      </w:r>
      <w:r>
        <w:rPr>
          <w:rStyle w:val="47"/>
          <w:rFonts w:ascii="Times New Roman" w:hAnsi="Times New Roman"/>
        </w:rPr>
        <w:t>1.6评价范围和评价时段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_Toc28117680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rPr>
        <w:fldChar w:fldCharType="end"/>
      </w:r>
    </w:p>
    <w:p w14:paraId="1B5D1EF1">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"_Toc28117681" </w:instrText>
      </w:r>
      <w:r>
        <w:fldChar w:fldCharType="separate"/>
      </w:r>
      <w:r>
        <w:rPr>
          <w:rStyle w:val="47"/>
          <w:rFonts w:ascii="Times New Roman" w:hAnsi="Times New Roman"/>
        </w:rPr>
        <w:t>1.7环境保护目标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_Toc28117681 \h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ascii="Times New Roman" w:hAnsi="Times New Roman"/>
        </w:rPr>
        <w:fldChar w:fldCharType="end"/>
      </w:r>
    </w:p>
    <w:p w14:paraId="0BB53E6F">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"_Toc28117682" </w:instrText>
      </w:r>
      <w:r>
        <w:fldChar w:fldCharType="separate"/>
      </w:r>
      <w:r>
        <w:rPr>
          <w:rStyle w:val="47"/>
          <w:rFonts w:ascii="Times New Roman" w:hAnsi="Times New Roman"/>
        </w:rPr>
        <w:t>1.8评价工作程序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_Toc28117682 \h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fldChar w:fldCharType="end"/>
      </w:r>
    </w:p>
    <w:p w14:paraId="5F4F048C">
      <w:pPr>
        <w:pStyle w:val="28"/>
        <w:tabs>
          <w:tab w:val="right" w:leader="dot" w:pos="8297"/>
        </w:tabs>
        <w:rPr>
          <w:rFonts w:ascii="Times New Roman" w:hAnsi="Times New Roman" w:eastAsiaTheme="minorEastAsia"/>
          <w:b w:val="0"/>
          <w:bCs w:val="0"/>
          <w:caps w:val="0"/>
          <w:sz w:val="21"/>
          <w:szCs w:val="22"/>
        </w:rPr>
      </w:pPr>
      <w:r>
        <w:fldChar w:fldCharType="begin"/>
      </w:r>
      <w:r>
        <w:instrText xml:space="preserve"> HYPERLINK \l "_Toc28117683" </w:instrText>
      </w:r>
      <w:r>
        <w:fldChar w:fldCharType="separate"/>
      </w:r>
      <w:r>
        <w:rPr>
          <w:rStyle w:val="47"/>
          <w:rFonts w:ascii="Times New Roman" w:hAnsi="Times New Roman"/>
        </w:rPr>
        <w:t>2拟建项目概况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_Toc28117683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14:paraId="600B281C">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"_Toc28117684" </w:instrText>
      </w:r>
      <w:r>
        <w:fldChar w:fldCharType="separate"/>
      </w:r>
      <w:r>
        <w:rPr>
          <w:rStyle w:val="47"/>
          <w:rFonts w:ascii="Times New Roman" w:hAnsi="Times New Roman"/>
        </w:rPr>
        <w:t>2.1拟建项目基本情况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_Toc28117684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14:paraId="6DA62E3A">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"_Toc28117685" </w:instrText>
      </w:r>
      <w:r>
        <w:fldChar w:fldCharType="separate"/>
      </w:r>
      <w:r>
        <w:rPr>
          <w:rStyle w:val="47"/>
          <w:rFonts w:ascii="Times New Roman" w:hAnsi="Times New Roman"/>
        </w:rPr>
        <w:t>2.2项目建设规模和建设内容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_Toc28117685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14:paraId="0A723C9D">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"_Toc28117686" </w:instrText>
      </w:r>
      <w:r>
        <w:fldChar w:fldCharType="separate"/>
      </w:r>
      <w:r>
        <w:rPr>
          <w:rStyle w:val="47"/>
          <w:rFonts w:ascii="Times New Roman" w:hAnsi="Times New Roman"/>
        </w:rPr>
        <w:t>2.3拟建项目产品方案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_Toc28117686 \h </w:instrText>
      </w:r>
      <w:r>
        <w:rPr>
          <w:rFonts w:ascii="Times New Roman" w:hAnsi="Times New Roman"/>
        </w:rPr>
        <w:fldChar w:fldCharType="separate"/>
      </w:r>
      <w:r>
        <w:rPr>
          <w:rFonts w:ascii="Times New Roman" w:hAnsi="Times New Roman"/>
        </w:rPr>
        <w:t>28</w:t>
      </w:r>
      <w:r>
        <w:rPr>
          <w:rFonts w:ascii="Times New Roman" w:hAnsi="Times New Roman"/>
        </w:rPr>
        <w:fldChar w:fldCharType="end"/>
      </w:r>
      <w:r>
        <w:rPr>
          <w:rFonts w:ascii="Times New Roman" w:hAnsi="Times New Roman"/>
        </w:rPr>
        <w:fldChar w:fldCharType="end"/>
      </w:r>
    </w:p>
    <w:p w14:paraId="15BCFD72">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"_Toc28117687" </w:instrText>
      </w:r>
      <w:r>
        <w:fldChar w:fldCharType="separate"/>
      </w:r>
      <w:r>
        <w:rPr>
          <w:rStyle w:val="47"/>
          <w:rFonts w:ascii="Times New Roman" w:hAnsi="Times New Roman"/>
        </w:rPr>
        <w:t>2.4项目主要生产设备及装置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_Toc28117687 \h </w:instrText>
      </w:r>
      <w:r>
        <w:rPr>
          <w:rFonts w:ascii="Times New Roman" w:hAnsi="Times New Roman"/>
        </w:rPr>
        <w:fldChar w:fldCharType="separate"/>
      </w:r>
      <w:r>
        <w:rPr>
          <w:rFonts w:ascii="Times New Roman" w:hAnsi="Times New Roman"/>
        </w:rPr>
        <w:t>28</w:t>
      </w:r>
      <w:r>
        <w:rPr>
          <w:rFonts w:ascii="Times New Roman" w:hAnsi="Times New Roman"/>
        </w:rPr>
        <w:fldChar w:fldCharType="end"/>
      </w:r>
      <w:r>
        <w:rPr>
          <w:rFonts w:ascii="Times New Roman" w:hAnsi="Times New Roman"/>
        </w:rPr>
        <w:fldChar w:fldCharType="end"/>
      </w:r>
    </w:p>
    <w:p w14:paraId="5AD728BD">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"_Toc28117688" </w:instrText>
      </w:r>
      <w:r>
        <w:fldChar w:fldCharType="separate"/>
      </w:r>
      <w:r>
        <w:rPr>
          <w:rStyle w:val="47"/>
          <w:rFonts w:ascii="Times New Roman" w:hAnsi="Times New Roman"/>
        </w:rPr>
        <w:t>2.5项目原辅料及能源消耗情况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_Toc28117688 \h </w:instrText>
      </w:r>
      <w:r>
        <w:rPr>
          <w:rFonts w:ascii="Times New Roman" w:hAnsi="Times New Roman"/>
        </w:rPr>
        <w:fldChar w:fldCharType="separate"/>
      </w:r>
      <w:r>
        <w:rPr>
          <w:rFonts w:ascii="Times New Roman" w:hAnsi="Times New Roman"/>
        </w:rPr>
        <w:t>28</w:t>
      </w:r>
      <w:r>
        <w:rPr>
          <w:rFonts w:ascii="Times New Roman" w:hAnsi="Times New Roman"/>
        </w:rPr>
        <w:fldChar w:fldCharType="end"/>
      </w:r>
      <w:r>
        <w:rPr>
          <w:rFonts w:ascii="Times New Roman" w:hAnsi="Times New Roman"/>
        </w:rPr>
        <w:fldChar w:fldCharType="end"/>
      </w:r>
    </w:p>
    <w:p w14:paraId="522A7344">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"_Toc28117689" </w:instrText>
      </w:r>
      <w:r>
        <w:fldChar w:fldCharType="separate"/>
      </w:r>
      <w:r>
        <w:rPr>
          <w:rStyle w:val="47"/>
          <w:rFonts w:ascii="Times New Roman" w:hAnsi="Times New Roman"/>
        </w:rPr>
        <w:t>2.6 项目总平面布置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_Toc28117689 \h </w:instrText>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fldChar w:fldCharType="end"/>
      </w:r>
    </w:p>
    <w:p w14:paraId="7FBA69BB">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"_Toc28117690" </w:instrText>
      </w:r>
      <w:r>
        <w:fldChar w:fldCharType="separate"/>
      </w:r>
      <w:r>
        <w:rPr>
          <w:rStyle w:val="47"/>
          <w:rFonts w:ascii="Times New Roman" w:hAnsi="Times New Roman"/>
        </w:rPr>
        <w:t>2.7 公用辅助设施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_Toc28117690 \h </w:instrText>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fldChar w:fldCharType="end"/>
      </w:r>
    </w:p>
    <w:p w14:paraId="59A21F18">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"_Toc28117691" </w:instrText>
      </w:r>
      <w:r>
        <w:fldChar w:fldCharType="separate"/>
      </w:r>
      <w:r>
        <w:rPr>
          <w:rStyle w:val="47"/>
          <w:rFonts w:ascii="Times New Roman" w:hAnsi="Times New Roman"/>
        </w:rPr>
        <w:t>2.8工作制度及劳动定员</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_Toc28117691 \h </w:instrText>
      </w:r>
      <w:r>
        <w:rPr>
          <w:rFonts w:ascii="Times New Roman" w:hAnsi="Times New Roman"/>
        </w:rPr>
        <w:fldChar w:fldCharType="separate"/>
      </w:r>
      <w:r>
        <w:rPr>
          <w:rFonts w:ascii="Times New Roman" w:hAnsi="Times New Roman"/>
        </w:rPr>
        <w:t>32</w:t>
      </w:r>
      <w:r>
        <w:rPr>
          <w:rFonts w:ascii="Times New Roman" w:hAnsi="Times New Roman"/>
        </w:rPr>
        <w:fldChar w:fldCharType="end"/>
      </w:r>
      <w:r>
        <w:rPr>
          <w:rFonts w:ascii="Times New Roman" w:hAnsi="Times New Roman"/>
        </w:rPr>
        <w:fldChar w:fldCharType="end"/>
      </w:r>
    </w:p>
    <w:p w14:paraId="06D85B94">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"_Toc28117692" </w:instrText>
      </w:r>
      <w:r>
        <w:fldChar w:fldCharType="separate"/>
      </w:r>
      <w:r>
        <w:rPr>
          <w:rStyle w:val="47"/>
          <w:rFonts w:ascii="Times New Roman" w:hAnsi="Times New Roman"/>
        </w:rPr>
        <w:t>2.9项目实施进度计划安排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_Toc28117692 \h </w:instrText>
      </w:r>
      <w:r>
        <w:rPr>
          <w:rFonts w:ascii="Times New Roman" w:hAnsi="Times New Roman"/>
        </w:rPr>
        <w:fldChar w:fldCharType="separate"/>
      </w:r>
      <w:r>
        <w:rPr>
          <w:rFonts w:ascii="Times New Roman" w:hAnsi="Times New Roman"/>
        </w:rPr>
        <w:t>32</w:t>
      </w:r>
      <w:r>
        <w:rPr>
          <w:rFonts w:ascii="Times New Roman" w:hAnsi="Times New Roman"/>
        </w:rPr>
        <w:fldChar w:fldCharType="end"/>
      </w:r>
      <w:r>
        <w:rPr>
          <w:rFonts w:ascii="Times New Roman" w:hAnsi="Times New Roman"/>
        </w:rPr>
        <w:fldChar w:fldCharType="end"/>
      </w:r>
    </w:p>
    <w:p w14:paraId="6D38F746">
      <w:pPr>
        <w:pStyle w:val="28"/>
        <w:tabs>
          <w:tab w:val="right" w:leader="dot" w:pos="8297"/>
        </w:tabs>
        <w:rPr>
          <w:rFonts w:ascii="Times New Roman" w:hAnsi="Times New Roman" w:eastAsiaTheme="minorEastAsia"/>
          <w:b w:val="0"/>
          <w:bCs w:val="0"/>
          <w:caps w:val="0"/>
          <w:sz w:val="21"/>
          <w:szCs w:val="22"/>
        </w:rPr>
      </w:pPr>
      <w:r>
        <w:fldChar w:fldCharType="begin"/>
      </w:r>
      <w:r>
        <w:instrText xml:space="preserve"> HYPERLINK \l "_Toc28117693" </w:instrText>
      </w:r>
      <w:r>
        <w:fldChar w:fldCharType="separate"/>
      </w:r>
      <w:r>
        <w:rPr>
          <w:rStyle w:val="47"/>
          <w:rFonts w:ascii="Times New Roman" w:hAnsi="Times New Roman"/>
        </w:rPr>
        <w:t>3工程分析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_Toc28117693 \h </w:instrText>
      </w:r>
      <w:r>
        <w:rPr>
          <w:rFonts w:ascii="Times New Roman" w:hAnsi="Times New Roman"/>
        </w:rPr>
        <w:fldChar w:fldCharType="separate"/>
      </w:r>
      <w:r>
        <w:rPr>
          <w:rFonts w:ascii="Times New Roman" w:hAnsi="Times New Roman"/>
        </w:rPr>
        <w:t>33</w:t>
      </w:r>
      <w:r>
        <w:rPr>
          <w:rFonts w:ascii="Times New Roman" w:hAnsi="Times New Roman"/>
        </w:rPr>
        <w:fldChar w:fldCharType="end"/>
      </w:r>
      <w:r>
        <w:rPr>
          <w:rFonts w:ascii="Times New Roman" w:hAnsi="Times New Roman"/>
        </w:rPr>
        <w:fldChar w:fldCharType="end"/>
      </w:r>
    </w:p>
    <w:p w14:paraId="2785521A">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"_Toc28117694" </w:instrText>
      </w:r>
      <w:r>
        <w:fldChar w:fldCharType="separate"/>
      </w:r>
      <w:r>
        <w:rPr>
          <w:rStyle w:val="47"/>
          <w:rFonts w:ascii="Times New Roman" w:hAnsi="Times New Roman"/>
        </w:rPr>
        <w:t>3.1 生产工艺分析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_Toc28117694 \h </w:instrText>
      </w:r>
      <w:r>
        <w:rPr>
          <w:rFonts w:ascii="Times New Roman" w:hAnsi="Times New Roman"/>
        </w:rPr>
        <w:fldChar w:fldCharType="separate"/>
      </w:r>
      <w:r>
        <w:rPr>
          <w:rFonts w:ascii="Times New Roman" w:hAnsi="Times New Roman"/>
        </w:rPr>
        <w:t>33</w:t>
      </w:r>
      <w:r>
        <w:rPr>
          <w:rFonts w:ascii="Times New Roman" w:hAnsi="Times New Roman"/>
        </w:rPr>
        <w:fldChar w:fldCharType="end"/>
      </w:r>
      <w:r>
        <w:rPr>
          <w:rFonts w:ascii="Times New Roman" w:hAnsi="Times New Roman"/>
        </w:rPr>
        <w:fldChar w:fldCharType="end"/>
      </w:r>
    </w:p>
    <w:p w14:paraId="3CC74FC1">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"_Toc28117695" </w:instrText>
      </w:r>
      <w:r>
        <w:fldChar w:fldCharType="separate"/>
      </w:r>
      <w:r>
        <w:rPr>
          <w:rStyle w:val="47"/>
          <w:rFonts w:ascii="Times New Roman" w:hAnsi="Times New Roman"/>
        </w:rPr>
        <w:t>3.2物料衡算</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_Toc28117695 \h </w:instrText>
      </w:r>
      <w:r>
        <w:rPr>
          <w:rFonts w:ascii="Times New Roman" w:hAnsi="Times New Roman"/>
        </w:rPr>
        <w:fldChar w:fldCharType="separate"/>
      </w:r>
      <w:r>
        <w:rPr>
          <w:rFonts w:ascii="Times New Roman" w:hAnsi="Times New Roman"/>
        </w:rPr>
        <w:t>38</w:t>
      </w:r>
      <w:r>
        <w:rPr>
          <w:rFonts w:ascii="Times New Roman" w:hAnsi="Times New Roman"/>
        </w:rPr>
        <w:fldChar w:fldCharType="end"/>
      </w:r>
      <w:r>
        <w:rPr>
          <w:rFonts w:ascii="Times New Roman" w:hAnsi="Times New Roman"/>
        </w:rPr>
        <w:fldChar w:fldCharType="end"/>
      </w:r>
    </w:p>
    <w:p w14:paraId="7ABCA064">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"_Toc28117696" </w:instrText>
      </w:r>
      <w:r>
        <w:fldChar w:fldCharType="separate"/>
      </w:r>
      <w:r>
        <w:rPr>
          <w:rStyle w:val="47"/>
          <w:rFonts w:ascii="Times New Roman" w:hAnsi="Times New Roman"/>
        </w:rPr>
        <w:t>3.3给排水及水量平衡</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_Toc28117696 \h </w:instrText>
      </w:r>
      <w:r>
        <w:rPr>
          <w:rFonts w:ascii="Times New Roman" w:hAnsi="Times New Roman"/>
        </w:rPr>
        <w:fldChar w:fldCharType="separate"/>
      </w:r>
      <w:r>
        <w:rPr>
          <w:rFonts w:ascii="Times New Roman" w:hAnsi="Times New Roman"/>
        </w:rPr>
        <w:t>41</w:t>
      </w:r>
      <w:r>
        <w:rPr>
          <w:rFonts w:ascii="Times New Roman" w:hAnsi="Times New Roman"/>
        </w:rPr>
        <w:fldChar w:fldCharType="end"/>
      </w:r>
      <w:r>
        <w:rPr>
          <w:rFonts w:ascii="Times New Roman" w:hAnsi="Times New Roman"/>
        </w:rPr>
        <w:fldChar w:fldCharType="end"/>
      </w:r>
    </w:p>
    <w:p w14:paraId="41AB1C32">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"_Toc28117697" </w:instrText>
      </w:r>
      <w:r>
        <w:fldChar w:fldCharType="separate"/>
      </w:r>
      <w:r>
        <w:rPr>
          <w:rStyle w:val="47"/>
          <w:rFonts w:ascii="Times New Roman" w:hAnsi="Times New Roman"/>
        </w:rPr>
        <w:t>3.4施工期污染源产生及排放情况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_Toc28117697 \h </w:instrText>
      </w:r>
      <w:r>
        <w:rPr>
          <w:rFonts w:ascii="Times New Roman" w:hAnsi="Times New Roman"/>
        </w:rPr>
        <w:fldChar w:fldCharType="separate"/>
      </w:r>
      <w:r>
        <w:rPr>
          <w:rFonts w:ascii="Times New Roman" w:hAnsi="Times New Roman"/>
        </w:rPr>
        <w:t>44</w:t>
      </w:r>
      <w:r>
        <w:rPr>
          <w:rFonts w:ascii="Times New Roman" w:hAnsi="Times New Roman"/>
        </w:rPr>
        <w:fldChar w:fldCharType="end"/>
      </w:r>
      <w:r>
        <w:rPr>
          <w:rFonts w:ascii="Times New Roman" w:hAnsi="Times New Roman"/>
        </w:rPr>
        <w:fldChar w:fldCharType="end"/>
      </w:r>
    </w:p>
    <w:p w14:paraId="11C0144C">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"_Toc28117698" </w:instrText>
      </w:r>
      <w:r>
        <w:fldChar w:fldCharType="separate"/>
      </w:r>
      <w:r>
        <w:rPr>
          <w:rStyle w:val="47"/>
          <w:rFonts w:ascii="Times New Roman" w:hAnsi="Times New Roman"/>
        </w:rPr>
        <w:t>3.5 运营期污染源核算</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_Toc28117698 \h </w:instrText>
      </w:r>
      <w:r>
        <w:rPr>
          <w:rFonts w:ascii="Times New Roman" w:hAnsi="Times New Roman"/>
        </w:rPr>
        <w:fldChar w:fldCharType="separate"/>
      </w:r>
      <w:r>
        <w:rPr>
          <w:rFonts w:ascii="Times New Roman" w:hAnsi="Times New Roman"/>
        </w:rPr>
        <w:t>48</w:t>
      </w:r>
      <w:r>
        <w:rPr>
          <w:rFonts w:ascii="Times New Roman" w:hAnsi="Times New Roman"/>
        </w:rPr>
        <w:fldChar w:fldCharType="end"/>
      </w:r>
      <w:r>
        <w:rPr>
          <w:rFonts w:ascii="Times New Roman" w:hAnsi="Times New Roman"/>
        </w:rPr>
        <w:fldChar w:fldCharType="end"/>
      </w:r>
    </w:p>
    <w:p w14:paraId="796AE354">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"_Toc28117699" </w:instrText>
      </w:r>
      <w:r>
        <w:fldChar w:fldCharType="separate"/>
      </w:r>
      <w:r>
        <w:rPr>
          <w:rStyle w:val="47"/>
          <w:rFonts w:ascii="Times New Roman" w:hAnsi="Times New Roman"/>
        </w:rPr>
        <w:t>3.6本项目”三废”排污核算汇总</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_Toc28117699 \h </w:instrText>
      </w:r>
      <w:r>
        <w:rPr>
          <w:rFonts w:ascii="Times New Roman" w:hAnsi="Times New Roman"/>
        </w:rPr>
        <w:fldChar w:fldCharType="separate"/>
      </w:r>
      <w:r>
        <w:rPr>
          <w:rFonts w:ascii="Times New Roman" w:hAnsi="Times New Roman"/>
        </w:rPr>
        <w:t>57</w:t>
      </w:r>
      <w:r>
        <w:rPr>
          <w:rFonts w:ascii="Times New Roman" w:hAnsi="Times New Roman"/>
        </w:rPr>
        <w:fldChar w:fldCharType="end"/>
      </w:r>
      <w:r>
        <w:rPr>
          <w:rFonts w:ascii="Times New Roman" w:hAnsi="Times New Roman"/>
        </w:rPr>
        <w:fldChar w:fldCharType="end"/>
      </w:r>
    </w:p>
    <w:p w14:paraId="10568800">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"_Toc28117700" </w:instrText>
      </w:r>
      <w:r>
        <w:fldChar w:fldCharType="separate"/>
      </w:r>
      <w:r>
        <w:rPr>
          <w:rStyle w:val="47"/>
          <w:rFonts w:ascii="Times New Roman" w:hAnsi="Times New Roman"/>
        </w:rPr>
        <w:t>3.7 非正常排放</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_Toc28117700 \h </w:instrText>
      </w:r>
      <w:r>
        <w:rPr>
          <w:rFonts w:ascii="Times New Roman" w:hAnsi="Times New Roman"/>
        </w:rPr>
        <w:fldChar w:fldCharType="separate"/>
      </w:r>
      <w:r>
        <w:rPr>
          <w:rFonts w:ascii="Times New Roman" w:hAnsi="Times New Roman"/>
        </w:rPr>
        <w:t>120</w:t>
      </w:r>
      <w:r>
        <w:rPr>
          <w:rFonts w:ascii="Times New Roman" w:hAnsi="Times New Roman"/>
        </w:rPr>
        <w:fldChar w:fldCharType="end"/>
      </w:r>
      <w:r>
        <w:rPr>
          <w:rFonts w:ascii="Times New Roman" w:hAnsi="Times New Roman"/>
        </w:rPr>
        <w:fldChar w:fldCharType="end"/>
      </w:r>
    </w:p>
    <w:p w14:paraId="65BFD8F5">
      <w:pPr>
        <w:pStyle w:val="28"/>
        <w:tabs>
          <w:tab w:val="right" w:leader="dot" w:pos="8297"/>
        </w:tabs>
        <w:rPr>
          <w:rFonts w:ascii="Times New Roman" w:hAnsi="Times New Roman" w:eastAsiaTheme="minorEastAsia"/>
          <w:b w:val="0"/>
          <w:bCs w:val="0"/>
          <w:caps w:val="0"/>
          <w:sz w:val="21"/>
          <w:szCs w:val="22"/>
        </w:rPr>
      </w:pPr>
      <w:r>
        <w:fldChar w:fldCharType="begin"/>
      </w:r>
      <w:r>
        <w:instrText xml:space="preserve"> HYPERLINK \l "_Toc28117701" </w:instrText>
      </w:r>
      <w:r>
        <w:fldChar w:fldCharType="separate"/>
      </w:r>
      <w:r>
        <w:rPr>
          <w:rStyle w:val="47"/>
          <w:rFonts w:ascii="Times New Roman" w:hAnsi="Times New Roman"/>
        </w:rPr>
        <w:t>4建设项目所在区域环境概况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_Toc28117701 \h </w:instrText>
      </w:r>
      <w:r>
        <w:rPr>
          <w:rFonts w:ascii="Times New Roman" w:hAnsi="Times New Roman"/>
        </w:rPr>
        <w:fldChar w:fldCharType="separate"/>
      </w:r>
      <w:r>
        <w:rPr>
          <w:rFonts w:ascii="Times New Roman" w:hAnsi="Times New Roman"/>
        </w:rPr>
        <w:t>121</w:t>
      </w:r>
      <w:r>
        <w:rPr>
          <w:rFonts w:ascii="Times New Roman" w:hAnsi="Times New Roman"/>
        </w:rPr>
        <w:fldChar w:fldCharType="end"/>
      </w:r>
      <w:r>
        <w:rPr>
          <w:rFonts w:ascii="Times New Roman" w:hAnsi="Times New Roman"/>
        </w:rPr>
        <w:fldChar w:fldCharType="end"/>
      </w:r>
    </w:p>
    <w:p w14:paraId="66F22F12">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"_Toc28117702" </w:instrText>
      </w:r>
      <w:r>
        <w:fldChar w:fldCharType="separate"/>
      </w:r>
      <w:r>
        <w:rPr>
          <w:rStyle w:val="47"/>
          <w:rFonts w:ascii="Times New Roman" w:hAnsi="Times New Roman"/>
        </w:rPr>
        <w:t>4.1自然环境概况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_Toc28117702 \h </w:instrText>
      </w:r>
      <w:r>
        <w:rPr>
          <w:rFonts w:ascii="Times New Roman" w:hAnsi="Times New Roman"/>
        </w:rPr>
        <w:fldChar w:fldCharType="separate"/>
      </w:r>
      <w:r>
        <w:rPr>
          <w:rFonts w:ascii="Times New Roman" w:hAnsi="Times New Roman"/>
        </w:rPr>
        <w:t>121</w:t>
      </w:r>
      <w:r>
        <w:rPr>
          <w:rFonts w:ascii="Times New Roman" w:hAnsi="Times New Roman"/>
        </w:rPr>
        <w:fldChar w:fldCharType="end"/>
      </w:r>
      <w:r>
        <w:rPr>
          <w:rFonts w:ascii="Times New Roman" w:hAnsi="Times New Roman"/>
        </w:rPr>
        <w:fldChar w:fldCharType="end"/>
      </w:r>
    </w:p>
    <w:p w14:paraId="55B27E40">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"_Toc28117703" </w:instrText>
      </w:r>
      <w:r>
        <w:fldChar w:fldCharType="separate"/>
      </w:r>
      <w:r>
        <w:rPr>
          <w:rStyle w:val="47"/>
          <w:rFonts w:ascii="Times New Roman" w:hAnsi="Times New Roman"/>
        </w:rPr>
        <w:t>4.2环境质量现状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_Toc28117703 \h </w:instrText>
      </w:r>
      <w:r>
        <w:rPr>
          <w:rFonts w:ascii="Times New Roman" w:hAnsi="Times New Roman"/>
        </w:rPr>
        <w:fldChar w:fldCharType="separate"/>
      </w:r>
      <w:r>
        <w:rPr>
          <w:rFonts w:ascii="Times New Roman" w:hAnsi="Times New Roman"/>
        </w:rPr>
        <w:t>123</w:t>
      </w:r>
      <w:r>
        <w:rPr>
          <w:rFonts w:ascii="Times New Roman" w:hAnsi="Times New Roman"/>
        </w:rPr>
        <w:fldChar w:fldCharType="end"/>
      </w:r>
      <w:r>
        <w:rPr>
          <w:rFonts w:ascii="Times New Roman" w:hAnsi="Times New Roman"/>
        </w:rPr>
        <w:fldChar w:fldCharType="end"/>
      </w:r>
    </w:p>
    <w:p w14:paraId="3EE0E041">
      <w:pPr>
        <w:pStyle w:val="28"/>
        <w:tabs>
          <w:tab w:val="right" w:leader="dot" w:pos="8297"/>
        </w:tabs>
        <w:rPr>
          <w:rFonts w:ascii="Times New Roman" w:hAnsi="Times New Roman" w:eastAsiaTheme="minorEastAsia"/>
          <w:b w:val="0"/>
          <w:bCs w:val="0"/>
          <w:caps w:val="0"/>
          <w:sz w:val="21"/>
          <w:szCs w:val="22"/>
        </w:rPr>
      </w:pPr>
      <w:r>
        <w:fldChar w:fldCharType="begin"/>
      </w:r>
      <w:r>
        <w:instrText xml:space="preserve"> HYPERLINK \l "_Toc28117704" </w:instrText>
      </w:r>
      <w:r>
        <w:fldChar w:fldCharType="separate"/>
      </w:r>
      <w:r>
        <w:rPr>
          <w:rStyle w:val="47"/>
          <w:rFonts w:ascii="Times New Roman" w:hAnsi="Times New Roman"/>
        </w:rPr>
        <w:t>5施工期环境影响分析与评价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_Toc28117704 \h </w:instrText>
      </w:r>
      <w:r>
        <w:rPr>
          <w:rFonts w:ascii="Times New Roman" w:hAnsi="Times New Roman"/>
        </w:rPr>
        <w:fldChar w:fldCharType="separate"/>
      </w:r>
      <w:r>
        <w:rPr>
          <w:rFonts w:ascii="Times New Roman" w:hAnsi="Times New Roman"/>
        </w:rPr>
        <w:t>131</w:t>
      </w:r>
      <w:r>
        <w:rPr>
          <w:rFonts w:ascii="Times New Roman" w:hAnsi="Times New Roman"/>
        </w:rPr>
        <w:fldChar w:fldCharType="end"/>
      </w:r>
      <w:r>
        <w:rPr>
          <w:rFonts w:ascii="Times New Roman" w:hAnsi="Times New Roman"/>
        </w:rPr>
        <w:fldChar w:fldCharType="end"/>
      </w:r>
    </w:p>
    <w:p w14:paraId="22F6F4C1">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"_Toc28117705" </w:instrText>
      </w:r>
      <w:r>
        <w:fldChar w:fldCharType="separate"/>
      </w:r>
      <w:r>
        <w:rPr>
          <w:rStyle w:val="47"/>
          <w:rFonts w:ascii="Times New Roman" w:hAnsi="Times New Roman"/>
        </w:rPr>
        <w:t>5.1施工期环境空气影响分析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_Toc28117705 \h </w:instrText>
      </w:r>
      <w:r>
        <w:rPr>
          <w:rFonts w:ascii="Times New Roman" w:hAnsi="Times New Roman"/>
        </w:rPr>
        <w:fldChar w:fldCharType="separate"/>
      </w:r>
      <w:r>
        <w:rPr>
          <w:rFonts w:ascii="Times New Roman" w:hAnsi="Times New Roman"/>
        </w:rPr>
        <w:t>131</w:t>
      </w:r>
      <w:r>
        <w:rPr>
          <w:rFonts w:ascii="Times New Roman" w:hAnsi="Times New Roman"/>
        </w:rPr>
        <w:fldChar w:fldCharType="end"/>
      </w:r>
      <w:r>
        <w:rPr>
          <w:rFonts w:ascii="Times New Roman" w:hAnsi="Times New Roman"/>
        </w:rPr>
        <w:fldChar w:fldCharType="end"/>
      </w:r>
    </w:p>
    <w:p w14:paraId="3291FB4F">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"_Toc28117706" </w:instrText>
      </w:r>
      <w:r>
        <w:fldChar w:fldCharType="separate"/>
      </w:r>
      <w:r>
        <w:rPr>
          <w:rStyle w:val="47"/>
          <w:rFonts w:ascii="Times New Roman" w:hAnsi="Times New Roman"/>
        </w:rPr>
        <w:t>5.2施工期水环境影响分析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_Toc28117706 \h </w:instrText>
      </w:r>
      <w:r>
        <w:rPr>
          <w:rFonts w:ascii="Times New Roman" w:hAnsi="Times New Roman"/>
        </w:rPr>
        <w:fldChar w:fldCharType="separate"/>
      </w:r>
      <w:r>
        <w:rPr>
          <w:rFonts w:ascii="Times New Roman" w:hAnsi="Times New Roman"/>
        </w:rPr>
        <w:t>132</w:t>
      </w:r>
      <w:r>
        <w:rPr>
          <w:rFonts w:ascii="Times New Roman" w:hAnsi="Times New Roman"/>
        </w:rPr>
        <w:fldChar w:fldCharType="end"/>
      </w:r>
      <w:r>
        <w:rPr>
          <w:rFonts w:ascii="Times New Roman" w:hAnsi="Times New Roman"/>
        </w:rPr>
        <w:fldChar w:fldCharType="end"/>
      </w:r>
    </w:p>
    <w:p w14:paraId="44A4E211">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"_Toc28117707" </w:instrText>
      </w:r>
      <w:r>
        <w:fldChar w:fldCharType="separate"/>
      </w:r>
      <w:r>
        <w:rPr>
          <w:rStyle w:val="47"/>
          <w:rFonts w:ascii="Times New Roman" w:hAnsi="Times New Roman"/>
        </w:rPr>
        <w:t>5.3施工期声环境影响分析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_Toc28117707 \h </w:instrText>
      </w:r>
      <w:r>
        <w:rPr>
          <w:rFonts w:ascii="Times New Roman" w:hAnsi="Times New Roman"/>
        </w:rPr>
        <w:fldChar w:fldCharType="separate"/>
      </w:r>
      <w:r>
        <w:rPr>
          <w:rFonts w:ascii="Times New Roman" w:hAnsi="Times New Roman"/>
        </w:rPr>
        <w:t>132</w:t>
      </w:r>
      <w:r>
        <w:rPr>
          <w:rFonts w:ascii="Times New Roman" w:hAnsi="Times New Roman"/>
        </w:rPr>
        <w:fldChar w:fldCharType="end"/>
      </w:r>
      <w:r>
        <w:rPr>
          <w:rFonts w:ascii="Times New Roman" w:hAnsi="Times New Roman"/>
        </w:rPr>
        <w:fldChar w:fldCharType="end"/>
      </w:r>
    </w:p>
    <w:p w14:paraId="642AC708">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"_Toc28117708" </w:instrText>
      </w:r>
      <w:r>
        <w:fldChar w:fldCharType="separate"/>
      </w:r>
      <w:r>
        <w:rPr>
          <w:rStyle w:val="47"/>
          <w:rFonts w:ascii="Times New Roman" w:hAnsi="Times New Roman"/>
        </w:rPr>
        <w:t>5.4固体废弃物影响分析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_Toc28117708 \h </w:instrText>
      </w:r>
      <w:r>
        <w:rPr>
          <w:rFonts w:ascii="Times New Roman" w:hAnsi="Times New Roman"/>
        </w:rPr>
        <w:fldChar w:fldCharType="separate"/>
      </w:r>
      <w:r>
        <w:rPr>
          <w:rFonts w:ascii="Times New Roman" w:hAnsi="Times New Roman"/>
        </w:rPr>
        <w:t>134</w:t>
      </w:r>
      <w:r>
        <w:rPr>
          <w:rFonts w:ascii="Times New Roman" w:hAnsi="Times New Roman"/>
        </w:rPr>
        <w:fldChar w:fldCharType="end"/>
      </w:r>
      <w:r>
        <w:rPr>
          <w:rFonts w:ascii="Times New Roman" w:hAnsi="Times New Roman"/>
        </w:rPr>
        <w:fldChar w:fldCharType="end"/>
      </w:r>
    </w:p>
    <w:p w14:paraId="2BFA89B6">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"_Toc28117709" </w:instrText>
      </w:r>
      <w:r>
        <w:fldChar w:fldCharType="separate"/>
      </w:r>
      <w:r>
        <w:rPr>
          <w:rStyle w:val="47"/>
          <w:rFonts w:ascii="Times New Roman" w:hAnsi="Times New Roman"/>
          <w:lang w:val="zh-CN"/>
        </w:rPr>
        <w:t>5.5施工期影响评价结论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_Toc28117709 \h </w:instrText>
      </w:r>
      <w:r>
        <w:rPr>
          <w:rFonts w:ascii="Times New Roman" w:hAnsi="Times New Roman"/>
        </w:rPr>
        <w:fldChar w:fldCharType="separate"/>
      </w:r>
      <w:r>
        <w:rPr>
          <w:rFonts w:ascii="Times New Roman" w:hAnsi="Times New Roman"/>
        </w:rPr>
        <w:t>135</w:t>
      </w:r>
      <w:r>
        <w:rPr>
          <w:rFonts w:ascii="Times New Roman" w:hAnsi="Times New Roman"/>
        </w:rPr>
        <w:fldChar w:fldCharType="end"/>
      </w:r>
      <w:r>
        <w:rPr>
          <w:rFonts w:ascii="Times New Roman" w:hAnsi="Times New Roman"/>
        </w:rPr>
        <w:fldChar w:fldCharType="end"/>
      </w:r>
    </w:p>
    <w:p w14:paraId="6EE4AB08">
      <w:pPr>
        <w:pStyle w:val="28"/>
        <w:tabs>
          <w:tab w:val="right" w:leader="dot" w:pos="8297"/>
        </w:tabs>
        <w:rPr>
          <w:rFonts w:ascii="Times New Roman" w:hAnsi="Times New Roman" w:eastAsiaTheme="minorEastAsia"/>
          <w:b w:val="0"/>
          <w:bCs w:val="0"/>
          <w:caps w:val="0"/>
          <w:sz w:val="21"/>
          <w:szCs w:val="22"/>
        </w:rPr>
      </w:pPr>
      <w:r>
        <w:fldChar w:fldCharType="begin"/>
      </w:r>
      <w:r>
        <w:instrText xml:space="preserve"> HYPERLINK \l "_Toc28117710" </w:instrText>
      </w:r>
      <w:r>
        <w:fldChar w:fldCharType="separate"/>
      </w:r>
      <w:r>
        <w:rPr>
          <w:rStyle w:val="47"/>
          <w:rFonts w:ascii="Times New Roman" w:hAnsi="Times New Roman"/>
        </w:rPr>
        <w:t>6运营期环境影响预测评价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_Toc28117710 \h </w:instrText>
      </w:r>
      <w:r>
        <w:rPr>
          <w:rFonts w:ascii="Times New Roman" w:hAnsi="Times New Roman"/>
        </w:rPr>
        <w:fldChar w:fldCharType="separate"/>
      </w:r>
      <w:r>
        <w:rPr>
          <w:rFonts w:ascii="Times New Roman" w:hAnsi="Times New Roman"/>
        </w:rPr>
        <w:t>136</w:t>
      </w:r>
      <w:r>
        <w:rPr>
          <w:rFonts w:ascii="Times New Roman" w:hAnsi="Times New Roman"/>
        </w:rPr>
        <w:fldChar w:fldCharType="end"/>
      </w:r>
      <w:r>
        <w:rPr>
          <w:rFonts w:ascii="Times New Roman" w:hAnsi="Times New Roman"/>
        </w:rPr>
        <w:fldChar w:fldCharType="end"/>
      </w:r>
    </w:p>
    <w:p w14:paraId="498D4C03">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"_Toc28117711" </w:instrText>
      </w:r>
      <w:r>
        <w:fldChar w:fldCharType="separate"/>
      </w:r>
      <w:r>
        <w:rPr>
          <w:rStyle w:val="47"/>
          <w:rFonts w:ascii="Times New Roman" w:hAnsi="Times New Roman"/>
        </w:rPr>
        <w:t>6.1大气环境影响预测评价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_Toc28117711 \h </w:instrText>
      </w:r>
      <w:r>
        <w:rPr>
          <w:rFonts w:ascii="Times New Roman" w:hAnsi="Times New Roman"/>
        </w:rPr>
        <w:fldChar w:fldCharType="separate"/>
      </w:r>
      <w:r>
        <w:rPr>
          <w:rFonts w:ascii="Times New Roman" w:hAnsi="Times New Roman"/>
        </w:rPr>
        <w:t>136</w:t>
      </w:r>
      <w:r>
        <w:rPr>
          <w:rFonts w:ascii="Times New Roman" w:hAnsi="Times New Roman"/>
        </w:rPr>
        <w:fldChar w:fldCharType="end"/>
      </w:r>
      <w:r>
        <w:rPr>
          <w:rFonts w:ascii="Times New Roman" w:hAnsi="Times New Roman"/>
        </w:rPr>
        <w:fldChar w:fldCharType="end"/>
      </w:r>
    </w:p>
    <w:p w14:paraId="3DEF5192">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"_Toc28117712" </w:instrText>
      </w:r>
      <w:r>
        <w:fldChar w:fldCharType="separate"/>
      </w:r>
      <w:r>
        <w:rPr>
          <w:rStyle w:val="47"/>
          <w:rFonts w:ascii="Times New Roman" w:hAnsi="Times New Roman"/>
        </w:rPr>
        <w:t>6.2地表水环境影响预测及评价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_Toc28117712 \h </w:instrText>
      </w:r>
      <w:r>
        <w:rPr>
          <w:rFonts w:ascii="Times New Roman" w:hAnsi="Times New Roman"/>
        </w:rPr>
        <w:fldChar w:fldCharType="separate"/>
      </w:r>
      <w:r>
        <w:rPr>
          <w:rFonts w:ascii="Times New Roman" w:hAnsi="Times New Roman"/>
        </w:rPr>
        <w:t>146</w:t>
      </w:r>
      <w:r>
        <w:rPr>
          <w:rFonts w:ascii="Times New Roman" w:hAnsi="Times New Roman"/>
        </w:rPr>
        <w:fldChar w:fldCharType="end"/>
      </w:r>
      <w:r>
        <w:rPr>
          <w:rFonts w:ascii="Times New Roman" w:hAnsi="Times New Roman"/>
        </w:rPr>
        <w:fldChar w:fldCharType="end"/>
      </w:r>
    </w:p>
    <w:p w14:paraId="18D2D829">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"_Toc28117713" </w:instrText>
      </w:r>
      <w:r>
        <w:fldChar w:fldCharType="separate"/>
      </w:r>
      <w:r>
        <w:rPr>
          <w:rStyle w:val="47"/>
          <w:rFonts w:ascii="Times New Roman" w:hAnsi="Times New Roman"/>
        </w:rPr>
        <w:t>6.3地下水环境影响分析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_Toc28117713 \h </w:instrText>
      </w:r>
      <w:r>
        <w:rPr>
          <w:rFonts w:ascii="Times New Roman" w:hAnsi="Times New Roman"/>
        </w:rPr>
        <w:fldChar w:fldCharType="separate"/>
      </w:r>
      <w:r>
        <w:rPr>
          <w:rFonts w:ascii="Times New Roman" w:hAnsi="Times New Roman"/>
        </w:rPr>
        <w:t>120</w:t>
      </w:r>
      <w:r>
        <w:rPr>
          <w:rFonts w:ascii="Times New Roman" w:hAnsi="Times New Roman"/>
        </w:rPr>
        <w:fldChar w:fldCharType="end"/>
      </w:r>
      <w:r>
        <w:rPr>
          <w:rFonts w:ascii="Times New Roman" w:hAnsi="Times New Roman"/>
        </w:rPr>
        <w:fldChar w:fldCharType="end"/>
      </w:r>
    </w:p>
    <w:p w14:paraId="29DEE98B">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"_Toc28117714" </w:instrText>
      </w:r>
      <w:r>
        <w:fldChar w:fldCharType="separate"/>
      </w:r>
      <w:r>
        <w:rPr>
          <w:rStyle w:val="47"/>
          <w:rFonts w:ascii="Times New Roman" w:hAnsi="Times New Roman"/>
        </w:rPr>
        <w:t>6.4固废环境影响预测及评价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_Toc28117714 \h </w:instrText>
      </w:r>
      <w:r>
        <w:rPr>
          <w:rFonts w:ascii="Times New Roman" w:hAnsi="Times New Roman"/>
        </w:rPr>
        <w:fldChar w:fldCharType="separate"/>
      </w:r>
      <w:r>
        <w:rPr>
          <w:rFonts w:ascii="Times New Roman" w:hAnsi="Times New Roman"/>
        </w:rPr>
        <w:t>127</w:t>
      </w:r>
      <w:r>
        <w:rPr>
          <w:rFonts w:ascii="Times New Roman" w:hAnsi="Times New Roman"/>
        </w:rPr>
        <w:fldChar w:fldCharType="end"/>
      </w:r>
      <w:r>
        <w:rPr>
          <w:rFonts w:ascii="Times New Roman" w:hAnsi="Times New Roman"/>
        </w:rPr>
        <w:fldChar w:fldCharType="end"/>
      </w:r>
    </w:p>
    <w:p w14:paraId="1D09FD9F">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"_Toc28117715" </w:instrText>
      </w:r>
      <w:r>
        <w:fldChar w:fldCharType="separate"/>
      </w:r>
      <w:r>
        <w:rPr>
          <w:rStyle w:val="47"/>
          <w:rFonts w:ascii="Times New Roman" w:hAnsi="Times New Roman" w:eastAsia="黑体"/>
          <w:b/>
          <w:bCs/>
        </w:rPr>
        <w:t>6.5声环境影响预测与分析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_Toc28117715 \h </w:instrText>
      </w:r>
      <w:r>
        <w:rPr>
          <w:rFonts w:ascii="Times New Roman" w:hAnsi="Times New Roman"/>
        </w:rPr>
        <w:fldChar w:fldCharType="separate"/>
      </w:r>
      <w:r>
        <w:rPr>
          <w:rFonts w:ascii="Times New Roman" w:hAnsi="Times New Roman"/>
        </w:rPr>
        <w:t>129</w:t>
      </w:r>
      <w:r>
        <w:rPr>
          <w:rFonts w:ascii="Times New Roman" w:hAnsi="Times New Roman"/>
        </w:rPr>
        <w:fldChar w:fldCharType="end"/>
      </w:r>
      <w:r>
        <w:rPr>
          <w:rFonts w:ascii="Times New Roman" w:hAnsi="Times New Roman"/>
        </w:rPr>
        <w:fldChar w:fldCharType="end"/>
      </w:r>
    </w:p>
    <w:p w14:paraId="2CE5F184">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"_Toc28117716" </w:instrText>
      </w:r>
      <w:r>
        <w:fldChar w:fldCharType="separate"/>
      </w:r>
      <w:r>
        <w:rPr>
          <w:rStyle w:val="47"/>
          <w:rFonts w:ascii="Times New Roman" w:hAnsi="Times New Roman"/>
        </w:rPr>
        <w:t>6.6生态环境影响分析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_Toc28117716 \h </w:instrText>
      </w:r>
      <w:r>
        <w:rPr>
          <w:rFonts w:ascii="Times New Roman" w:hAnsi="Times New Roman"/>
        </w:rPr>
        <w:fldChar w:fldCharType="separate"/>
      </w:r>
      <w:r>
        <w:rPr>
          <w:rFonts w:ascii="Times New Roman" w:hAnsi="Times New Roman"/>
        </w:rPr>
        <w:t>130</w:t>
      </w:r>
      <w:r>
        <w:rPr>
          <w:rFonts w:ascii="Times New Roman" w:hAnsi="Times New Roman"/>
        </w:rPr>
        <w:fldChar w:fldCharType="end"/>
      </w:r>
      <w:r>
        <w:rPr>
          <w:rFonts w:ascii="Times New Roman" w:hAnsi="Times New Roman"/>
        </w:rPr>
        <w:fldChar w:fldCharType="end"/>
      </w:r>
    </w:p>
    <w:p w14:paraId="328D7622">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"_Toc28117717" </w:instrText>
      </w:r>
      <w:r>
        <w:fldChar w:fldCharType="separate"/>
      </w:r>
      <w:r>
        <w:rPr>
          <w:rStyle w:val="47"/>
          <w:rFonts w:ascii="Times New Roman" w:hAnsi="Times New Roman"/>
        </w:rPr>
        <w:t>6.7项目与周围环境相容性分析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_Toc28117717 \h </w:instrText>
      </w:r>
      <w:r>
        <w:rPr>
          <w:rFonts w:ascii="Times New Roman" w:hAnsi="Times New Roman"/>
        </w:rPr>
        <w:fldChar w:fldCharType="separate"/>
      </w:r>
      <w:r>
        <w:rPr>
          <w:rFonts w:ascii="Times New Roman" w:hAnsi="Times New Roman"/>
        </w:rPr>
        <w:t>131</w:t>
      </w:r>
      <w:r>
        <w:rPr>
          <w:rFonts w:ascii="Times New Roman" w:hAnsi="Times New Roman"/>
        </w:rPr>
        <w:fldChar w:fldCharType="end"/>
      </w:r>
      <w:r>
        <w:rPr>
          <w:rFonts w:ascii="Times New Roman" w:hAnsi="Times New Roman"/>
        </w:rPr>
        <w:fldChar w:fldCharType="end"/>
      </w:r>
    </w:p>
    <w:p w14:paraId="1C7F46FB">
      <w:pPr>
        <w:pStyle w:val="28"/>
        <w:tabs>
          <w:tab w:val="right" w:leader="dot" w:pos="8297"/>
        </w:tabs>
        <w:rPr>
          <w:rFonts w:ascii="Times New Roman" w:hAnsi="Times New Roman" w:eastAsiaTheme="minorEastAsia"/>
          <w:b w:val="0"/>
          <w:bCs w:val="0"/>
          <w:caps w:val="0"/>
          <w:sz w:val="21"/>
          <w:szCs w:val="22"/>
        </w:rPr>
      </w:pPr>
      <w:r>
        <w:fldChar w:fldCharType="begin"/>
      </w:r>
      <w:r>
        <w:instrText xml:space="preserve"> HYPERLINK \l "_Toc28117718" </w:instrText>
      </w:r>
      <w:r>
        <w:fldChar w:fldCharType="separate"/>
      </w:r>
      <w:r>
        <w:rPr>
          <w:rStyle w:val="47"/>
          <w:rFonts w:ascii="Times New Roman" w:hAnsi="Times New Roman"/>
        </w:rPr>
        <w:t>7环境风险分析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_Toc28117718 \h </w:instrText>
      </w:r>
      <w:r>
        <w:rPr>
          <w:rFonts w:ascii="Times New Roman" w:hAnsi="Times New Roman"/>
        </w:rPr>
        <w:fldChar w:fldCharType="separate"/>
      </w:r>
      <w:r>
        <w:rPr>
          <w:rFonts w:ascii="Times New Roman" w:hAnsi="Times New Roman"/>
        </w:rPr>
        <w:t>132</w:t>
      </w:r>
      <w:r>
        <w:rPr>
          <w:rFonts w:ascii="Times New Roman" w:hAnsi="Times New Roman"/>
        </w:rPr>
        <w:fldChar w:fldCharType="end"/>
      </w:r>
      <w:r>
        <w:rPr>
          <w:rFonts w:ascii="Times New Roman" w:hAnsi="Times New Roman"/>
        </w:rPr>
        <w:fldChar w:fldCharType="end"/>
      </w:r>
    </w:p>
    <w:p w14:paraId="3483D792">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"_Toc28117719" </w:instrText>
      </w:r>
      <w:r>
        <w:fldChar w:fldCharType="separate"/>
      </w:r>
      <w:r>
        <w:rPr>
          <w:rStyle w:val="47"/>
          <w:rFonts w:ascii="Times New Roman" w:hAnsi="Times New Roman"/>
        </w:rPr>
        <w:t>7.1环境风险评价的目的和重点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_Toc28117719 \h </w:instrText>
      </w:r>
      <w:r>
        <w:rPr>
          <w:rFonts w:ascii="Times New Roman" w:hAnsi="Times New Roman"/>
        </w:rPr>
        <w:fldChar w:fldCharType="separate"/>
      </w:r>
      <w:r>
        <w:rPr>
          <w:rFonts w:ascii="Times New Roman" w:hAnsi="Times New Roman"/>
        </w:rPr>
        <w:t>132</w:t>
      </w:r>
      <w:r>
        <w:rPr>
          <w:rFonts w:ascii="Times New Roman" w:hAnsi="Times New Roman"/>
        </w:rPr>
        <w:fldChar w:fldCharType="end"/>
      </w:r>
      <w:r>
        <w:rPr>
          <w:rFonts w:ascii="Times New Roman" w:hAnsi="Times New Roman"/>
        </w:rPr>
        <w:fldChar w:fldCharType="end"/>
      </w:r>
    </w:p>
    <w:p w14:paraId="16FFB3C0">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"_Toc28117720" </w:instrText>
      </w:r>
      <w:r>
        <w:fldChar w:fldCharType="separate"/>
      </w:r>
      <w:r>
        <w:rPr>
          <w:rStyle w:val="47"/>
          <w:rFonts w:ascii="Times New Roman" w:hAnsi="Times New Roman"/>
        </w:rPr>
        <w:t>7.2风险识别</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_Toc28117720 \h </w:instrText>
      </w:r>
      <w:r>
        <w:rPr>
          <w:rFonts w:ascii="Times New Roman" w:hAnsi="Times New Roman"/>
        </w:rPr>
        <w:fldChar w:fldCharType="separate"/>
      </w:r>
      <w:r>
        <w:rPr>
          <w:rFonts w:ascii="Times New Roman" w:hAnsi="Times New Roman"/>
        </w:rPr>
        <w:t>132</w:t>
      </w:r>
      <w:r>
        <w:rPr>
          <w:rFonts w:ascii="Times New Roman" w:hAnsi="Times New Roman"/>
        </w:rPr>
        <w:fldChar w:fldCharType="end"/>
      </w:r>
      <w:r>
        <w:rPr>
          <w:rFonts w:ascii="Times New Roman" w:hAnsi="Times New Roman"/>
        </w:rPr>
        <w:fldChar w:fldCharType="end"/>
      </w:r>
    </w:p>
    <w:p w14:paraId="68D965F7">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"_Toc28117721" </w:instrText>
      </w:r>
      <w:r>
        <w:fldChar w:fldCharType="separate"/>
      </w:r>
      <w:r>
        <w:rPr>
          <w:rStyle w:val="47"/>
          <w:rFonts w:ascii="Times New Roman" w:hAnsi="Times New Roman"/>
        </w:rPr>
        <w:t>7.3环境风险评价等级</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_Toc28117721 \h </w:instrText>
      </w:r>
      <w:r>
        <w:rPr>
          <w:rFonts w:ascii="Times New Roman" w:hAnsi="Times New Roman"/>
        </w:rPr>
        <w:fldChar w:fldCharType="separate"/>
      </w:r>
      <w:r>
        <w:rPr>
          <w:rFonts w:ascii="Times New Roman" w:hAnsi="Times New Roman"/>
        </w:rPr>
        <w:t>132</w:t>
      </w:r>
      <w:r>
        <w:rPr>
          <w:rFonts w:ascii="Times New Roman" w:hAnsi="Times New Roman"/>
        </w:rPr>
        <w:fldChar w:fldCharType="end"/>
      </w:r>
      <w:r>
        <w:rPr>
          <w:rFonts w:ascii="Times New Roman" w:hAnsi="Times New Roman"/>
        </w:rPr>
        <w:fldChar w:fldCharType="end"/>
      </w:r>
    </w:p>
    <w:p w14:paraId="1EC34D82">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"_Toc28117722" </w:instrText>
      </w:r>
      <w:r>
        <w:fldChar w:fldCharType="separate"/>
      </w:r>
      <w:r>
        <w:rPr>
          <w:rStyle w:val="47"/>
          <w:rFonts w:ascii="Times New Roman" w:hAnsi="Times New Roman"/>
        </w:rPr>
        <w:t>7.4环境风险识别</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_Toc28117722 \h </w:instrText>
      </w:r>
      <w:r>
        <w:rPr>
          <w:rFonts w:ascii="Times New Roman" w:hAnsi="Times New Roman"/>
        </w:rPr>
        <w:fldChar w:fldCharType="separate"/>
      </w:r>
      <w:r>
        <w:rPr>
          <w:rFonts w:ascii="Times New Roman" w:hAnsi="Times New Roman"/>
        </w:rPr>
        <w:t>134</w:t>
      </w:r>
      <w:r>
        <w:rPr>
          <w:rFonts w:ascii="Times New Roman" w:hAnsi="Times New Roman"/>
        </w:rPr>
        <w:fldChar w:fldCharType="end"/>
      </w:r>
      <w:r>
        <w:rPr>
          <w:rFonts w:ascii="Times New Roman" w:hAnsi="Times New Roman"/>
        </w:rPr>
        <w:fldChar w:fldCharType="end"/>
      </w:r>
    </w:p>
    <w:p w14:paraId="161CE028">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"_Toc28117723" </w:instrText>
      </w:r>
      <w:r>
        <w:fldChar w:fldCharType="separate"/>
      </w:r>
      <w:r>
        <w:rPr>
          <w:rStyle w:val="47"/>
          <w:rFonts w:ascii="Times New Roman" w:hAnsi="Times New Roman"/>
        </w:rPr>
        <w:t>7.5环境风险分析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_Toc28117723 \h </w:instrText>
      </w:r>
      <w:r>
        <w:rPr>
          <w:rFonts w:ascii="Times New Roman" w:hAnsi="Times New Roman"/>
        </w:rPr>
        <w:fldChar w:fldCharType="separate"/>
      </w:r>
      <w:r>
        <w:rPr>
          <w:rFonts w:ascii="Times New Roman" w:hAnsi="Times New Roman"/>
        </w:rPr>
        <w:t>134</w:t>
      </w:r>
      <w:r>
        <w:rPr>
          <w:rFonts w:ascii="Times New Roman" w:hAnsi="Times New Roman"/>
        </w:rPr>
        <w:fldChar w:fldCharType="end"/>
      </w:r>
      <w:r>
        <w:rPr>
          <w:rFonts w:ascii="Times New Roman" w:hAnsi="Times New Roman"/>
        </w:rPr>
        <w:fldChar w:fldCharType="end"/>
      </w:r>
    </w:p>
    <w:p w14:paraId="11F33376">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"_Toc28117724" </w:instrText>
      </w:r>
      <w:r>
        <w:fldChar w:fldCharType="separate"/>
      </w:r>
      <w:r>
        <w:rPr>
          <w:rStyle w:val="47"/>
          <w:rFonts w:ascii="Times New Roman" w:hAnsi="Times New Roman"/>
        </w:rPr>
        <w:t>7.6环境风险防范措施及应急要求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_Toc28117724 \h </w:instrText>
      </w:r>
      <w:r>
        <w:rPr>
          <w:rFonts w:ascii="Times New Roman" w:hAnsi="Times New Roman"/>
        </w:rPr>
        <w:fldChar w:fldCharType="separate"/>
      </w:r>
      <w:r>
        <w:rPr>
          <w:rFonts w:ascii="Times New Roman" w:hAnsi="Times New Roman"/>
        </w:rPr>
        <w:t>136</w:t>
      </w:r>
      <w:r>
        <w:rPr>
          <w:rFonts w:ascii="Times New Roman" w:hAnsi="Times New Roman"/>
        </w:rPr>
        <w:fldChar w:fldCharType="end"/>
      </w:r>
      <w:r>
        <w:rPr>
          <w:rFonts w:ascii="Times New Roman" w:hAnsi="Times New Roman"/>
        </w:rPr>
        <w:fldChar w:fldCharType="end"/>
      </w:r>
    </w:p>
    <w:p w14:paraId="6C1F3E32">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"_Toc28117725" </w:instrText>
      </w:r>
      <w:r>
        <w:fldChar w:fldCharType="separate"/>
      </w:r>
      <w:r>
        <w:rPr>
          <w:rStyle w:val="47"/>
          <w:rFonts w:ascii="Times New Roman" w:hAnsi="Times New Roman"/>
        </w:rPr>
        <w:t>7.7风险评价结论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_Toc28117725 \h </w:instrText>
      </w:r>
      <w:r>
        <w:rPr>
          <w:rFonts w:ascii="Times New Roman" w:hAnsi="Times New Roman"/>
        </w:rPr>
        <w:fldChar w:fldCharType="separate"/>
      </w:r>
      <w:r>
        <w:rPr>
          <w:rFonts w:ascii="Times New Roman" w:hAnsi="Times New Roman"/>
        </w:rPr>
        <w:t>140</w:t>
      </w:r>
      <w:r>
        <w:rPr>
          <w:rFonts w:ascii="Times New Roman" w:hAnsi="Times New Roman"/>
        </w:rPr>
        <w:fldChar w:fldCharType="end"/>
      </w:r>
      <w:r>
        <w:rPr>
          <w:rFonts w:ascii="Times New Roman" w:hAnsi="Times New Roman"/>
        </w:rPr>
        <w:fldChar w:fldCharType="end"/>
      </w:r>
    </w:p>
    <w:p w14:paraId="09950E6D">
      <w:pPr>
        <w:pStyle w:val="28"/>
        <w:tabs>
          <w:tab w:val="right" w:leader="dot" w:pos="8297"/>
        </w:tabs>
        <w:rPr>
          <w:rFonts w:ascii="Times New Roman" w:hAnsi="Times New Roman" w:eastAsiaTheme="minorEastAsia"/>
          <w:b w:val="0"/>
          <w:bCs w:val="0"/>
          <w:caps w:val="0"/>
          <w:sz w:val="21"/>
          <w:szCs w:val="22"/>
        </w:rPr>
      </w:pPr>
      <w:r>
        <w:fldChar w:fldCharType="begin"/>
      </w:r>
      <w:r>
        <w:instrText xml:space="preserve"> HYPERLINK \l "_Toc28117726" </w:instrText>
      </w:r>
      <w:r>
        <w:fldChar w:fldCharType="separate"/>
      </w:r>
      <w:r>
        <w:rPr>
          <w:rStyle w:val="47"/>
          <w:rFonts w:ascii="Times New Roman" w:hAnsi="Times New Roman"/>
        </w:rPr>
        <w:t>8产业政策及相关规划符合性分析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_Toc28117726 \h </w:instrText>
      </w:r>
      <w:r>
        <w:rPr>
          <w:rFonts w:ascii="Times New Roman" w:hAnsi="Times New Roman"/>
        </w:rPr>
        <w:fldChar w:fldCharType="separate"/>
      </w:r>
      <w:r>
        <w:rPr>
          <w:rFonts w:ascii="Times New Roman" w:hAnsi="Times New Roman"/>
        </w:rPr>
        <w:t>141</w:t>
      </w:r>
      <w:r>
        <w:rPr>
          <w:rFonts w:ascii="Times New Roman" w:hAnsi="Times New Roman"/>
        </w:rPr>
        <w:fldChar w:fldCharType="end"/>
      </w:r>
      <w:r>
        <w:rPr>
          <w:rFonts w:ascii="Times New Roman" w:hAnsi="Times New Roman"/>
        </w:rPr>
        <w:fldChar w:fldCharType="end"/>
      </w:r>
    </w:p>
    <w:p w14:paraId="3B139FC9">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"_Toc28117727" </w:instrText>
      </w:r>
      <w:r>
        <w:fldChar w:fldCharType="separate"/>
      </w:r>
      <w:r>
        <w:rPr>
          <w:rStyle w:val="47"/>
          <w:rFonts w:ascii="Times New Roman" w:hAnsi="Times New Roman"/>
        </w:rPr>
        <w:t>8.1产业政策符合性分析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_Toc28117727 \h </w:instrText>
      </w:r>
      <w:r>
        <w:rPr>
          <w:rFonts w:ascii="Times New Roman" w:hAnsi="Times New Roman"/>
        </w:rPr>
        <w:fldChar w:fldCharType="separate"/>
      </w:r>
      <w:r>
        <w:rPr>
          <w:rFonts w:ascii="Times New Roman" w:hAnsi="Times New Roman"/>
        </w:rPr>
        <w:t>141</w:t>
      </w:r>
      <w:r>
        <w:rPr>
          <w:rFonts w:ascii="Times New Roman" w:hAnsi="Times New Roman"/>
        </w:rPr>
        <w:fldChar w:fldCharType="end"/>
      </w:r>
      <w:r>
        <w:rPr>
          <w:rFonts w:ascii="Times New Roman" w:hAnsi="Times New Roman"/>
        </w:rPr>
        <w:fldChar w:fldCharType="end"/>
      </w:r>
    </w:p>
    <w:p w14:paraId="6969AE8D">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"_Toc28117728" </w:instrText>
      </w:r>
      <w:r>
        <w:fldChar w:fldCharType="separate"/>
      </w:r>
      <w:r>
        <w:rPr>
          <w:rStyle w:val="47"/>
          <w:rFonts w:ascii="Times New Roman" w:hAnsi="Times New Roman"/>
        </w:rPr>
        <w:t>8.2与相关规划符合性分析、选址符合性分析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_Toc28117728 \h </w:instrText>
      </w:r>
      <w:r>
        <w:rPr>
          <w:rFonts w:ascii="Times New Roman" w:hAnsi="Times New Roman"/>
        </w:rPr>
        <w:fldChar w:fldCharType="separate"/>
      </w:r>
      <w:r>
        <w:rPr>
          <w:rFonts w:ascii="Times New Roman" w:hAnsi="Times New Roman"/>
        </w:rPr>
        <w:t>141</w:t>
      </w:r>
      <w:r>
        <w:rPr>
          <w:rFonts w:ascii="Times New Roman" w:hAnsi="Times New Roman"/>
        </w:rPr>
        <w:fldChar w:fldCharType="end"/>
      </w:r>
      <w:r>
        <w:rPr>
          <w:rFonts w:ascii="Times New Roman" w:hAnsi="Times New Roman"/>
        </w:rPr>
        <w:fldChar w:fldCharType="end"/>
      </w:r>
    </w:p>
    <w:p w14:paraId="512D7576">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"_Toc28117729" </w:instrText>
      </w:r>
      <w:r>
        <w:fldChar w:fldCharType="separate"/>
      </w:r>
      <w:r>
        <w:rPr>
          <w:rStyle w:val="47"/>
          <w:rFonts w:ascii="Times New Roman" w:hAnsi="Times New Roman"/>
        </w:rPr>
        <w:t>8.3平面布置合理性分析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_Toc28117729 \h </w:instrText>
      </w:r>
      <w:r>
        <w:rPr>
          <w:rFonts w:ascii="Times New Roman" w:hAnsi="Times New Roman"/>
        </w:rPr>
        <w:fldChar w:fldCharType="separate"/>
      </w:r>
      <w:r>
        <w:rPr>
          <w:rFonts w:ascii="Times New Roman" w:hAnsi="Times New Roman"/>
        </w:rPr>
        <w:t>142</w:t>
      </w:r>
      <w:r>
        <w:rPr>
          <w:rFonts w:ascii="Times New Roman" w:hAnsi="Times New Roman"/>
        </w:rPr>
        <w:fldChar w:fldCharType="end"/>
      </w:r>
      <w:r>
        <w:rPr>
          <w:rFonts w:ascii="Times New Roman" w:hAnsi="Times New Roman"/>
        </w:rPr>
        <w:fldChar w:fldCharType="end"/>
      </w:r>
    </w:p>
    <w:p w14:paraId="6D796B28">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"_Toc28117730" </w:instrText>
      </w:r>
      <w:r>
        <w:fldChar w:fldCharType="separate"/>
      </w:r>
      <w:r>
        <w:rPr>
          <w:rStyle w:val="47"/>
          <w:rFonts w:ascii="Times New Roman" w:hAnsi="Times New Roman"/>
          <w:kern w:val="0"/>
        </w:rPr>
        <w:t>8.4与塑料行业相关规定的分析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_Toc28117730 \h </w:instrText>
      </w:r>
      <w:r>
        <w:rPr>
          <w:rFonts w:ascii="Times New Roman" w:hAnsi="Times New Roman"/>
        </w:rPr>
        <w:fldChar w:fldCharType="separate"/>
      </w:r>
      <w:r>
        <w:rPr>
          <w:rFonts w:ascii="Times New Roman" w:hAnsi="Times New Roman"/>
        </w:rPr>
        <w:t>142</w:t>
      </w:r>
      <w:r>
        <w:rPr>
          <w:rFonts w:ascii="Times New Roman" w:hAnsi="Times New Roman"/>
        </w:rPr>
        <w:fldChar w:fldCharType="end"/>
      </w:r>
      <w:r>
        <w:rPr>
          <w:rFonts w:ascii="Times New Roman" w:hAnsi="Times New Roman"/>
        </w:rPr>
        <w:fldChar w:fldCharType="end"/>
      </w:r>
    </w:p>
    <w:p w14:paraId="4A9C47C9">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"_Toc28117731" </w:instrText>
      </w:r>
      <w:r>
        <w:fldChar w:fldCharType="separate"/>
      </w:r>
      <w:r>
        <w:rPr>
          <w:rStyle w:val="47"/>
          <w:rFonts w:ascii="Times New Roman" w:hAnsi="Times New Roman"/>
        </w:rPr>
        <w:t>8.5</w:t>
      </w:r>
      <w:r>
        <w:rPr>
          <w:rStyle w:val="47"/>
          <w:rFonts w:ascii="Times New Roman" w:hAnsi="Times New Roman"/>
          <w:kern w:val="0"/>
        </w:rPr>
        <w:t>环境可行性分析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_Toc28117731 \h </w:instrText>
      </w:r>
      <w:r>
        <w:rPr>
          <w:rFonts w:ascii="Times New Roman" w:hAnsi="Times New Roman"/>
        </w:rPr>
        <w:fldChar w:fldCharType="separate"/>
      </w:r>
      <w:r>
        <w:rPr>
          <w:rFonts w:ascii="Times New Roman" w:hAnsi="Times New Roman"/>
        </w:rPr>
        <w:t>146</w:t>
      </w:r>
      <w:r>
        <w:rPr>
          <w:rFonts w:ascii="Times New Roman" w:hAnsi="Times New Roman"/>
        </w:rPr>
        <w:fldChar w:fldCharType="end"/>
      </w:r>
      <w:r>
        <w:rPr>
          <w:rFonts w:ascii="Times New Roman" w:hAnsi="Times New Roman"/>
        </w:rPr>
        <w:fldChar w:fldCharType="end"/>
      </w:r>
    </w:p>
    <w:p w14:paraId="737B3269">
      <w:pPr>
        <w:pStyle w:val="28"/>
        <w:tabs>
          <w:tab w:val="right" w:leader="dot" w:pos="8297"/>
        </w:tabs>
        <w:rPr>
          <w:rFonts w:ascii="Times New Roman" w:hAnsi="Times New Roman" w:eastAsiaTheme="minorEastAsia"/>
          <w:b w:val="0"/>
          <w:bCs w:val="0"/>
          <w:caps w:val="0"/>
          <w:sz w:val="21"/>
          <w:szCs w:val="22"/>
        </w:rPr>
      </w:pPr>
      <w:r>
        <w:fldChar w:fldCharType="begin"/>
      </w:r>
      <w:r>
        <w:instrText xml:space="preserve"> HYPERLINK \l "_Toc28117732" </w:instrText>
      </w:r>
      <w:r>
        <w:fldChar w:fldCharType="separate"/>
      </w:r>
      <w:r>
        <w:rPr>
          <w:rStyle w:val="47"/>
          <w:rFonts w:ascii="Times New Roman" w:hAnsi="Times New Roman"/>
        </w:rPr>
        <w:t>9环境保护对策措施</w:t>
      </w:r>
      <w:r>
        <w:rPr>
          <w:rStyle w:val="47"/>
          <w:rFonts w:hint="eastAsia" w:ascii="Times New Roman" w:hAnsi="Times New Roman"/>
          <w:lang w:eastAsia="zh-CN"/>
        </w:rPr>
        <w:t>及</w:t>
      </w:r>
      <w:r>
        <w:rPr>
          <w:rStyle w:val="47"/>
          <w:rFonts w:ascii="Times New Roman" w:hAnsi="Times New Roman"/>
        </w:rPr>
        <w:t>环境经济效益分析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_Toc28117732 \h </w:instrText>
      </w:r>
      <w:r>
        <w:rPr>
          <w:rFonts w:ascii="Times New Roman" w:hAnsi="Times New Roman"/>
        </w:rPr>
        <w:fldChar w:fldCharType="separate"/>
      </w:r>
      <w:r>
        <w:rPr>
          <w:rFonts w:ascii="Times New Roman" w:hAnsi="Times New Roman"/>
        </w:rPr>
        <w:t>147</w:t>
      </w:r>
      <w:r>
        <w:rPr>
          <w:rFonts w:ascii="Times New Roman" w:hAnsi="Times New Roman"/>
        </w:rPr>
        <w:fldChar w:fldCharType="end"/>
      </w:r>
      <w:r>
        <w:rPr>
          <w:rFonts w:ascii="Times New Roman" w:hAnsi="Times New Roman"/>
        </w:rPr>
        <w:fldChar w:fldCharType="end"/>
      </w:r>
    </w:p>
    <w:p w14:paraId="6325725D">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"_Toc28117733" </w:instrText>
      </w:r>
      <w:r>
        <w:fldChar w:fldCharType="separate"/>
      </w:r>
      <w:r>
        <w:rPr>
          <w:rStyle w:val="47"/>
          <w:rFonts w:ascii="Times New Roman" w:hAnsi="Times New Roman"/>
        </w:rPr>
        <w:t>9.1施工期污染防治措施及要求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_Toc28117733 \h </w:instrText>
      </w:r>
      <w:r>
        <w:rPr>
          <w:rFonts w:ascii="Times New Roman" w:hAnsi="Times New Roman"/>
        </w:rPr>
        <w:fldChar w:fldCharType="separate"/>
      </w:r>
      <w:r>
        <w:rPr>
          <w:rFonts w:ascii="Times New Roman" w:hAnsi="Times New Roman"/>
        </w:rPr>
        <w:t>147</w:t>
      </w:r>
      <w:r>
        <w:rPr>
          <w:rFonts w:ascii="Times New Roman" w:hAnsi="Times New Roman"/>
        </w:rPr>
        <w:fldChar w:fldCharType="end"/>
      </w:r>
      <w:r>
        <w:rPr>
          <w:rFonts w:ascii="Times New Roman" w:hAnsi="Times New Roman"/>
        </w:rPr>
        <w:fldChar w:fldCharType="end"/>
      </w:r>
    </w:p>
    <w:p w14:paraId="74C60181">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"_Toc28117734" </w:instrText>
      </w:r>
      <w:r>
        <w:fldChar w:fldCharType="separate"/>
      </w:r>
      <w:r>
        <w:rPr>
          <w:rStyle w:val="47"/>
          <w:rFonts w:ascii="Times New Roman" w:hAnsi="Times New Roman"/>
        </w:rPr>
        <w:t>9.2项目运营期的污染防治要求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_Toc28117734 \h </w:instrText>
      </w:r>
      <w:r>
        <w:rPr>
          <w:rFonts w:ascii="Times New Roman" w:hAnsi="Times New Roman"/>
        </w:rPr>
        <w:fldChar w:fldCharType="separate"/>
      </w:r>
      <w:r>
        <w:rPr>
          <w:rFonts w:ascii="Times New Roman" w:hAnsi="Times New Roman"/>
        </w:rPr>
        <w:t>148</w:t>
      </w:r>
      <w:r>
        <w:rPr>
          <w:rFonts w:ascii="Times New Roman" w:hAnsi="Times New Roman"/>
        </w:rPr>
        <w:fldChar w:fldCharType="end"/>
      </w:r>
      <w:r>
        <w:rPr>
          <w:rFonts w:ascii="Times New Roman" w:hAnsi="Times New Roman"/>
        </w:rPr>
        <w:fldChar w:fldCharType="end"/>
      </w:r>
    </w:p>
    <w:p w14:paraId="2BB18E56">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"_Toc28117735" </w:instrText>
      </w:r>
      <w:r>
        <w:fldChar w:fldCharType="separate"/>
      </w:r>
      <w:r>
        <w:rPr>
          <w:rStyle w:val="47"/>
          <w:rFonts w:ascii="Times New Roman" w:hAnsi="Times New Roman"/>
        </w:rPr>
        <w:t>9.3环境经济损益分析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_Toc28117735 \h </w:instrText>
      </w:r>
      <w:r>
        <w:rPr>
          <w:rFonts w:ascii="Times New Roman" w:hAnsi="Times New Roman"/>
        </w:rPr>
        <w:fldChar w:fldCharType="separate"/>
      </w:r>
      <w:r>
        <w:rPr>
          <w:rFonts w:ascii="Times New Roman" w:hAnsi="Times New Roman"/>
        </w:rPr>
        <w:t>153</w:t>
      </w:r>
      <w:r>
        <w:rPr>
          <w:rFonts w:ascii="Times New Roman" w:hAnsi="Times New Roman"/>
        </w:rPr>
        <w:fldChar w:fldCharType="end"/>
      </w:r>
      <w:r>
        <w:rPr>
          <w:rFonts w:ascii="Times New Roman" w:hAnsi="Times New Roman"/>
        </w:rPr>
        <w:fldChar w:fldCharType="end"/>
      </w:r>
    </w:p>
    <w:p w14:paraId="24F3D24E">
      <w:pPr>
        <w:pStyle w:val="28"/>
        <w:tabs>
          <w:tab w:val="right" w:leader="dot" w:pos="8297"/>
        </w:tabs>
        <w:rPr>
          <w:rFonts w:ascii="Times New Roman" w:hAnsi="Times New Roman" w:eastAsiaTheme="minorEastAsia"/>
          <w:b w:val="0"/>
          <w:bCs w:val="0"/>
          <w:caps w:val="0"/>
          <w:sz w:val="21"/>
          <w:szCs w:val="22"/>
        </w:rPr>
      </w:pPr>
      <w:r>
        <w:fldChar w:fldCharType="begin"/>
      </w:r>
      <w:r>
        <w:instrText xml:space="preserve"> HYPERLINK \l "_Toc28117736" </w:instrText>
      </w:r>
      <w:r>
        <w:fldChar w:fldCharType="separate"/>
      </w:r>
      <w:r>
        <w:rPr>
          <w:rStyle w:val="47"/>
          <w:rFonts w:ascii="Times New Roman" w:hAnsi="Times New Roman"/>
        </w:rPr>
        <w:t>10.环境管理及监测计划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_Toc28117736 \h </w:instrText>
      </w:r>
      <w:r>
        <w:rPr>
          <w:rFonts w:ascii="Times New Roman" w:hAnsi="Times New Roman"/>
        </w:rPr>
        <w:fldChar w:fldCharType="separate"/>
      </w:r>
      <w:r>
        <w:rPr>
          <w:rFonts w:ascii="Times New Roman" w:hAnsi="Times New Roman"/>
        </w:rPr>
        <w:t>155</w:t>
      </w:r>
      <w:r>
        <w:rPr>
          <w:rFonts w:ascii="Times New Roman" w:hAnsi="Times New Roman"/>
        </w:rPr>
        <w:fldChar w:fldCharType="end"/>
      </w:r>
      <w:r>
        <w:rPr>
          <w:rFonts w:ascii="Times New Roman" w:hAnsi="Times New Roman"/>
        </w:rPr>
        <w:fldChar w:fldCharType="end"/>
      </w:r>
    </w:p>
    <w:p w14:paraId="0986FD19">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"_Toc28117737" </w:instrText>
      </w:r>
      <w:r>
        <w:fldChar w:fldCharType="separate"/>
      </w:r>
      <w:r>
        <w:rPr>
          <w:rStyle w:val="47"/>
          <w:rFonts w:ascii="Times New Roman" w:hAnsi="Times New Roman"/>
        </w:rPr>
        <w:t>10.1环境管理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_Toc28117737 \h </w:instrText>
      </w:r>
      <w:r>
        <w:rPr>
          <w:rFonts w:ascii="Times New Roman" w:hAnsi="Times New Roman"/>
        </w:rPr>
        <w:fldChar w:fldCharType="separate"/>
      </w:r>
      <w:r>
        <w:rPr>
          <w:rFonts w:ascii="Times New Roman" w:hAnsi="Times New Roman"/>
        </w:rPr>
        <w:t>155</w:t>
      </w:r>
      <w:r>
        <w:rPr>
          <w:rFonts w:ascii="Times New Roman" w:hAnsi="Times New Roman"/>
        </w:rPr>
        <w:fldChar w:fldCharType="end"/>
      </w:r>
      <w:r>
        <w:rPr>
          <w:rFonts w:ascii="Times New Roman" w:hAnsi="Times New Roman"/>
        </w:rPr>
        <w:fldChar w:fldCharType="end"/>
      </w:r>
    </w:p>
    <w:p w14:paraId="30DA51C8">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"_Toc28117738" </w:instrText>
      </w:r>
      <w:r>
        <w:fldChar w:fldCharType="separate"/>
      </w:r>
      <w:r>
        <w:rPr>
          <w:rStyle w:val="47"/>
          <w:rFonts w:ascii="Times New Roman" w:hAnsi="Times New Roman"/>
        </w:rPr>
        <w:t>10.2环境管理要求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_Toc28117738 \h </w:instrText>
      </w:r>
      <w:r>
        <w:rPr>
          <w:rFonts w:ascii="Times New Roman" w:hAnsi="Times New Roman"/>
        </w:rPr>
        <w:fldChar w:fldCharType="separate"/>
      </w:r>
      <w:r>
        <w:rPr>
          <w:rFonts w:ascii="Times New Roman" w:hAnsi="Times New Roman"/>
        </w:rPr>
        <w:t>160</w:t>
      </w:r>
      <w:r>
        <w:rPr>
          <w:rFonts w:ascii="Times New Roman" w:hAnsi="Times New Roman"/>
        </w:rPr>
        <w:fldChar w:fldCharType="end"/>
      </w:r>
      <w:r>
        <w:rPr>
          <w:rFonts w:ascii="Times New Roman" w:hAnsi="Times New Roman"/>
        </w:rPr>
        <w:fldChar w:fldCharType="end"/>
      </w:r>
    </w:p>
    <w:p w14:paraId="56599CEA">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"_Toc28117739" </w:instrText>
      </w:r>
      <w:r>
        <w:fldChar w:fldCharType="separate"/>
      </w:r>
      <w:r>
        <w:rPr>
          <w:rStyle w:val="47"/>
          <w:rFonts w:ascii="Times New Roman" w:hAnsi="Times New Roman"/>
        </w:rPr>
        <w:t>10.3污染物排放清单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_Toc28117739 \h </w:instrText>
      </w:r>
      <w:r>
        <w:rPr>
          <w:rFonts w:ascii="Times New Roman" w:hAnsi="Times New Roman"/>
        </w:rPr>
        <w:fldChar w:fldCharType="separate"/>
      </w:r>
      <w:r>
        <w:rPr>
          <w:rFonts w:ascii="Times New Roman" w:hAnsi="Times New Roman"/>
        </w:rPr>
        <w:t>163</w:t>
      </w:r>
      <w:r>
        <w:rPr>
          <w:rFonts w:ascii="Times New Roman" w:hAnsi="Times New Roman"/>
        </w:rPr>
        <w:fldChar w:fldCharType="end"/>
      </w:r>
      <w:r>
        <w:rPr>
          <w:rFonts w:ascii="Times New Roman" w:hAnsi="Times New Roman"/>
        </w:rPr>
        <w:fldChar w:fldCharType="end"/>
      </w:r>
    </w:p>
    <w:p w14:paraId="16B032D8">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"_Toc28117740" </w:instrText>
      </w:r>
      <w:r>
        <w:fldChar w:fldCharType="separate"/>
      </w:r>
      <w:r>
        <w:rPr>
          <w:rStyle w:val="47"/>
          <w:rFonts w:ascii="Times New Roman" w:hAnsi="Times New Roman"/>
        </w:rPr>
        <w:t>10.4环境监测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_Toc28117740 \h </w:instrText>
      </w:r>
      <w:r>
        <w:rPr>
          <w:rFonts w:ascii="Times New Roman" w:hAnsi="Times New Roman"/>
        </w:rPr>
        <w:fldChar w:fldCharType="separate"/>
      </w:r>
      <w:r>
        <w:rPr>
          <w:rFonts w:ascii="Times New Roman" w:hAnsi="Times New Roman"/>
        </w:rPr>
        <w:t>165</w:t>
      </w:r>
      <w:r>
        <w:rPr>
          <w:rFonts w:ascii="Times New Roman" w:hAnsi="Times New Roman"/>
        </w:rPr>
        <w:fldChar w:fldCharType="end"/>
      </w:r>
      <w:r>
        <w:rPr>
          <w:rFonts w:ascii="Times New Roman" w:hAnsi="Times New Roman"/>
        </w:rPr>
        <w:fldChar w:fldCharType="end"/>
      </w:r>
    </w:p>
    <w:p w14:paraId="4FD01B4D">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"_Toc28117741" </w:instrText>
      </w:r>
      <w:r>
        <w:fldChar w:fldCharType="separate"/>
      </w:r>
      <w:r>
        <w:rPr>
          <w:rStyle w:val="47"/>
          <w:rFonts w:ascii="Times New Roman" w:hAnsi="Times New Roman"/>
        </w:rPr>
        <w:t>10.5竣工环境保护验收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_Toc28117741 \h </w:instrText>
      </w:r>
      <w:r>
        <w:rPr>
          <w:rFonts w:ascii="Times New Roman" w:hAnsi="Times New Roman"/>
        </w:rPr>
        <w:fldChar w:fldCharType="separate"/>
      </w:r>
      <w:r>
        <w:rPr>
          <w:rFonts w:ascii="Times New Roman" w:hAnsi="Times New Roman"/>
        </w:rPr>
        <w:t>166</w:t>
      </w:r>
      <w:r>
        <w:rPr>
          <w:rFonts w:ascii="Times New Roman" w:hAnsi="Times New Roman"/>
        </w:rPr>
        <w:fldChar w:fldCharType="end"/>
      </w:r>
      <w:r>
        <w:rPr>
          <w:rFonts w:ascii="Times New Roman" w:hAnsi="Times New Roman"/>
        </w:rPr>
        <w:fldChar w:fldCharType="end"/>
      </w:r>
    </w:p>
    <w:p w14:paraId="27926441">
      <w:pPr>
        <w:pStyle w:val="28"/>
        <w:tabs>
          <w:tab w:val="right" w:leader="dot" w:pos="8297"/>
        </w:tabs>
        <w:rPr>
          <w:rFonts w:ascii="Times New Roman" w:hAnsi="Times New Roman" w:eastAsiaTheme="minorEastAsia"/>
          <w:b w:val="0"/>
          <w:bCs w:val="0"/>
          <w:caps w:val="0"/>
          <w:sz w:val="21"/>
          <w:szCs w:val="22"/>
        </w:rPr>
      </w:pPr>
      <w:r>
        <w:fldChar w:fldCharType="begin"/>
      </w:r>
      <w:r>
        <w:instrText xml:space="preserve"> HYPERLINK \l "_Toc28117742" </w:instrText>
      </w:r>
      <w:r>
        <w:fldChar w:fldCharType="separate"/>
      </w:r>
      <w:r>
        <w:rPr>
          <w:rStyle w:val="47"/>
          <w:rFonts w:ascii="Times New Roman" w:hAnsi="Times New Roman"/>
        </w:rPr>
        <w:t>11环境影响总结论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_Toc28117742 \h </w:instrText>
      </w:r>
      <w:r>
        <w:rPr>
          <w:rFonts w:ascii="Times New Roman" w:hAnsi="Times New Roman"/>
        </w:rPr>
        <w:fldChar w:fldCharType="separate"/>
      </w:r>
      <w:r>
        <w:rPr>
          <w:rFonts w:ascii="Times New Roman" w:hAnsi="Times New Roman"/>
        </w:rPr>
        <w:t>169</w:t>
      </w:r>
      <w:r>
        <w:rPr>
          <w:rFonts w:ascii="Times New Roman" w:hAnsi="Times New Roman"/>
        </w:rPr>
        <w:fldChar w:fldCharType="end"/>
      </w:r>
      <w:r>
        <w:rPr>
          <w:rFonts w:ascii="Times New Roman" w:hAnsi="Times New Roman"/>
        </w:rPr>
        <w:fldChar w:fldCharType="end"/>
      </w:r>
    </w:p>
    <w:p w14:paraId="657C2574">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"_Toc28117743" </w:instrText>
      </w:r>
      <w:r>
        <w:fldChar w:fldCharType="separate"/>
      </w:r>
      <w:r>
        <w:rPr>
          <w:rStyle w:val="47"/>
          <w:rFonts w:ascii="Times New Roman" w:hAnsi="Times New Roman"/>
        </w:rPr>
        <w:t>11.1产业政策符合性</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_Toc28117743 \h </w:instrText>
      </w:r>
      <w:r>
        <w:rPr>
          <w:rFonts w:ascii="Times New Roman" w:hAnsi="Times New Roman"/>
        </w:rPr>
        <w:fldChar w:fldCharType="separate"/>
      </w:r>
      <w:r>
        <w:rPr>
          <w:rFonts w:ascii="Times New Roman" w:hAnsi="Times New Roman"/>
        </w:rPr>
        <w:t>169</w:t>
      </w:r>
      <w:r>
        <w:rPr>
          <w:rFonts w:ascii="Times New Roman" w:hAnsi="Times New Roman"/>
        </w:rPr>
        <w:fldChar w:fldCharType="end"/>
      </w:r>
      <w:r>
        <w:rPr>
          <w:rFonts w:ascii="Times New Roman" w:hAnsi="Times New Roman"/>
        </w:rPr>
        <w:fldChar w:fldCharType="end"/>
      </w:r>
    </w:p>
    <w:p w14:paraId="71732DBE">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"_Toc28117744" </w:instrText>
      </w:r>
      <w:r>
        <w:fldChar w:fldCharType="separate"/>
      </w:r>
      <w:r>
        <w:rPr>
          <w:rStyle w:val="47"/>
          <w:rFonts w:ascii="Times New Roman" w:hAnsi="Times New Roman"/>
        </w:rPr>
        <w:t>12.2规划、选址符合性</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_Toc28117744 \h </w:instrText>
      </w:r>
      <w:r>
        <w:rPr>
          <w:rFonts w:ascii="Times New Roman" w:hAnsi="Times New Roman"/>
        </w:rPr>
        <w:fldChar w:fldCharType="separate"/>
      </w:r>
      <w:r>
        <w:rPr>
          <w:rFonts w:ascii="Times New Roman" w:hAnsi="Times New Roman"/>
        </w:rPr>
        <w:t>169</w:t>
      </w:r>
      <w:r>
        <w:rPr>
          <w:rFonts w:ascii="Times New Roman" w:hAnsi="Times New Roman"/>
        </w:rPr>
        <w:fldChar w:fldCharType="end"/>
      </w:r>
      <w:r>
        <w:rPr>
          <w:rFonts w:ascii="Times New Roman" w:hAnsi="Times New Roman"/>
        </w:rPr>
        <w:fldChar w:fldCharType="end"/>
      </w:r>
    </w:p>
    <w:p w14:paraId="646D334C">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"_Toc28117745" </w:instrText>
      </w:r>
      <w:r>
        <w:fldChar w:fldCharType="separate"/>
      </w:r>
      <w:r>
        <w:rPr>
          <w:rStyle w:val="47"/>
          <w:rFonts w:ascii="Times New Roman" w:hAnsi="Times New Roman"/>
        </w:rPr>
        <w:t>11.3环境质量现状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_Toc28117745 \h </w:instrText>
      </w:r>
      <w:r>
        <w:rPr>
          <w:rFonts w:ascii="Times New Roman" w:hAnsi="Times New Roman"/>
        </w:rPr>
        <w:fldChar w:fldCharType="separate"/>
      </w:r>
      <w:r>
        <w:rPr>
          <w:rFonts w:ascii="Times New Roman" w:hAnsi="Times New Roman"/>
        </w:rPr>
        <w:t>169</w:t>
      </w:r>
      <w:r>
        <w:rPr>
          <w:rFonts w:ascii="Times New Roman" w:hAnsi="Times New Roman"/>
        </w:rPr>
        <w:fldChar w:fldCharType="end"/>
      </w:r>
      <w:r>
        <w:rPr>
          <w:rFonts w:ascii="Times New Roman" w:hAnsi="Times New Roman"/>
        </w:rPr>
        <w:fldChar w:fldCharType="end"/>
      </w:r>
    </w:p>
    <w:p w14:paraId="38878C49">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"_Toc28117746" </w:instrText>
      </w:r>
      <w:r>
        <w:fldChar w:fldCharType="separate"/>
      </w:r>
      <w:r>
        <w:rPr>
          <w:rStyle w:val="47"/>
          <w:rFonts w:ascii="Times New Roman" w:hAnsi="Times New Roman"/>
        </w:rPr>
        <w:t>11.4环境影响预测结论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_Toc28117746 \h </w:instrText>
      </w:r>
      <w:r>
        <w:rPr>
          <w:rFonts w:ascii="Times New Roman" w:hAnsi="Times New Roman"/>
        </w:rPr>
        <w:fldChar w:fldCharType="separate"/>
      </w:r>
      <w:r>
        <w:rPr>
          <w:rFonts w:ascii="Times New Roman" w:hAnsi="Times New Roman"/>
        </w:rPr>
        <w:t>170</w:t>
      </w:r>
      <w:r>
        <w:rPr>
          <w:rFonts w:ascii="Times New Roman" w:hAnsi="Times New Roman"/>
        </w:rPr>
        <w:fldChar w:fldCharType="end"/>
      </w:r>
      <w:r>
        <w:rPr>
          <w:rFonts w:ascii="Times New Roman" w:hAnsi="Times New Roman"/>
        </w:rPr>
        <w:fldChar w:fldCharType="end"/>
      </w:r>
    </w:p>
    <w:p w14:paraId="7B199777">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"_Toc28117747" </w:instrText>
      </w:r>
      <w:r>
        <w:fldChar w:fldCharType="separate"/>
      </w:r>
      <w:r>
        <w:rPr>
          <w:rStyle w:val="47"/>
          <w:rFonts w:ascii="Times New Roman" w:hAnsi="Times New Roman"/>
        </w:rPr>
        <w:t>11.5风险分析结论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_Toc28117747 \h </w:instrText>
      </w:r>
      <w:r>
        <w:rPr>
          <w:rFonts w:ascii="Times New Roman" w:hAnsi="Times New Roman"/>
        </w:rPr>
        <w:fldChar w:fldCharType="separate"/>
      </w:r>
      <w:r>
        <w:rPr>
          <w:rFonts w:ascii="Times New Roman" w:hAnsi="Times New Roman"/>
        </w:rPr>
        <w:t>172</w:t>
      </w:r>
      <w:r>
        <w:rPr>
          <w:rFonts w:ascii="Times New Roman" w:hAnsi="Times New Roman"/>
        </w:rPr>
        <w:fldChar w:fldCharType="end"/>
      </w:r>
      <w:r>
        <w:rPr>
          <w:rFonts w:ascii="Times New Roman" w:hAnsi="Times New Roman"/>
        </w:rPr>
        <w:fldChar w:fldCharType="end"/>
      </w:r>
    </w:p>
    <w:p w14:paraId="31CEF897">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"_Toc28117748" </w:instrText>
      </w:r>
      <w:r>
        <w:fldChar w:fldCharType="separate"/>
      </w:r>
      <w:r>
        <w:rPr>
          <w:rStyle w:val="47"/>
          <w:rFonts w:ascii="Times New Roman" w:hAnsi="Times New Roman"/>
        </w:rPr>
        <w:t>11.6公众参与分析结论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_Toc28117748 \h </w:instrText>
      </w:r>
      <w:r>
        <w:rPr>
          <w:rFonts w:ascii="Times New Roman" w:hAnsi="Times New Roman"/>
        </w:rPr>
        <w:fldChar w:fldCharType="separate"/>
      </w:r>
      <w:r>
        <w:rPr>
          <w:rFonts w:ascii="Times New Roman" w:hAnsi="Times New Roman"/>
        </w:rPr>
        <w:t>172</w:t>
      </w:r>
      <w:r>
        <w:rPr>
          <w:rFonts w:ascii="Times New Roman" w:hAnsi="Times New Roman"/>
        </w:rPr>
        <w:fldChar w:fldCharType="end"/>
      </w:r>
      <w:r>
        <w:rPr>
          <w:rFonts w:ascii="Times New Roman" w:hAnsi="Times New Roman"/>
        </w:rPr>
        <w:fldChar w:fldCharType="end"/>
      </w:r>
    </w:p>
    <w:p w14:paraId="272139D3">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"_Toc28117749" </w:instrText>
      </w:r>
      <w:r>
        <w:fldChar w:fldCharType="separate"/>
      </w:r>
      <w:r>
        <w:rPr>
          <w:rStyle w:val="47"/>
          <w:rFonts w:ascii="Times New Roman" w:hAnsi="Times New Roman"/>
        </w:rPr>
        <w:t>11.7总量控制结论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_Toc28117749 \h </w:instrText>
      </w:r>
      <w:r>
        <w:rPr>
          <w:rFonts w:ascii="Times New Roman" w:hAnsi="Times New Roman"/>
        </w:rPr>
        <w:fldChar w:fldCharType="separate"/>
      </w:r>
      <w:r>
        <w:rPr>
          <w:rFonts w:ascii="Times New Roman" w:hAnsi="Times New Roman"/>
        </w:rPr>
        <w:t>173</w:t>
      </w:r>
      <w:r>
        <w:rPr>
          <w:rFonts w:ascii="Times New Roman" w:hAnsi="Times New Roman"/>
        </w:rPr>
        <w:fldChar w:fldCharType="end"/>
      </w:r>
      <w:r>
        <w:rPr>
          <w:rFonts w:ascii="Times New Roman" w:hAnsi="Times New Roman"/>
        </w:rPr>
        <w:fldChar w:fldCharType="end"/>
      </w:r>
    </w:p>
    <w:p w14:paraId="078B3AD3">
      <w:pPr>
        <w:pStyle w:val="34"/>
        <w:tabs>
          <w:tab w:val="right" w:leader="dot" w:pos="8297"/>
        </w:tabs>
        <w:rPr>
          <w:rFonts w:ascii="Times New Roman" w:hAnsi="Times New Roman" w:eastAsiaTheme="minorEastAsia"/>
          <w:smallCaps w:val="0"/>
          <w:sz w:val="21"/>
          <w:szCs w:val="22"/>
        </w:rPr>
      </w:pPr>
      <w:r>
        <w:fldChar w:fldCharType="begin"/>
      </w:r>
      <w:r>
        <w:instrText xml:space="preserve"> HYPERLINK \l "_Toc28117750" </w:instrText>
      </w:r>
      <w:r>
        <w:fldChar w:fldCharType="separate"/>
      </w:r>
      <w:r>
        <w:rPr>
          <w:rStyle w:val="47"/>
          <w:rFonts w:ascii="Times New Roman" w:hAnsi="Times New Roman"/>
        </w:rPr>
        <w:t>11.8评价总结论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_Toc28117750 \h </w:instrText>
      </w:r>
      <w:r>
        <w:rPr>
          <w:rFonts w:ascii="Times New Roman" w:hAnsi="Times New Roman"/>
        </w:rPr>
        <w:fldChar w:fldCharType="separate"/>
      </w:r>
      <w:r>
        <w:rPr>
          <w:rFonts w:ascii="Times New Roman" w:hAnsi="Times New Roman"/>
        </w:rPr>
        <w:t>173</w:t>
      </w:r>
      <w:r>
        <w:rPr>
          <w:rFonts w:ascii="Times New Roman" w:hAnsi="Times New Roman"/>
        </w:rPr>
        <w:fldChar w:fldCharType="end"/>
      </w:r>
      <w:r>
        <w:rPr>
          <w:rFonts w:ascii="Times New Roman" w:hAnsi="Times New Roman"/>
        </w:rPr>
        <w:fldChar w:fldCharType="end"/>
      </w:r>
    </w:p>
    <w:p w14:paraId="1955737D">
      <w:pPr>
        <w:rPr>
          <w:color w:val="000000" w:themeColor="text1"/>
        </w:rPr>
      </w:pPr>
      <w:r>
        <w:rPr>
          <w:color w:val="000000" w:themeColor="text1"/>
          <w:szCs w:val="21"/>
        </w:rPr>
        <w:fldChar w:fldCharType="end"/>
      </w:r>
    </w:p>
    <w:p w14:paraId="57BC9A07">
      <w:pPr>
        <w:rPr>
          <w:color w:val="000000" w:themeColor="text1"/>
        </w:rPr>
      </w:pPr>
    </w:p>
    <w:p w14:paraId="7AB67B6B">
      <w:pPr>
        <w:rPr>
          <w:color w:val="000000" w:themeColor="text1"/>
        </w:rPr>
      </w:pPr>
    </w:p>
    <w:p w14:paraId="55E5AEFD">
      <w:pPr>
        <w:rPr>
          <w:color w:val="000000" w:themeColor="text1"/>
        </w:rPr>
      </w:pPr>
    </w:p>
    <w:p w14:paraId="1D9CFF90">
      <w:pPr>
        <w:rPr>
          <w:color w:val="000000" w:themeColor="text1"/>
        </w:rPr>
      </w:pPr>
      <w:r>
        <w:rPr>
          <w:color w:val="000000" w:themeColor="text1"/>
        </w:rPr>
        <w:br w:type="page"/>
      </w:r>
      <w:r>
        <w:rPr>
          <w:color w:val="000000" w:themeColor="text1"/>
        </w:rPr>
        <w:t xml:space="preserve"> </w:t>
      </w:r>
    </w:p>
    <w:p w14:paraId="3D852618">
      <w:pPr>
        <w:rPr>
          <w:color w:val="000000" w:themeColor="text1"/>
        </w:rPr>
      </w:pPr>
    </w:p>
    <w:p w14:paraId="273FC11C">
      <w:pPr>
        <w:rPr>
          <w:color w:val="000000" w:themeColor="text1"/>
        </w:rPr>
      </w:pPr>
    </w:p>
    <w:p w14:paraId="4C3BB67D">
      <w:pPr>
        <w:spacing w:line="360" w:lineRule="auto"/>
        <w:rPr>
          <w:b/>
          <w:bCs/>
          <w:caps/>
          <w:color w:val="000000" w:themeColor="text1"/>
          <w:sz w:val="24"/>
        </w:rPr>
      </w:pPr>
      <w:r>
        <w:rPr>
          <w:b/>
          <w:bCs/>
          <w:caps/>
          <w:color w:val="000000" w:themeColor="text1"/>
          <w:sz w:val="24"/>
        </w:rPr>
        <w:t>附图</w:t>
      </w:r>
    </w:p>
    <w:p w14:paraId="511F96DF">
      <w:pPr>
        <w:spacing w:line="360" w:lineRule="auto"/>
        <w:rPr>
          <w:color w:val="000000" w:themeColor="text1"/>
          <w:sz w:val="24"/>
        </w:rPr>
      </w:pPr>
      <w:r>
        <w:rPr>
          <w:color w:val="000000" w:themeColor="text1"/>
          <w:sz w:val="24"/>
        </w:rPr>
        <w:t>附图1  项目地理位置图</w:t>
      </w:r>
    </w:p>
    <w:p w14:paraId="743B8876">
      <w:pPr>
        <w:spacing w:line="360" w:lineRule="auto"/>
        <w:rPr>
          <w:color w:val="000000" w:themeColor="text1"/>
          <w:sz w:val="24"/>
        </w:rPr>
      </w:pPr>
      <w:r>
        <w:rPr>
          <w:color w:val="000000" w:themeColor="text1"/>
          <w:sz w:val="24"/>
        </w:rPr>
        <w:t>附图2  项目区周边关系、评价范围及监测布点图</w:t>
      </w:r>
    </w:p>
    <w:p w14:paraId="09408A39">
      <w:pPr>
        <w:spacing w:line="360" w:lineRule="auto"/>
        <w:rPr>
          <w:color w:val="000000" w:themeColor="text1"/>
          <w:sz w:val="24"/>
        </w:rPr>
      </w:pPr>
      <w:r>
        <w:rPr>
          <w:color w:val="000000" w:themeColor="text1"/>
          <w:sz w:val="24"/>
        </w:rPr>
        <w:t>附图3  项目区平面布置图</w:t>
      </w:r>
    </w:p>
    <w:p w14:paraId="33192498">
      <w:pPr>
        <w:spacing w:line="360" w:lineRule="auto"/>
        <w:rPr>
          <w:color w:val="000000" w:themeColor="text1"/>
          <w:sz w:val="24"/>
        </w:rPr>
      </w:pPr>
      <w:r>
        <w:rPr>
          <w:color w:val="000000" w:themeColor="text1"/>
          <w:sz w:val="24"/>
        </w:rPr>
        <w:t>附图4  项目区水系图</w:t>
      </w:r>
    </w:p>
    <w:p w14:paraId="154FBCBE">
      <w:pPr>
        <w:spacing w:line="360" w:lineRule="auto"/>
        <w:rPr>
          <w:color w:val="FF0000"/>
          <w:sz w:val="24"/>
        </w:rPr>
      </w:pPr>
      <w:r>
        <w:rPr>
          <w:color w:val="000000" w:themeColor="text1"/>
          <w:sz w:val="24"/>
        </w:rPr>
        <w:t xml:space="preserve">附图5  </w:t>
      </w:r>
      <w:r>
        <w:rPr>
          <w:color w:val="FF0000"/>
          <w:sz w:val="24"/>
        </w:rPr>
        <w:t>项目昼间噪声等值线图</w:t>
      </w:r>
    </w:p>
    <w:p w14:paraId="5128808D">
      <w:pPr>
        <w:spacing w:line="360" w:lineRule="auto"/>
        <w:rPr>
          <w:color w:val="000000" w:themeColor="text1"/>
          <w:sz w:val="24"/>
        </w:rPr>
      </w:pPr>
      <w:r>
        <w:rPr>
          <w:color w:val="000000" w:themeColor="text1"/>
          <w:sz w:val="24"/>
        </w:rPr>
        <w:t>附图6  区域水文地质图</w:t>
      </w:r>
    </w:p>
    <w:p w14:paraId="2B88559A">
      <w:pPr>
        <w:spacing w:line="360" w:lineRule="auto"/>
        <w:rPr>
          <w:color w:val="000000" w:themeColor="text1"/>
          <w:sz w:val="24"/>
        </w:rPr>
      </w:pPr>
      <w:r>
        <w:rPr>
          <w:color w:val="000000" w:themeColor="text1"/>
          <w:sz w:val="24"/>
        </w:rPr>
        <w:t>附件7  项目区防渗分区布置图</w:t>
      </w:r>
    </w:p>
    <w:p w14:paraId="39E62C8F">
      <w:pPr>
        <w:spacing w:line="360" w:lineRule="auto"/>
        <w:rPr>
          <w:color w:val="000000" w:themeColor="text1"/>
          <w:sz w:val="24"/>
        </w:rPr>
      </w:pPr>
    </w:p>
    <w:p w14:paraId="55A86036">
      <w:pPr>
        <w:spacing w:line="360" w:lineRule="auto"/>
        <w:rPr>
          <w:color w:val="000000" w:themeColor="text1"/>
          <w:sz w:val="24"/>
        </w:rPr>
      </w:pPr>
    </w:p>
    <w:p w14:paraId="5C159FB3">
      <w:pPr>
        <w:spacing w:line="360" w:lineRule="auto"/>
        <w:rPr>
          <w:b/>
          <w:color w:val="000000" w:themeColor="text1"/>
          <w:sz w:val="24"/>
        </w:rPr>
      </w:pPr>
      <w:r>
        <w:rPr>
          <w:b/>
          <w:color w:val="000000" w:themeColor="text1"/>
          <w:sz w:val="24"/>
        </w:rPr>
        <w:t>附件</w:t>
      </w:r>
    </w:p>
    <w:p w14:paraId="13F41125">
      <w:pPr>
        <w:spacing w:line="360" w:lineRule="auto"/>
        <w:rPr>
          <w:color w:val="000000" w:themeColor="text1"/>
          <w:sz w:val="24"/>
        </w:rPr>
      </w:pPr>
      <w:r>
        <w:rPr>
          <w:color w:val="000000" w:themeColor="text1"/>
          <w:sz w:val="24"/>
        </w:rPr>
        <w:t>附件1  委托书</w:t>
      </w:r>
    </w:p>
    <w:p w14:paraId="7FC6D6A4">
      <w:pPr>
        <w:spacing w:line="360" w:lineRule="auto"/>
        <w:rPr>
          <w:color w:val="000000" w:themeColor="text1"/>
          <w:sz w:val="24"/>
        </w:rPr>
      </w:pPr>
      <w:r>
        <w:rPr>
          <w:color w:val="000000" w:themeColor="text1"/>
          <w:sz w:val="24"/>
        </w:rPr>
        <w:t>附件2  投资备案证；</w:t>
      </w:r>
    </w:p>
    <w:p w14:paraId="748E986B">
      <w:pPr>
        <w:spacing w:line="360" w:lineRule="auto"/>
        <w:rPr>
          <w:color w:val="000000" w:themeColor="text1"/>
          <w:sz w:val="24"/>
        </w:rPr>
      </w:pPr>
      <w:r>
        <w:rPr>
          <w:color w:val="000000" w:themeColor="text1"/>
          <w:sz w:val="24"/>
        </w:rPr>
        <w:t>附件3  营业执照；</w:t>
      </w:r>
    </w:p>
    <w:p w14:paraId="517B9886">
      <w:pPr>
        <w:spacing w:line="360" w:lineRule="auto"/>
        <w:rPr>
          <w:color w:val="000000" w:themeColor="text1"/>
          <w:sz w:val="24"/>
        </w:rPr>
      </w:pPr>
      <w:r>
        <w:rPr>
          <w:color w:val="000000" w:themeColor="text1"/>
          <w:sz w:val="24"/>
        </w:rPr>
        <w:t>附件4  生态红线查询结果；</w:t>
      </w:r>
    </w:p>
    <w:p w14:paraId="04DB477A">
      <w:pPr>
        <w:spacing w:line="360" w:lineRule="auto"/>
        <w:rPr>
          <w:color w:val="000000" w:themeColor="text1"/>
          <w:sz w:val="24"/>
        </w:rPr>
      </w:pPr>
      <w:r>
        <w:rPr>
          <w:color w:val="000000" w:themeColor="text1"/>
          <w:sz w:val="24"/>
        </w:rPr>
        <w:t>附件5  租赁协议；</w:t>
      </w:r>
    </w:p>
    <w:p w14:paraId="569BF157">
      <w:pPr>
        <w:spacing w:line="360" w:lineRule="auto"/>
        <w:rPr>
          <w:color w:val="FF0000"/>
          <w:sz w:val="24"/>
        </w:rPr>
      </w:pPr>
      <w:r>
        <w:rPr>
          <w:color w:val="FF0000"/>
          <w:sz w:val="24"/>
        </w:rPr>
        <w:t>附件6  现状监测报告；</w:t>
      </w:r>
    </w:p>
    <w:p w14:paraId="30DB3914">
      <w:pPr>
        <w:spacing w:line="360" w:lineRule="auto"/>
        <w:rPr>
          <w:color w:val="FF0000"/>
          <w:sz w:val="24"/>
        </w:rPr>
      </w:pPr>
      <w:r>
        <w:rPr>
          <w:color w:val="FF0000"/>
          <w:sz w:val="24"/>
        </w:rPr>
        <w:t>附件7  技术咨询合同；</w:t>
      </w:r>
    </w:p>
    <w:p w14:paraId="460DA265">
      <w:pPr>
        <w:spacing w:line="360" w:lineRule="auto"/>
        <w:rPr>
          <w:color w:val="000000" w:themeColor="text1"/>
          <w:sz w:val="24"/>
        </w:rPr>
      </w:pPr>
    </w:p>
    <w:p w14:paraId="4079E997">
      <w:pPr>
        <w:spacing w:line="360" w:lineRule="auto"/>
        <w:rPr>
          <w:color w:val="000000" w:themeColor="text1"/>
          <w:sz w:val="24"/>
        </w:rPr>
      </w:pPr>
    </w:p>
    <w:p w14:paraId="25F0EA74">
      <w:pPr>
        <w:spacing w:line="360" w:lineRule="auto"/>
        <w:ind w:firstLine="480"/>
        <w:rPr>
          <w:color w:val="000000" w:themeColor="text1"/>
          <w:sz w:val="24"/>
        </w:rPr>
      </w:pPr>
    </w:p>
    <w:p w14:paraId="1FAF25DE">
      <w:pPr>
        <w:pStyle w:val="38"/>
        <w:jc w:val="center"/>
        <w:rPr>
          <w:rFonts w:ascii="Times New Roman" w:hAnsi="Times New Roman"/>
          <w:color w:val="000000" w:themeColor="text1"/>
        </w:rPr>
        <w:sectPr>
          <w:headerReference r:id="rId5" w:type="first"/>
          <w:headerReference r:id="rId3" w:type="default"/>
          <w:footerReference r:id="rId6" w:type="default"/>
          <w:headerReference r:id="rId4" w:type="even"/>
          <w:type w:val="continuous"/>
          <w:pgSz w:w="11907" w:h="16839"/>
          <w:pgMar w:top="1440" w:right="1800" w:bottom="1440" w:left="1800" w:header="851" w:footer="992" w:gutter="0"/>
          <w:pgNumType w:fmt="upperRoman" w:start="1"/>
          <w:cols w:space="720" w:num="1"/>
          <w:docGrid w:type="lines" w:linePitch="326" w:charSpace="0"/>
        </w:sectPr>
      </w:pPr>
    </w:p>
    <w:p w14:paraId="39B3C831">
      <w:pPr>
        <w:pStyle w:val="38"/>
        <w:jc w:val="center"/>
        <w:rPr>
          <w:rFonts w:ascii="Times New Roman" w:hAnsi="Times New Roman"/>
          <w:color w:val="000000" w:themeColor="text1"/>
        </w:rPr>
      </w:pPr>
      <w:bookmarkStart w:id="2" w:name="_Toc28117673"/>
      <w:r>
        <w:rPr>
          <w:rFonts w:ascii="Times New Roman" w:hAnsi="Times New Roman"/>
          <w:color w:val="000000" w:themeColor="text1"/>
        </w:rPr>
        <w:t>概述</w:t>
      </w:r>
      <w:bookmarkEnd w:id="2"/>
    </w:p>
    <w:p w14:paraId="2AEC5380">
      <w:pPr>
        <w:spacing w:line="360" w:lineRule="auto"/>
        <w:ind w:firstLine="482" w:firstLineChars="200"/>
        <w:rPr>
          <w:b/>
          <w:color w:val="000000" w:themeColor="text1"/>
          <w:sz w:val="24"/>
        </w:rPr>
      </w:pPr>
      <w:bookmarkStart w:id="3" w:name="_Toc195668340"/>
      <w:r>
        <w:rPr>
          <w:b/>
          <w:color w:val="000000" w:themeColor="text1"/>
          <w:sz w:val="24"/>
        </w:rPr>
        <w:t>1、项目概述</w:t>
      </w:r>
    </w:p>
    <w:p w14:paraId="39E74A02">
      <w:pPr>
        <w:spacing w:line="360" w:lineRule="auto"/>
        <w:ind w:firstLine="480" w:firstLineChars="200"/>
        <w:jc w:val="left"/>
        <w:rPr>
          <w:color w:val="000000" w:themeColor="text1"/>
          <w:sz w:val="24"/>
        </w:rPr>
      </w:pPr>
      <w:r>
        <w:rPr>
          <w:color w:val="000000" w:themeColor="text1"/>
          <w:sz w:val="24"/>
        </w:rPr>
        <w:t>塑料因具有较好的透明性和耐磨性，且化学性质稳定、耐冲击能力强、质量轻、绝缘性好、强度高、不会腐蚀，在生产、生活中得到了广泛的应用，同时也留下无穷的后患——白色污染。</w:t>
      </w:r>
    </w:p>
    <w:p w14:paraId="0AF473D0">
      <w:pPr>
        <w:spacing w:line="360" w:lineRule="auto"/>
        <w:ind w:firstLine="480" w:firstLineChars="200"/>
        <w:jc w:val="left"/>
        <w:rPr>
          <w:color w:val="000000" w:themeColor="text1"/>
          <w:sz w:val="24"/>
        </w:rPr>
      </w:pPr>
      <w:r>
        <w:rPr>
          <w:color w:val="000000" w:themeColor="text1"/>
          <w:sz w:val="24"/>
        </w:rPr>
        <w:t>废旧塑料仍具有良好的综合材料性能，可满足吹膜、拉丝、拉管、注塑、挤出型材等技术要求，大量应用于塑料制品的生产。将废旧塑料加工成颗粒，不仅可以有效地减少“白色污染”，而且能够变废为宝，节能能源，保护环境。</w:t>
      </w:r>
    </w:p>
    <w:p w14:paraId="73FD1CBF">
      <w:pPr>
        <w:spacing w:line="360" w:lineRule="auto"/>
        <w:ind w:firstLine="480" w:firstLineChars="200"/>
        <w:jc w:val="left"/>
        <w:rPr>
          <w:color w:val="000000" w:themeColor="text1"/>
          <w:sz w:val="24"/>
        </w:rPr>
      </w:pPr>
      <w:r>
        <w:rPr>
          <w:color w:val="000000" w:themeColor="text1"/>
          <w:sz w:val="24"/>
        </w:rPr>
        <w:t>“</w:t>
      </w:r>
      <w:r>
        <w:rPr>
          <w:bCs/>
          <w:color w:val="000000" w:themeColor="text1"/>
          <w:sz w:val="24"/>
        </w:rPr>
        <w:t>芒市遮放镇鑫广塑料制品加工厂</w:t>
      </w:r>
      <w:r>
        <w:rPr>
          <w:color w:val="000000" w:themeColor="text1"/>
          <w:sz w:val="24"/>
        </w:rPr>
        <w:t>”（以下简称”建设方”）于2019年11月取得”芒市发展和改革局”关于</w:t>
      </w:r>
      <w:r>
        <w:rPr>
          <w:bCs/>
          <w:color w:val="000000" w:themeColor="text1"/>
          <w:sz w:val="24"/>
        </w:rPr>
        <w:t>芒市鑫广塑料加工项目投资项目备案证（芒发改备案【2019】254号）。</w:t>
      </w:r>
    </w:p>
    <w:p w14:paraId="4B3F26B2">
      <w:pPr>
        <w:pStyle w:val="289"/>
        <w:spacing w:line="360" w:lineRule="auto"/>
        <w:ind w:left="51" w:right="51" w:firstLine="480" w:firstLineChars="200"/>
        <w:jc w:val="left"/>
        <w:rPr>
          <w:bCs/>
          <w:color w:val="000000" w:themeColor="text1"/>
          <w:sz w:val="24"/>
          <w:vertAlign w:val="superscript"/>
        </w:rPr>
      </w:pPr>
      <w:r>
        <w:rPr>
          <w:color w:val="000000" w:themeColor="text1"/>
          <w:sz w:val="24"/>
        </w:rPr>
        <w:t>“</w:t>
      </w:r>
      <w:r>
        <w:rPr>
          <w:bCs/>
          <w:color w:val="000000" w:themeColor="text1"/>
          <w:sz w:val="24"/>
        </w:rPr>
        <w:t>芒市遮放镇鑫广塑料制品加工厂</w:t>
      </w:r>
      <w:r>
        <w:rPr>
          <w:color w:val="000000" w:themeColor="text1"/>
          <w:sz w:val="24"/>
        </w:rPr>
        <w:t>”总投资200万，</w:t>
      </w:r>
      <w:r>
        <w:rPr>
          <w:rFonts w:eastAsiaTheme="minorEastAsia"/>
          <w:color w:val="000000" w:themeColor="text1"/>
          <w:sz w:val="24"/>
        </w:rPr>
        <w:t>选址于</w:t>
      </w:r>
      <w:r>
        <w:rPr>
          <w:bCs/>
          <w:color w:val="000000" w:themeColor="text1"/>
          <w:sz w:val="24"/>
        </w:rPr>
        <w:t>云南省德宏州芒市遮放镇户拉村委会遮焕村民小组盛达泰硅业厂区内</w:t>
      </w:r>
      <w:r>
        <w:rPr>
          <w:rFonts w:eastAsiaTheme="minorEastAsia"/>
          <w:color w:val="000000" w:themeColor="text1"/>
          <w:sz w:val="24"/>
        </w:rPr>
        <w:t>，租用盛达泰硅业的土地</w:t>
      </w:r>
      <w:r>
        <w:rPr>
          <w:bCs/>
          <w:color w:val="000000" w:themeColor="text1"/>
          <w:sz w:val="24"/>
        </w:rPr>
        <w:t>，总用地面积13亩（13333m</w:t>
      </w:r>
      <w:r>
        <w:rPr>
          <w:bCs/>
          <w:color w:val="000000" w:themeColor="text1"/>
          <w:sz w:val="24"/>
          <w:vertAlign w:val="superscript"/>
        </w:rPr>
        <w:t>2</w:t>
      </w:r>
      <w:r>
        <w:rPr>
          <w:bCs/>
          <w:color w:val="000000" w:themeColor="text1"/>
          <w:sz w:val="24"/>
        </w:rPr>
        <w:t>），本次用地面积为8000m</w:t>
      </w:r>
      <w:r>
        <w:rPr>
          <w:bCs/>
          <w:color w:val="000000" w:themeColor="text1"/>
          <w:sz w:val="24"/>
          <w:vertAlign w:val="superscript"/>
        </w:rPr>
        <w:t>2</w:t>
      </w:r>
      <w:r>
        <w:rPr>
          <w:bCs/>
          <w:color w:val="000000" w:themeColor="text1"/>
          <w:sz w:val="24"/>
        </w:rPr>
        <w:t>（原为硅厂原料仓库，现废弃），预留用地为5333m</w:t>
      </w:r>
      <w:r>
        <w:rPr>
          <w:bCs/>
          <w:color w:val="000000" w:themeColor="text1"/>
          <w:sz w:val="24"/>
          <w:vertAlign w:val="superscript"/>
        </w:rPr>
        <w:t>2</w:t>
      </w:r>
      <w:r>
        <w:rPr>
          <w:bCs/>
          <w:color w:val="000000" w:themeColor="text1"/>
          <w:sz w:val="24"/>
        </w:rPr>
        <w:t>（</w:t>
      </w:r>
      <w:r>
        <w:rPr>
          <w:bCs/>
          <w:color w:val="FF0000"/>
          <w:sz w:val="24"/>
        </w:rPr>
        <w:t>原为混凝土搅拌站，早已废弃</w:t>
      </w:r>
      <w:r>
        <w:rPr>
          <w:bCs/>
          <w:color w:val="000000" w:themeColor="text1"/>
          <w:sz w:val="24"/>
        </w:rPr>
        <w:t>）。</w:t>
      </w:r>
    </w:p>
    <w:p w14:paraId="36E5D327">
      <w:pPr>
        <w:tabs>
          <w:tab w:val="left" w:pos="1936"/>
        </w:tabs>
        <w:spacing w:line="360" w:lineRule="auto"/>
        <w:ind w:firstLine="480" w:firstLineChars="200"/>
        <w:jc w:val="left"/>
        <w:rPr>
          <w:bCs/>
          <w:color w:val="FF0000"/>
          <w:sz w:val="24"/>
        </w:rPr>
      </w:pPr>
      <w:r>
        <w:rPr>
          <w:color w:val="FF0000"/>
          <w:sz w:val="24"/>
        </w:rPr>
        <w:t>本项目</w:t>
      </w:r>
      <w:r>
        <w:rPr>
          <w:rFonts w:eastAsiaTheme="minorEastAsia"/>
          <w:color w:val="FF0000"/>
          <w:sz w:val="24"/>
        </w:rPr>
        <w:t>租用盛达泰硅业的土地</w:t>
      </w:r>
      <w:r>
        <w:rPr>
          <w:bCs/>
          <w:color w:val="FF0000"/>
          <w:sz w:val="24"/>
        </w:rPr>
        <w:t>，现有1栋1F的生产车间（原为硅厂原料仓库）；根据现场勘察及核实，本项目尚未动工。</w:t>
      </w:r>
    </w:p>
    <w:p w14:paraId="1D22CC4E">
      <w:pPr>
        <w:pStyle w:val="289"/>
        <w:spacing w:line="360" w:lineRule="auto"/>
        <w:ind w:left="51" w:right="51" w:firstLine="480" w:firstLineChars="200"/>
        <w:jc w:val="left"/>
        <w:rPr>
          <w:bCs/>
          <w:color w:val="000000" w:themeColor="text1"/>
          <w:sz w:val="24"/>
        </w:rPr>
      </w:pPr>
      <w:r>
        <w:rPr>
          <w:bCs/>
          <w:color w:val="000000" w:themeColor="text1"/>
          <w:sz w:val="24"/>
        </w:rPr>
        <w:t>建设方建设“</w:t>
      </w:r>
      <w:r>
        <w:rPr>
          <w:bCs/>
          <w:color w:val="FF0000"/>
          <w:sz w:val="24"/>
        </w:rPr>
        <w:t>芒市鑫广塑料加工项目”</w:t>
      </w:r>
      <w:r>
        <w:rPr>
          <w:bCs/>
          <w:color w:val="000000" w:themeColor="text1"/>
          <w:sz w:val="24"/>
        </w:rPr>
        <w:t>（以下简称“本项目”），本项目对租用土地进行平整、</w:t>
      </w:r>
      <w:r>
        <w:rPr>
          <w:bCs/>
          <w:color w:val="FF0000"/>
          <w:sz w:val="24"/>
        </w:rPr>
        <w:t>租用厂房进行改造、</w:t>
      </w:r>
      <w:r>
        <w:rPr>
          <w:bCs/>
          <w:color w:val="000000" w:themeColor="text1"/>
          <w:sz w:val="24"/>
        </w:rPr>
        <w:t>装修、安装设备。建成后，</w:t>
      </w:r>
      <w:r>
        <w:rPr>
          <w:bCs/>
          <w:color w:val="FF0000"/>
          <w:sz w:val="24"/>
        </w:rPr>
        <w:t>新建2条塑料颗粒生产线、1条编织袋生产线及</w:t>
      </w:r>
      <w:r>
        <w:rPr>
          <w:bCs/>
          <w:color w:val="000000" w:themeColor="text1"/>
          <w:sz w:val="24"/>
        </w:rPr>
        <w:t>相应配套设施，年生产塑料颗粒5000t、年产塑料编织袋3000t，采用工艺为直接再生利用，将回收的废旧塑料经过分类、清洗、破碎、直接加工成型造粒及生产编织袋。</w:t>
      </w:r>
    </w:p>
    <w:p w14:paraId="5CC06A75">
      <w:pPr>
        <w:tabs>
          <w:tab w:val="left" w:pos="1936"/>
        </w:tabs>
        <w:spacing w:line="360" w:lineRule="auto"/>
        <w:ind w:firstLine="480" w:firstLineChars="200"/>
        <w:jc w:val="left"/>
        <w:rPr>
          <w:color w:val="000000" w:themeColor="text1"/>
          <w:sz w:val="24"/>
        </w:rPr>
      </w:pPr>
      <w:r>
        <w:rPr>
          <w:bCs/>
          <w:color w:val="000000" w:themeColor="text1"/>
          <w:sz w:val="24"/>
        </w:rPr>
        <w:t>项目不涉及生态红线，不属于基本农田及公益林等（详见</w:t>
      </w:r>
      <w:r>
        <w:rPr>
          <w:bCs/>
          <w:color w:val="FF0000"/>
          <w:sz w:val="24"/>
        </w:rPr>
        <w:t>附件4</w:t>
      </w:r>
      <w:r>
        <w:rPr>
          <w:bCs/>
          <w:color w:val="000000" w:themeColor="text1"/>
          <w:sz w:val="24"/>
        </w:rPr>
        <w:t>），不属于农业用地和林业用地。</w:t>
      </w:r>
    </w:p>
    <w:p w14:paraId="26E4183E">
      <w:pPr>
        <w:spacing w:line="360" w:lineRule="auto"/>
        <w:ind w:firstLine="480"/>
        <w:rPr>
          <w:b/>
          <w:color w:val="000000" w:themeColor="text1"/>
          <w:sz w:val="24"/>
        </w:rPr>
      </w:pPr>
      <w:bookmarkStart w:id="4" w:name="_Toc303692863"/>
      <w:bookmarkStart w:id="5" w:name="_Toc303692581"/>
      <w:r>
        <w:rPr>
          <w:b/>
          <w:color w:val="000000" w:themeColor="text1"/>
          <w:sz w:val="24"/>
        </w:rPr>
        <w:t>2、环境影响评价过程</w:t>
      </w:r>
    </w:p>
    <w:p w14:paraId="776BF86E">
      <w:pPr>
        <w:pStyle w:val="296"/>
        <w:ind w:firstLine="480"/>
        <w:jc w:val="left"/>
        <w:rPr>
          <w:rFonts w:cs="Times New Roman"/>
          <w:color w:val="000000" w:themeColor="text1"/>
        </w:rPr>
      </w:pPr>
      <w:r>
        <w:rPr>
          <w:rFonts w:cs="Times New Roman"/>
          <w:color w:val="000000" w:themeColor="text1"/>
        </w:rPr>
        <w:t>根据《中华人民共和国环境影响评价法》、《建设项目环境保护管理条例》（</w:t>
      </w:r>
      <w:r>
        <w:rPr>
          <w:rFonts w:cs="Times New Roman"/>
          <w:color w:val="FF0000"/>
          <w:shd w:val="clear" w:color="auto" w:fill="FFFFFF"/>
        </w:rPr>
        <w:t>国务院令第682号修订</w:t>
      </w:r>
      <w:r>
        <w:rPr>
          <w:rFonts w:cs="Times New Roman"/>
          <w:color w:val="000000" w:themeColor="text1"/>
        </w:rPr>
        <w:t>），本项目需开展环境影响评价工作，根据《建设项目环境影响评价分类管理名录》（2018年4月28日修订稿）第三十条“废旧资源（含生物质）加工、再生利用”中第86条“废塑料（除分拣清洗工艺的）的加工、再生利用”需编制环境影响报告书。</w:t>
      </w:r>
    </w:p>
    <w:p w14:paraId="7B133523">
      <w:pPr>
        <w:pStyle w:val="296"/>
        <w:ind w:firstLine="480"/>
        <w:jc w:val="left"/>
        <w:rPr>
          <w:rFonts w:cs="Times New Roman"/>
          <w:color w:val="000000" w:themeColor="text1"/>
        </w:rPr>
      </w:pPr>
      <w:r>
        <w:rPr>
          <w:rFonts w:cs="Times New Roman"/>
          <w:color w:val="000000" w:themeColor="text1"/>
        </w:rPr>
        <w:t>为此，</w:t>
      </w:r>
      <w:r>
        <w:rPr>
          <w:rFonts w:cs="Times New Roman"/>
          <w:bCs/>
          <w:color w:val="000000" w:themeColor="text1"/>
        </w:rPr>
        <w:t>芒市遮放镇鑫广塑料制品加工厂</w:t>
      </w:r>
      <w:r>
        <w:rPr>
          <w:rFonts w:cs="Times New Roman"/>
          <w:color w:val="000000" w:themeColor="text1"/>
        </w:rPr>
        <w:t>（以下简称”建设单位”）委托“</w:t>
      </w:r>
      <w:r>
        <w:rPr>
          <w:rFonts w:cs="Times New Roman"/>
          <w:color w:val="FF0000"/>
        </w:rPr>
        <w:t>云南兴玖环保科技有限公司</w:t>
      </w:r>
      <w:r>
        <w:rPr>
          <w:rFonts w:cs="Times New Roman"/>
          <w:color w:val="000000" w:themeColor="text1"/>
        </w:rPr>
        <w:t>”（以下简称“我单位” ）对该项目进行环境影响评价工作。</w:t>
      </w:r>
    </w:p>
    <w:p w14:paraId="446B1BD3">
      <w:pPr>
        <w:spacing w:line="360" w:lineRule="auto"/>
        <w:ind w:firstLine="200"/>
        <w:jc w:val="left"/>
        <w:rPr>
          <w:color w:val="000000" w:themeColor="text1"/>
          <w:sz w:val="24"/>
        </w:rPr>
      </w:pPr>
      <w:r>
        <w:rPr>
          <w:color w:val="000000" w:themeColor="text1"/>
          <w:sz w:val="24"/>
        </w:rPr>
        <w:t>我单位于2019年10月接受委托后，成立了工作小组，收集并研究了国家及云南省对塑料行业有关政策及相关法律法规文件，对项目建设地点进行了多次实地勘察、收集和核实有关资料。</w:t>
      </w:r>
    </w:p>
    <w:p w14:paraId="74CF7697">
      <w:pPr>
        <w:spacing w:line="360" w:lineRule="auto"/>
        <w:ind w:firstLine="480" w:firstLineChars="200"/>
        <w:jc w:val="left"/>
        <w:rPr>
          <w:color w:val="000000" w:themeColor="text1"/>
          <w:sz w:val="24"/>
        </w:rPr>
      </w:pPr>
      <w:r>
        <w:rPr>
          <w:color w:val="000000" w:themeColor="text1"/>
          <w:sz w:val="24"/>
        </w:rPr>
        <w:t>第一次环评公示（2019年10月23日至11月5日），建设方根据生态环境部第4号令《环境影响评价公众参与办法》的要求，项目首次公示采用张贴公告的方式和网站公示进行，网址：</w:t>
      </w:r>
      <w:r>
        <w:fldChar w:fldCharType="begin"/>
      </w:r>
      <w:r>
        <w:instrText xml:space="preserve"> HYPERLINK "http://www.huanpingbao.cn/jcb-portal/publicity/publicity_detail?id=5855" </w:instrText>
      </w:r>
      <w:r>
        <w:fldChar w:fldCharType="separate"/>
      </w:r>
      <w:r>
        <w:rPr>
          <w:rStyle w:val="47"/>
          <w:sz w:val="24"/>
        </w:rPr>
        <w:t>http://www.huanpingbao.cn/jcb-portal/publicity/publicity_detail?id=5855</w:t>
      </w:r>
      <w:r>
        <w:rPr>
          <w:rStyle w:val="47"/>
          <w:sz w:val="24"/>
        </w:rPr>
        <w:fldChar w:fldCharType="end"/>
      </w:r>
      <w:r>
        <w:rPr>
          <w:color w:val="000000" w:themeColor="text1"/>
          <w:sz w:val="24"/>
        </w:rPr>
        <w:t>，现场张贴公示于户拉村居委会公示栏；</w:t>
      </w:r>
    </w:p>
    <w:p w14:paraId="76AA8EA5">
      <w:pPr>
        <w:spacing w:line="360" w:lineRule="auto"/>
        <w:ind w:firstLine="480" w:firstLineChars="200"/>
        <w:jc w:val="left"/>
        <w:rPr>
          <w:color w:val="000000" w:themeColor="text1"/>
          <w:sz w:val="24"/>
        </w:rPr>
      </w:pPr>
      <w:r>
        <w:rPr>
          <w:color w:val="000000" w:themeColor="text1"/>
          <w:sz w:val="24"/>
        </w:rPr>
        <w:t>第二次公示，项目环境影响报告书征求意见稿采用网络、报纸及张贴告示进行了公示。网络公示时间为12月2日～2019年12月13日，网络公示网址：http://www.huanpingbao.cn/jcb-portal/publicity/publicity_detail?id=6056，期间未收到任何有关意见；报纸公示为环球日报，公示时间为</w:t>
      </w:r>
      <w:r>
        <w:rPr>
          <w:sz w:val="24"/>
        </w:rPr>
        <w:t>2019年12月23日和2019年12月24日；</w:t>
      </w:r>
      <w:r>
        <w:rPr>
          <w:color w:val="000000" w:themeColor="text1"/>
          <w:sz w:val="24"/>
        </w:rPr>
        <w:t>张贴公示于遮放镇人民政府公示栏，公示期间未收到</w:t>
      </w:r>
      <w:r>
        <w:rPr>
          <w:color w:val="000000" w:themeColor="text1"/>
          <w:sz w:val="24"/>
          <w:szCs w:val="20"/>
        </w:rPr>
        <w:t>有关意</w:t>
      </w:r>
      <w:r>
        <w:rPr>
          <w:color w:val="000000" w:themeColor="text1"/>
          <w:sz w:val="24"/>
        </w:rPr>
        <w:t>见。项目环评报告书征求意见稿放置于芒市遮放镇鑫广塑料制品加工厂。</w:t>
      </w:r>
    </w:p>
    <w:p w14:paraId="08B5C443">
      <w:pPr>
        <w:spacing w:line="360" w:lineRule="auto"/>
        <w:ind w:firstLine="480"/>
        <w:rPr>
          <w:color w:val="FF0000"/>
          <w:sz w:val="24"/>
        </w:rPr>
      </w:pPr>
      <w:r>
        <w:rPr>
          <w:color w:val="FF0000"/>
          <w:sz w:val="24"/>
        </w:rPr>
        <w:t>依据相关的法律法规及技术导则，2019年12月编制完成了《</w:t>
      </w:r>
      <w:r>
        <w:rPr>
          <w:color w:val="FF0000"/>
          <w:kern w:val="0"/>
          <w:sz w:val="24"/>
        </w:rPr>
        <w:t>芒市鑫广塑料加工项目环境影响报告书</w:t>
      </w:r>
      <w:r>
        <w:rPr>
          <w:color w:val="FF0000"/>
          <w:sz w:val="24"/>
        </w:rPr>
        <w:t>》供建设单位上报审批。</w:t>
      </w:r>
    </w:p>
    <w:p w14:paraId="63668670">
      <w:pPr>
        <w:spacing w:line="360" w:lineRule="auto"/>
        <w:ind w:firstLine="480"/>
        <w:rPr>
          <w:b/>
          <w:color w:val="000000" w:themeColor="text1"/>
          <w:sz w:val="24"/>
        </w:rPr>
      </w:pPr>
      <w:r>
        <w:rPr>
          <w:b/>
          <w:color w:val="000000" w:themeColor="text1"/>
          <w:sz w:val="24"/>
        </w:rPr>
        <w:t>3、分析判定相关情况</w:t>
      </w:r>
    </w:p>
    <w:p w14:paraId="47295497">
      <w:pPr>
        <w:spacing w:line="360" w:lineRule="auto"/>
        <w:ind w:firstLine="480"/>
        <w:rPr>
          <w:b/>
          <w:color w:val="000000" w:themeColor="text1"/>
          <w:sz w:val="24"/>
        </w:rPr>
      </w:pPr>
      <w:r>
        <w:rPr>
          <w:b/>
          <w:color w:val="000000" w:themeColor="text1"/>
          <w:sz w:val="24"/>
        </w:rPr>
        <w:t>（1）产业政策符合性判定</w:t>
      </w:r>
    </w:p>
    <w:p w14:paraId="06C21B0C">
      <w:pPr>
        <w:pStyle w:val="114"/>
        <w:rPr>
          <w:color w:val="000000" w:themeColor="text1"/>
        </w:rPr>
      </w:pPr>
      <w:r>
        <w:rPr>
          <w:color w:val="000000" w:themeColor="text1"/>
        </w:rPr>
        <w:t>根据国家发展改革委</w:t>
      </w:r>
      <w:r>
        <w:rPr>
          <w:color w:val="FF0000"/>
        </w:rPr>
        <w:t>《国家产业结构调整指导目录（2019年本）》</w:t>
      </w:r>
      <w:r>
        <w:rPr>
          <w:color w:val="000000" w:themeColor="text1"/>
        </w:rPr>
        <w:t>，本项目属于国家鼓励类第三十八类”环境保护与资源节约综合利用”中的第28条“再生资源回收利用产业化”。项目符合国家产业政策。</w:t>
      </w:r>
    </w:p>
    <w:p w14:paraId="44456C5F">
      <w:pPr>
        <w:spacing w:line="360" w:lineRule="auto"/>
        <w:ind w:firstLine="480"/>
        <w:rPr>
          <w:b/>
          <w:color w:val="000000" w:themeColor="text1"/>
          <w:sz w:val="24"/>
        </w:rPr>
      </w:pPr>
      <w:r>
        <w:rPr>
          <w:b/>
          <w:color w:val="000000" w:themeColor="text1"/>
          <w:sz w:val="24"/>
        </w:rPr>
        <w:t>（2）与塑料行业相关规定符合性判定</w:t>
      </w:r>
    </w:p>
    <w:p w14:paraId="30D11C1B">
      <w:pPr>
        <w:pStyle w:val="296"/>
        <w:ind w:firstLine="480"/>
        <w:jc w:val="left"/>
        <w:rPr>
          <w:rFonts w:cs="Times New Roman"/>
          <w:color w:val="000000" w:themeColor="text1"/>
        </w:rPr>
      </w:pPr>
      <w:r>
        <w:rPr>
          <w:rFonts w:cs="Times New Roman"/>
          <w:color w:val="000000" w:themeColor="text1"/>
        </w:rPr>
        <w:t>本项目原料为废</w:t>
      </w:r>
      <w:r>
        <w:rPr>
          <w:rFonts w:hint="eastAsia" w:cs="Times New Roman"/>
          <w:color w:val="000000" w:themeColor="text1"/>
          <w:lang w:eastAsia="zh-CN"/>
        </w:rPr>
        <w:t>编织袋</w:t>
      </w:r>
      <w:r>
        <w:rPr>
          <w:rFonts w:cs="Times New Roman"/>
          <w:color w:val="000000" w:themeColor="text1"/>
        </w:rPr>
        <w:t>、废塑料瓶等，主要成分为PET、PP等，不含废汽车配件、废机油桶、危险废物等，年生产能力为5000吨再生塑料及生产编织袋3000t，本项目选址不在国家法律、法规、规章和规划确定或县级及以上人民政府规定的自然保护区、风景名胜区、饮用水源保护区、基本农田保护区和其他需要特别保护的区域内，符合</w:t>
      </w:r>
      <w:r>
        <w:rPr>
          <w:rFonts w:cs="Times New Roman"/>
          <w:bCs/>
          <w:color w:val="000000" w:themeColor="text1"/>
        </w:rPr>
        <w:t>《废塑料综合利用行业规范条件》。</w:t>
      </w:r>
    </w:p>
    <w:p w14:paraId="2865C029">
      <w:pPr>
        <w:pStyle w:val="296"/>
        <w:ind w:firstLine="480"/>
        <w:rPr>
          <w:rFonts w:cs="Times New Roman"/>
          <w:bCs/>
          <w:color w:val="FF0000"/>
        </w:rPr>
      </w:pPr>
      <w:r>
        <w:rPr>
          <w:rFonts w:cs="Times New Roman"/>
          <w:color w:val="000000" w:themeColor="text1"/>
        </w:rPr>
        <w:t>本项目</w:t>
      </w:r>
      <w:r>
        <w:rPr>
          <w:rFonts w:cs="Times New Roman"/>
          <w:bCs/>
          <w:color w:val="000000" w:themeColor="text1"/>
        </w:rPr>
        <w:t>所在地为云南省德宏州芒市遮放镇户拉村委会遮焕村民小组盛达泰硅业厂区内，</w:t>
      </w:r>
      <w:r>
        <w:rPr>
          <w:rFonts w:cs="Times New Roman"/>
          <w:color w:val="000000" w:themeColor="text1"/>
        </w:rPr>
        <w:t>项目距离最近的居民点是排鲁村，位于项目区西北侧（侧风向）820m，</w:t>
      </w:r>
      <w:r>
        <w:rPr>
          <w:rFonts w:cs="Times New Roman"/>
          <w:bCs/>
          <w:color w:val="000000" w:themeColor="text1"/>
        </w:rPr>
        <w:t>项目不从事废塑料退镀(涂)、盐卤分拣等加工活动，</w:t>
      </w:r>
      <w:r>
        <w:rPr>
          <w:rFonts w:cs="Times New Roman"/>
          <w:bCs/>
          <w:color w:val="FF0000"/>
        </w:rPr>
        <w:t>符合《废塑料加工利用污染防治管理规定》（详见8.4节）、《再生资源回收管理办法》、《废塑料回收与再生利用污染控制技术规范（试行）》。</w:t>
      </w:r>
    </w:p>
    <w:p w14:paraId="59F9030B"/>
    <w:p w14:paraId="081DBBA1">
      <w:pPr>
        <w:pStyle w:val="296"/>
        <w:ind w:firstLine="482"/>
        <w:rPr>
          <w:rFonts w:cs="Times New Roman"/>
          <w:b/>
          <w:color w:val="000000" w:themeColor="text1"/>
        </w:rPr>
      </w:pPr>
      <w:r>
        <w:rPr>
          <w:rFonts w:cs="Times New Roman"/>
          <w:b/>
          <w:color w:val="000000" w:themeColor="text1"/>
        </w:rPr>
        <w:t>（3）与《水污染防治行动计划》、《国务院关于印发打赢蓝天保卫战三年行动计划的通知》（国发〔2018〕22 号）、《云南省打赢蓝天保卫战三年行动实施方案》（云政发[2018]44 号）、《土壤污染防治行动计划》的符合性分析</w:t>
      </w:r>
    </w:p>
    <w:p w14:paraId="516E66CB">
      <w:pPr>
        <w:pStyle w:val="296"/>
        <w:ind w:firstLine="482"/>
        <w:rPr>
          <w:rFonts w:cs="Times New Roman"/>
          <w:b/>
          <w:color w:val="000000" w:themeColor="text1"/>
        </w:rPr>
      </w:pPr>
      <w:r>
        <w:rPr>
          <w:rFonts w:hint="eastAsia" w:ascii="宋体" w:hAnsi="宋体"/>
          <w:b/>
        </w:rPr>
        <w:t>①</w:t>
      </w:r>
      <w:r>
        <w:rPr>
          <w:rFonts w:cs="Times New Roman"/>
          <w:b/>
          <w:color w:val="000000" w:themeColor="text1"/>
        </w:rPr>
        <w:t>与《水污染防治行动计划》符合性分析</w:t>
      </w:r>
    </w:p>
    <w:p w14:paraId="2B777602">
      <w:pPr>
        <w:pStyle w:val="289"/>
        <w:spacing w:line="360" w:lineRule="auto"/>
        <w:ind w:left="51" w:right="51" w:firstLine="480" w:firstLineChars="200"/>
        <w:rPr>
          <w:bCs/>
          <w:color w:val="000000" w:themeColor="text1"/>
          <w:sz w:val="24"/>
        </w:rPr>
      </w:pPr>
      <w:r>
        <w:rPr>
          <w:bCs/>
          <w:color w:val="000000" w:themeColor="text1"/>
          <w:sz w:val="24"/>
        </w:rPr>
        <w:t>《水污染防治行动计划》（国发〔2015〕17 号），共10条35款，其中与本项目密切相关的规定为第一、二、六条。</w:t>
      </w:r>
    </w:p>
    <w:p w14:paraId="10034527">
      <w:pPr>
        <w:jc w:val="center"/>
        <w:rPr>
          <w:b/>
          <w:color w:val="000000" w:themeColor="text1"/>
          <w:sz w:val="24"/>
        </w:rPr>
      </w:pPr>
      <w:r>
        <w:rPr>
          <w:b/>
          <w:color w:val="000000" w:themeColor="text1"/>
          <w:sz w:val="24"/>
        </w:rPr>
        <w:t>表1-1   水污染防治行动计划符合性分析表</w:t>
      </w:r>
    </w:p>
    <w:tbl>
      <w:tblPr>
        <w:tblStyle w:val="42"/>
        <w:tblW w:w="8682" w:type="dxa"/>
        <w:tblInd w:w="0"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81"/>
        <w:gridCol w:w="4920"/>
        <w:gridCol w:w="2070"/>
        <w:gridCol w:w="911"/>
      </w:tblGrid>
      <w:tr w14:paraId="0AEBF708">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781" w:type="dxa"/>
            <w:vAlign w:val="center"/>
          </w:tcPr>
          <w:p w14:paraId="4BA8BDE5">
            <w:pPr>
              <w:jc w:val="center"/>
            </w:pPr>
            <w:r>
              <w:t>序号</w:t>
            </w:r>
          </w:p>
        </w:tc>
        <w:tc>
          <w:tcPr>
            <w:tcW w:w="4920" w:type="dxa"/>
            <w:vAlign w:val="center"/>
          </w:tcPr>
          <w:p w14:paraId="78C91E36">
            <w:pPr>
              <w:jc w:val="center"/>
            </w:pPr>
            <w:r>
              <w:t>相关要求</w:t>
            </w:r>
          </w:p>
        </w:tc>
        <w:tc>
          <w:tcPr>
            <w:tcW w:w="2070" w:type="dxa"/>
            <w:vAlign w:val="center"/>
          </w:tcPr>
          <w:p w14:paraId="058F239B">
            <w:pPr>
              <w:jc w:val="center"/>
            </w:pPr>
            <w:r>
              <w:t>本项目情况</w:t>
            </w:r>
          </w:p>
        </w:tc>
        <w:tc>
          <w:tcPr>
            <w:tcW w:w="911" w:type="dxa"/>
            <w:vAlign w:val="center"/>
          </w:tcPr>
          <w:p w14:paraId="3E473607">
            <w:pPr>
              <w:jc w:val="center"/>
            </w:pPr>
            <w:r>
              <w:t>符合情况</w:t>
            </w:r>
          </w:p>
        </w:tc>
      </w:tr>
      <w:tr w14:paraId="77F55D53">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781" w:type="dxa"/>
            <w:vAlign w:val="center"/>
          </w:tcPr>
          <w:p w14:paraId="28CA2BC8">
            <w:pPr>
              <w:jc w:val="center"/>
            </w:pPr>
            <w:r>
              <w:t>（一）</w:t>
            </w:r>
          </w:p>
        </w:tc>
        <w:tc>
          <w:tcPr>
            <w:tcW w:w="4920" w:type="dxa"/>
            <w:vAlign w:val="center"/>
          </w:tcPr>
          <w:p w14:paraId="212FE9EE">
            <w:pPr>
              <w:jc w:val="center"/>
            </w:pPr>
            <w:r>
              <w:t>狠抓工业污染防治。取缔“十小”企业。全面排查 装备水平低、环保设施差的小型工业企业。2016 年 底前，按照水污染防治法律法规要求，全部取缔不 符合国家产业政策的小型造纸、制革、印染、染料、  炼焦、炼硫、炼砷、炼油、电镀、农药等严重污染 水环境的生产项目。</w:t>
            </w:r>
          </w:p>
        </w:tc>
        <w:tc>
          <w:tcPr>
            <w:tcW w:w="2070" w:type="dxa"/>
            <w:vAlign w:val="center"/>
          </w:tcPr>
          <w:p w14:paraId="64AF3309">
            <w:pPr>
              <w:jc w:val="center"/>
            </w:pPr>
            <w:r>
              <w:t>项目不属于“十小” 企业，不属于取缔范围内的生产项目。</w:t>
            </w:r>
          </w:p>
        </w:tc>
        <w:tc>
          <w:tcPr>
            <w:tcW w:w="911" w:type="dxa"/>
            <w:vAlign w:val="center"/>
          </w:tcPr>
          <w:p w14:paraId="022F08EF">
            <w:pPr>
              <w:jc w:val="center"/>
            </w:pPr>
            <w:r>
              <w:t>符合</w:t>
            </w:r>
          </w:p>
        </w:tc>
      </w:tr>
      <w:tr w14:paraId="5EE22B30">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781" w:type="dxa"/>
            <w:vAlign w:val="center"/>
          </w:tcPr>
          <w:p w14:paraId="5FBE55EE">
            <w:pPr>
              <w:jc w:val="center"/>
            </w:pPr>
            <w:r>
              <w:t>（二）</w:t>
            </w:r>
          </w:p>
        </w:tc>
        <w:tc>
          <w:tcPr>
            <w:tcW w:w="4920" w:type="dxa"/>
            <w:vAlign w:val="center"/>
          </w:tcPr>
          <w:p w14:paraId="20276AF2">
            <w:pPr>
              <w:jc w:val="center"/>
            </w:pPr>
            <w:r>
              <w:t>推进污泥处理处置。污水处理设施产生的污泥应进行稳定化、无害化和资源化处理处置，禁止处理处置不达标的污泥进入耕地。非法污泥堆放点一律予以取缔。现有污泥处理处置设施应于 2017 年底前基本完成达标改造，地级及以上城市污泥无害化处理处置率应于 2020 年底前达到 90%以上。</w:t>
            </w:r>
          </w:p>
        </w:tc>
        <w:tc>
          <w:tcPr>
            <w:tcW w:w="2070" w:type="dxa"/>
            <w:vAlign w:val="center"/>
          </w:tcPr>
          <w:p w14:paraId="28AAF4BD">
            <w:pPr>
              <w:jc w:val="center"/>
            </w:pPr>
            <w:r>
              <w:t>项目产生的污泥外运至最近村庄垃圾收集点处理。</w:t>
            </w:r>
          </w:p>
        </w:tc>
        <w:tc>
          <w:tcPr>
            <w:tcW w:w="911" w:type="dxa"/>
            <w:vAlign w:val="center"/>
          </w:tcPr>
          <w:p w14:paraId="4EF488DC">
            <w:pPr>
              <w:jc w:val="center"/>
            </w:pPr>
            <w:r>
              <w:t>符合</w:t>
            </w:r>
          </w:p>
        </w:tc>
      </w:tr>
      <w:tr w14:paraId="13994226">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781" w:type="dxa"/>
            <w:vAlign w:val="center"/>
          </w:tcPr>
          <w:p w14:paraId="3BA6CFB7">
            <w:pPr>
              <w:jc w:val="center"/>
            </w:pPr>
            <w:r>
              <w:t>（六）</w:t>
            </w:r>
          </w:p>
        </w:tc>
        <w:tc>
          <w:tcPr>
            <w:tcW w:w="4920" w:type="dxa"/>
            <w:vAlign w:val="center"/>
          </w:tcPr>
          <w:p w14:paraId="6131535D">
            <w:pPr>
              <w:jc w:val="center"/>
            </w:pPr>
            <w:r>
              <w:t>优化空间布局。合理确定发展布局、结构和规模。 充分考虑水资源、水环境承载能力，以水定城、以 水定地、以水定人、以水定产。重大项目原则上布 局在优化开发区和重点开发区，并符合城乡规划和 土地利用总体规划。鼓励发展节水高效现代农业、 低耗水高新技术产业以及生态保护型旅游业，严格 控制缺水地区、水污染严重地区和敏感区域高耗水、  高污染行业发展，新建、改建、扩建重点行业建设 项目实行主要污染物排放减量置换。</w:t>
            </w:r>
          </w:p>
        </w:tc>
        <w:tc>
          <w:tcPr>
            <w:tcW w:w="2070" w:type="dxa"/>
            <w:vAlign w:val="center"/>
          </w:tcPr>
          <w:p w14:paraId="0049BB32">
            <w:pPr>
              <w:jc w:val="center"/>
            </w:pPr>
            <w:r>
              <w:t>项目云南省德宏州芒市遮放镇户拉村委会遮焕村民小组盛达泰硅业厂区内，为工业用地。项目不属于高耗水、高污染项目， 不属于重点行业建设项目。</w:t>
            </w:r>
          </w:p>
        </w:tc>
        <w:tc>
          <w:tcPr>
            <w:tcW w:w="911" w:type="dxa"/>
            <w:vAlign w:val="center"/>
          </w:tcPr>
          <w:p w14:paraId="7B214645">
            <w:pPr>
              <w:jc w:val="center"/>
            </w:pPr>
            <w:r>
              <w:t>符合</w:t>
            </w:r>
          </w:p>
        </w:tc>
      </w:tr>
    </w:tbl>
    <w:p w14:paraId="37DE8868">
      <w:pPr>
        <w:pStyle w:val="289"/>
        <w:spacing w:line="360" w:lineRule="auto"/>
        <w:ind w:left="51" w:right="51" w:firstLine="480" w:firstLineChars="200"/>
      </w:pPr>
      <w:r>
        <w:rPr>
          <w:bCs/>
          <w:color w:val="000000" w:themeColor="text1"/>
          <w:sz w:val="24"/>
        </w:rPr>
        <w:t>项目符合《水污染防治行动计划》（国发〔2015〕17 号）的相关要求。</w:t>
      </w:r>
    </w:p>
    <w:p w14:paraId="505A2E52">
      <w:pPr>
        <w:pStyle w:val="296"/>
        <w:ind w:firstLine="482"/>
        <w:rPr>
          <w:rFonts w:cs="Times New Roman"/>
          <w:b/>
          <w:color w:val="000000" w:themeColor="text1"/>
        </w:rPr>
      </w:pPr>
    </w:p>
    <w:p w14:paraId="2CD07975">
      <w:pPr>
        <w:pStyle w:val="296"/>
        <w:ind w:firstLine="482"/>
        <w:rPr>
          <w:rFonts w:cs="Times New Roman"/>
          <w:b/>
          <w:color w:val="000000" w:themeColor="text1"/>
        </w:rPr>
      </w:pPr>
      <w:r>
        <w:rPr>
          <w:rFonts w:hint="eastAsia" w:ascii="宋体" w:hAnsi="宋体"/>
          <w:b/>
          <w:color w:val="000000" w:themeColor="text1"/>
        </w:rPr>
        <w:t>②</w:t>
      </w:r>
      <w:r>
        <w:rPr>
          <w:rFonts w:cs="Times New Roman"/>
          <w:b/>
          <w:color w:val="000000" w:themeColor="text1"/>
        </w:rPr>
        <w:t>项目与《国务院关于印发打赢蓝天保卫战三年行动计划的通知》（国发〔2018〕22 号）的符合性分析</w:t>
      </w:r>
    </w:p>
    <w:p w14:paraId="720F8F0C">
      <w:pPr>
        <w:pStyle w:val="289"/>
        <w:spacing w:line="360" w:lineRule="auto"/>
        <w:ind w:left="51" w:right="51" w:firstLine="480" w:firstLineChars="200"/>
        <w:rPr>
          <w:bCs/>
          <w:color w:val="000000" w:themeColor="text1"/>
          <w:sz w:val="24"/>
        </w:rPr>
      </w:pPr>
      <w:r>
        <w:rPr>
          <w:bCs/>
          <w:color w:val="000000" w:themeColor="text1"/>
          <w:sz w:val="24"/>
        </w:rPr>
        <w:t>《国务院关于印发打赢蓝天保卫战三年行动计划的通知》（国发〔2018〕22 号），共 10 条 39 款，其中与本项目密切相关的规定为第二十、二十五条。项目与《大气污染防治行动计划》的符合性分析见表 1-2。</w:t>
      </w:r>
    </w:p>
    <w:p w14:paraId="48040B80">
      <w:pPr>
        <w:jc w:val="center"/>
        <w:rPr>
          <w:b/>
          <w:color w:val="000000" w:themeColor="text1"/>
          <w:sz w:val="24"/>
        </w:rPr>
      </w:pPr>
      <w:r>
        <w:rPr>
          <w:b/>
          <w:color w:val="000000" w:themeColor="text1"/>
          <w:sz w:val="24"/>
        </w:rPr>
        <w:t xml:space="preserve">表 1-2  </w:t>
      </w:r>
      <w:r>
        <w:rPr>
          <w:b/>
          <w:color w:val="000000" w:themeColor="text1"/>
          <w:sz w:val="24"/>
        </w:rPr>
        <w:tab/>
      </w:r>
      <w:r>
        <w:rPr>
          <w:b/>
          <w:color w:val="000000" w:themeColor="text1"/>
          <w:sz w:val="24"/>
        </w:rPr>
        <w:t>国务院关于印发打赢蓝天保卫战三年行动计划的通知符合性分析</w:t>
      </w:r>
    </w:p>
    <w:tbl>
      <w:tblPr>
        <w:tblStyle w:val="42"/>
        <w:tblW w:w="0" w:type="auto"/>
        <w:tblInd w:w="112"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29"/>
        <w:gridCol w:w="5018"/>
        <w:gridCol w:w="1536"/>
        <w:gridCol w:w="739"/>
      </w:tblGrid>
      <w:tr w14:paraId="047964CC">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29" w:type="dxa"/>
            <w:vAlign w:val="center"/>
          </w:tcPr>
          <w:p w14:paraId="3C9C414A">
            <w:pPr>
              <w:jc w:val="center"/>
            </w:pPr>
            <w:r>
              <w:t>序号</w:t>
            </w:r>
          </w:p>
        </w:tc>
        <w:tc>
          <w:tcPr>
            <w:tcW w:w="5018" w:type="dxa"/>
            <w:vAlign w:val="center"/>
          </w:tcPr>
          <w:p w14:paraId="15533C5A">
            <w:pPr>
              <w:jc w:val="center"/>
            </w:pPr>
            <w:r>
              <w:t>相关要求</w:t>
            </w:r>
          </w:p>
        </w:tc>
        <w:tc>
          <w:tcPr>
            <w:tcW w:w="1536" w:type="dxa"/>
            <w:vAlign w:val="center"/>
          </w:tcPr>
          <w:p w14:paraId="46842203">
            <w:pPr>
              <w:jc w:val="center"/>
            </w:pPr>
            <w:r>
              <w:t>本项目情况</w:t>
            </w:r>
          </w:p>
        </w:tc>
        <w:tc>
          <w:tcPr>
            <w:tcW w:w="739" w:type="dxa"/>
            <w:vAlign w:val="center"/>
          </w:tcPr>
          <w:p w14:paraId="39C656EA">
            <w:pPr>
              <w:jc w:val="center"/>
            </w:pPr>
            <w:r>
              <w:t>符合情况</w:t>
            </w:r>
          </w:p>
        </w:tc>
      </w:tr>
      <w:tr w14:paraId="3E7058AD">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29" w:type="dxa"/>
            <w:vAlign w:val="center"/>
          </w:tcPr>
          <w:p w14:paraId="5B87B117">
            <w:pPr>
              <w:jc w:val="center"/>
            </w:pPr>
            <w:r>
              <w:t>（二十）</w:t>
            </w:r>
          </w:p>
        </w:tc>
        <w:tc>
          <w:tcPr>
            <w:tcW w:w="5018" w:type="dxa"/>
            <w:vAlign w:val="center"/>
          </w:tcPr>
          <w:p w14:paraId="286BEEE9">
            <w:pPr>
              <w:jc w:val="center"/>
            </w:pPr>
            <w:r>
              <w:t>加强扬尘综合治理。严格施工扬尘监管。2018 年底前，</w:t>
            </w:r>
          </w:p>
          <w:p w14:paraId="157D664C">
            <w:pPr>
              <w:jc w:val="center"/>
            </w:pPr>
            <w:r>
              <w:t>各地建立施工工地管理清单。因地制宜稳步发展装配</w:t>
            </w:r>
          </w:p>
          <w:p w14:paraId="6A2825F8">
            <w:pPr>
              <w:jc w:val="center"/>
            </w:pPr>
            <w:r>
              <w:t>式建筑。将施工工地扬尘污染防治纳入文明施工管理</w:t>
            </w:r>
          </w:p>
          <w:p w14:paraId="5E3468C9">
            <w:pPr>
              <w:jc w:val="center"/>
            </w:pPr>
            <w:r>
              <w:t>范畴，建立扬尘控制责任制度，扬尘治理费用列入工</w:t>
            </w:r>
          </w:p>
          <w:p w14:paraId="42FF3296">
            <w:pPr>
              <w:jc w:val="center"/>
            </w:pPr>
            <w:r>
              <w:t>程造价。重点区域建筑施工工地要做到工地周边围</w:t>
            </w:r>
          </w:p>
          <w:p w14:paraId="72492BB5">
            <w:pPr>
              <w:jc w:val="center"/>
            </w:pPr>
            <w:r>
              <w:t>挡、物料堆放覆盖、土方开挖湿法作业、路面硬化、</w:t>
            </w:r>
          </w:p>
          <w:p w14:paraId="508CEB05">
            <w:pPr>
              <w:jc w:val="center"/>
            </w:pPr>
            <w:r>
              <w:t>出入车辆清洗、渣土车辆密闭运输“六个百分之百”，</w:t>
            </w:r>
          </w:p>
          <w:p w14:paraId="7D448D7D">
            <w:pPr>
              <w:jc w:val="center"/>
            </w:pPr>
            <w:r>
              <w:t>安装在线监测和视频监控设备，并与当地有关主管部</w:t>
            </w:r>
          </w:p>
          <w:p w14:paraId="395DD7B3">
            <w:pPr>
              <w:jc w:val="center"/>
            </w:pPr>
            <w:r>
              <w:t>门联网。将扬尘管理工作不到位的不良信息纳入建筑</w:t>
            </w:r>
          </w:p>
          <w:p w14:paraId="3CF93188">
            <w:pPr>
              <w:jc w:val="center"/>
            </w:pPr>
            <w:r>
              <w:t>市场信用管理体系，情节严重的，列入建筑市场主体</w:t>
            </w:r>
          </w:p>
          <w:p w14:paraId="63963B25">
            <w:pPr>
              <w:jc w:val="center"/>
            </w:pPr>
            <w:r>
              <w:t>“黑名单”。加强道路扬尘综合整治。大力推进道路</w:t>
            </w:r>
          </w:p>
          <w:p w14:paraId="0624192D">
            <w:pPr>
              <w:jc w:val="center"/>
            </w:pPr>
            <w:r>
              <w:t>清扫保洁机械化作业，提高道路机械化清扫率，2020</w:t>
            </w:r>
          </w:p>
          <w:p w14:paraId="461B45C1">
            <w:pPr>
              <w:jc w:val="center"/>
            </w:pPr>
            <w:r>
              <w:t>年底前，地级及以上城市建成区达到 70%以上，县城</w:t>
            </w:r>
          </w:p>
          <w:p w14:paraId="2B46C377">
            <w:pPr>
              <w:jc w:val="center"/>
            </w:pPr>
            <w:r>
              <w:t>达到 60%以上，重点区域要显著提高。严格渣土运输</w:t>
            </w:r>
          </w:p>
          <w:p w14:paraId="11F83655">
            <w:pPr>
              <w:jc w:val="center"/>
            </w:pPr>
            <w:r>
              <w:t>车辆规范化管理，渣土运输车要密闭。</w:t>
            </w:r>
          </w:p>
        </w:tc>
        <w:tc>
          <w:tcPr>
            <w:tcW w:w="1536" w:type="dxa"/>
            <w:vAlign w:val="center"/>
          </w:tcPr>
          <w:p w14:paraId="22E11F9B">
            <w:pPr>
              <w:jc w:val="center"/>
            </w:pPr>
            <w:r>
              <w:t>项目施工过程</w:t>
            </w:r>
          </w:p>
          <w:p w14:paraId="0FC03A3E">
            <w:pPr>
              <w:jc w:val="center"/>
            </w:pPr>
            <w:r>
              <w:t>中严格施工扬</w:t>
            </w:r>
          </w:p>
          <w:p w14:paraId="68EBF989">
            <w:pPr>
              <w:jc w:val="center"/>
            </w:pPr>
            <w:r>
              <w:t>尘监管，施工</w:t>
            </w:r>
          </w:p>
          <w:p w14:paraId="703CB73E">
            <w:pPr>
              <w:jc w:val="center"/>
            </w:pPr>
            <w:r>
              <w:t>工地周边设置</w:t>
            </w:r>
          </w:p>
          <w:p w14:paraId="6E84C8AD">
            <w:pPr>
              <w:jc w:val="center"/>
            </w:pPr>
            <w:r>
              <w:t>围挡、物料堆</w:t>
            </w:r>
          </w:p>
          <w:p w14:paraId="24E7ED1B">
            <w:pPr>
              <w:jc w:val="center"/>
            </w:pPr>
            <w:r>
              <w:t>放使用篷布进</w:t>
            </w:r>
          </w:p>
          <w:p w14:paraId="26029207">
            <w:pPr>
              <w:jc w:val="center"/>
            </w:pPr>
            <w:r>
              <w:t>行遮盖，运输</w:t>
            </w:r>
          </w:p>
          <w:p w14:paraId="395046FA">
            <w:pPr>
              <w:jc w:val="center"/>
            </w:pPr>
            <w:r>
              <w:t>物料、渣土车</w:t>
            </w:r>
          </w:p>
          <w:p w14:paraId="08D1BF5C">
            <w:pPr>
              <w:jc w:val="center"/>
            </w:pPr>
            <w:r>
              <w:t>辆遮盖篷布封</w:t>
            </w:r>
          </w:p>
          <w:p w14:paraId="227E70DD">
            <w:pPr>
              <w:jc w:val="center"/>
            </w:pPr>
            <w:r>
              <w:t>闭运输，项目</w:t>
            </w:r>
          </w:p>
          <w:p w14:paraId="6A0EA014">
            <w:pPr>
              <w:jc w:val="center"/>
            </w:pPr>
            <w:r>
              <w:t>建成后地面全</w:t>
            </w:r>
          </w:p>
          <w:p w14:paraId="79CA22C4">
            <w:pPr>
              <w:jc w:val="center"/>
            </w:pPr>
            <w:r>
              <w:t>部进行硬化处</w:t>
            </w:r>
          </w:p>
          <w:p w14:paraId="763CABF3">
            <w:pPr>
              <w:jc w:val="center"/>
            </w:pPr>
            <w:r>
              <w:t>理。</w:t>
            </w:r>
          </w:p>
        </w:tc>
        <w:tc>
          <w:tcPr>
            <w:tcW w:w="739" w:type="dxa"/>
            <w:vAlign w:val="center"/>
          </w:tcPr>
          <w:p w14:paraId="6A9C7CF4">
            <w:pPr>
              <w:jc w:val="center"/>
            </w:pPr>
            <w:r>
              <w:t>符合</w:t>
            </w:r>
          </w:p>
        </w:tc>
      </w:tr>
      <w:tr w14:paraId="2AF92DA5">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29" w:type="dxa"/>
            <w:vAlign w:val="center"/>
          </w:tcPr>
          <w:p w14:paraId="7A41E97F">
            <w:pPr>
              <w:jc w:val="center"/>
            </w:pPr>
            <w:r>
              <w:t>（二十五）</w:t>
            </w:r>
          </w:p>
        </w:tc>
        <w:tc>
          <w:tcPr>
            <w:tcW w:w="5018" w:type="dxa"/>
            <w:vAlign w:val="center"/>
          </w:tcPr>
          <w:p w14:paraId="2627C74D">
            <w:pPr>
              <w:jc w:val="center"/>
            </w:pPr>
            <w:r>
              <w:t>实施 VOCs 专项整治方案。制定石化、化工、工业涂</w:t>
            </w:r>
          </w:p>
          <w:p w14:paraId="1B006BD8">
            <w:pPr>
              <w:jc w:val="center"/>
            </w:pPr>
            <w:r>
              <w:t>装、包装印刷等 VOCs 排放重点行业和油品储运销综</w:t>
            </w:r>
          </w:p>
          <w:p w14:paraId="6E39B13F">
            <w:pPr>
              <w:jc w:val="center"/>
            </w:pPr>
            <w:r>
              <w:t>合整治方案，出台泄漏检测与修复标准，编制 VOCs</w:t>
            </w:r>
          </w:p>
          <w:p w14:paraId="7BCB1925">
            <w:pPr>
              <w:jc w:val="center"/>
            </w:pPr>
            <w:r>
              <w:t>治理技术指南。重点区域禁止建设生产和使用高 VOCs</w:t>
            </w:r>
          </w:p>
          <w:p w14:paraId="6ECFC85C">
            <w:pPr>
              <w:jc w:val="center"/>
            </w:pPr>
            <w:r>
              <w:t>含量的溶剂型涂料、油墨、胶粘剂等项目，加大餐饮</w:t>
            </w:r>
          </w:p>
          <w:p w14:paraId="085E9D05">
            <w:pPr>
              <w:jc w:val="center"/>
            </w:pPr>
            <w:r>
              <w:t>油烟治理力度。开展 VOCs 整治专项执法行动，严厉</w:t>
            </w:r>
          </w:p>
          <w:p w14:paraId="75D89C45">
            <w:pPr>
              <w:jc w:val="center"/>
            </w:pPr>
            <w:r>
              <w:t>打击违法排污行为，对治理效果差、技术服务能力弱、</w:t>
            </w:r>
          </w:p>
          <w:p w14:paraId="0A9EB548">
            <w:pPr>
              <w:jc w:val="center"/>
            </w:pPr>
            <w:r>
              <w:t>运营管理水平低的治理单位，公布名单，实行联合惩戒，扶持培育 VOCs 治理和服务专业化规模化龙头企业。2020 年，VOCs 排放总量较 2015 年下降 10%以上。</w:t>
            </w:r>
          </w:p>
        </w:tc>
        <w:tc>
          <w:tcPr>
            <w:tcW w:w="1536" w:type="dxa"/>
            <w:vAlign w:val="center"/>
          </w:tcPr>
          <w:p w14:paraId="2359C6E5">
            <w:pPr>
              <w:jc w:val="center"/>
            </w:pPr>
            <w:r>
              <w:t>项目生产过程</w:t>
            </w:r>
          </w:p>
          <w:p w14:paraId="5428BB9A">
            <w:pPr>
              <w:jc w:val="center"/>
            </w:pPr>
            <w:r>
              <w:t>中产生的 非甲烷总烃采用集气罩收集+过滤棉+UV光解吸附装置处理后，通过 15m 排气筒排放，可有效减少非甲烷总烃排放量，对环境的影响。</w:t>
            </w:r>
          </w:p>
        </w:tc>
        <w:tc>
          <w:tcPr>
            <w:tcW w:w="739" w:type="dxa"/>
            <w:vAlign w:val="center"/>
          </w:tcPr>
          <w:p w14:paraId="15BDE717">
            <w:pPr>
              <w:jc w:val="center"/>
            </w:pPr>
            <w:r>
              <w:t>符合</w:t>
            </w:r>
          </w:p>
        </w:tc>
      </w:tr>
    </w:tbl>
    <w:p w14:paraId="1609F027">
      <w:pPr>
        <w:pStyle w:val="289"/>
        <w:spacing w:line="360" w:lineRule="auto"/>
        <w:ind w:left="51" w:right="51" w:firstLine="480" w:firstLineChars="200"/>
        <w:jc w:val="left"/>
        <w:rPr>
          <w:bCs/>
          <w:color w:val="000000" w:themeColor="text1"/>
          <w:sz w:val="24"/>
        </w:rPr>
      </w:pPr>
      <w:r>
        <w:rPr>
          <w:bCs/>
          <w:color w:val="000000" w:themeColor="text1"/>
          <w:sz w:val="24"/>
        </w:rPr>
        <w:t>项目符合《国务院关于印发打赢蓝天保卫战三年行动计划的通知》（国发〔2018〕22 号）的相关要求。</w:t>
      </w:r>
    </w:p>
    <w:p w14:paraId="3020B2FE">
      <w:pPr>
        <w:pStyle w:val="296"/>
        <w:ind w:firstLine="482"/>
        <w:rPr>
          <w:rFonts w:cs="Times New Roman"/>
          <w:b/>
          <w:color w:val="000000" w:themeColor="text1"/>
        </w:rPr>
      </w:pPr>
      <w:r>
        <w:rPr>
          <w:rFonts w:hint="eastAsia" w:ascii="宋体" w:hAnsi="宋体"/>
          <w:b/>
          <w:color w:val="000000" w:themeColor="text1"/>
        </w:rPr>
        <w:t>③</w:t>
      </w:r>
      <w:r>
        <w:rPr>
          <w:rFonts w:cs="Times New Roman"/>
          <w:b/>
          <w:color w:val="000000" w:themeColor="text1"/>
        </w:rPr>
        <w:t>项目与《云南省打赢蓝天保卫战三年行动实施方案》（云政发[2018]44号）符合性分析</w:t>
      </w:r>
    </w:p>
    <w:p w14:paraId="44D2CECA">
      <w:pPr>
        <w:jc w:val="center"/>
        <w:rPr>
          <w:b/>
          <w:bCs/>
          <w:sz w:val="9"/>
          <w:szCs w:val="9"/>
        </w:rPr>
      </w:pPr>
      <w:r>
        <w:rPr>
          <w:b/>
          <w:color w:val="000000" w:themeColor="text1"/>
          <w:sz w:val="24"/>
        </w:rPr>
        <w:t>表 1-3</w:t>
      </w:r>
      <w:r>
        <w:rPr>
          <w:b/>
          <w:color w:val="000000" w:themeColor="text1"/>
          <w:sz w:val="24"/>
        </w:rPr>
        <w:tab/>
      </w:r>
      <w:r>
        <w:rPr>
          <w:b/>
          <w:color w:val="000000" w:themeColor="text1"/>
          <w:sz w:val="24"/>
        </w:rPr>
        <w:t xml:space="preserve"> 云南省打赢蓝天保卫战三年行动实施方案符合性分析</w:t>
      </w:r>
    </w:p>
    <w:tbl>
      <w:tblPr>
        <w:tblStyle w:val="42"/>
        <w:tblW w:w="0" w:type="auto"/>
        <w:tblInd w:w="112"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01"/>
        <w:gridCol w:w="5268"/>
        <w:gridCol w:w="1535"/>
        <w:gridCol w:w="718"/>
      </w:tblGrid>
      <w:tr w14:paraId="46440B07">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001" w:type="dxa"/>
            <w:vAlign w:val="center"/>
          </w:tcPr>
          <w:p w14:paraId="38944E95">
            <w:pPr>
              <w:jc w:val="center"/>
            </w:pPr>
            <w:r>
              <w:t>序号</w:t>
            </w:r>
          </w:p>
        </w:tc>
        <w:tc>
          <w:tcPr>
            <w:tcW w:w="5268" w:type="dxa"/>
            <w:vAlign w:val="center"/>
          </w:tcPr>
          <w:p w14:paraId="2C6F7636">
            <w:pPr>
              <w:jc w:val="center"/>
            </w:pPr>
            <w:r>
              <w:t>相关要求</w:t>
            </w:r>
          </w:p>
        </w:tc>
        <w:tc>
          <w:tcPr>
            <w:tcW w:w="1535" w:type="dxa"/>
            <w:vAlign w:val="center"/>
          </w:tcPr>
          <w:p w14:paraId="04BAA8F8">
            <w:pPr>
              <w:jc w:val="center"/>
            </w:pPr>
            <w:r>
              <w:t>本项目情况</w:t>
            </w:r>
          </w:p>
        </w:tc>
        <w:tc>
          <w:tcPr>
            <w:tcW w:w="718" w:type="dxa"/>
            <w:vAlign w:val="center"/>
          </w:tcPr>
          <w:p w14:paraId="2BB6D661">
            <w:pPr>
              <w:jc w:val="center"/>
            </w:pPr>
            <w:r>
              <w:t>符合情况</w:t>
            </w:r>
          </w:p>
        </w:tc>
      </w:tr>
      <w:tr w14:paraId="2C82A4C4">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001" w:type="dxa"/>
            <w:vAlign w:val="center"/>
          </w:tcPr>
          <w:p w14:paraId="083FE402">
            <w:pPr>
              <w:jc w:val="center"/>
            </w:pPr>
            <w:r>
              <w:t>（十五） 加强扬尘综合治理</w:t>
            </w:r>
          </w:p>
        </w:tc>
        <w:tc>
          <w:tcPr>
            <w:tcW w:w="5268" w:type="dxa"/>
            <w:vAlign w:val="center"/>
          </w:tcPr>
          <w:p w14:paraId="39C048E9">
            <w:pPr>
              <w:jc w:val="center"/>
            </w:pPr>
            <w:r>
              <w:t>严格施工扬尘监管。2018 年底前，各州、市建立施工工地管理清单。因地制宜稳步发展装配式建筑。将施工工地扬尘污染防治纳入文明施工管理范畴，建立扬尘控制责任制度，扬尘治理费用列入工程造价。建立健全城市建筑工地扬尘污染防治网格化监管机制，突出解决城市扬尘污染问题。建筑施工工地要做到工地周边围挡、物料堆放覆盖、土方开挖湿法作业、路面硬化、出入车辆清洗、渣土车辆密闭运输“六个百分之百”，安装在线监测和视频监控设备，并与当地有关主管部门联网。将扬尘管理工作不到位的不良信息纳入建筑市场信用管理体系，情节严重的，列入建筑市场主体“黑名单”。加强道路扬尘综合整治。大力推进道路清扫保洁机械化作业，提高道路机械化清扫率，2020 年底前，昆明城市建成区达到70%以上，其他地级城市建成区达到70%以上，县城达到60%以上。严格渣土运输车辆规范化管理，渣土运输车要密闭。</w:t>
            </w:r>
          </w:p>
        </w:tc>
        <w:tc>
          <w:tcPr>
            <w:tcW w:w="1535" w:type="dxa"/>
            <w:vAlign w:val="center"/>
          </w:tcPr>
          <w:p w14:paraId="5ECF92AA">
            <w:pPr>
              <w:jc w:val="center"/>
            </w:pPr>
            <w:r>
              <w:t>项目施工过程中严格施工扬尘监管，施工工地周边设置围挡、物料堆放使用篷布进行遮盖，运输物料、渣土车辆遮盖篷布封闭运输，项目建成后地面全部进行硬化处理。</w:t>
            </w:r>
          </w:p>
        </w:tc>
        <w:tc>
          <w:tcPr>
            <w:tcW w:w="718" w:type="dxa"/>
            <w:vAlign w:val="center"/>
          </w:tcPr>
          <w:p w14:paraId="215C7887">
            <w:pPr>
              <w:jc w:val="center"/>
            </w:pPr>
            <w:r>
              <w:t>符合</w:t>
            </w:r>
          </w:p>
        </w:tc>
      </w:tr>
      <w:tr w14:paraId="501F8F43">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001" w:type="dxa"/>
            <w:vAlign w:val="center"/>
          </w:tcPr>
          <w:p w14:paraId="5699FC2E">
            <w:pPr>
              <w:jc w:val="center"/>
            </w:pPr>
            <w:r>
              <w:t>（十九） 实施VOCs 专项整治</w:t>
            </w:r>
          </w:p>
          <w:p w14:paraId="6440AADE">
            <w:pPr>
              <w:jc w:val="center"/>
            </w:pPr>
            <w:r>
              <w:t>方案。</w:t>
            </w:r>
          </w:p>
        </w:tc>
        <w:tc>
          <w:tcPr>
            <w:tcW w:w="5268" w:type="dxa"/>
            <w:vAlign w:val="center"/>
          </w:tcPr>
          <w:p w14:paraId="09F0602E">
            <w:pPr>
              <w:jc w:val="center"/>
            </w:pPr>
            <w:r>
              <w:t>制定石化、化工、工业涂装、包装印刷、汽车维修等 VOCs 排放重点行业和油品储运销综合整治方案。加大餐饮油烟治理力度。开展 VOCs 整治专项执法行动，严厉打击违</w:t>
            </w:r>
          </w:p>
          <w:p w14:paraId="530478A8">
            <w:pPr>
              <w:jc w:val="center"/>
            </w:pPr>
            <w:r>
              <w:t>法排污行为，对治理效果差、技术服务能力弱、运营管</w:t>
            </w:r>
          </w:p>
          <w:p w14:paraId="08733351">
            <w:pPr>
              <w:jc w:val="center"/>
            </w:pPr>
            <w:r>
              <w:t>理水平低的治理单位，公布名单，实行联合惩戒，扶持</w:t>
            </w:r>
          </w:p>
          <w:p w14:paraId="14C6BFFA">
            <w:pPr>
              <w:jc w:val="center"/>
            </w:pPr>
            <w:r>
              <w:t>培育 VOCs 治理和服务专业化规模化龙头企业。</w:t>
            </w:r>
          </w:p>
        </w:tc>
        <w:tc>
          <w:tcPr>
            <w:tcW w:w="1535" w:type="dxa"/>
            <w:vAlign w:val="center"/>
          </w:tcPr>
          <w:p w14:paraId="77AAAEDA">
            <w:pPr>
              <w:jc w:val="center"/>
            </w:pPr>
            <w:r>
              <w:t>目生产过程</w:t>
            </w:r>
          </w:p>
          <w:p w14:paraId="1F7757B8">
            <w:pPr>
              <w:jc w:val="center"/>
            </w:pPr>
            <w:r>
              <w:t>中产生的 非甲烷总烃采用集气罩收集+过滤棉+UV光解吸附装置处理后，通过 15m 排气筒排放，可有效减少非甲烷总烃排放量，对环境的影响。</w:t>
            </w:r>
          </w:p>
        </w:tc>
        <w:tc>
          <w:tcPr>
            <w:tcW w:w="718" w:type="dxa"/>
            <w:vAlign w:val="center"/>
          </w:tcPr>
          <w:p w14:paraId="708626AB">
            <w:pPr>
              <w:jc w:val="center"/>
            </w:pPr>
            <w:r>
              <w:t>符合</w:t>
            </w:r>
          </w:p>
        </w:tc>
      </w:tr>
    </w:tbl>
    <w:p w14:paraId="765D02F9">
      <w:pPr>
        <w:pStyle w:val="289"/>
        <w:spacing w:line="360" w:lineRule="auto"/>
        <w:ind w:left="51" w:right="51" w:firstLine="480" w:firstLineChars="200"/>
        <w:jc w:val="left"/>
      </w:pPr>
      <w:r>
        <w:rPr>
          <w:bCs/>
          <w:color w:val="000000" w:themeColor="text1"/>
          <w:sz w:val="24"/>
        </w:rPr>
        <w:t>项目符合《云南省打赢蓝天保卫战三年行动实施方案》（云政发[2018]44号）的相关要求。</w:t>
      </w:r>
    </w:p>
    <w:p w14:paraId="26A4E127">
      <w:pPr>
        <w:pStyle w:val="296"/>
        <w:ind w:firstLine="482"/>
        <w:rPr>
          <w:rFonts w:cs="Times New Roman"/>
          <w:b/>
          <w:color w:val="000000" w:themeColor="text1"/>
        </w:rPr>
      </w:pPr>
      <w:r>
        <w:rPr>
          <w:rFonts w:hint="eastAsia" w:ascii="宋体" w:hAnsi="宋体"/>
          <w:b/>
          <w:color w:val="000000" w:themeColor="text1"/>
        </w:rPr>
        <w:t>④</w:t>
      </w:r>
      <w:r>
        <w:rPr>
          <w:rFonts w:cs="Times New Roman"/>
          <w:b/>
          <w:color w:val="000000" w:themeColor="text1"/>
        </w:rPr>
        <w:t>项目与《土壤污染防治行动计划》的符合性分析</w:t>
      </w:r>
    </w:p>
    <w:p w14:paraId="776EC351">
      <w:pPr>
        <w:pStyle w:val="289"/>
        <w:spacing w:line="360" w:lineRule="auto"/>
        <w:ind w:left="51" w:right="51" w:firstLine="480" w:firstLineChars="200"/>
        <w:jc w:val="left"/>
        <w:rPr>
          <w:bCs/>
          <w:color w:val="000000" w:themeColor="text1"/>
          <w:sz w:val="24"/>
        </w:rPr>
      </w:pPr>
      <w:r>
        <w:rPr>
          <w:bCs/>
          <w:color w:val="000000" w:themeColor="text1"/>
          <w:sz w:val="24"/>
        </w:rPr>
        <w:t>《土壤污染防治行动计划》（国发〔2016〕31 号），共 10 条 35 款，其中与本项目密切相关的规定为第八、十六、十九条。项目与《土壤污染防治行动计划》的符合性分析见表 1-4。</w:t>
      </w:r>
    </w:p>
    <w:p w14:paraId="047906FA">
      <w:pPr>
        <w:pStyle w:val="289"/>
        <w:spacing w:line="360" w:lineRule="auto"/>
        <w:ind w:left="51" w:right="51" w:firstLine="480" w:firstLineChars="200"/>
        <w:jc w:val="left"/>
        <w:rPr>
          <w:bCs/>
          <w:color w:val="000000" w:themeColor="text1"/>
          <w:sz w:val="24"/>
        </w:rPr>
      </w:pPr>
    </w:p>
    <w:p w14:paraId="762E8268">
      <w:pPr>
        <w:jc w:val="center"/>
        <w:rPr>
          <w:b/>
          <w:color w:val="000000" w:themeColor="text1"/>
          <w:sz w:val="24"/>
        </w:rPr>
      </w:pPr>
      <w:r>
        <w:rPr>
          <w:b/>
          <w:color w:val="000000" w:themeColor="text1"/>
          <w:sz w:val="24"/>
        </w:rPr>
        <w:t>表 1-4</w:t>
      </w:r>
      <w:r>
        <w:rPr>
          <w:b/>
          <w:color w:val="000000" w:themeColor="text1"/>
          <w:sz w:val="24"/>
        </w:rPr>
        <w:tab/>
      </w:r>
      <w:r>
        <w:rPr>
          <w:b/>
          <w:color w:val="000000" w:themeColor="text1"/>
          <w:sz w:val="24"/>
        </w:rPr>
        <w:t>土壤污染防治行动计划符合性分析表</w:t>
      </w:r>
    </w:p>
    <w:tbl>
      <w:tblPr>
        <w:tblStyle w:val="42"/>
        <w:tblW w:w="0" w:type="auto"/>
        <w:tblInd w:w="112" w:type="dxa"/>
        <w:tblBorders>
          <w:top w:val="single" w:color="000000" w:sz="18" w:space="0"/>
          <w:left w:val="none" w:color="auto" w:sz="0" w:space="0"/>
          <w:bottom w:val="single" w:color="000000" w:sz="1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739"/>
        <w:gridCol w:w="4232"/>
        <w:gridCol w:w="2800"/>
        <w:gridCol w:w="751"/>
      </w:tblGrid>
      <w:tr w14:paraId="53635CED">
        <w:tblPrEx>
          <w:tblBorders>
            <w:top w:val="single" w:color="000000" w:sz="18" w:space="0"/>
            <w:left w:val="none" w:color="auto" w:sz="0" w:space="0"/>
            <w:bottom w:val="single" w:color="000000" w:sz="1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739" w:type="dxa"/>
            <w:vAlign w:val="center"/>
          </w:tcPr>
          <w:p w14:paraId="426C7CB0">
            <w:pPr>
              <w:adjustRightInd w:val="0"/>
              <w:ind w:left="105" w:leftChars="50" w:right="105" w:rightChars="50"/>
              <w:jc w:val="center"/>
            </w:pPr>
            <w:r>
              <w:t>序号</w:t>
            </w:r>
          </w:p>
        </w:tc>
        <w:tc>
          <w:tcPr>
            <w:tcW w:w="4232" w:type="dxa"/>
            <w:vAlign w:val="center"/>
          </w:tcPr>
          <w:p w14:paraId="00CE835D">
            <w:pPr>
              <w:adjustRightInd w:val="0"/>
              <w:ind w:left="105" w:leftChars="50" w:right="105" w:rightChars="50"/>
              <w:jc w:val="center"/>
            </w:pPr>
            <w:r>
              <w:t>相关要求</w:t>
            </w:r>
          </w:p>
        </w:tc>
        <w:tc>
          <w:tcPr>
            <w:tcW w:w="2800" w:type="dxa"/>
            <w:vAlign w:val="center"/>
          </w:tcPr>
          <w:p w14:paraId="43A4A7D2">
            <w:pPr>
              <w:adjustRightInd w:val="0"/>
              <w:ind w:left="105" w:leftChars="50" w:right="105" w:rightChars="50"/>
              <w:jc w:val="center"/>
            </w:pPr>
            <w:r>
              <w:t>本项目情况</w:t>
            </w:r>
          </w:p>
        </w:tc>
        <w:tc>
          <w:tcPr>
            <w:tcW w:w="751" w:type="dxa"/>
            <w:vAlign w:val="center"/>
          </w:tcPr>
          <w:p w14:paraId="24C736D9">
            <w:pPr>
              <w:adjustRightInd w:val="0"/>
              <w:ind w:left="105" w:leftChars="50" w:right="105" w:rightChars="50"/>
              <w:jc w:val="center"/>
            </w:pPr>
            <w:r>
              <w:t>符合情况</w:t>
            </w:r>
          </w:p>
        </w:tc>
      </w:tr>
      <w:tr w14:paraId="4A416F71">
        <w:tblPrEx>
          <w:tblBorders>
            <w:top w:val="single" w:color="000000" w:sz="18" w:space="0"/>
            <w:left w:val="none" w:color="auto" w:sz="0" w:space="0"/>
            <w:bottom w:val="single" w:color="000000" w:sz="1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739" w:type="dxa"/>
            <w:vAlign w:val="center"/>
          </w:tcPr>
          <w:p w14:paraId="145563E3">
            <w:pPr>
              <w:adjustRightInd w:val="0"/>
              <w:ind w:left="105" w:leftChars="50" w:right="105" w:rightChars="50"/>
              <w:jc w:val="center"/>
            </w:pPr>
            <w:r>
              <w:t>（八）</w:t>
            </w:r>
          </w:p>
        </w:tc>
        <w:tc>
          <w:tcPr>
            <w:tcW w:w="4232" w:type="dxa"/>
            <w:vAlign w:val="center"/>
          </w:tcPr>
          <w:p w14:paraId="4F8372AC">
            <w:pPr>
              <w:pStyle w:val="281"/>
              <w:kinsoku w:val="0"/>
              <w:overflowPunct w:val="0"/>
              <w:adjustRightInd w:val="0"/>
              <w:ind w:left="105" w:leftChars="50" w:right="105" w:rightChars="50"/>
              <w:jc w:val="center"/>
              <w:rPr>
                <w:rFonts w:ascii="Times New Roman" w:hAnsi="Times New Roman" w:eastAsia="宋体" w:cs="Times New Roman"/>
                <w:kern w:val="2"/>
                <w:sz w:val="21"/>
                <w:szCs w:val="24"/>
                <w:lang w:eastAsia="zh-CN"/>
              </w:rPr>
            </w:pPr>
            <w:r>
              <w:rPr>
                <w:rFonts w:ascii="Times New Roman" w:hAnsi="Times New Roman" w:eastAsia="宋体" w:cs="Times New Roman"/>
                <w:kern w:val="2"/>
                <w:sz w:val="21"/>
                <w:szCs w:val="24"/>
                <w:lang w:eastAsia="zh-CN"/>
              </w:rPr>
              <w:t>防控企业污染。严格控制在优先保护类耕</w:t>
            </w:r>
          </w:p>
          <w:p w14:paraId="6911B157">
            <w:pPr>
              <w:pStyle w:val="281"/>
              <w:kinsoku w:val="0"/>
              <w:overflowPunct w:val="0"/>
              <w:adjustRightInd w:val="0"/>
              <w:ind w:left="105" w:leftChars="50" w:right="105" w:rightChars="50"/>
              <w:jc w:val="center"/>
              <w:rPr>
                <w:rFonts w:ascii="Times New Roman" w:hAnsi="Times New Roman" w:eastAsia="宋体" w:cs="Times New Roman"/>
                <w:kern w:val="2"/>
                <w:sz w:val="21"/>
                <w:szCs w:val="24"/>
                <w:lang w:eastAsia="zh-CN"/>
              </w:rPr>
            </w:pPr>
            <w:r>
              <w:rPr>
                <w:rFonts w:ascii="Times New Roman" w:hAnsi="Times New Roman" w:eastAsia="宋体" w:cs="Times New Roman"/>
                <w:kern w:val="2"/>
                <w:sz w:val="21"/>
                <w:szCs w:val="24"/>
                <w:lang w:eastAsia="zh-CN"/>
              </w:rPr>
              <w:t>地集中区域新建有色金属冶炼、石油加</w:t>
            </w:r>
          </w:p>
          <w:p w14:paraId="052FA565">
            <w:pPr>
              <w:adjustRightInd w:val="0"/>
              <w:ind w:left="105" w:leftChars="50" w:right="105" w:rightChars="50"/>
              <w:jc w:val="center"/>
            </w:pPr>
            <w:r>
              <w:t>工、化工、焦化、电镀、制革等行业企业，</w:t>
            </w:r>
          </w:p>
          <w:p w14:paraId="583C6B9A">
            <w:pPr>
              <w:pStyle w:val="281"/>
              <w:kinsoku w:val="0"/>
              <w:overflowPunct w:val="0"/>
              <w:adjustRightInd w:val="0"/>
              <w:ind w:left="105" w:leftChars="50" w:right="105" w:rightChars="50"/>
              <w:jc w:val="center"/>
              <w:rPr>
                <w:rFonts w:ascii="Times New Roman" w:hAnsi="Times New Roman" w:eastAsia="宋体" w:cs="Times New Roman"/>
                <w:kern w:val="2"/>
                <w:sz w:val="21"/>
                <w:szCs w:val="24"/>
                <w:lang w:eastAsia="zh-CN"/>
              </w:rPr>
            </w:pPr>
            <w:r>
              <w:rPr>
                <w:rFonts w:ascii="Times New Roman" w:hAnsi="Times New Roman" w:eastAsia="宋体" w:cs="Times New Roman"/>
                <w:kern w:val="2"/>
                <w:sz w:val="21"/>
                <w:szCs w:val="24"/>
                <w:lang w:eastAsia="zh-CN"/>
              </w:rPr>
              <w:t>现有相关行业企业要采用新技术、新工</w:t>
            </w:r>
          </w:p>
          <w:p w14:paraId="1168F92D">
            <w:pPr>
              <w:pStyle w:val="281"/>
              <w:kinsoku w:val="0"/>
              <w:overflowPunct w:val="0"/>
              <w:adjustRightInd w:val="0"/>
              <w:ind w:left="105" w:leftChars="50" w:right="105" w:rightChars="50"/>
              <w:rPr>
                <w:rFonts w:ascii="Times New Roman" w:hAnsi="Times New Roman" w:eastAsia="宋体" w:cs="Times New Roman"/>
                <w:kern w:val="2"/>
                <w:sz w:val="21"/>
                <w:szCs w:val="24"/>
                <w:lang w:eastAsia="zh-CN"/>
              </w:rPr>
            </w:pPr>
            <w:r>
              <w:rPr>
                <w:rFonts w:ascii="Times New Roman" w:hAnsi="Times New Roman" w:eastAsia="宋体" w:cs="Times New Roman"/>
                <w:kern w:val="2"/>
                <w:sz w:val="21"/>
                <w:szCs w:val="24"/>
                <w:lang w:eastAsia="zh-CN"/>
              </w:rPr>
              <w:t>艺，加快提标升级改造步伐。</w:t>
            </w:r>
          </w:p>
        </w:tc>
        <w:tc>
          <w:tcPr>
            <w:tcW w:w="2800" w:type="dxa"/>
            <w:vAlign w:val="center"/>
          </w:tcPr>
          <w:p w14:paraId="34C11002">
            <w:pPr>
              <w:pStyle w:val="281"/>
              <w:kinsoku w:val="0"/>
              <w:overflowPunct w:val="0"/>
              <w:adjustRightInd w:val="0"/>
              <w:ind w:left="105" w:leftChars="50" w:right="105" w:rightChars="50"/>
              <w:jc w:val="center"/>
              <w:rPr>
                <w:rFonts w:ascii="Times New Roman" w:hAnsi="Times New Roman" w:eastAsia="宋体" w:cs="Times New Roman"/>
                <w:kern w:val="2"/>
                <w:sz w:val="21"/>
                <w:szCs w:val="24"/>
                <w:lang w:eastAsia="zh-CN"/>
              </w:rPr>
            </w:pPr>
            <w:r>
              <w:rPr>
                <w:rFonts w:ascii="Times New Roman" w:hAnsi="Times New Roman" w:eastAsia="宋体" w:cs="Times New Roman"/>
                <w:kern w:val="2"/>
                <w:sz w:val="21"/>
                <w:szCs w:val="24"/>
                <w:lang w:eastAsia="zh-CN"/>
              </w:rPr>
              <w:t>项目用地为工业用</w:t>
            </w:r>
          </w:p>
          <w:p w14:paraId="75B64C7F">
            <w:pPr>
              <w:pStyle w:val="281"/>
              <w:kinsoku w:val="0"/>
              <w:overflowPunct w:val="0"/>
              <w:adjustRightInd w:val="0"/>
              <w:ind w:left="105" w:leftChars="50" w:right="105" w:rightChars="50"/>
              <w:jc w:val="center"/>
              <w:rPr>
                <w:rFonts w:ascii="Times New Roman" w:hAnsi="Times New Roman" w:eastAsia="宋体" w:cs="Times New Roman"/>
                <w:kern w:val="2"/>
                <w:sz w:val="21"/>
                <w:szCs w:val="24"/>
                <w:lang w:eastAsia="zh-CN"/>
              </w:rPr>
            </w:pPr>
            <w:r>
              <w:rPr>
                <w:rFonts w:ascii="Times New Roman" w:hAnsi="Times New Roman" w:eastAsia="宋体" w:cs="Times New Roman"/>
                <w:kern w:val="2"/>
                <w:sz w:val="21"/>
                <w:szCs w:val="24"/>
                <w:lang w:eastAsia="zh-CN"/>
              </w:rPr>
              <w:t>地，不属于优先保护类耕地，</w:t>
            </w:r>
            <w:r>
              <w:rPr>
                <w:rFonts w:ascii="Times New Roman" w:hAnsi="Times New Roman" w:cs="Times New Roman"/>
                <w:sz w:val="21"/>
                <w:szCs w:val="24"/>
                <w:lang w:eastAsia="zh-CN"/>
              </w:rPr>
              <w:t>项目不属于色金属冶炼、石</w:t>
            </w:r>
            <w:r>
              <w:rPr>
                <w:rFonts w:ascii="Times New Roman" w:hAnsi="Times New Roman" w:eastAsia="宋体" w:cs="Times New Roman"/>
                <w:kern w:val="2"/>
                <w:sz w:val="21"/>
                <w:szCs w:val="24"/>
                <w:lang w:eastAsia="zh-CN"/>
              </w:rPr>
              <w:t>油加工、化工、焦化、电镀、制革等行业。</w:t>
            </w:r>
          </w:p>
        </w:tc>
        <w:tc>
          <w:tcPr>
            <w:tcW w:w="751" w:type="dxa"/>
            <w:vAlign w:val="center"/>
          </w:tcPr>
          <w:p w14:paraId="23029295">
            <w:pPr>
              <w:adjustRightInd w:val="0"/>
              <w:ind w:left="105" w:leftChars="50" w:right="105" w:rightChars="50"/>
              <w:jc w:val="center"/>
            </w:pPr>
            <w:r>
              <w:t>符合</w:t>
            </w:r>
          </w:p>
        </w:tc>
      </w:tr>
      <w:tr w14:paraId="22C5F990">
        <w:tblPrEx>
          <w:tblBorders>
            <w:top w:val="single" w:color="000000" w:sz="18" w:space="0"/>
            <w:left w:val="none" w:color="auto" w:sz="0" w:space="0"/>
            <w:bottom w:val="single" w:color="000000" w:sz="1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739" w:type="dxa"/>
            <w:vAlign w:val="center"/>
          </w:tcPr>
          <w:p w14:paraId="25F7B0FA">
            <w:pPr>
              <w:adjustRightInd w:val="0"/>
              <w:ind w:left="105" w:leftChars="50" w:right="105" w:rightChars="50"/>
              <w:jc w:val="center"/>
            </w:pPr>
            <w:r>
              <w:t>（十六）</w:t>
            </w:r>
          </w:p>
        </w:tc>
        <w:tc>
          <w:tcPr>
            <w:tcW w:w="4232" w:type="dxa"/>
            <w:vAlign w:val="center"/>
          </w:tcPr>
          <w:p w14:paraId="45BAC49D">
            <w:pPr>
              <w:pStyle w:val="281"/>
              <w:kinsoku w:val="0"/>
              <w:overflowPunct w:val="0"/>
              <w:adjustRightInd w:val="0"/>
              <w:ind w:left="105" w:leftChars="50" w:right="105" w:rightChars="50"/>
              <w:jc w:val="center"/>
              <w:rPr>
                <w:rFonts w:ascii="Times New Roman" w:hAnsi="Times New Roman" w:eastAsia="宋体" w:cs="Times New Roman"/>
                <w:kern w:val="2"/>
                <w:sz w:val="21"/>
                <w:szCs w:val="24"/>
                <w:lang w:eastAsia="zh-CN"/>
              </w:rPr>
            </w:pPr>
            <w:r>
              <w:rPr>
                <w:rFonts w:ascii="Times New Roman" w:hAnsi="Times New Roman" w:eastAsia="宋体" w:cs="Times New Roman"/>
                <w:kern w:val="2"/>
                <w:sz w:val="21"/>
                <w:szCs w:val="24"/>
                <w:lang w:eastAsia="zh-CN"/>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2800" w:type="dxa"/>
            <w:vAlign w:val="center"/>
          </w:tcPr>
          <w:p w14:paraId="7F1CB86F">
            <w:pPr>
              <w:pStyle w:val="281"/>
              <w:kinsoku w:val="0"/>
              <w:overflowPunct w:val="0"/>
              <w:adjustRightInd w:val="0"/>
              <w:ind w:left="105" w:leftChars="50" w:right="105" w:rightChars="50"/>
              <w:jc w:val="center"/>
              <w:rPr>
                <w:rFonts w:ascii="Times New Roman" w:hAnsi="Times New Roman" w:eastAsia="宋体" w:cs="Times New Roman"/>
                <w:kern w:val="2"/>
                <w:sz w:val="21"/>
                <w:szCs w:val="24"/>
                <w:lang w:eastAsia="zh-CN"/>
              </w:rPr>
            </w:pPr>
            <w:r>
              <w:rPr>
                <w:rFonts w:ascii="Times New Roman" w:hAnsi="Times New Roman" w:eastAsia="宋体" w:cs="Times New Roman"/>
                <w:kern w:val="2"/>
                <w:sz w:val="21"/>
                <w:szCs w:val="24"/>
                <w:lang w:eastAsia="zh-CN"/>
              </w:rPr>
              <w:t>项目为废塑料再生造粒，不排放重点污染物。</w:t>
            </w:r>
          </w:p>
        </w:tc>
        <w:tc>
          <w:tcPr>
            <w:tcW w:w="751" w:type="dxa"/>
            <w:vAlign w:val="center"/>
          </w:tcPr>
          <w:p w14:paraId="7B0D5326">
            <w:pPr>
              <w:adjustRightInd w:val="0"/>
              <w:ind w:left="105" w:leftChars="50" w:right="105" w:rightChars="50"/>
              <w:jc w:val="center"/>
            </w:pPr>
            <w:r>
              <w:t>符合</w:t>
            </w:r>
          </w:p>
        </w:tc>
      </w:tr>
      <w:tr w14:paraId="6749E92E">
        <w:tblPrEx>
          <w:tblBorders>
            <w:top w:val="single" w:color="000000" w:sz="18" w:space="0"/>
            <w:left w:val="none" w:color="auto" w:sz="0" w:space="0"/>
            <w:bottom w:val="single" w:color="000000" w:sz="1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739" w:type="dxa"/>
            <w:vAlign w:val="center"/>
          </w:tcPr>
          <w:p w14:paraId="7FBF4BC3">
            <w:pPr>
              <w:adjustRightInd w:val="0"/>
              <w:ind w:left="105" w:leftChars="50" w:right="105" w:rightChars="50"/>
              <w:jc w:val="center"/>
            </w:pPr>
            <w:r>
              <w:t>（十九）</w:t>
            </w:r>
          </w:p>
        </w:tc>
        <w:tc>
          <w:tcPr>
            <w:tcW w:w="4232" w:type="dxa"/>
            <w:vAlign w:val="center"/>
          </w:tcPr>
          <w:p w14:paraId="0CA4B1AD">
            <w:pPr>
              <w:pStyle w:val="281"/>
              <w:kinsoku w:val="0"/>
              <w:overflowPunct w:val="0"/>
              <w:adjustRightInd w:val="0"/>
              <w:ind w:left="105" w:leftChars="50" w:right="105" w:rightChars="50"/>
              <w:jc w:val="center"/>
              <w:rPr>
                <w:rFonts w:ascii="Times New Roman" w:hAnsi="Times New Roman" w:eastAsia="宋体" w:cs="Times New Roman"/>
                <w:kern w:val="2"/>
                <w:sz w:val="21"/>
                <w:szCs w:val="24"/>
                <w:lang w:eastAsia="zh-CN"/>
              </w:rPr>
            </w:pPr>
            <w:r>
              <w:rPr>
                <w:rFonts w:ascii="Times New Roman" w:hAnsi="Times New Roman" w:eastAsia="宋体" w:cs="Times New Roman"/>
                <w:kern w:val="2"/>
                <w:sz w:val="21"/>
                <w:szCs w:val="24"/>
                <w:lang w:eastAsia="zh-CN"/>
              </w:rPr>
              <w:t>加强废弃农膜回收利用。严厉打击违法生产和销售不合格农膜的行为。建立健全废弃农膜回收贮运和综合利用网络，开展废弃农膜回收利用试点。</w:t>
            </w:r>
          </w:p>
        </w:tc>
        <w:tc>
          <w:tcPr>
            <w:tcW w:w="2800" w:type="dxa"/>
            <w:vAlign w:val="center"/>
          </w:tcPr>
          <w:p w14:paraId="13885DF0">
            <w:pPr>
              <w:pStyle w:val="281"/>
              <w:kinsoku w:val="0"/>
              <w:overflowPunct w:val="0"/>
              <w:adjustRightInd w:val="0"/>
              <w:ind w:left="105" w:leftChars="50" w:right="105" w:rightChars="50"/>
              <w:jc w:val="center"/>
              <w:rPr>
                <w:rFonts w:ascii="Times New Roman" w:hAnsi="Times New Roman" w:eastAsia="宋体" w:cs="Times New Roman"/>
                <w:kern w:val="2"/>
                <w:sz w:val="21"/>
                <w:szCs w:val="24"/>
                <w:lang w:eastAsia="zh-CN"/>
              </w:rPr>
            </w:pPr>
            <w:r>
              <w:rPr>
                <w:rFonts w:ascii="Times New Roman" w:hAnsi="Times New Roman" w:eastAsia="宋体" w:cs="Times New Roman"/>
                <w:kern w:val="2"/>
                <w:sz w:val="21"/>
                <w:szCs w:val="24"/>
                <w:lang w:eastAsia="zh-CN"/>
              </w:rPr>
              <w:t>项目回收废旧塑料，不生产和销售不合格农地膜。</w:t>
            </w:r>
          </w:p>
        </w:tc>
        <w:tc>
          <w:tcPr>
            <w:tcW w:w="751" w:type="dxa"/>
            <w:vAlign w:val="center"/>
          </w:tcPr>
          <w:p w14:paraId="59D52A5E">
            <w:pPr>
              <w:adjustRightInd w:val="0"/>
              <w:ind w:left="105" w:leftChars="50" w:right="105" w:rightChars="50"/>
              <w:jc w:val="center"/>
            </w:pPr>
            <w:r>
              <w:t>符合</w:t>
            </w:r>
          </w:p>
        </w:tc>
      </w:tr>
    </w:tbl>
    <w:p w14:paraId="4815C846">
      <w:pPr>
        <w:pStyle w:val="289"/>
        <w:spacing w:line="360" w:lineRule="auto"/>
        <w:ind w:left="51" w:right="51" w:firstLine="480" w:firstLineChars="200"/>
        <w:jc w:val="left"/>
        <w:rPr>
          <w:bCs/>
          <w:color w:val="000000" w:themeColor="text1"/>
          <w:sz w:val="24"/>
        </w:rPr>
      </w:pPr>
      <w:r>
        <w:rPr>
          <w:bCs/>
          <w:color w:val="000000" w:themeColor="text1"/>
          <w:sz w:val="24"/>
        </w:rPr>
        <w:t>项目符合《土壤污染防治行动计划》（国发〔2016〕31号）的相关要求。</w:t>
      </w:r>
    </w:p>
    <w:p w14:paraId="46F6CF0C">
      <w:pPr>
        <w:spacing w:line="360" w:lineRule="auto"/>
        <w:ind w:firstLine="480"/>
        <w:rPr>
          <w:b/>
          <w:color w:val="FF0000"/>
          <w:sz w:val="24"/>
        </w:rPr>
      </w:pPr>
      <w:r>
        <w:rPr>
          <w:b/>
          <w:color w:val="FF0000"/>
          <w:sz w:val="24"/>
        </w:rPr>
        <w:t>（3）选址合理性判定</w:t>
      </w:r>
    </w:p>
    <w:p w14:paraId="15299AF4">
      <w:pPr>
        <w:spacing w:line="360" w:lineRule="auto"/>
        <w:ind w:firstLine="482" w:firstLineChars="200"/>
        <w:jc w:val="left"/>
        <w:rPr>
          <w:b/>
          <w:color w:val="000000" w:themeColor="text1"/>
          <w:sz w:val="24"/>
        </w:rPr>
      </w:pPr>
      <w:r>
        <w:rPr>
          <w:rFonts w:hint="eastAsia" w:ascii="宋体" w:hAnsi="宋体" w:cs="宋体"/>
          <w:b/>
          <w:color w:val="000000" w:themeColor="text1"/>
          <w:sz w:val="24"/>
        </w:rPr>
        <w:t>①</w:t>
      </w:r>
      <w:r>
        <w:rPr>
          <w:b/>
          <w:color w:val="000000" w:themeColor="text1"/>
          <w:sz w:val="24"/>
        </w:rPr>
        <w:t>生态红线</w:t>
      </w:r>
    </w:p>
    <w:p w14:paraId="27074032">
      <w:pPr>
        <w:adjustRightInd w:val="0"/>
        <w:snapToGrid w:val="0"/>
        <w:spacing w:line="360" w:lineRule="auto"/>
        <w:ind w:firstLine="480" w:firstLineChars="200"/>
        <w:rPr>
          <w:bCs/>
          <w:color w:val="000000" w:themeColor="text1"/>
          <w:sz w:val="24"/>
        </w:rPr>
      </w:pPr>
      <w:r>
        <w:rPr>
          <w:color w:val="000000" w:themeColor="text1"/>
          <w:sz w:val="24"/>
        </w:rPr>
        <w:t>本项目位于云南省德宏州芒市遮放镇户拉村委会遮焕村民小组盛达泰硅业厂区内，</w:t>
      </w:r>
      <w:r>
        <w:rPr>
          <w:bCs/>
          <w:color w:val="000000" w:themeColor="text1"/>
          <w:sz w:val="24"/>
        </w:rPr>
        <w:t>为</w:t>
      </w:r>
      <w:r>
        <w:rPr>
          <w:rFonts w:eastAsiaTheme="minorEastAsia"/>
          <w:color w:val="000000" w:themeColor="text1"/>
          <w:sz w:val="24"/>
        </w:rPr>
        <w:t>租用盛达泰硅业的土地</w:t>
      </w:r>
      <w:r>
        <w:rPr>
          <w:bCs/>
          <w:color w:val="000000" w:themeColor="text1"/>
          <w:sz w:val="24"/>
        </w:rPr>
        <w:t>；</w:t>
      </w:r>
    </w:p>
    <w:p w14:paraId="604ECB66">
      <w:pPr>
        <w:adjustRightInd w:val="0"/>
        <w:snapToGrid w:val="0"/>
        <w:spacing w:line="360" w:lineRule="auto"/>
        <w:ind w:firstLine="480" w:firstLineChars="200"/>
        <w:rPr>
          <w:bCs/>
          <w:color w:val="000000" w:themeColor="text1"/>
          <w:sz w:val="24"/>
        </w:rPr>
      </w:pPr>
      <w:r>
        <w:rPr>
          <w:bCs/>
          <w:color w:val="000000" w:themeColor="text1"/>
          <w:sz w:val="24"/>
        </w:rPr>
        <w:t>同时根据芒市四维科技有限公司出具的证明，本项目用地范围不涉及生态红线</w:t>
      </w:r>
      <w:r>
        <w:rPr>
          <w:bCs/>
          <w:color w:val="FF0000"/>
          <w:sz w:val="24"/>
        </w:rPr>
        <w:t>（见附件4）。</w:t>
      </w:r>
    </w:p>
    <w:p w14:paraId="3865D165">
      <w:pPr>
        <w:spacing w:line="360" w:lineRule="auto"/>
        <w:ind w:firstLine="482" w:firstLineChars="200"/>
        <w:jc w:val="left"/>
        <w:rPr>
          <w:b/>
          <w:color w:val="000000" w:themeColor="text1"/>
          <w:sz w:val="24"/>
        </w:rPr>
      </w:pPr>
      <w:r>
        <w:rPr>
          <w:rFonts w:hint="eastAsia" w:ascii="宋体" w:hAnsi="宋体" w:cs="宋体"/>
          <w:b/>
          <w:color w:val="000000" w:themeColor="text1"/>
          <w:sz w:val="24"/>
        </w:rPr>
        <w:t>②</w:t>
      </w:r>
      <w:r>
        <w:rPr>
          <w:b/>
          <w:color w:val="000000" w:themeColor="text1"/>
          <w:sz w:val="24"/>
        </w:rPr>
        <w:t>环境相容性分析</w:t>
      </w:r>
    </w:p>
    <w:p w14:paraId="0E7E7AA6">
      <w:pPr>
        <w:spacing w:line="360" w:lineRule="auto"/>
        <w:ind w:firstLine="480" w:firstLineChars="200"/>
        <w:jc w:val="left"/>
        <w:rPr>
          <w:color w:val="000000" w:themeColor="text1"/>
          <w:sz w:val="24"/>
        </w:rPr>
      </w:pPr>
      <w:r>
        <w:rPr>
          <w:color w:val="000000" w:themeColor="text1"/>
          <w:sz w:val="24"/>
        </w:rPr>
        <w:t>本项目选址于</w:t>
      </w:r>
      <w:r>
        <w:rPr>
          <w:bCs/>
          <w:color w:val="000000" w:themeColor="text1"/>
          <w:sz w:val="24"/>
        </w:rPr>
        <w:t>云南省德宏州芒市遮放镇户拉村委会遮焕村民小组盛达泰硅业厂区内</w:t>
      </w:r>
      <w:r>
        <w:rPr>
          <w:color w:val="000000" w:themeColor="text1"/>
          <w:sz w:val="24"/>
        </w:rPr>
        <w:t>，租用盛达泰硅业的土地。与项目拟建厂址最近的敏感目标为西北侧820m的排鲁村，</w:t>
      </w:r>
      <w:r>
        <w:rPr>
          <w:color w:val="FF0000"/>
          <w:sz w:val="24"/>
        </w:rPr>
        <w:t>根据预测关心点</w:t>
      </w:r>
      <w:r>
        <w:rPr>
          <w:color w:val="000000" w:themeColor="text1"/>
          <w:sz w:val="24"/>
        </w:rPr>
        <w:t>颗粒物（TSP）预测值能达GB3095－2012《环境空气质量标准》二级标准，非甲烷总烃污染物预测值能</w:t>
      </w:r>
      <w:r>
        <w:rPr>
          <w:color w:val="FF0000"/>
          <w:sz w:val="24"/>
        </w:rPr>
        <w:t>满足《大气污染物综合排放标准详解》中2mg/m</w:t>
      </w:r>
      <w:r>
        <w:rPr>
          <w:color w:val="FF0000"/>
          <w:sz w:val="24"/>
          <w:vertAlign w:val="superscript"/>
        </w:rPr>
        <w:t>3</w:t>
      </w:r>
      <w:r>
        <w:rPr>
          <w:color w:val="FF0000"/>
          <w:sz w:val="24"/>
        </w:rPr>
        <w:t>要求</w:t>
      </w:r>
      <w:r>
        <w:rPr>
          <w:color w:val="000000" w:themeColor="text1"/>
          <w:sz w:val="24"/>
        </w:rPr>
        <w:t>，项目设备均为小型精密设备，噪声源不大，最大为破碎噪声，根据预测，项目建设对周围环境声环境的影响可接受。</w:t>
      </w:r>
    </w:p>
    <w:p w14:paraId="02697ECF">
      <w:pPr>
        <w:ind w:right="105" w:rightChars="50" w:firstLine="200" w:firstLineChars="83"/>
        <w:jc w:val="center"/>
        <w:rPr>
          <w:b/>
          <w:bCs/>
          <w:color w:val="000000"/>
          <w:sz w:val="24"/>
        </w:rPr>
      </w:pPr>
    </w:p>
    <w:p w14:paraId="613C51C1">
      <w:pPr>
        <w:ind w:right="105" w:rightChars="50" w:firstLine="200" w:firstLineChars="83"/>
        <w:jc w:val="center"/>
        <w:rPr>
          <w:b/>
          <w:bCs/>
          <w:color w:val="000000"/>
          <w:sz w:val="24"/>
        </w:rPr>
      </w:pPr>
    </w:p>
    <w:p w14:paraId="6403AC3B">
      <w:pPr>
        <w:ind w:right="105" w:rightChars="50" w:firstLine="200" w:firstLineChars="83"/>
        <w:jc w:val="center"/>
        <w:rPr>
          <w:b/>
          <w:bCs/>
          <w:color w:val="000000"/>
          <w:sz w:val="24"/>
        </w:rPr>
      </w:pPr>
    </w:p>
    <w:p w14:paraId="0BC64544">
      <w:pPr>
        <w:ind w:right="105" w:rightChars="50" w:firstLine="200" w:firstLineChars="83"/>
        <w:jc w:val="center"/>
        <w:rPr>
          <w:b/>
          <w:bCs/>
          <w:color w:val="000000"/>
          <w:sz w:val="24"/>
        </w:rPr>
      </w:pPr>
      <w:r>
        <w:rPr>
          <w:b/>
          <w:bCs/>
          <w:color w:val="000000"/>
          <w:sz w:val="24"/>
        </w:rPr>
        <w:t>表1-5  “三线一单”符合性分析</w:t>
      </w:r>
    </w:p>
    <w:tbl>
      <w:tblPr>
        <w:tblStyle w:val="42"/>
        <w:tblW w:w="0" w:type="auto"/>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63"/>
        <w:gridCol w:w="7291"/>
        <w:gridCol w:w="892"/>
      </w:tblGrid>
      <w:tr w14:paraId="37397E8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63" w:type="dxa"/>
            <w:vAlign w:val="center"/>
          </w:tcPr>
          <w:p w14:paraId="1956D821">
            <w:pPr>
              <w:ind w:right="105" w:rightChars="50"/>
              <w:jc w:val="center"/>
              <w:rPr>
                <w:color w:val="000000"/>
                <w:szCs w:val="21"/>
              </w:rPr>
            </w:pPr>
            <w:r>
              <w:rPr>
                <w:color w:val="000000"/>
                <w:szCs w:val="21"/>
              </w:rPr>
              <w:t>“三线</w:t>
            </w:r>
          </w:p>
          <w:p w14:paraId="3CFE3F65">
            <w:pPr>
              <w:ind w:right="105" w:rightChars="50"/>
              <w:jc w:val="center"/>
              <w:rPr>
                <w:color w:val="000000"/>
                <w:szCs w:val="21"/>
              </w:rPr>
            </w:pPr>
            <w:r>
              <w:rPr>
                <w:color w:val="000000"/>
                <w:szCs w:val="21"/>
              </w:rPr>
              <w:t>一单”</w:t>
            </w:r>
          </w:p>
        </w:tc>
        <w:tc>
          <w:tcPr>
            <w:tcW w:w="7291" w:type="dxa"/>
            <w:vAlign w:val="center"/>
          </w:tcPr>
          <w:p w14:paraId="57616BEC">
            <w:pPr>
              <w:ind w:right="105" w:rightChars="50"/>
              <w:jc w:val="center"/>
              <w:rPr>
                <w:color w:val="000000"/>
                <w:szCs w:val="21"/>
              </w:rPr>
            </w:pPr>
            <w:r>
              <w:rPr>
                <w:color w:val="000000"/>
                <w:szCs w:val="21"/>
              </w:rPr>
              <w:t>符合性分析</w:t>
            </w:r>
          </w:p>
        </w:tc>
        <w:tc>
          <w:tcPr>
            <w:tcW w:w="892" w:type="dxa"/>
            <w:vAlign w:val="center"/>
          </w:tcPr>
          <w:p w14:paraId="4630AF74">
            <w:pPr>
              <w:ind w:right="105" w:rightChars="50"/>
              <w:jc w:val="center"/>
              <w:rPr>
                <w:color w:val="000000"/>
                <w:szCs w:val="21"/>
              </w:rPr>
            </w:pPr>
            <w:r>
              <w:rPr>
                <w:color w:val="000000"/>
                <w:szCs w:val="21"/>
              </w:rPr>
              <w:t>是否符合</w:t>
            </w:r>
          </w:p>
        </w:tc>
      </w:tr>
      <w:tr w14:paraId="7D19127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63" w:type="dxa"/>
            <w:vAlign w:val="center"/>
          </w:tcPr>
          <w:p w14:paraId="0FB5C56A">
            <w:pPr>
              <w:ind w:right="105" w:rightChars="50"/>
              <w:jc w:val="center"/>
              <w:rPr>
                <w:color w:val="000000"/>
                <w:szCs w:val="21"/>
              </w:rPr>
            </w:pPr>
            <w:r>
              <w:rPr>
                <w:color w:val="000000"/>
                <w:szCs w:val="21"/>
              </w:rPr>
              <w:t>生态保护红线</w:t>
            </w:r>
          </w:p>
        </w:tc>
        <w:tc>
          <w:tcPr>
            <w:tcW w:w="7291" w:type="dxa"/>
            <w:vAlign w:val="center"/>
          </w:tcPr>
          <w:p w14:paraId="2D840988">
            <w:pPr>
              <w:ind w:right="105" w:rightChars="50"/>
              <w:jc w:val="center"/>
              <w:rPr>
                <w:color w:val="000000"/>
                <w:szCs w:val="21"/>
              </w:rPr>
            </w:pPr>
            <w:r>
              <w:rPr>
                <w:color w:val="000000"/>
                <w:szCs w:val="21"/>
              </w:rPr>
              <w:t>本项目位于云南省德宏州芒市遮放镇户拉村委会遮焕村民小组盛达泰硅业厂区内，周边无自然保护区、饮用水源保护区等生态保护目标，不触及生态保护红线。</w:t>
            </w:r>
          </w:p>
        </w:tc>
        <w:tc>
          <w:tcPr>
            <w:tcW w:w="892" w:type="dxa"/>
            <w:vAlign w:val="center"/>
          </w:tcPr>
          <w:p w14:paraId="36FC6C12">
            <w:pPr>
              <w:ind w:right="105" w:rightChars="50"/>
              <w:jc w:val="center"/>
              <w:rPr>
                <w:color w:val="000000"/>
                <w:szCs w:val="21"/>
              </w:rPr>
            </w:pPr>
          </w:p>
          <w:p w14:paraId="19E6FAFC">
            <w:pPr>
              <w:ind w:right="105" w:rightChars="50"/>
              <w:jc w:val="center"/>
              <w:rPr>
                <w:color w:val="000000"/>
                <w:szCs w:val="21"/>
              </w:rPr>
            </w:pPr>
            <w:r>
              <w:rPr>
                <w:color w:val="000000"/>
                <w:szCs w:val="21"/>
              </w:rPr>
              <w:t>符合</w:t>
            </w:r>
          </w:p>
        </w:tc>
      </w:tr>
      <w:tr w14:paraId="341F2EB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63" w:type="dxa"/>
            <w:vAlign w:val="center"/>
          </w:tcPr>
          <w:p w14:paraId="688D3246">
            <w:pPr>
              <w:ind w:right="105" w:rightChars="50"/>
              <w:jc w:val="center"/>
              <w:rPr>
                <w:color w:val="000000"/>
                <w:szCs w:val="21"/>
              </w:rPr>
            </w:pPr>
            <w:r>
              <w:rPr>
                <w:color w:val="000000"/>
                <w:szCs w:val="21"/>
              </w:rPr>
              <w:t>资源利用上线</w:t>
            </w:r>
          </w:p>
        </w:tc>
        <w:tc>
          <w:tcPr>
            <w:tcW w:w="7291" w:type="dxa"/>
            <w:vAlign w:val="center"/>
          </w:tcPr>
          <w:p w14:paraId="3A11D4D4">
            <w:pPr>
              <w:ind w:right="105" w:rightChars="50"/>
              <w:jc w:val="center"/>
              <w:rPr>
                <w:color w:val="000000"/>
                <w:szCs w:val="21"/>
              </w:rPr>
            </w:pPr>
            <w:r>
              <w:rPr>
                <w:color w:val="000000"/>
                <w:szCs w:val="21"/>
              </w:rPr>
              <w:t>本项目生产过程中有一定量的电源、水资源等资源消耗。本项目资源消耗量对区域资源利用总量较少，不会突破地区能源、水、土地等资源消耗上线。</w:t>
            </w:r>
          </w:p>
        </w:tc>
        <w:tc>
          <w:tcPr>
            <w:tcW w:w="892" w:type="dxa"/>
            <w:vAlign w:val="center"/>
          </w:tcPr>
          <w:p w14:paraId="75528A7E">
            <w:pPr>
              <w:ind w:right="105" w:rightChars="50"/>
              <w:jc w:val="center"/>
              <w:rPr>
                <w:color w:val="000000"/>
                <w:szCs w:val="21"/>
              </w:rPr>
            </w:pPr>
            <w:r>
              <w:rPr>
                <w:color w:val="000000"/>
                <w:szCs w:val="21"/>
              </w:rPr>
              <w:t>符合</w:t>
            </w:r>
          </w:p>
        </w:tc>
      </w:tr>
      <w:tr w14:paraId="7AA3A20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63" w:type="dxa"/>
            <w:vAlign w:val="center"/>
          </w:tcPr>
          <w:p w14:paraId="1F2922C3">
            <w:pPr>
              <w:ind w:right="105" w:rightChars="50"/>
              <w:jc w:val="center"/>
              <w:rPr>
                <w:color w:val="000000"/>
                <w:szCs w:val="21"/>
              </w:rPr>
            </w:pPr>
          </w:p>
          <w:p w14:paraId="1F8B30E1">
            <w:pPr>
              <w:ind w:right="105" w:rightChars="50"/>
              <w:jc w:val="center"/>
              <w:rPr>
                <w:color w:val="000000"/>
                <w:szCs w:val="21"/>
              </w:rPr>
            </w:pPr>
            <w:r>
              <w:rPr>
                <w:color w:val="000000"/>
                <w:szCs w:val="21"/>
              </w:rPr>
              <w:t>环境质量底线</w:t>
            </w:r>
          </w:p>
        </w:tc>
        <w:tc>
          <w:tcPr>
            <w:tcW w:w="7291" w:type="dxa"/>
            <w:vAlign w:val="center"/>
          </w:tcPr>
          <w:p w14:paraId="798BBE11">
            <w:pPr>
              <w:ind w:right="105" w:rightChars="50"/>
              <w:jc w:val="center"/>
              <w:rPr>
                <w:color w:val="000000"/>
                <w:szCs w:val="21"/>
              </w:rPr>
            </w:pPr>
            <w:r>
              <w:rPr>
                <w:color w:val="000000"/>
                <w:szCs w:val="21"/>
              </w:rPr>
              <w:t>本项目附近声环境、水环境和大气环境质量能够满足相应的标准，本项目废气经废气处理措施处理后，对周边环境影响很小，废水经预处理后达标纳管，对周围环境影响很小，本项目各项污染物不会改变项目所在地区域环境质量等级，不触及环境质量底线。</w:t>
            </w:r>
          </w:p>
        </w:tc>
        <w:tc>
          <w:tcPr>
            <w:tcW w:w="892" w:type="dxa"/>
            <w:vAlign w:val="center"/>
          </w:tcPr>
          <w:p w14:paraId="07D855F9">
            <w:pPr>
              <w:ind w:right="105" w:rightChars="50"/>
              <w:jc w:val="center"/>
              <w:rPr>
                <w:color w:val="000000"/>
                <w:szCs w:val="21"/>
              </w:rPr>
            </w:pPr>
            <w:r>
              <w:rPr>
                <w:color w:val="000000"/>
                <w:szCs w:val="21"/>
              </w:rPr>
              <w:t>符合</w:t>
            </w:r>
          </w:p>
        </w:tc>
      </w:tr>
      <w:tr w14:paraId="3759BFD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63" w:type="dxa"/>
            <w:vAlign w:val="center"/>
          </w:tcPr>
          <w:p w14:paraId="1E1652B7">
            <w:pPr>
              <w:ind w:right="105" w:rightChars="50"/>
              <w:jc w:val="center"/>
              <w:rPr>
                <w:color w:val="000000"/>
                <w:szCs w:val="21"/>
              </w:rPr>
            </w:pPr>
            <w:r>
              <w:rPr>
                <w:color w:val="000000"/>
                <w:szCs w:val="21"/>
              </w:rPr>
              <w:t>负面清单</w:t>
            </w:r>
          </w:p>
        </w:tc>
        <w:tc>
          <w:tcPr>
            <w:tcW w:w="7291" w:type="dxa"/>
            <w:vAlign w:val="center"/>
          </w:tcPr>
          <w:p w14:paraId="30432A35">
            <w:pPr>
              <w:ind w:right="105" w:rightChars="50"/>
              <w:jc w:val="center"/>
              <w:rPr>
                <w:color w:val="000000"/>
                <w:szCs w:val="21"/>
              </w:rPr>
            </w:pPr>
            <w:r>
              <w:rPr>
                <w:color w:val="000000"/>
                <w:szCs w:val="21"/>
              </w:rPr>
              <w:t>本项目位于</w:t>
            </w:r>
            <w:r>
              <w:rPr>
                <w:bCs/>
                <w:color w:val="000000"/>
                <w:szCs w:val="21"/>
              </w:rPr>
              <w:t>云南省德宏州芒市遮放镇户拉村委会遮焕村民小组盛达泰硅业厂区内</w:t>
            </w:r>
            <w:r>
              <w:rPr>
                <w:color w:val="000000"/>
                <w:szCs w:val="21"/>
              </w:rPr>
              <w:t>，本项目不属于该区禁止和限制发展项目，不在该环境功能区禁止进入的行业。</w:t>
            </w:r>
          </w:p>
        </w:tc>
        <w:tc>
          <w:tcPr>
            <w:tcW w:w="892" w:type="dxa"/>
            <w:vAlign w:val="center"/>
          </w:tcPr>
          <w:p w14:paraId="4CA116E0">
            <w:pPr>
              <w:ind w:right="105" w:rightChars="50"/>
              <w:jc w:val="center"/>
              <w:rPr>
                <w:color w:val="000000"/>
                <w:szCs w:val="21"/>
              </w:rPr>
            </w:pPr>
            <w:r>
              <w:rPr>
                <w:color w:val="000000"/>
                <w:szCs w:val="21"/>
              </w:rPr>
              <w:t>符合</w:t>
            </w:r>
          </w:p>
        </w:tc>
      </w:tr>
    </w:tbl>
    <w:p w14:paraId="6393A63A">
      <w:pPr>
        <w:spacing w:line="360" w:lineRule="auto"/>
        <w:ind w:firstLine="482" w:firstLineChars="200"/>
        <w:jc w:val="left"/>
        <w:rPr>
          <w:b/>
          <w:color w:val="000000" w:themeColor="text1"/>
          <w:sz w:val="24"/>
        </w:rPr>
      </w:pPr>
      <w:r>
        <w:rPr>
          <w:rFonts w:hint="eastAsia" w:ascii="宋体" w:hAnsi="宋体" w:cs="宋体"/>
          <w:b/>
          <w:color w:val="000000" w:themeColor="text1"/>
          <w:sz w:val="24"/>
        </w:rPr>
        <w:t>③</w:t>
      </w:r>
      <w:r>
        <w:rPr>
          <w:b/>
          <w:color w:val="000000" w:themeColor="text1"/>
          <w:sz w:val="24"/>
        </w:rPr>
        <w:t>塑料行业选择要求</w:t>
      </w:r>
    </w:p>
    <w:p w14:paraId="43E93A27">
      <w:pPr>
        <w:adjustRightInd w:val="0"/>
        <w:snapToGrid w:val="0"/>
        <w:spacing w:line="360" w:lineRule="auto"/>
        <w:ind w:firstLine="480" w:firstLineChars="200"/>
        <w:jc w:val="left"/>
        <w:rPr>
          <w:color w:val="000000" w:themeColor="text1"/>
          <w:sz w:val="24"/>
        </w:rPr>
      </w:pPr>
      <w:r>
        <w:rPr>
          <w:color w:val="000000" w:themeColor="text1"/>
          <w:sz w:val="24"/>
        </w:rPr>
        <w:t>项目拟建地貌单一，地质构造稳定，无影响地质的大断裂和不良地质现象，适宜建筑，满足项目建设需要。项目不占用基本农田，评价范围内无国家、省、市级自然保护区、风景名胜区、饮用水源保护区、重要人文设施、旅游景观等敏感目标，符合《废塑料综合利用行业规范条件》</w:t>
      </w:r>
      <w:r>
        <w:rPr>
          <w:bCs/>
          <w:color w:val="000000" w:themeColor="text1"/>
          <w:sz w:val="24"/>
        </w:rPr>
        <w:t>、《再生资源回收管理办法》、《废塑料回收与再生利用污染控制技术规范（试行）》</w:t>
      </w:r>
      <w:r>
        <w:rPr>
          <w:color w:val="000000" w:themeColor="text1"/>
          <w:sz w:val="24"/>
        </w:rPr>
        <w:t>选址要求。</w:t>
      </w:r>
    </w:p>
    <w:p w14:paraId="2AB456B2">
      <w:pPr>
        <w:adjustRightInd w:val="0"/>
        <w:snapToGrid w:val="0"/>
        <w:spacing w:line="360" w:lineRule="auto"/>
        <w:ind w:firstLine="482" w:firstLineChars="200"/>
        <w:jc w:val="left"/>
        <w:rPr>
          <w:b/>
          <w:color w:val="000000" w:themeColor="text1"/>
          <w:sz w:val="24"/>
        </w:rPr>
      </w:pPr>
      <w:r>
        <w:rPr>
          <w:rFonts w:hint="eastAsia" w:ascii="宋体" w:hAnsi="宋体" w:cs="宋体"/>
          <w:b/>
          <w:color w:val="000000" w:themeColor="text1"/>
          <w:sz w:val="24"/>
        </w:rPr>
        <w:t>④</w:t>
      </w:r>
      <w:r>
        <w:rPr>
          <w:b/>
          <w:color w:val="000000" w:themeColor="text1"/>
          <w:sz w:val="24"/>
        </w:rPr>
        <w:t>小结</w:t>
      </w:r>
    </w:p>
    <w:p w14:paraId="08EE9EB5">
      <w:pPr>
        <w:adjustRightInd w:val="0"/>
        <w:snapToGrid w:val="0"/>
        <w:spacing w:line="360" w:lineRule="auto"/>
        <w:ind w:firstLine="480" w:firstLineChars="200"/>
        <w:jc w:val="left"/>
        <w:rPr>
          <w:color w:val="000000" w:themeColor="text1"/>
          <w:sz w:val="24"/>
        </w:rPr>
      </w:pPr>
      <w:r>
        <w:rPr>
          <w:color w:val="000000" w:themeColor="text1"/>
          <w:sz w:val="24"/>
        </w:rPr>
        <w:t>本项目以电为主要能源，主要污染物为废水、废气、固废，采取相应的措施后对环境影响对环境的影响程度和范围可为周围环境所接受，同时不涉及生态红线，不涉及芒市大河保护范围，从环境保护角度分析，本项目选址是可行的。</w:t>
      </w:r>
    </w:p>
    <w:p w14:paraId="5C2AE757">
      <w:pPr>
        <w:spacing w:line="360" w:lineRule="auto"/>
        <w:ind w:firstLine="482" w:firstLineChars="200"/>
        <w:rPr>
          <w:b/>
          <w:color w:val="000000" w:themeColor="text1"/>
          <w:sz w:val="24"/>
        </w:rPr>
      </w:pPr>
      <w:r>
        <w:rPr>
          <w:b/>
          <w:color w:val="000000" w:themeColor="text1"/>
          <w:sz w:val="24"/>
        </w:rPr>
        <w:t>4、环评关注的环境问题</w:t>
      </w:r>
    </w:p>
    <w:p w14:paraId="08BF0D92">
      <w:pPr>
        <w:spacing w:line="360" w:lineRule="auto"/>
        <w:ind w:firstLine="480" w:firstLineChars="200"/>
        <w:rPr>
          <w:color w:val="000000" w:themeColor="text1"/>
          <w:sz w:val="24"/>
        </w:rPr>
      </w:pPr>
      <w:r>
        <w:rPr>
          <w:color w:val="000000" w:themeColor="text1"/>
          <w:sz w:val="24"/>
        </w:rPr>
        <w:t>本项目是利用废旧塑料加工生产再生塑料颗粒项目的建设，属于C42废弃资源综合利用业。根据</w:t>
      </w:r>
      <w:r>
        <w:rPr>
          <w:color w:val="FF0000"/>
          <w:sz w:val="24"/>
        </w:rPr>
        <w:t>《产业结构调整指导目录（2019年本）》，本项目属于鼓励类中“四十三、环境保护与资源节约综合利用”中“26、再生资源、建筑垃圾资源化回收利用工程和产业化”项目。</w:t>
      </w:r>
    </w:p>
    <w:p w14:paraId="3080A6AD">
      <w:pPr>
        <w:spacing w:line="360" w:lineRule="auto"/>
        <w:ind w:firstLine="480" w:firstLineChars="200"/>
        <w:rPr>
          <w:color w:val="000000" w:themeColor="text1"/>
          <w:sz w:val="24"/>
        </w:rPr>
      </w:pPr>
      <w:r>
        <w:rPr>
          <w:color w:val="000000" w:themeColor="text1"/>
          <w:sz w:val="24"/>
        </w:rPr>
        <w:t>拟建项目环境影响评价工作，结合厂址地区环境特点、工程特点，重点分析塑料再生造粒、编织袋生产工序产生的污染物对环境的影响：</w:t>
      </w:r>
    </w:p>
    <w:p w14:paraId="31EAB52C">
      <w:pPr>
        <w:spacing w:line="360" w:lineRule="auto"/>
        <w:ind w:firstLine="480" w:firstLineChars="200"/>
        <w:rPr>
          <w:color w:val="000000" w:themeColor="text1"/>
          <w:sz w:val="24"/>
        </w:rPr>
      </w:pPr>
    </w:p>
    <w:p w14:paraId="56112D5B">
      <w:pPr>
        <w:spacing w:line="360" w:lineRule="auto"/>
        <w:ind w:firstLine="480" w:firstLineChars="200"/>
        <w:rPr>
          <w:color w:val="FF0000"/>
          <w:sz w:val="24"/>
        </w:rPr>
      </w:pPr>
      <w:r>
        <w:rPr>
          <w:color w:val="000000" w:themeColor="text1"/>
          <w:sz w:val="24"/>
        </w:rPr>
        <w:t>（1）</w:t>
      </w:r>
      <w:r>
        <w:rPr>
          <w:color w:val="FF0000"/>
          <w:sz w:val="24"/>
        </w:rPr>
        <w:t>本项目塑料破碎清洗生产工序过程中，在清洗、破碎工序中会产生一定的废水，废水经污水处理设施（隔油池+沉淀池）处理后，回用可行性是本次环境影响评价的重点；</w:t>
      </w:r>
    </w:p>
    <w:p w14:paraId="42FE69F0">
      <w:pPr>
        <w:spacing w:line="360" w:lineRule="auto"/>
        <w:ind w:firstLine="480" w:firstLineChars="200"/>
        <w:rPr>
          <w:color w:val="000000" w:themeColor="text1"/>
          <w:sz w:val="24"/>
        </w:rPr>
      </w:pPr>
      <w:r>
        <w:rPr>
          <w:color w:val="000000" w:themeColor="text1"/>
          <w:sz w:val="24"/>
        </w:rPr>
        <w:t>（2）项目塑料造粒、编织袋生产工序过程中，造粒、塑料编织袋热熔挤出工序产生的工艺废气，对周围大气环境的影响是本项目的重点；</w:t>
      </w:r>
    </w:p>
    <w:p w14:paraId="58C7CD51">
      <w:pPr>
        <w:spacing w:line="360" w:lineRule="auto"/>
        <w:ind w:firstLine="480" w:firstLineChars="200"/>
        <w:rPr>
          <w:color w:val="000000" w:themeColor="text1"/>
          <w:sz w:val="24"/>
        </w:rPr>
      </w:pPr>
      <w:r>
        <w:rPr>
          <w:color w:val="000000" w:themeColor="text1"/>
          <w:sz w:val="24"/>
        </w:rPr>
        <w:t>（3）项目生产中会产生一般工业固体废物和危险废物，各类废物能否妥善处置是本次评价重点。</w:t>
      </w:r>
    </w:p>
    <w:p w14:paraId="138A4D42">
      <w:pPr>
        <w:spacing w:line="360" w:lineRule="auto"/>
        <w:ind w:firstLine="482" w:firstLineChars="200"/>
        <w:rPr>
          <w:b/>
          <w:color w:val="000000" w:themeColor="text1"/>
          <w:sz w:val="24"/>
        </w:rPr>
      </w:pPr>
      <w:r>
        <w:rPr>
          <w:b/>
          <w:color w:val="000000" w:themeColor="text1"/>
          <w:sz w:val="24"/>
        </w:rPr>
        <w:t>5、结论</w:t>
      </w:r>
    </w:p>
    <w:p w14:paraId="5A6BB137">
      <w:pPr>
        <w:spacing w:line="360" w:lineRule="auto"/>
        <w:ind w:firstLine="480" w:firstLineChars="200"/>
        <w:rPr>
          <w:color w:val="000000" w:themeColor="text1"/>
          <w:sz w:val="24"/>
        </w:rPr>
      </w:pPr>
      <w:r>
        <w:rPr>
          <w:color w:val="000000" w:themeColor="text1"/>
          <w:sz w:val="24"/>
        </w:rPr>
        <w:t>项目的建设符合国家和云南省的产业政策，</w:t>
      </w:r>
      <w:r>
        <w:rPr>
          <w:color w:val="FF0000"/>
          <w:sz w:val="24"/>
        </w:rPr>
        <w:t>选址符合当地的总体规划，</w:t>
      </w:r>
      <w:r>
        <w:rPr>
          <w:color w:val="000000" w:themeColor="text1"/>
          <w:sz w:val="24"/>
        </w:rPr>
        <w:t>厂址所在区域无国家、省、县划定的自然保护区、风景名胜区、饮用水保护区等环境敏感目标，项目生产过程中排放的污染物采取设计和本报告提出的防治措施后，能够实现达标排放，不会改变现有环境的使用功能。</w:t>
      </w:r>
    </w:p>
    <w:p w14:paraId="1E972388">
      <w:pPr>
        <w:pStyle w:val="116"/>
        <w:ind w:firstLine="456"/>
        <w:rPr>
          <w:color w:val="FF0000"/>
          <w:spacing w:val="-6"/>
        </w:rPr>
      </w:pPr>
      <w:r>
        <w:rPr>
          <w:color w:val="FF0000"/>
          <w:spacing w:val="-6"/>
        </w:rPr>
        <w:t>在项目建设过程中，强化环保意识，严格进行环保管理，保证雨污分流及相应的环保措施的正常运行。本项目的实施可以做到社会效益、经济效益和环境效益三者的和谐统一、协调发展。从环境保护角度评价，本项目的建设可行。</w:t>
      </w:r>
    </w:p>
    <w:p w14:paraId="4F87D876">
      <w:pPr>
        <w:spacing w:line="360" w:lineRule="auto"/>
        <w:ind w:firstLine="480"/>
        <w:rPr>
          <w:color w:val="000000" w:themeColor="text1"/>
          <w:sz w:val="24"/>
        </w:rPr>
        <w:sectPr>
          <w:headerReference r:id="rId7" w:type="default"/>
          <w:footerReference r:id="rId8" w:type="default"/>
          <w:pgSz w:w="11907" w:h="16839"/>
          <w:pgMar w:top="1304" w:right="1797" w:bottom="1304" w:left="1797" w:header="851" w:footer="992" w:gutter="0"/>
          <w:pgNumType w:start="1"/>
          <w:cols w:space="720" w:num="1"/>
          <w:docGrid w:type="lines" w:linePitch="326" w:charSpace="0"/>
        </w:sectPr>
      </w:pPr>
    </w:p>
    <w:bookmarkEnd w:id="3"/>
    <w:bookmarkEnd w:id="4"/>
    <w:bookmarkEnd w:id="5"/>
    <w:p w14:paraId="2BDA69F8">
      <w:pPr>
        <w:pStyle w:val="3"/>
        <w:rPr>
          <w:color w:val="000000" w:themeColor="text1"/>
        </w:rPr>
      </w:pPr>
      <w:bookmarkStart w:id="6" w:name="_Toc28117674"/>
      <w:r>
        <w:rPr>
          <w:color w:val="000000" w:themeColor="text1"/>
        </w:rPr>
        <w:t>1总则</w:t>
      </w:r>
      <w:bookmarkEnd w:id="0"/>
      <w:bookmarkEnd w:id="1"/>
      <w:bookmarkEnd w:id="6"/>
    </w:p>
    <w:p w14:paraId="667E3C8A">
      <w:pPr>
        <w:pStyle w:val="4"/>
        <w:rPr>
          <w:rFonts w:ascii="Times New Roman" w:hAnsi="Times New Roman"/>
          <w:color w:val="000000" w:themeColor="text1"/>
        </w:rPr>
      </w:pPr>
      <w:bookmarkStart w:id="7" w:name="_Toc226861703"/>
      <w:bookmarkStart w:id="8" w:name="_Toc226540374"/>
      <w:bookmarkStart w:id="9" w:name="_Toc230393111"/>
      <w:bookmarkStart w:id="10" w:name="_Toc280621003"/>
      <w:bookmarkStart w:id="11" w:name="_Toc28117675"/>
      <w:bookmarkStart w:id="12" w:name="_Toc290295702"/>
      <w:bookmarkStart w:id="13" w:name="_Toc226540102"/>
      <w:r>
        <w:rPr>
          <w:rFonts w:ascii="Times New Roman" w:hAnsi="Times New Roman"/>
          <w:color w:val="000000" w:themeColor="text1"/>
        </w:rPr>
        <w:t>1.1编制依据</w:t>
      </w:r>
      <w:bookmarkEnd w:id="7"/>
      <w:bookmarkEnd w:id="8"/>
      <w:bookmarkEnd w:id="9"/>
      <w:bookmarkEnd w:id="10"/>
      <w:bookmarkEnd w:id="11"/>
      <w:bookmarkEnd w:id="12"/>
      <w:bookmarkEnd w:id="13"/>
    </w:p>
    <w:p w14:paraId="70799053">
      <w:pPr>
        <w:pStyle w:val="105"/>
        <w:rPr>
          <w:rFonts w:cs="Times New Roman"/>
          <w:color w:val="000000" w:themeColor="text1"/>
        </w:rPr>
      </w:pPr>
      <w:bookmarkStart w:id="14" w:name="_Toc280621004"/>
      <w:bookmarkStart w:id="15" w:name="_Toc230393112"/>
      <w:bookmarkStart w:id="16" w:name="_Toc226861704"/>
      <w:bookmarkStart w:id="17" w:name="_Toc226540375"/>
      <w:bookmarkStart w:id="18" w:name="_Toc226540103"/>
      <w:bookmarkStart w:id="19" w:name="_Toc290295703"/>
      <w:bookmarkStart w:id="20" w:name="_Toc362393080"/>
      <w:bookmarkStart w:id="21" w:name="_Toc280621011"/>
      <w:bookmarkStart w:id="22" w:name="_Toc290295709"/>
      <w:r>
        <w:rPr>
          <w:rFonts w:cs="Times New Roman"/>
          <w:color w:val="000000" w:themeColor="text1"/>
        </w:rPr>
        <w:t>1.1.1相关法律、法规</w:t>
      </w:r>
      <w:bookmarkEnd w:id="14"/>
      <w:bookmarkEnd w:id="15"/>
      <w:bookmarkEnd w:id="16"/>
      <w:bookmarkEnd w:id="17"/>
      <w:bookmarkEnd w:id="18"/>
      <w:bookmarkEnd w:id="19"/>
      <w:r>
        <w:rPr>
          <w:rFonts w:cs="Times New Roman"/>
          <w:color w:val="000000" w:themeColor="text1"/>
        </w:rPr>
        <w:t>和有关文件</w:t>
      </w:r>
    </w:p>
    <w:p w14:paraId="71E136F7">
      <w:pPr>
        <w:pStyle w:val="57"/>
        <w:ind w:firstLine="480" w:firstLineChars="200"/>
        <w:jc w:val="left"/>
        <w:rPr>
          <w:color w:val="000000" w:themeColor="text1"/>
        </w:rPr>
      </w:pPr>
      <w:r>
        <w:rPr>
          <w:color w:val="000000" w:themeColor="text1"/>
        </w:rPr>
        <w:t>（1）《中华人民共和国环境保护法》，2015年1月1日；</w:t>
      </w:r>
    </w:p>
    <w:p w14:paraId="6E991656">
      <w:pPr>
        <w:pStyle w:val="57"/>
        <w:ind w:firstLine="480" w:firstLineChars="200"/>
        <w:jc w:val="left"/>
        <w:rPr>
          <w:color w:val="000000" w:themeColor="text1"/>
          <w:szCs w:val="24"/>
        </w:rPr>
      </w:pPr>
      <w:r>
        <w:rPr>
          <w:color w:val="000000" w:themeColor="text1"/>
          <w:szCs w:val="24"/>
        </w:rPr>
        <w:t>（2）《中华人民共和国环境影响评价法》（2018年修正版）；</w:t>
      </w:r>
    </w:p>
    <w:p w14:paraId="373745C6">
      <w:pPr>
        <w:pStyle w:val="57"/>
        <w:ind w:firstLine="480" w:firstLineChars="200"/>
        <w:jc w:val="left"/>
        <w:rPr>
          <w:color w:val="000000" w:themeColor="text1"/>
          <w:szCs w:val="24"/>
        </w:rPr>
      </w:pPr>
      <w:r>
        <w:rPr>
          <w:color w:val="000000" w:themeColor="text1"/>
          <w:szCs w:val="24"/>
        </w:rPr>
        <w:t>（3）《中华人民共和国水污染防治法》，2018年1月1日；</w:t>
      </w:r>
    </w:p>
    <w:p w14:paraId="629F5986">
      <w:pPr>
        <w:pStyle w:val="57"/>
        <w:ind w:firstLine="480" w:firstLineChars="200"/>
        <w:jc w:val="left"/>
        <w:rPr>
          <w:color w:val="000000" w:themeColor="text1"/>
          <w:szCs w:val="24"/>
        </w:rPr>
      </w:pPr>
      <w:r>
        <w:rPr>
          <w:color w:val="000000" w:themeColor="text1"/>
          <w:szCs w:val="24"/>
        </w:rPr>
        <w:t>（4）《中华人民共和国大气污染防治法》，2015 年8月29日修订通过；</w:t>
      </w:r>
    </w:p>
    <w:p w14:paraId="42D9F301">
      <w:pPr>
        <w:pStyle w:val="57"/>
        <w:ind w:firstLine="480" w:firstLineChars="200"/>
        <w:jc w:val="left"/>
        <w:rPr>
          <w:color w:val="000000" w:themeColor="text1"/>
          <w:szCs w:val="24"/>
        </w:rPr>
      </w:pPr>
      <w:bookmarkStart w:id="23" w:name="_Toc360004778"/>
      <w:bookmarkStart w:id="24" w:name="_Toc362393077"/>
      <w:bookmarkStart w:id="25" w:name="_Toc280621006"/>
      <w:bookmarkStart w:id="26" w:name="_Toc230393114"/>
      <w:bookmarkStart w:id="27" w:name="_Toc226861706"/>
      <w:bookmarkStart w:id="28" w:name="_Toc290295705"/>
      <w:bookmarkStart w:id="29" w:name="_Toc226540105"/>
      <w:bookmarkStart w:id="30" w:name="_Toc226540377"/>
      <w:r>
        <w:rPr>
          <w:color w:val="000000" w:themeColor="text1"/>
          <w:szCs w:val="24"/>
        </w:rPr>
        <w:t>（5）《中华人民共和国固体废物污染环境防治法》，2016年11月7日修正版；</w:t>
      </w:r>
    </w:p>
    <w:p w14:paraId="303E4AED">
      <w:pPr>
        <w:pStyle w:val="57"/>
        <w:ind w:firstLine="480" w:firstLineChars="200"/>
        <w:jc w:val="left"/>
        <w:rPr>
          <w:color w:val="000000" w:themeColor="text1"/>
          <w:szCs w:val="24"/>
        </w:rPr>
      </w:pPr>
      <w:r>
        <w:rPr>
          <w:color w:val="000000" w:themeColor="text1"/>
          <w:szCs w:val="24"/>
        </w:rPr>
        <w:t>（6）《中华人民共和国放射性污染防治法》，2003 年6 月28 日；</w:t>
      </w:r>
    </w:p>
    <w:p w14:paraId="476F7BC0">
      <w:pPr>
        <w:pStyle w:val="57"/>
        <w:ind w:firstLine="480" w:firstLineChars="200"/>
        <w:jc w:val="left"/>
        <w:rPr>
          <w:color w:val="000000" w:themeColor="text1"/>
          <w:szCs w:val="24"/>
        </w:rPr>
      </w:pPr>
      <w:r>
        <w:rPr>
          <w:color w:val="000000" w:themeColor="text1"/>
          <w:szCs w:val="24"/>
        </w:rPr>
        <w:t>（7）《中华人民共和国环境噪声污染防治法》，2018年修正；</w:t>
      </w:r>
    </w:p>
    <w:p w14:paraId="5C7B9FF5">
      <w:pPr>
        <w:pStyle w:val="57"/>
        <w:ind w:firstLine="480" w:firstLineChars="200"/>
        <w:jc w:val="left"/>
        <w:rPr>
          <w:color w:val="000000" w:themeColor="text1"/>
          <w:szCs w:val="24"/>
        </w:rPr>
      </w:pPr>
      <w:r>
        <w:rPr>
          <w:color w:val="000000" w:themeColor="text1"/>
          <w:szCs w:val="24"/>
        </w:rPr>
        <w:t>（8）全国人民代表大会常务委员会关于修改《中华人民共和国清洁生产促进法》的决定，2012年7月1日起施行；</w:t>
      </w:r>
    </w:p>
    <w:p w14:paraId="54F97C8F">
      <w:pPr>
        <w:pStyle w:val="57"/>
        <w:ind w:firstLine="480" w:firstLineChars="200"/>
        <w:jc w:val="left"/>
        <w:rPr>
          <w:color w:val="000000" w:themeColor="text1"/>
          <w:szCs w:val="24"/>
        </w:rPr>
      </w:pPr>
      <w:r>
        <w:rPr>
          <w:color w:val="000000" w:themeColor="text1"/>
          <w:szCs w:val="24"/>
        </w:rPr>
        <w:t>（9）</w:t>
      </w:r>
      <w:r>
        <w:rPr>
          <w:color w:val="000000" w:themeColor="text1"/>
        </w:rPr>
        <w:t>《</w:t>
      </w:r>
      <w:r>
        <w:rPr>
          <w:rFonts w:hint="eastAsia"/>
          <w:color w:val="000000" w:themeColor="text1"/>
          <w:lang w:eastAsia="zh-CN"/>
        </w:rPr>
        <w:t>建设项目环境保护管理条例</w:t>
      </w:r>
      <w:r>
        <w:rPr>
          <w:color w:val="000000" w:themeColor="text1"/>
        </w:rPr>
        <w:t>》（国务院令</w:t>
      </w:r>
      <w:r>
        <w:rPr>
          <w:rFonts w:hint="eastAsia"/>
          <w:color w:val="000000" w:themeColor="text1"/>
          <w:lang w:val="en-US" w:eastAsia="zh-CN"/>
        </w:rPr>
        <w:t>第</w:t>
      </w:r>
      <w:r>
        <w:rPr>
          <w:color w:val="000000" w:themeColor="text1"/>
        </w:rPr>
        <w:t>253号）、</w:t>
      </w:r>
      <w:r>
        <w:rPr>
          <w:color w:val="000000" w:themeColor="text1"/>
          <w:shd w:val="clear" w:color="auto" w:fill="FFFFFF"/>
        </w:rPr>
        <w:t>《国务院关于修改〈建设项目环境保护管理条例〉的决定》</w:t>
      </w:r>
      <w:r>
        <w:rPr>
          <w:color w:val="000000" w:themeColor="text1"/>
          <w:szCs w:val="24"/>
        </w:rPr>
        <w:t>2017年10月1日起施行；</w:t>
      </w:r>
    </w:p>
    <w:p w14:paraId="6A823BF9">
      <w:pPr>
        <w:pStyle w:val="57"/>
        <w:ind w:firstLine="480" w:firstLineChars="200"/>
        <w:jc w:val="left"/>
        <w:rPr>
          <w:color w:val="000000" w:themeColor="text1"/>
          <w:szCs w:val="24"/>
        </w:rPr>
      </w:pPr>
      <w:r>
        <w:rPr>
          <w:color w:val="000000" w:themeColor="text1"/>
          <w:szCs w:val="24"/>
        </w:rPr>
        <w:t>（11）《建设项目环境保护分类管理目录》，（2017年6月29日环境保护部令第44号公布 根据2018年4月28日公布的《关于修改&lt;建设项目环境影响评价分类管理名录&gt;部分内容的决定》修正）；</w:t>
      </w:r>
    </w:p>
    <w:p w14:paraId="6F8A0466">
      <w:pPr>
        <w:pStyle w:val="57"/>
        <w:ind w:firstLine="480" w:firstLineChars="200"/>
        <w:jc w:val="left"/>
        <w:rPr>
          <w:color w:val="000000" w:themeColor="text1"/>
          <w:szCs w:val="24"/>
        </w:rPr>
      </w:pPr>
      <w:r>
        <w:rPr>
          <w:color w:val="000000" w:themeColor="text1"/>
          <w:szCs w:val="24"/>
        </w:rPr>
        <w:t>（12）《清洁生产审核办法》，2016年7月1日起正式实施；</w:t>
      </w:r>
    </w:p>
    <w:p w14:paraId="588D04B0">
      <w:pPr>
        <w:pStyle w:val="57"/>
        <w:ind w:firstLine="480" w:firstLineChars="200"/>
        <w:jc w:val="left"/>
        <w:rPr>
          <w:color w:val="000000" w:themeColor="text1"/>
          <w:szCs w:val="24"/>
        </w:rPr>
      </w:pPr>
      <w:r>
        <w:rPr>
          <w:color w:val="000000" w:themeColor="text1"/>
          <w:szCs w:val="24"/>
        </w:rPr>
        <w:t>（13）《国家危险废物名录》，2016 年8月1日；</w:t>
      </w:r>
    </w:p>
    <w:p w14:paraId="1E978809">
      <w:pPr>
        <w:pStyle w:val="57"/>
        <w:ind w:firstLine="480" w:firstLineChars="200"/>
        <w:jc w:val="left"/>
        <w:rPr>
          <w:color w:val="000000" w:themeColor="text1"/>
          <w:szCs w:val="24"/>
        </w:rPr>
      </w:pPr>
      <w:r>
        <w:rPr>
          <w:color w:val="000000" w:themeColor="text1"/>
          <w:szCs w:val="24"/>
        </w:rPr>
        <w:t>（14）《危险化学品名录（2015版）》，国家安全生产监督管理局公告，2015年2 月27 日；</w:t>
      </w:r>
    </w:p>
    <w:p w14:paraId="10DCBF05">
      <w:pPr>
        <w:pStyle w:val="57"/>
        <w:ind w:firstLine="480" w:firstLineChars="200"/>
        <w:jc w:val="left"/>
        <w:rPr>
          <w:color w:val="000000" w:themeColor="text1"/>
          <w:szCs w:val="24"/>
        </w:rPr>
      </w:pPr>
      <w:r>
        <w:rPr>
          <w:color w:val="000000" w:themeColor="text1"/>
          <w:szCs w:val="24"/>
        </w:rPr>
        <w:t>（15）《危险废物污染防治技术政策》，环发[2001]199 号；</w:t>
      </w:r>
    </w:p>
    <w:p w14:paraId="177EF941">
      <w:pPr>
        <w:pStyle w:val="57"/>
        <w:ind w:firstLine="480" w:firstLineChars="200"/>
        <w:jc w:val="left"/>
        <w:rPr>
          <w:color w:val="000000" w:themeColor="text1"/>
          <w:szCs w:val="24"/>
        </w:rPr>
      </w:pPr>
      <w:r>
        <w:rPr>
          <w:color w:val="000000" w:themeColor="text1"/>
          <w:szCs w:val="24"/>
        </w:rPr>
        <w:t>（16）《危险废物转移联单管理办法》，原国家环境保护总局令第5 号，1999年10月1日；</w:t>
      </w:r>
    </w:p>
    <w:p w14:paraId="339E9665">
      <w:pPr>
        <w:pStyle w:val="57"/>
        <w:ind w:firstLine="480" w:firstLineChars="200"/>
        <w:jc w:val="left"/>
        <w:rPr>
          <w:color w:val="000000" w:themeColor="text1"/>
          <w:szCs w:val="24"/>
        </w:rPr>
      </w:pPr>
      <w:r>
        <w:rPr>
          <w:color w:val="000000" w:themeColor="text1"/>
          <w:szCs w:val="24"/>
        </w:rPr>
        <w:t>（17）《危险化学品安全管理条例》，</w:t>
      </w:r>
      <w:r>
        <w:rPr>
          <w:color w:val="000000" w:themeColor="text1"/>
        </w:rPr>
        <w:t>中华人民共和国国务院令，第591号</w:t>
      </w:r>
      <w:r>
        <w:rPr>
          <w:color w:val="000000" w:themeColor="text1"/>
          <w:szCs w:val="24"/>
        </w:rPr>
        <w:t>；</w:t>
      </w:r>
    </w:p>
    <w:p w14:paraId="0081607B">
      <w:pPr>
        <w:pStyle w:val="57"/>
        <w:ind w:firstLine="480" w:firstLineChars="200"/>
        <w:jc w:val="left"/>
        <w:rPr>
          <w:color w:val="000000" w:themeColor="text1"/>
          <w:szCs w:val="24"/>
        </w:rPr>
      </w:pPr>
      <w:r>
        <w:rPr>
          <w:color w:val="000000" w:themeColor="text1"/>
          <w:szCs w:val="24"/>
        </w:rPr>
        <w:t>（18）《废弃危险化学品污染环境防治办法》，2005年10月；</w:t>
      </w:r>
    </w:p>
    <w:p w14:paraId="14B9852B">
      <w:pPr>
        <w:pStyle w:val="57"/>
        <w:ind w:firstLine="480" w:firstLineChars="200"/>
        <w:jc w:val="left"/>
        <w:rPr>
          <w:color w:val="000000" w:themeColor="text1"/>
          <w:szCs w:val="24"/>
        </w:rPr>
      </w:pPr>
      <w:r>
        <w:rPr>
          <w:color w:val="000000" w:themeColor="text1"/>
          <w:szCs w:val="24"/>
        </w:rPr>
        <w:t>（19）《危险废物经营许可证管理办法》，2004年5月；</w:t>
      </w:r>
    </w:p>
    <w:p w14:paraId="5C488EB7">
      <w:pPr>
        <w:pStyle w:val="57"/>
        <w:ind w:firstLine="480" w:firstLineChars="200"/>
        <w:jc w:val="left"/>
        <w:rPr>
          <w:color w:val="000000" w:themeColor="text1"/>
          <w:szCs w:val="24"/>
        </w:rPr>
      </w:pPr>
      <w:r>
        <w:rPr>
          <w:color w:val="000000" w:themeColor="text1"/>
          <w:szCs w:val="24"/>
        </w:rPr>
        <w:t>（20）《国家突发公共事件总体应急预案》，2006 年1 月；</w:t>
      </w:r>
    </w:p>
    <w:p w14:paraId="1CA32C3D">
      <w:pPr>
        <w:pStyle w:val="57"/>
        <w:ind w:firstLine="480" w:firstLineChars="200"/>
        <w:jc w:val="left"/>
        <w:rPr>
          <w:color w:val="000000" w:themeColor="text1"/>
          <w:szCs w:val="24"/>
        </w:rPr>
      </w:pPr>
      <w:r>
        <w:rPr>
          <w:color w:val="000000" w:themeColor="text1"/>
          <w:szCs w:val="24"/>
        </w:rPr>
        <w:t>（21）《</w:t>
      </w:r>
      <w:r>
        <w:rPr>
          <w:bCs/>
          <w:color w:val="000000" w:themeColor="text1"/>
          <w:szCs w:val="24"/>
        </w:rPr>
        <w:t>关于进一步加强环境影响评价管理防范环境风险的通知</w:t>
      </w:r>
      <w:r>
        <w:rPr>
          <w:color w:val="000000" w:themeColor="text1"/>
          <w:szCs w:val="24"/>
        </w:rPr>
        <w:t>》环发[2012]77号；</w:t>
      </w:r>
    </w:p>
    <w:p w14:paraId="4CA29B3E">
      <w:pPr>
        <w:pStyle w:val="57"/>
        <w:ind w:firstLine="480" w:firstLineChars="200"/>
        <w:jc w:val="left"/>
        <w:rPr>
          <w:color w:val="000000" w:themeColor="text1"/>
          <w:szCs w:val="24"/>
        </w:rPr>
      </w:pPr>
      <w:r>
        <w:rPr>
          <w:color w:val="000000" w:themeColor="text1"/>
          <w:szCs w:val="24"/>
        </w:rPr>
        <w:t>（22）《环境影响评价公众参与办法》</w:t>
      </w:r>
      <w:r>
        <w:rPr>
          <w:bCs/>
          <w:color w:val="000000" w:themeColor="text1"/>
          <w:szCs w:val="24"/>
        </w:rPr>
        <w:t>环境保护部令</w:t>
      </w:r>
      <w:r>
        <w:rPr>
          <w:color w:val="000000" w:themeColor="text1"/>
          <w:szCs w:val="24"/>
        </w:rPr>
        <w:t xml:space="preserve"> 第4号，2019年2月1日起施行；</w:t>
      </w:r>
    </w:p>
    <w:p w14:paraId="0D812ECA">
      <w:pPr>
        <w:pStyle w:val="57"/>
        <w:ind w:firstLine="480" w:firstLineChars="200"/>
        <w:jc w:val="left"/>
        <w:rPr>
          <w:color w:val="000000" w:themeColor="text1"/>
        </w:rPr>
      </w:pPr>
      <w:r>
        <w:rPr>
          <w:color w:val="000000" w:themeColor="text1"/>
        </w:rPr>
        <w:t>（23）《国务院关于环境保护若干问题的决定》国发（1996）31 号，1996年8 月3 日；</w:t>
      </w:r>
    </w:p>
    <w:p w14:paraId="4C6E4F92">
      <w:pPr>
        <w:pStyle w:val="57"/>
        <w:ind w:firstLine="480" w:firstLineChars="200"/>
        <w:jc w:val="left"/>
        <w:rPr>
          <w:color w:val="000000" w:themeColor="text1"/>
        </w:rPr>
      </w:pPr>
      <w:r>
        <w:rPr>
          <w:color w:val="000000" w:themeColor="text1"/>
        </w:rPr>
        <w:t>（24）《产业结构调整指导目录(2019 年本)》；</w:t>
      </w:r>
    </w:p>
    <w:p w14:paraId="56F1BC0D">
      <w:pPr>
        <w:pStyle w:val="57"/>
        <w:ind w:firstLine="480" w:firstLineChars="200"/>
        <w:rPr>
          <w:color w:val="000000" w:themeColor="text1"/>
        </w:rPr>
      </w:pPr>
      <w:r>
        <w:rPr>
          <w:color w:val="000000" w:themeColor="text1"/>
        </w:rPr>
        <w:t>（25）《土壤污染防治行动计划》（国发〔2016〕31 号）；</w:t>
      </w:r>
    </w:p>
    <w:p w14:paraId="02C36BDB">
      <w:pPr>
        <w:pStyle w:val="57"/>
        <w:ind w:firstLine="480" w:firstLineChars="200"/>
        <w:rPr>
          <w:color w:val="000000" w:themeColor="text1"/>
        </w:rPr>
      </w:pPr>
      <w:r>
        <w:rPr>
          <w:color w:val="000000" w:themeColor="text1"/>
        </w:rPr>
        <w:t>（26）《大气污染防治行动计划》（国发〔2013〕37 号）；</w:t>
      </w:r>
    </w:p>
    <w:p w14:paraId="652278DC">
      <w:pPr>
        <w:pStyle w:val="57"/>
        <w:ind w:firstLine="480" w:firstLineChars="200"/>
        <w:rPr>
          <w:color w:val="000000" w:themeColor="text1"/>
        </w:rPr>
      </w:pPr>
      <w:r>
        <w:rPr>
          <w:color w:val="000000" w:themeColor="text1"/>
        </w:rPr>
        <w:t>（27）《水污染防治行动计划》（国发〔2015〕17 号）。</w:t>
      </w:r>
    </w:p>
    <w:p w14:paraId="73EFB00F">
      <w:pPr>
        <w:pStyle w:val="57"/>
        <w:ind w:firstLine="480" w:firstLineChars="200"/>
        <w:rPr>
          <w:color w:val="000000" w:themeColor="text1"/>
        </w:rPr>
      </w:pPr>
      <w:r>
        <w:rPr>
          <w:color w:val="000000" w:themeColor="text1"/>
        </w:rPr>
        <w:t>（28）《国务院关于印发打赢蓝天保卫战三年行动计划的通知》（国发〔2018〕</w:t>
      </w:r>
    </w:p>
    <w:p w14:paraId="2A4BD59D">
      <w:pPr>
        <w:pStyle w:val="57"/>
        <w:jc w:val="left"/>
        <w:rPr>
          <w:color w:val="000000" w:themeColor="text1"/>
        </w:rPr>
      </w:pPr>
      <w:r>
        <w:rPr>
          <w:color w:val="000000" w:themeColor="text1"/>
        </w:rPr>
        <w:t>22号）。</w:t>
      </w:r>
    </w:p>
    <w:p w14:paraId="17248DF6">
      <w:pPr>
        <w:pStyle w:val="57"/>
        <w:ind w:firstLine="480" w:firstLineChars="200"/>
        <w:jc w:val="left"/>
        <w:rPr>
          <w:color w:val="000000" w:themeColor="text1"/>
        </w:rPr>
      </w:pPr>
    </w:p>
    <w:p w14:paraId="024CA7A7">
      <w:pPr>
        <w:pStyle w:val="105"/>
        <w:rPr>
          <w:rFonts w:cs="Times New Roman"/>
          <w:color w:val="000000" w:themeColor="text1"/>
        </w:rPr>
      </w:pPr>
      <w:r>
        <w:rPr>
          <w:rFonts w:cs="Times New Roman"/>
          <w:color w:val="000000" w:themeColor="text1"/>
        </w:rPr>
        <w:t>1.1.2地方环境保护法律、法规和有关文件</w:t>
      </w:r>
      <w:bookmarkEnd w:id="23"/>
      <w:bookmarkEnd w:id="24"/>
    </w:p>
    <w:p w14:paraId="6A58BB1F">
      <w:pPr>
        <w:pStyle w:val="57"/>
        <w:ind w:firstLine="480" w:firstLineChars="200"/>
        <w:rPr>
          <w:color w:val="000000" w:themeColor="text1"/>
        </w:rPr>
      </w:pPr>
      <w:bookmarkStart w:id="31" w:name="_Toc360004779"/>
      <w:bookmarkStart w:id="32" w:name="_Toc362393078"/>
      <w:r>
        <w:rPr>
          <w:color w:val="000000" w:themeColor="text1"/>
        </w:rPr>
        <w:t>（1）《云南省环境保护条例》，2004年6月29日修订；</w:t>
      </w:r>
    </w:p>
    <w:p w14:paraId="6212D556">
      <w:pPr>
        <w:pStyle w:val="57"/>
        <w:ind w:firstLine="480" w:firstLineChars="200"/>
        <w:rPr>
          <w:color w:val="000000" w:themeColor="text1"/>
        </w:rPr>
      </w:pPr>
      <w:r>
        <w:rPr>
          <w:color w:val="000000" w:themeColor="text1"/>
        </w:rPr>
        <w:t>（2）《云南省建设项目环境保护管理规定》，云南省人民政府令第105号，2002年1月1日；</w:t>
      </w:r>
    </w:p>
    <w:p w14:paraId="0471E17C">
      <w:pPr>
        <w:pStyle w:val="57"/>
        <w:ind w:firstLine="480" w:firstLineChars="200"/>
        <w:rPr>
          <w:color w:val="000000" w:themeColor="text1"/>
        </w:rPr>
      </w:pPr>
      <w:r>
        <w:rPr>
          <w:color w:val="000000" w:themeColor="text1"/>
        </w:rPr>
        <w:t>（3）《云南省地表水水环境功能区划（2010~2020 年）》，2014 年4 月17 日；</w:t>
      </w:r>
    </w:p>
    <w:p w14:paraId="5B8A969B">
      <w:pPr>
        <w:pStyle w:val="57"/>
        <w:ind w:firstLine="480" w:firstLineChars="200"/>
        <w:jc w:val="left"/>
        <w:rPr>
          <w:color w:val="000000" w:themeColor="text1"/>
        </w:rPr>
      </w:pPr>
      <w:r>
        <w:rPr>
          <w:color w:val="000000" w:themeColor="text1"/>
        </w:rPr>
        <w:t>（4）《云南省人民政府关于印发云南省大气污染防治行动实施方案的通知》，云政发〔2014〕9 号，2014年4月17日。</w:t>
      </w:r>
    </w:p>
    <w:p w14:paraId="5C25EBF2">
      <w:pPr>
        <w:pStyle w:val="105"/>
        <w:rPr>
          <w:rFonts w:cs="Times New Roman"/>
          <w:color w:val="000000" w:themeColor="text1"/>
        </w:rPr>
      </w:pPr>
      <w:r>
        <w:rPr>
          <w:rFonts w:cs="Times New Roman"/>
          <w:color w:val="000000" w:themeColor="text1"/>
        </w:rPr>
        <w:t>1.1.3技术规范</w:t>
      </w:r>
      <w:bookmarkEnd w:id="31"/>
      <w:bookmarkEnd w:id="32"/>
    </w:p>
    <w:p w14:paraId="6CFE9224">
      <w:pPr>
        <w:pStyle w:val="57"/>
        <w:ind w:firstLine="480" w:firstLineChars="200"/>
        <w:rPr>
          <w:color w:val="000000" w:themeColor="text1"/>
        </w:rPr>
      </w:pPr>
      <w:r>
        <w:rPr>
          <w:color w:val="000000" w:themeColor="text1"/>
        </w:rPr>
        <w:t>（1）《环境影响评价技术导则  总纲》（HJ 2.1-2016）；</w:t>
      </w:r>
    </w:p>
    <w:p w14:paraId="6F15F255">
      <w:pPr>
        <w:pStyle w:val="57"/>
        <w:ind w:firstLine="480" w:firstLineChars="200"/>
        <w:rPr>
          <w:color w:val="000000" w:themeColor="text1"/>
        </w:rPr>
      </w:pPr>
      <w:r>
        <w:rPr>
          <w:color w:val="000000" w:themeColor="text1"/>
        </w:rPr>
        <w:t>（2）《环境影响评价技术导则  大气环境》（HJ2.2-2018）；</w:t>
      </w:r>
    </w:p>
    <w:p w14:paraId="28350884">
      <w:pPr>
        <w:pStyle w:val="57"/>
        <w:ind w:firstLine="480" w:firstLineChars="200"/>
        <w:rPr>
          <w:color w:val="000000" w:themeColor="text1"/>
        </w:rPr>
      </w:pPr>
      <w:r>
        <w:rPr>
          <w:color w:val="000000" w:themeColor="text1"/>
        </w:rPr>
        <w:t>（3）《环境影响评价技术导则  地面水环境》（HJ/T2.3-2018）；</w:t>
      </w:r>
    </w:p>
    <w:p w14:paraId="22A04DE0">
      <w:pPr>
        <w:pStyle w:val="57"/>
        <w:ind w:firstLine="480" w:firstLineChars="200"/>
        <w:rPr>
          <w:color w:val="000000" w:themeColor="text1"/>
        </w:rPr>
      </w:pPr>
      <w:r>
        <w:rPr>
          <w:color w:val="000000" w:themeColor="text1"/>
        </w:rPr>
        <w:t>（4）《环境影响评价技术导则  地下水环境》（HJ610-2016）；</w:t>
      </w:r>
    </w:p>
    <w:p w14:paraId="3D7333C9">
      <w:pPr>
        <w:pStyle w:val="57"/>
        <w:ind w:firstLine="480" w:firstLineChars="200"/>
        <w:rPr>
          <w:color w:val="000000" w:themeColor="text1"/>
        </w:rPr>
      </w:pPr>
      <w:r>
        <w:rPr>
          <w:color w:val="000000" w:themeColor="text1"/>
        </w:rPr>
        <w:t>（5）《环境影响评价技术导则  声环境》（HJ2.4-2009）；</w:t>
      </w:r>
    </w:p>
    <w:p w14:paraId="63729CF3">
      <w:pPr>
        <w:pStyle w:val="57"/>
        <w:ind w:firstLine="480" w:firstLineChars="200"/>
        <w:rPr>
          <w:color w:val="000000" w:themeColor="text1"/>
        </w:rPr>
      </w:pPr>
      <w:r>
        <w:rPr>
          <w:color w:val="000000" w:themeColor="text1"/>
        </w:rPr>
        <w:t>（6）《环境影响评价技术导则  生态影响》（HJ19-2011）；</w:t>
      </w:r>
    </w:p>
    <w:p w14:paraId="5298DB99">
      <w:pPr>
        <w:pStyle w:val="57"/>
        <w:ind w:firstLine="480" w:firstLineChars="200"/>
        <w:rPr>
          <w:color w:val="000000" w:themeColor="text1"/>
        </w:rPr>
      </w:pPr>
      <w:r>
        <w:rPr>
          <w:color w:val="000000" w:themeColor="text1"/>
        </w:rPr>
        <w:t>（7）《建设项目环境风险评价技术导则》</w:t>
      </w:r>
      <w:bookmarkStart w:id="33" w:name="_Toc362393079"/>
      <w:bookmarkStart w:id="34" w:name="_Toc360004780"/>
      <w:r>
        <w:rPr>
          <w:color w:val="000000" w:themeColor="text1"/>
        </w:rPr>
        <w:t>（HJ/T169-2018）；</w:t>
      </w:r>
    </w:p>
    <w:p w14:paraId="1F9A46C0">
      <w:pPr>
        <w:pStyle w:val="57"/>
        <w:ind w:firstLine="480" w:firstLineChars="200"/>
        <w:rPr>
          <w:color w:val="000000" w:themeColor="text1"/>
        </w:rPr>
      </w:pPr>
      <w:r>
        <w:rPr>
          <w:color w:val="000000" w:themeColor="text1"/>
        </w:rPr>
        <w:t>（8）《环境影响评价技术导则 土壤环境（试行）》（HJ964-2018）。</w:t>
      </w:r>
    </w:p>
    <w:p w14:paraId="0B70E00A">
      <w:pPr>
        <w:pStyle w:val="105"/>
        <w:rPr>
          <w:rFonts w:cs="Times New Roman"/>
          <w:color w:val="000000" w:themeColor="text1"/>
        </w:rPr>
      </w:pPr>
      <w:r>
        <w:rPr>
          <w:rFonts w:cs="Times New Roman"/>
          <w:color w:val="000000" w:themeColor="text1"/>
        </w:rPr>
        <w:t>1.1.4项目相关材料</w:t>
      </w:r>
      <w:bookmarkEnd w:id="33"/>
      <w:bookmarkEnd w:id="34"/>
    </w:p>
    <w:p w14:paraId="6BFD9C6F">
      <w:pPr>
        <w:pStyle w:val="57"/>
        <w:ind w:firstLine="480" w:firstLineChars="200"/>
        <w:rPr>
          <w:color w:val="000000" w:themeColor="text1"/>
        </w:rPr>
      </w:pPr>
      <w:r>
        <w:rPr>
          <w:color w:val="000000" w:themeColor="text1"/>
        </w:rPr>
        <w:t>（1）委托书；</w:t>
      </w:r>
    </w:p>
    <w:p w14:paraId="227D7FC7">
      <w:pPr>
        <w:pStyle w:val="57"/>
        <w:ind w:firstLine="480" w:firstLineChars="200"/>
        <w:jc w:val="left"/>
        <w:rPr>
          <w:color w:val="000000" w:themeColor="text1"/>
        </w:rPr>
      </w:pPr>
      <w:r>
        <w:rPr>
          <w:color w:val="000000" w:themeColor="text1"/>
        </w:rPr>
        <w:t>（2）芒市发展和改革局关于”芒市鑫广塑料加工项目”的投资项目备案证；</w:t>
      </w:r>
    </w:p>
    <w:bookmarkEnd w:id="20"/>
    <w:bookmarkEnd w:id="25"/>
    <w:bookmarkEnd w:id="26"/>
    <w:bookmarkEnd w:id="27"/>
    <w:bookmarkEnd w:id="28"/>
    <w:bookmarkEnd w:id="29"/>
    <w:bookmarkEnd w:id="30"/>
    <w:p w14:paraId="0C800101">
      <w:pPr>
        <w:pStyle w:val="57"/>
        <w:ind w:firstLine="480" w:firstLineChars="200"/>
        <w:jc w:val="left"/>
        <w:rPr>
          <w:color w:val="000000" w:themeColor="text1"/>
        </w:rPr>
      </w:pPr>
      <w:bookmarkStart w:id="35" w:name="_Toc362393082"/>
      <w:bookmarkStart w:id="36" w:name="_Toc360004783"/>
      <w:r>
        <w:rPr>
          <w:color w:val="000000" w:themeColor="text1"/>
        </w:rPr>
        <w:t>（3）其它有关的工程设计资料及图纸。</w:t>
      </w:r>
    </w:p>
    <w:p w14:paraId="2D5CAEFE">
      <w:pPr>
        <w:pStyle w:val="4"/>
        <w:rPr>
          <w:rFonts w:ascii="Times New Roman" w:hAnsi="Times New Roman"/>
          <w:color w:val="000000" w:themeColor="text1"/>
        </w:rPr>
      </w:pPr>
      <w:bookmarkStart w:id="37" w:name="_Toc28117676"/>
      <w:r>
        <w:rPr>
          <w:rFonts w:ascii="Times New Roman" w:hAnsi="Times New Roman"/>
          <w:color w:val="000000" w:themeColor="text1"/>
        </w:rPr>
        <w:t>1.2评价目的和原则</w:t>
      </w:r>
      <w:bookmarkEnd w:id="37"/>
    </w:p>
    <w:p w14:paraId="5FFBE969">
      <w:pPr>
        <w:pStyle w:val="105"/>
        <w:rPr>
          <w:rFonts w:cs="Times New Roman"/>
          <w:color w:val="000000" w:themeColor="text1"/>
        </w:rPr>
      </w:pPr>
      <w:bookmarkStart w:id="38" w:name="_Toc362393081"/>
      <w:bookmarkStart w:id="39" w:name="_Toc360004782"/>
      <w:r>
        <w:rPr>
          <w:rFonts w:cs="Times New Roman"/>
          <w:color w:val="000000" w:themeColor="text1"/>
        </w:rPr>
        <w:t>1.2.1评价目的</w:t>
      </w:r>
      <w:bookmarkEnd w:id="38"/>
      <w:bookmarkEnd w:id="39"/>
    </w:p>
    <w:bookmarkEnd w:id="21"/>
    <w:bookmarkEnd w:id="22"/>
    <w:bookmarkEnd w:id="35"/>
    <w:bookmarkEnd w:id="36"/>
    <w:p w14:paraId="757266C9">
      <w:pPr>
        <w:pStyle w:val="57"/>
        <w:ind w:firstLine="480" w:firstLineChars="200"/>
        <w:rPr>
          <w:color w:val="000000" w:themeColor="text1"/>
        </w:rPr>
      </w:pPr>
      <w:bookmarkStart w:id="40" w:name="_Toc226540110"/>
      <w:bookmarkStart w:id="41" w:name="_Toc226861711"/>
      <w:bookmarkStart w:id="42" w:name="_Toc226540382"/>
      <w:bookmarkStart w:id="43" w:name="_Toc290295710"/>
      <w:bookmarkStart w:id="44" w:name="_Toc280621012"/>
      <w:bookmarkStart w:id="45" w:name="_Toc230393119"/>
      <w:r>
        <w:rPr>
          <w:color w:val="000000" w:themeColor="text1"/>
        </w:rPr>
        <w:t>（1）通过对国家和省市的产业政策、城市及环境规划的了解和分析，论证本项目总体设计的可行性和合理性；</w:t>
      </w:r>
    </w:p>
    <w:p w14:paraId="34876FDA">
      <w:pPr>
        <w:pStyle w:val="57"/>
        <w:ind w:firstLine="480" w:firstLineChars="200"/>
        <w:rPr>
          <w:color w:val="000000" w:themeColor="text1"/>
        </w:rPr>
      </w:pPr>
      <w:r>
        <w:rPr>
          <w:color w:val="000000" w:themeColor="text1"/>
        </w:rPr>
        <w:t>（2）通过对该建设项目的工程内容和工艺路线进行分析，明确污染源和可能产生的污染因素，计算污染物的排放量，掌握该项目对环境产生的不利影响；</w:t>
      </w:r>
    </w:p>
    <w:p w14:paraId="30FCBB07">
      <w:pPr>
        <w:pStyle w:val="57"/>
        <w:ind w:firstLine="480" w:firstLineChars="200"/>
        <w:rPr>
          <w:color w:val="000000" w:themeColor="text1"/>
        </w:rPr>
      </w:pPr>
      <w:r>
        <w:rPr>
          <w:color w:val="000000" w:themeColor="text1"/>
        </w:rPr>
        <w:t>对建设项目所在地的自然环境和环境质量现状调查，确定环境评价的主要保护目标和评价重点；</w:t>
      </w:r>
    </w:p>
    <w:p w14:paraId="3B3F7472">
      <w:pPr>
        <w:pStyle w:val="57"/>
        <w:ind w:firstLine="480" w:firstLineChars="200"/>
        <w:rPr>
          <w:color w:val="000000" w:themeColor="text1"/>
        </w:rPr>
      </w:pPr>
      <w:r>
        <w:rPr>
          <w:color w:val="000000" w:themeColor="text1"/>
        </w:rPr>
        <w:t>（3）通过环境质量现状监测分析，查清建设项目选址所在地区的环境质量现状，得到当地的环境质量现状的结论；对建设项目建设期、运营期可能造成的环境影响进行评价，确定建设项目对当地环境可能造成的不良影响的范围和程度，从而提出避免污染、减少污染的对策措施；</w:t>
      </w:r>
    </w:p>
    <w:p w14:paraId="187AD122">
      <w:pPr>
        <w:pStyle w:val="57"/>
        <w:ind w:firstLine="480" w:firstLineChars="200"/>
        <w:rPr>
          <w:color w:val="000000" w:themeColor="text1"/>
        </w:rPr>
      </w:pPr>
      <w:r>
        <w:rPr>
          <w:color w:val="000000" w:themeColor="text1"/>
        </w:rPr>
        <w:t>（4）根据工程分析和影响预测评价的结果，对工程方案和环保措施进行可行性论证；</w:t>
      </w:r>
    </w:p>
    <w:p w14:paraId="109367CC">
      <w:pPr>
        <w:pStyle w:val="57"/>
        <w:ind w:firstLine="480" w:firstLineChars="200"/>
        <w:rPr>
          <w:color w:val="000000" w:themeColor="text1"/>
        </w:rPr>
      </w:pPr>
      <w:r>
        <w:rPr>
          <w:color w:val="000000" w:themeColor="text1"/>
        </w:rPr>
        <w:t>（5）结合国家及地方的产业政策及</w:t>
      </w:r>
      <w:r>
        <w:rPr>
          <w:bCs/>
          <w:color w:val="000000" w:themeColor="text1"/>
        </w:rPr>
        <w:t>《废塑料加工利用污染防治管理规定》、</w:t>
      </w:r>
      <w:r>
        <w:rPr>
          <w:color w:val="000000" w:themeColor="text1"/>
          <w:szCs w:val="24"/>
        </w:rPr>
        <w:t>《废塑料综合利用行业规范条件》</w:t>
      </w:r>
      <w:r>
        <w:rPr>
          <w:bCs/>
          <w:color w:val="000000" w:themeColor="text1"/>
        </w:rPr>
        <w:t>、《废塑料加工利用污染防治管理规定》、《再生资源回收管理办法》、《废塑料回收与再生利用污染控制技术规范（试行）》</w:t>
      </w:r>
      <w:r>
        <w:rPr>
          <w:color w:val="000000" w:themeColor="text1"/>
        </w:rPr>
        <w:t>准入要求，分析该选址的合理合法性；</w:t>
      </w:r>
    </w:p>
    <w:p w14:paraId="4A333F22">
      <w:pPr>
        <w:pStyle w:val="57"/>
        <w:ind w:firstLine="480" w:firstLineChars="200"/>
        <w:rPr>
          <w:color w:val="000000" w:themeColor="text1"/>
        </w:rPr>
      </w:pPr>
      <w:r>
        <w:rPr>
          <w:color w:val="000000" w:themeColor="text1"/>
        </w:rPr>
        <w:t>（6）从环保的角度明确给出项目建设的可行性结论。</w:t>
      </w:r>
    </w:p>
    <w:p w14:paraId="507FAE08">
      <w:pPr>
        <w:pStyle w:val="105"/>
        <w:rPr>
          <w:rFonts w:cs="Times New Roman"/>
          <w:color w:val="000000" w:themeColor="text1"/>
        </w:rPr>
      </w:pPr>
      <w:r>
        <w:rPr>
          <w:rFonts w:cs="Times New Roman"/>
          <w:color w:val="000000" w:themeColor="text1"/>
        </w:rPr>
        <w:t>1.2.2评价原则</w:t>
      </w:r>
    </w:p>
    <w:p w14:paraId="6C7F3E8C">
      <w:pPr>
        <w:pStyle w:val="57"/>
        <w:ind w:firstLine="480" w:firstLineChars="200"/>
        <w:rPr>
          <w:color w:val="000000" w:themeColor="text1"/>
        </w:rPr>
      </w:pPr>
      <w:r>
        <w:rPr>
          <w:color w:val="000000" w:themeColor="text1"/>
        </w:rPr>
        <w:t>突出环境影响评价的源头预防作用，坚持保护和改善环境质量。</w:t>
      </w:r>
    </w:p>
    <w:p w14:paraId="04D1E698">
      <w:pPr>
        <w:pStyle w:val="57"/>
        <w:ind w:firstLine="480" w:firstLineChars="200"/>
        <w:rPr>
          <w:color w:val="000000" w:themeColor="text1"/>
        </w:rPr>
      </w:pPr>
      <w:r>
        <w:rPr>
          <w:color w:val="000000" w:themeColor="text1"/>
        </w:rPr>
        <w:t>（1）依法评价</w:t>
      </w:r>
    </w:p>
    <w:p w14:paraId="2775199D">
      <w:pPr>
        <w:pStyle w:val="57"/>
        <w:ind w:firstLine="480" w:firstLineChars="200"/>
        <w:rPr>
          <w:color w:val="000000" w:themeColor="text1"/>
        </w:rPr>
      </w:pPr>
      <w:r>
        <w:rPr>
          <w:color w:val="000000" w:themeColor="text1"/>
        </w:rPr>
        <w:t>贯彻执行我国环境保护相关法律法规、标准、政策和规划等，优化项目建设，服务环境管理。</w:t>
      </w:r>
    </w:p>
    <w:p w14:paraId="54AF9FA7">
      <w:pPr>
        <w:pStyle w:val="57"/>
        <w:ind w:firstLine="480" w:firstLineChars="200"/>
        <w:rPr>
          <w:color w:val="000000" w:themeColor="text1"/>
        </w:rPr>
      </w:pPr>
      <w:r>
        <w:rPr>
          <w:color w:val="000000" w:themeColor="text1"/>
        </w:rPr>
        <w:t>（2）科学评价</w:t>
      </w:r>
    </w:p>
    <w:p w14:paraId="6E9D4166">
      <w:pPr>
        <w:pStyle w:val="57"/>
        <w:ind w:firstLine="480" w:firstLineChars="200"/>
        <w:rPr>
          <w:color w:val="000000" w:themeColor="text1"/>
        </w:rPr>
      </w:pPr>
      <w:r>
        <w:rPr>
          <w:color w:val="000000" w:themeColor="text1"/>
        </w:rPr>
        <w:t>规范环境影响评价方法，科学分析项目建设对环境质量的影响。</w:t>
      </w:r>
    </w:p>
    <w:p w14:paraId="6BE5EA7E">
      <w:pPr>
        <w:pStyle w:val="57"/>
        <w:ind w:firstLine="480" w:firstLineChars="200"/>
        <w:rPr>
          <w:color w:val="000000" w:themeColor="text1"/>
        </w:rPr>
      </w:pPr>
      <w:r>
        <w:rPr>
          <w:color w:val="000000" w:themeColor="text1"/>
        </w:rPr>
        <w:t>（3）突出重点</w:t>
      </w:r>
    </w:p>
    <w:p w14:paraId="19FB44D8">
      <w:pPr>
        <w:pStyle w:val="57"/>
        <w:ind w:firstLine="480" w:firstLineChars="200"/>
        <w:rPr>
          <w:color w:val="000000" w:themeColor="text1"/>
        </w:rPr>
      </w:pPr>
      <w:r>
        <w:rPr>
          <w:color w:val="000000" w:themeColor="text1"/>
        </w:rPr>
        <w:t>根据建设项目的工程内容及其特点，明确与环境要素间的作用效应关系，根据规划环境影响评价结论和审查意见，充分利用符合时效的数据资料及成果，对建设项目主要环境影响予以重点分析和评价。</w:t>
      </w:r>
    </w:p>
    <w:bookmarkEnd w:id="40"/>
    <w:bookmarkEnd w:id="41"/>
    <w:bookmarkEnd w:id="42"/>
    <w:bookmarkEnd w:id="43"/>
    <w:bookmarkEnd w:id="44"/>
    <w:bookmarkEnd w:id="45"/>
    <w:p w14:paraId="5B7CAF9B">
      <w:pPr>
        <w:pStyle w:val="4"/>
        <w:rPr>
          <w:rFonts w:ascii="Times New Roman" w:hAnsi="Times New Roman"/>
          <w:color w:val="000000" w:themeColor="text1"/>
        </w:rPr>
      </w:pPr>
      <w:bookmarkStart w:id="46" w:name="_Toc28117677"/>
      <w:bookmarkStart w:id="47" w:name="_Toc290295712"/>
      <w:bookmarkStart w:id="48" w:name="_Toc280621014"/>
      <w:bookmarkStart w:id="49" w:name="_Toc230393121"/>
      <w:bookmarkStart w:id="50" w:name="_Toc226540112"/>
      <w:bookmarkStart w:id="51" w:name="_Toc226861713"/>
      <w:bookmarkStart w:id="52" w:name="_Toc226540384"/>
      <w:r>
        <w:rPr>
          <w:rFonts w:ascii="Times New Roman" w:hAnsi="Times New Roman"/>
          <w:color w:val="000000" w:themeColor="text1"/>
        </w:rPr>
        <w:t>1.3评价标准</w:t>
      </w:r>
      <w:bookmarkEnd w:id="46"/>
    </w:p>
    <w:p w14:paraId="14D605DC">
      <w:pPr>
        <w:pStyle w:val="105"/>
        <w:rPr>
          <w:rFonts w:cs="Times New Roman"/>
          <w:color w:val="000000" w:themeColor="text1"/>
        </w:rPr>
      </w:pPr>
      <w:bookmarkStart w:id="53" w:name="_Toc230393120"/>
      <w:bookmarkStart w:id="54" w:name="_Toc226861712"/>
      <w:bookmarkStart w:id="55" w:name="_Toc226540383"/>
      <w:bookmarkStart w:id="56" w:name="_Toc226540111"/>
      <w:bookmarkStart w:id="57" w:name="_Toc280621013"/>
      <w:bookmarkStart w:id="58" w:name="_Toc290295711"/>
      <w:r>
        <w:rPr>
          <w:rFonts w:cs="Times New Roman"/>
          <w:color w:val="000000" w:themeColor="text1"/>
        </w:rPr>
        <w:t>1.3.1环境质量评价标准</w:t>
      </w:r>
      <w:bookmarkEnd w:id="53"/>
      <w:bookmarkEnd w:id="54"/>
      <w:bookmarkEnd w:id="55"/>
      <w:bookmarkEnd w:id="56"/>
      <w:bookmarkEnd w:id="57"/>
      <w:bookmarkEnd w:id="58"/>
    </w:p>
    <w:p w14:paraId="299A04EE">
      <w:pPr>
        <w:spacing w:line="360" w:lineRule="auto"/>
        <w:ind w:firstLine="440"/>
        <w:rPr>
          <w:b/>
          <w:color w:val="000000" w:themeColor="text1"/>
          <w:sz w:val="24"/>
        </w:rPr>
      </w:pPr>
      <w:r>
        <w:rPr>
          <w:b/>
          <w:color w:val="000000" w:themeColor="text1"/>
          <w:sz w:val="24"/>
        </w:rPr>
        <w:t>（1）环境空气</w:t>
      </w:r>
    </w:p>
    <w:p w14:paraId="0FB758C1">
      <w:pPr>
        <w:spacing w:line="360" w:lineRule="auto"/>
        <w:ind w:firstLine="440"/>
        <w:rPr>
          <w:color w:val="000000" w:themeColor="text1"/>
          <w:sz w:val="24"/>
        </w:rPr>
      </w:pPr>
      <w:r>
        <w:rPr>
          <w:color w:val="000000" w:themeColor="text1"/>
          <w:sz w:val="24"/>
        </w:rPr>
        <w:t>本项目位于</w:t>
      </w:r>
      <w:r>
        <w:rPr>
          <w:bCs/>
          <w:color w:val="000000" w:themeColor="text1"/>
          <w:sz w:val="24"/>
        </w:rPr>
        <w:t>云南省德宏州芒市遮放镇户拉村委会遮焕村民小组盛达泰硅业厂区内</w:t>
      </w:r>
      <w:r>
        <w:rPr>
          <w:color w:val="000000" w:themeColor="text1"/>
          <w:sz w:val="24"/>
        </w:rPr>
        <w:t>，属二类区，执行《环境空气质量标准》（GB3095-2012）中二级标准，根据中国环境科学出版社出版的国家环境保护局科技标准司的《大气污染物综合排放标准详解》，非甲烷总烃的质量标准采用2mg/m</w:t>
      </w:r>
      <w:r>
        <w:rPr>
          <w:color w:val="000000" w:themeColor="text1"/>
          <w:sz w:val="24"/>
          <w:vertAlign w:val="superscript"/>
        </w:rPr>
        <w:t>3</w:t>
      </w:r>
      <w:r>
        <w:rPr>
          <w:color w:val="000000" w:themeColor="text1"/>
          <w:sz w:val="24"/>
        </w:rPr>
        <w:t>；标准值见表1.3-1。</w:t>
      </w:r>
    </w:p>
    <w:p w14:paraId="571681E0">
      <w:pPr>
        <w:snapToGrid w:val="0"/>
        <w:jc w:val="center"/>
        <w:rPr>
          <w:b/>
          <w:color w:val="000000" w:themeColor="text1"/>
          <w:sz w:val="24"/>
        </w:rPr>
      </w:pPr>
      <w:r>
        <w:rPr>
          <w:b/>
          <w:color w:val="000000" w:themeColor="text1"/>
          <w:sz w:val="24"/>
        </w:rPr>
        <w:t>表1.3-1  环境空气质量标准</w:t>
      </w:r>
    </w:p>
    <w:tbl>
      <w:tblPr>
        <w:tblStyle w:val="42"/>
        <w:tblW w:w="5000" w:type="pct"/>
        <w:jc w:val="center"/>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03"/>
        <w:gridCol w:w="1994"/>
        <w:gridCol w:w="2158"/>
        <w:gridCol w:w="1073"/>
      </w:tblGrid>
      <w:tr w14:paraId="4F67A35E">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37" w:type="pct"/>
            <w:vAlign w:val="center"/>
          </w:tcPr>
          <w:p w14:paraId="56BBE37C">
            <w:pPr>
              <w:jc w:val="center"/>
              <w:rPr>
                <w:color w:val="000000" w:themeColor="text1"/>
                <w:szCs w:val="21"/>
              </w:rPr>
            </w:pPr>
            <w:r>
              <w:rPr>
                <w:color w:val="000000" w:themeColor="text1"/>
                <w:szCs w:val="21"/>
              </w:rPr>
              <w:t>污染物名称</w:t>
            </w:r>
          </w:p>
        </w:tc>
        <w:tc>
          <w:tcPr>
            <w:tcW w:w="1169" w:type="pct"/>
            <w:vAlign w:val="center"/>
          </w:tcPr>
          <w:p w14:paraId="082D4384">
            <w:pPr>
              <w:jc w:val="center"/>
              <w:rPr>
                <w:color w:val="000000" w:themeColor="text1"/>
                <w:szCs w:val="21"/>
              </w:rPr>
            </w:pPr>
            <w:r>
              <w:rPr>
                <w:color w:val="000000" w:themeColor="text1"/>
                <w:szCs w:val="21"/>
              </w:rPr>
              <w:t>取值时间</w:t>
            </w:r>
          </w:p>
        </w:tc>
        <w:tc>
          <w:tcPr>
            <w:tcW w:w="1265" w:type="pct"/>
            <w:vAlign w:val="center"/>
          </w:tcPr>
          <w:p w14:paraId="06EE74A0">
            <w:pPr>
              <w:jc w:val="center"/>
              <w:rPr>
                <w:color w:val="000000" w:themeColor="text1"/>
                <w:szCs w:val="21"/>
              </w:rPr>
            </w:pPr>
            <w:r>
              <w:rPr>
                <w:color w:val="000000" w:themeColor="text1"/>
                <w:szCs w:val="21"/>
              </w:rPr>
              <w:t>二级标准浓度限值</w:t>
            </w:r>
          </w:p>
        </w:tc>
        <w:tc>
          <w:tcPr>
            <w:tcW w:w="629" w:type="pct"/>
            <w:vAlign w:val="center"/>
          </w:tcPr>
          <w:p w14:paraId="1958145D">
            <w:pPr>
              <w:jc w:val="center"/>
              <w:rPr>
                <w:color w:val="000000" w:themeColor="text1"/>
                <w:szCs w:val="21"/>
              </w:rPr>
            </w:pPr>
            <w:r>
              <w:rPr>
                <w:color w:val="000000" w:themeColor="text1"/>
                <w:szCs w:val="21"/>
              </w:rPr>
              <w:t>单位</w:t>
            </w:r>
          </w:p>
        </w:tc>
      </w:tr>
      <w:tr w14:paraId="5FC2173D">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restart"/>
            <w:vAlign w:val="center"/>
          </w:tcPr>
          <w:p w14:paraId="246D2346">
            <w:pPr>
              <w:jc w:val="center"/>
              <w:rPr>
                <w:color w:val="000000" w:themeColor="text1"/>
                <w:szCs w:val="21"/>
              </w:rPr>
            </w:pPr>
            <w:r>
              <w:rPr>
                <w:color w:val="000000" w:themeColor="text1"/>
                <w:szCs w:val="21"/>
              </w:rPr>
              <w:t>总悬浮颗粒物(TSP)</w:t>
            </w:r>
          </w:p>
        </w:tc>
        <w:tc>
          <w:tcPr>
            <w:tcW w:w="1169" w:type="pct"/>
            <w:vAlign w:val="center"/>
          </w:tcPr>
          <w:p w14:paraId="498EB98D">
            <w:pPr>
              <w:jc w:val="center"/>
              <w:rPr>
                <w:color w:val="000000" w:themeColor="text1"/>
                <w:szCs w:val="21"/>
              </w:rPr>
            </w:pPr>
            <w:r>
              <w:rPr>
                <w:color w:val="000000" w:themeColor="text1"/>
                <w:szCs w:val="21"/>
              </w:rPr>
              <w:t>年平均</w:t>
            </w:r>
          </w:p>
        </w:tc>
        <w:tc>
          <w:tcPr>
            <w:tcW w:w="1265" w:type="pct"/>
            <w:vAlign w:val="center"/>
          </w:tcPr>
          <w:p w14:paraId="000A0886">
            <w:pPr>
              <w:jc w:val="center"/>
              <w:rPr>
                <w:color w:val="000000" w:themeColor="text1"/>
                <w:szCs w:val="21"/>
              </w:rPr>
            </w:pPr>
            <w:r>
              <w:rPr>
                <w:color w:val="000000" w:themeColor="text1"/>
                <w:szCs w:val="21"/>
              </w:rPr>
              <w:t>200</w:t>
            </w:r>
          </w:p>
        </w:tc>
        <w:tc>
          <w:tcPr>
            <w:tcW w:w="629" w:type="pct"/>
            <w:vMerge w:val="restart"/>
            <w:vAlign w:val="center"/>
          </w:tcPr>
          <w:p w14:paraId="62249464">
            <w:pPr>
              <w:jc w:val="center"/>
              <w:rPr>
                <w:color w:val="000000" w:themeColor="text1"/>
                <w:szCs w:val="21"/>
              </w:rPr>
            </w:pPr>
            <w:r>
              <w:rPr>
                <w:color w:val="000000" w:themeColor="text1"/>
                <w:szCs w:val="21"/>
              </w:rPr>
              <w:t>µg/m</w:t>
            </w:r>
            <w:r>
              <w:rPr>
                <w:color w:val="000000" w:themeColor="text1"/>
                <w:szCs w:val="21"/>
                <w:vertAlign w:val="superscript"/>
              </w:rPr>
              <w:t>3</w:t>
            </w:r>
          </w:p>
        </w:tc>
      </w:tr>
      <w:tr w14:paraId="4FCA8C85">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continue"/>
            <w:vAlign w:val="center"/>
          </w:tcPr>
          <w:p w14:paraId="107C8E68">
            <w:pPr>
              <w:jc w:val="center"/>
              <w:rPr>
                <w:color w:val="000000" w:themeColor="text1"/>
                <w:szCs w:val="21"/>
              </w:rPr>
            </w:pPr>
          </w:p>
        </w:tc>
        <w:tc>
          <w:tcPr>
            <w:tcW w:w="1169" w:type="pct"/>
            <w:vAlign w:val="center"/>
          </w:tcPr>
          <w:p w14:paraId="2F7337C2">
            <w:pPr>
              <w:jc w:val="center"/>
              <w:rPr>
                <w:color w:val="000000" w:themeColor="text1"/>
                <w:szCs w:val="21"/>
              </w:rPr>
            </w:pPr>
            <w:r>
              <w:rPr>
                <w:color w:val="000000" w:themeColor="text1"/>
                <w:szCs w:val="21"/>
              </w:rPr>
              <w:t>24小时平均</w:t>
            </w:r>
          </w:p>
        </w:tc>
        <w:tc>
          <w:tcPr>
            <w:tcW w:w="1265" w:type="pct"/>
            <w:vAlign w:val="center"/>
          </w:tcPr>
          <w:p w14:paraId="520D6CB0">
            <w:pPr>
              <w:jc w:val="center"/>
              <w:rPr>
                <w:color w:val="000000" w:themeColor="text1"/>
                <w:szCs w:val="21"/>
              </w:rPr>
            </w:pPr>
            <w:r>
              <w:rPr>
                <w:color w:val="000000" w:themeColor="text1"/>
                <w:szCs w:val="21"/>
              </w:rPr>
              <w:t>300</w:t>
            </w:r>
          </w:p>
        </w:tc>
        <w:tc>
          <w:tcPr>
            <w:tcW w:w="629" w:type="pct"/>
            <w:vMerge w:val="continue"/>
            <w:vAlign w:val="center"/>
          </w:tcPr>
          <w:p w14:paraId="32DDD98B">
            <w:pPr>
              <w:jc w:val="center"/>
              <w:rPr>
                <w:color w:val="000000" w:themeColor="text1"/>
                <w:szCs w:val="21"/>
              </w:rPr>
            </w:pPr>
          </w:p>
        </w:tc>
      </w:tr>
      <w:tr w14:paraId="05A70763">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restart"/>
            <w:vAlign w:val="center"/>
          </w:tcPr>
          <w:p w14:paraId="783B8E92">
            <w:pPr>
              <w:jc w:val="center"/>
              <w:rPr>
                <w:color w:val="000000" w:themeColor="text1"/>
                <w:szCs w:val="21"/>
              </w:rPr>
            </w:pPr>
            <w:r>
              <w:rPr>
                <w:color w:val="000000" w:themeColor="text1"/>
                <w:szCs w:val="21"/>
              </w:rPr>
              <w:t>可吸入颗粒物(PM</w:t>
            </w:r>
            <w:r>
              <w:rPr>
                <w:color w:val="000000" w:themeColor="text1"/>
                <w:szCs w:val="21"/>
                <w:vertAlign w:val="subscript"/>
              </w:rPr>
              <w:t>10</w:t>
            </w:r>
            <w:r>
              <w:rPr>
                <w:color w:val="000000" w:themeColor="text1"/>
                <w:szCs w:val="21"/>
              </w:rPr>
              <w:t>)</w:t>
            </w:r>
          </w:p>
        </w:tc>
        <w:tc>
          <w:tcPr>
            <w:tcW w:w="1169" w:type="pct"/>
            <w:vAlign w:val="center"/>
          </w:tcPr>
          <w:p w14:paraId="10D78D53">
            <w:pPr>
              <w:jc w:val="center"/>
              <w:rPr>
                <w:color w:val="000000" w:themeColor="text1"/>
                <w:szCs w:val="21"/>
              </w:rPr>
            </w:pPr>
            <w:r>
              <w:rPr>
                <w:color w:val="000000" w:themeColor="text1"/>
                <w:szCs w:val="21"/>
              </w:rPr>
              <w:t>年平均</w:t>
            </w:r>
          </w:p>
        </w:tc>
        <w:tc>
          <w:tcPr>
            <w:tcW w:w="1265" w:type="pct"/>
            <w:vAlign w:val="center"/>
          </w:tcPr>
          <w:p w14:paraId="0860D755">
            <w:pPr>
              <w:jc w:val="center"/>
              <w:rPr>
                <w:color w:val="000000" w:themeColor="text1"/>
                <w:szCs w:val="21"/>
              </w:rPr>
            </w:pPr>
            <w:r>
              <w:rPr>
                <w:color w:val="000000" w:themeColor="text1"/>
                <w:szCs w:val="21"/>
              </w:rPr>
              <w:t>70</w:t>
            </w:r>
          </w:p>
        </w:tc>
        <w:tc>
          <w:tcPr>
            <w:tcW w:w="629" w:type="pct"/>
            <w:vMerge w:val="continue"/>
            <w:vAlign w:val="center"/>
          </w:tcPr>
          <w:p w14:paraId="71EA2B7E">
            <w:pPr>
              <w:jc w:val="center"/>
              <w:rPr>
                <w:color w:val="000000" w:themeColor="text1"/>
                <w:szCs w:val="21"/>
              </w:rPr>
            </w:pPr>
          </w:p>
        </w:tc>
      </w:tr>
      <w:tr w14:paraId="64221232">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continue"/>
            <w:vAlign w:val="center"/>
          </w:tcPr>
          <w:p w14:paraId="677F5F0E">
            <w:pPr>
              <w:jc w:val="center"/>
              <w:rPr>
                <w:color w:val="000000" w:themeColor="text1"/>
                <w:szCs w:val="21"/>
              </w:rPr>
            </w:pPr>
          </w:p>
        </w:tc>
        <w:tc>
          <w:tcPr>
            <w:tcW w:w="1169" w:type="pct"/>
            <w:vAlign w:val="center"/>
          </w:tcPr>
          <w:p w14:paraId="092BD1DA">
            <w:pPr>
              <w:jc w:val="center"/>
              <w:rPr>
                <w:color w:val="000000" w:themeColor="text1"/>
                <w:szCs w:val="21"/>
              </w:rPr>
            </w:pPr>
            <w:r>
              <w:rPr>
                <w:color w:val="000000" w:themeColor="text1"/>
                <w:szCs w:val="21"/>
              </w:rPr>
              <w:t>24小时平均</w:t>
            </w:r>
          </w:p>
        </w:tc>
        <w:tc>
          <w:tcPr>
            <w:tcW w:w="1265" w:type="pct"/>
            <w:vAlign w:val="center"/>
          </w:tcPr>
          <w:p w14:paraId="2B6821AF">
            <w:pPr>
              <w:jc w:val="center"/>
              <w:rPr>
                <w:color w:val="000000" w:themeColor="text1"/>
                <w:szCs w:val="21"/>
              </w:rPr>
            </w:pPr>
            <w:r>
              <w:rPr>
                <w:color w:val="000000" w:themeColor="text1"/>
                <w:szCs w:val="21"/>
              </w:rPr>
              <w:t>150</w:t>
            </w:r>
          </w:p>
        </w:tc>
        <w:tc>
          <w:tcPr>
            <w:tcW w:w="629" w:type="pct"/>
            <w:vMerge w:val="continue"/>
            <w:vAlign w:val="center"/>
          </w:tcPr>
          <w:p w14:paraId="7F14CA34">
            <w:pPr>
              <w:jc w:val="center"/>
              <w:rPr>
                <w:color w:val="000000" w:themeColor="text1"/>
                <w:szCs w:val="21"/>
              </w:rPr>
            </w:pPr>
          </w:p>
        </w:tc>
      </w:tr>
      <w:tr w14:paraId="38A75DCC">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restart"/>
            <w:vAlign w:val="center"/>
          </w:tcPr>
          <w:p w14:paraId="70F38C73">
            <w:pPr>
              <w:pStyle w:val="55"/>
              <w:ind w:left="420" w:hanging="420"/>
              <w:rPr>
                <w:snapToGrid w:val="0"/>
                <w:color w:val="000000" w:themeColor="text1"/>
                <w:sz w:val="21"/>
              </w:rPr>
            </w:pPr>
            <w:r>
              <w:rPr>
                <w:snapToGrid w:val="0"/>
                <w:color w:val="000000" w:themeColor="text1"/>
                <w:sz w:val="21"/>
              </w:rPr>
              <w:t>PM</w:t>
            </w:r>
            <w:r>
              <w:rPr>
                <w:snapToGrid w:val="0"/>
                <w:color w:val="000000" w:themeColor="text1"/>
                <w:sz w:val="21"/>
                <w:vertAlign w:val="subscript"/>
              </w:rPr>
              <w:t>2.5</w:t>
            </w:r>
          </w:p>
        </w:tc>
        <w:tc>
          <w:tcPr>
            <w:tcW w:w="1169" w:type="pct"/>
            <w:vAlign w:val="center"/>
          </w:tcPr>
          <w:p w14:paraId="5978A9AD">
            <w:pPr>
              <w:jc w:val="center"/>
              <w:rPr>
                <w:color w:val="000000" w:themeColor="text1"/>
                <w:szCs w:val="21"/>
              </w:rPr>
            </w:pPr>
            <w:r>
              <w:rPr>
                <w:color w:val="000000" w:themeColor="text1"/>
                <w:szCs w:val="21"/>
              </w:rPr>
              <w:t>年平均</w:t>
            </w:r>
          </w:p>
        </w:tc>
        <w:tc>
          <w:tcPr>
            <w:tcW w:w="1265" w:type="pct"/>
            <w:vAlign w:val="center"/>
          </w:tcPr>
          <w:p w14:paraId="4A057471">
            <w:pPr>
              <w:pStyle w:val="55"/>
              <w:ind w:left="420" w:hanging="420"/>
              <w:rPr>
                <w:snapToGrid w:val="0"/>
                <w:color w:val="000000" w:themeColor="text1"/>
                <w:sz w:val="21"/>
              </w:rPr>
            </w:pPr>
            <w:r>
              <w:rPr>
                <w:snapToGrid w:val="0"/>
                <w:color w:val="000000" w:themeColor="text1"/>
                <w:sz w:val="21"/>
              </w:rPr>
              <w:t>35</w:t>
            </w:r>
          </w:p>
        </w:tc>
        <w:tc>
          <w:tcPr>
            <w:tcW w:w="629" w:type="pct"/>
            <w:vMerge w:val="continue"/>
            <w:vAlign w:val="center"/>
          </w:tcPr>
          <w:p w14:paraId="05DC5D21">
            <w:pPr>
              <w:jc w:val="center"/>
              <w:rPr>
                <w:color w:val="000000" w:themeColor="text1"/>
                <w:szCs w:val="21"/>
              </w:rPr>
            </w:pPr>
          </w:p>
        </w:tc>
      </w:tr>
      <w:tr w14:paraId="01750BBC">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continue"/>
            <w:vAlign w:val="center"/>
          </w:tcPr>
          <w:p w14:paraId="1ABF8ACB">
            <w:pPr>
              <w:jc w:val="center"/>
              <w:rPr>
                <w:color w:val="000000" w:themeColor="text1"/>
                <w:szCs w:val="21"/>
              </w:rPr>
            </w:pPr>
          </w:p>
        </w:tc>
        <w:tc>
          <w:tcPr>
            <w:tcW w:w="1169" w:type="pct"/>
            <w:vAlign w:val="center"/>
          </w:tcPr>
          <w:p w14:paraId="47416F2E">
            <w:pPr>
              <w:jc w:val="center"/>
              <w:rPr>
                <w:color w:val="000000" w:themeColor="text1"/>
                <w:szCs w:val="21"/>
              </w:rPr>
            </w:pPr>
            <w:r>
              <w:rPr>
                <w:color w:val="000000" w:themeColor="text1"/>
                <w:szCs w:val="21"/>
              </w:rPr>
              <w:t>24小时平均</w:t>
            </w:r>
          </w:p>
        </w:tc>
        <w:tc>
          <w:tcPr>
            <w:tcW w:w="1265" w:type="pct"/>
            <w:vAlign w:val="center"/>
          </w:tcPr>
          <w:p w14:paraId="2758F376">
            <w:pPr>
              <w:pStyle w:val="55"/>
              <w:ind w:left="420" w:hanging="420"/>
              <w:rPr>
                <w:snapToGrid w:val="0"/>
                <w:color w:val="000000" w:themeColor="text1"/>
                <w:sz w:val="21"/>
              </w:rPr>
            </w:pPr>
            <w:r>
              <w:rPr>
                <w:snapToGrid w:val="0"/>
                <w:color w:val="000000" w:themeColor="text1"/>
                <w:sz w:val="21"/>
              </w:rPr>
              <w:t>75</w:t>
            </w:r>
          </w:p>
        </w:tc>
        <w:tc>
          <w:tcPr>
            <w:tcW w:w="629" w:type="pct"/>
            <w:vMerge w:val="continue"/>
            <w:vAlign w:val="center"/>
          </w:tcPr>
          <w:p w14:paraId="1299B7CD">
            <w:pPr>
              <w:jc w:val="center"/>
              <w:rPr>
                <w:color w:val="000000" w:themeColor="text1"/>
                <w:szCs w:val="21"/>
              </w:rPr>
            </w:pPr>
          </w:p>
        </w:tc>
      </w:tr>
      <w:tr w14:paraId="2F0BE0CB">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restart"/>
            <w:vAlign w:val="center"/>
          </w:tcPr>
          <w:p w14:paraId="39FC58E3">
            <w:pPr>
              <w:jc w:val="center"/>
              <w:rPr>
                <w:color w:val="000000" w:themeColor="text1"/>
                <w:szCs w:val="21"/>
              </w:rPr>
            </w:pPr>
            <w:r>
              <w:rPr>
                <w:color w:val="000000" w:themeColor="text1"/>
                <w:szCs w:val="21"/>
              </w:rPr>
              <w:t>二氧化硫(SO</w:t>
            </w:r>
            <w:r>
              <w:rPr>
                <w:color w:val="000000" w:themeColor="text1"/>
                <w:szCs w:val="21"/>
                <w:vertAlign w:val="subscript"/>
              </w:rPr>
              <w:t>2</w:t>
            </w:r>
            <w:r>
              <w:rPr>
                <w:color w:val="000000" w:themeColor="text1"/>
                <w:szCs w:val="21"/>
              </w:rPr>
              <w:t>)</w:t>
            </w:r>
          </w:p>
        </w:tc>
        <w:tc>
          <w:tcPr>
            <w:tcW w:w="1169" w:type="pct"/>
            <w:vAlign w:val="center"/>
          </w:tcPr>
          <w:p w14:paraId="31C788B1">
            <w:pPr>
              <w:jc w:val="center"/>
              <w:rPr>
                <w:color w:val="000000" w:themeColor="text1"/>
                <w:szCs w:val="21"/>
              </w:rPr>
            </w:pPr>
            <w:r>
              <w:rPr>
                <w:color w:val="000000" w:themeColor="text1"/>
                <w:szCs w:val="21"/>
              </w:rPr>
              <w:t>年平均</w:t>
            </w:r>
          </w:p>
        </w:tc>
        <w:tc>
          <w:tcPr>
            <w:tcW w:w="1265" w:type="pct"/>
            <w:vAlign w:val="center"/>
          </w:tcPr>
          <w:p w14:paraId="6E95B17C">
            <w:pPr>
              <w:jc w:val="center"/>
              <w:rPr>
                <w:color w:val="000000" w:themeColor="text1"/>
                <w:szCs w:val="21"/>
              </w:rPr>
            </w:pPr>
            <w:r>
              <w:rPr>
                <w:color w:val="000000" w:themeColor="text1"/>
                <w:szCs w:val="21"/>
              </w:rPr>
              <w:t>60</w:t>
            </w:r>
          </w:p>
        </w:tc>
        <w:tc>
          <w:tcPr>
            <w:tcW w:w="629" w:type="pct"/>
            <w:vMerge w:val="continue"/>
            <w:vAlign w:val="center"/>
          </w:tcPr>
          <w:p w14:paraId="03382D6B">
            <w:pPr>
              <w:jc w:val="center"/>
              <w:rPr>
                <w:color w:val="000000" w:themeColor="text1"/>
                <w:szCs w:val="21"/>
              </w:rPr>
            </w:pPr>
          </w:p>
        </w:tc>
      </w:tr>
      <w:tr w14:paraId="7025F809">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continue"/>
            <w:vAlign w:val="center"/>
          </w:tcPr>
          <w:p w14:paraId="740A9F58">
            <w:pPr>
              <w:jc w:val="center"/>
              <w:rPr>
                <w:color w:val="000000" w:themeColor="text1"/>
                <w:szCs w:val="21"/>
              </w:rPr>
            </w:pPr>
          </w:p>
        </w:tc>
        <w:tc>
          <w:tcPr>
            <w:tcW w:w="1169" w:type="pct"/>
            <w:vAlign w:val="center"/>
          </w:tcPr>
          <w:p w14:paraId="4674749E">
            <w:pPr>
              <w:jc w:val="center"/>
              <w:rPr>
                <w:color w:val="000000" w:themeColor="text1"/>
                <w:szCs w:val="21"/>
              </w:rPr>
            </w:pPr>
            <w:r>
              <w:rPr>
                <w:color w:val="000000" w:themeColor="text1"/>
                <w:szCs w:val="21"/>
              </w:rPr>
              <w:t>24小时平均</w:t>
            </w:r>
          </w:p>
        </w:tc>
        <w:tc>
          <w:tcPr>
            <w:tcW w:w="1265" w:type="pct"/>
            <w:vAlign w:val="center"/>
          </w:tcPr>
          <w:p w14:paraId="7E9AC2AA">
            <w:pPr>
              <w:jc w:val="center"/>
              <w:rPr>
                <w:color w:val="000000" w:themeColor="text1"/>
                <w:szCs w:val="21"/>
              </w:rPr>
            </w:pPr>
            <w:r>
              <w:rPr>
                <w:color w:val="000000" w:themeColor="text1"/>
                <w:szCs w:val="21"/>
              </w:rPr>
              <w:t>150</w:t>
            </w:r>
          </w:p>
        </w:tc>
        <w:tc>
          <w:tcPr>
            <w:tcW w:w="629" w:type="pct"/>
            <w:vMerge w:val="continue"/>
            <w:vAlign w:val="center"/>
          </w:tcPr>
          <w:p w14:paraId="5A7B0EE4">
            <w:pPr>
              <w:jc w:val="center"/>
              <w:rPr>
                <w:color w:val="000000" w:themeColor="text1"/>
                <w:szCs w:val="21"/>
              </w:rPr>
            </w:pPr>
          </w:p>
        </w:tc>
      </w:tr>
      <w:tr w14:paraId="7D49F283">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continue"/>
            <w:vAlign w:val="center"/>
          </w:tcPr>
          <w:p w14:paraId="6A54DDFB">
            <w:pPr>
              <w:jc w:val="center"/>
              <w:rPr>
                <w:color w:val="000000" w:themeColor="text1"/>
                <w:szCs w:val="21"/>
              </w:rPr>
            </w:pPr>
          </w:p>
        </w:tc>
        <w:tc>
          <w:tcPr>
            <w:tcW w:w="1169" w:type="pct"/>
            <w:vAlign w:val="center"/>
          </w:tcPr>
          <w:p w14:paraId="5010FA58">
            <w:pPr>
              <w:jc w:val="center"/>
              <w:rPr>
                <w:color w:val="000000" w:themeColor="text1"/>
                <w:szCs w:val="21"/>
              </w:rPr>
            </w:pPr>
            <w:r>
              <w:rPr>
                <w:color w:val="000000" w:themeColor="text1"/>
                <w:szCs w:val="21"/>
              </w:rPr>
              <w:t>1小时平均</w:t>
            </w:r>
          </w:p>
        </w:tc>
        <w:tc>
          <w:tcPr>
            <w:tcW w:w="1265" w:type="pct"/>
            <w:vAlign w:val="center"/>
          </w:tcPr>
          <w:p w14:paraId="0ABBD7CD">
            <w:pPr>
              <w:jc w:val="center"/>
              <w:rPr>
                <w:color w:val="000000" w:themeColor="text1"/>
                <w:szCs w:val="21"/>
              </w:rPr>
            </w:pPr>
            <w:r>
              <w:rPr>
                <w:color w:val="000000" w:themeColor="text1"/>
                <w:szCs w:val="21"/>
              </w:rPr>
              <w:t>500</w:t>
            </w:r>
          </w:p>
        </w:tc>
        <w:tc>
          <w:tcPr>
            <w:tcW w:w="629" w:type="pct"/>
            <w:vMerge w:val="continue"/>
            <w:vAlign w:val="center"/>
          </w:tcPr>
          <w:p w14:paraId="50FC89BE">
            <w:pPr>
              <w:jc w:val="center"/>
              <w:rPr>
                <w:color w:val="000000" w:themeColor="text1"/>
                <w:szCs w:val="21"/>
              </w:rPr>
            </w:pPr>
          </w:p>
        </w:tc>
      </w:tr>
      <w:tr w14:paraId="0A5AC0C6">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restart"/>
            <w:vAlign w:val="center"/>
          </w:tcPr>
          <w:p w14:paraId="36E623E0">
            <w:pPr>
              <w:jc w:val="center"/>
              <w:rPr>
                <w:color w:val="000000" w:themeColor="text1"/>
                <w:szCs w:val="21"/>
              </w:rPr>
            </w:pPr>
            <w:r>
              <w:rPr>
                <w:color w:val="000000" w:themeColor="text1"/>
                <w:szCs w:val="21"/>
              </w:rPr>
              <w:t>二氧化氮(NO</w:t>
            </w:r>
            <w:r>
              <w:rPr>
                <w:color w:val="000000" w:themeColor="text1"/>
                <w:szCs w:val="21"/>
                <w:vertAlign w:val="subscript"/>
              </w:rPr>
              <w:t>2</w:t>
            </w:r>
            <w:r>
              <w:rPr>
                <w:color w:val="000000" w:themeColor="text1"/>
                <w:szCs w:val="21"/>
              </w:rPr>
              <w:t>)</w:t>
            </w:r>
          </w:p>
        </w:tc>
        <w:tc>
          <w:tcPr>
            <w:tcW w:w="1169" w:type="pct"/>
            <w:vAlign w:val="center"/>
          </w:tcPr>
          <w:p w14:paraId="4DEC8EDC">
            <w:pPr>
              <w:jc w:val="center"/>
              <w:rPr>
                <w:color w:val="000000" w:themeColor="text1"/>
                <w:szCs w:val="21"/>
              </w:rPr>
            </w:pPr>
            <w:r>
              <w:rPr>
                <w:color w:val="000000" w:themeColor="text1"/>
                <w:szCs w:val="21"/>
              </w:rPr>
              <w:t>年平均</w:t>
            </w:r>
          </w:p>
        </w:tc>
        <w:tc>
          <w:tcPr>
            <w:tcW w:w="1265" w:type="pct"/>
            <w:vAlign w:val="center"/>
          </w:tcPr>
          <w:p w14:paraId="312E5084">
            <w:pPr>
              <w:jc w:val="center"/>
              <w:rPr>
                <w:color w:val="000000" w:themeColor="text1"/>
                <w:szCs w:val="21"/>
              </w:rPr>
            </w:pPr>
            <w:r>
              <w:rPr>
                <w:color w:val="000000" w:themeColor="text1"/>
                <w:szCs w:val="21"/>
              </w:rPr>
              <w:t>40</w:t>
            </w:r>
          </w:p>
        </w:tc>
        <w:tc>
          <w:tcPr>
            <w:tcW w:w="629" w:type="pct"/>
            <w:vMerge w:val="continue"/>
            <w:vAlign w:val="center"/>
          </w:tcPr>
          <w:p w14:paraId="75C506CE">
            <w:pPr>
              <w:jc w:val="center"/>
              <w:rPr>
                <w:color w:val="000000" w:themeColor="text1"/>
                <w:szCs w:val="21"/>
              </w:rPr>
            </w:pPr>
          </w:p>
        </w:tc>
      </w:tr>
      <w:tr w14:paraId="358355E0">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continue"/>
            <w:vAlign w:val="center"/>
          </w:tcPr>
          <w:p w14:paraId="2AF12D0B">
            <w:pPr>
              <w:jc w:val="center"/>
              <w:rPr>
                <w:color w:val="000000" w:themeColor="text1"/>
                <w:szCs w:val="21"/>
              </w:rPr>
            </w:pPr>
          </w:p>
        </w:tc>
        <w:tc>
          <w:tcPr>
            <w:tcW w:w="1169" w:type="pct"/>
            <w:vAlign w:val="center"/>
          </w:tcPr>
          <w:p w14:paraId="66855925">
            <w:pPr>
              <w:jc w:val="center"/>
              <w:rPr>
                <w:color w:val="000000" w:themeColor="text1"/>
                <w:szCs w:val="21"/>
              </w:rPr>
            </w:pPr>
            <w:r>
              <w:rPr>
                <w:color w:val="000000" w:themeColor="text1"/>
                <w:szCs w:val="21"/>
              </w:rPr>
              <w:t>24小时平均</w:t>
            </w:r>
          </w:p>
        </w:tc>
        <w:tc>
          <w:tcPr>
            <w:tcW w:w="1265" w:type="pct"/>
            <w:vAlign w:val="center"/>
          </w:tcPr>
          <w:p w14:paraId="061613BB">
            <w:pPr>
              <w:jc w:val="center"/>
              <w:rPr>
                <w:color w:val="000000" w:themeColor="text1"/>
                <w:szCs w:val="21"/>
              </w:rPr>
            </w:pPr>
            <w:r>
              <w:rPr>
                <w:color w:val="000000" w:themeColor="text1"/>
                <w:szCs w:val="21"/>
              </w:rPr>
              <w:t>80</w:t>
            </w:r>
          </w:p>
        </w:tc>
        <w:tc>
          <w:tcPr>
            <w:tcW w:w="629" w:type="pct"/>
            <w:vMerge w:val="continue"/>
            <w:vAlign w:val="center"/>
          </w:tcPr>
          <w:p w14:paraId="7C77C117">
            <w:pPr>
              <w:jc w:val="center"/>
              <w:rPr>
                <w:color w:val="000000" w:themeColor="text1"/>
                <w:szCs w:val="21"/>
              </w:rPr>
            </w:pPr>
          </w:p>
        </w:tc>
      </w:tr>
      <w:tr w14:paraId="74D8FA08">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Merge w:val="continue"/>
            <w:vAlign w:val="center"/>
          </w:tcPr>
          <w:p w14:paraId="0BD3DC54">
            <w:pPr>
              <w:jc w:val="center"/>
              <w:rPr>
                <w:color w:val="000000" w:themeColor="text1"/>
                <w:szCs w:val="21"/>
              </w:rPr>
            </w:pPr>
          </w:p>
        </w:tc>
        <w:tc>
          <w:tcPr>
            <w:tcW w:w="1169" w:type="pct"/>
            <w:vAlign w:val="center"/>
          </w:tcPr>
          <w:p w14:paraId="52FF7660">
            <w:pPr>
              <w:jc w:val="center"/>
              <w:rPr>
                <w:color w:val="000000" w:themeColor="text1"/>
                <w:szCs w:val="21"/>
              </w:rPr>
            </w:pPr>
            <w:r>
              <w:rPr>
                <w:color w:val="000000" w:themeColor="text1"/>
                <w:szCs w:val="21"/>
              </w:rPr>
              <w:t>1小时平均</w:t>
            </w:r>
          </w:p>
        </w:tc>
        <w:tc>
          <w:tcPr>
            <w:tcW w:w="1265" w:type="pct"/>
            <w:vAlign w:val="center"/>
          </w:tcPr>
          <w:p w14:paraId="0175E4BB">
            <w:pPr>
              <w:jc w:val="center"/>
              <w:rPr>
                <w:color w:val="000000" w:themeColor="text1"/>
                <w:szCs w:val="21"/>
              </w:rPr>
            </w:pPr>
            <w:r>
              <w:rPr>
                <w:color w:val="000000" w:themeColor="text1"/>
                <w:szCs w:val="21"/>
              </w:rPr>
              <w:t>200</w:t>
            </w:r>
          </w:p>
        </w:tc>
        <w:tc>
          <w:tcPr>
            <w:tcW w:w="629" w:type="pct"/>
            <w:vMerge w:val="continue"/>
            <w:vAlign w:val="center"/>
          </w:tcPr>
          <w:p w14:paraId="0CB32D0D">
            <w:pPr>
              <w:jc w:val="center"/>
              <w:rPr>
                <w:color w:val="000000" w:themeColor="text1"/>
                <w:szCs w:val="21"/>
              </w:rPr>
            </w:pPr>
          </w:p>
        </w:tc>
      </w:tr>
      <w:tr w14:paraId="25739B50">
        <w:tblPrEx>
          <w:tblBorders>
            <w:top w:val="single" w:color="auto" w:sz="24" w:space="0"/>
            <w:left w:val="none" w:color="auto" w:sz="0" w:space="0"/>
            <w:bottom w:val="single" w:color="auto" w:sz="2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37" w:type="pct"/>
            <w:vAlign w:val="center"/>
          </w:tcPr>
          <w:p w14:paraId="6DCE5067">
            <w:pPr>
              <w:ind w:left="105" w:leftChars="50" w:right="105" w:rightChars="50"/>
              <w:jc w:val="center"/>
              <w:textAlignment w:val="baseline"/>
              <w:rPr>
                <w:color w:val="000000" w:themeColor="text1"/>
                <w:szCs w:val="21"/>
                <w:vertAlign w:val="subscript"/>
              </w:rPr>
            </w:pPr>
            <w:r>
              <w:rPr>
                <w:color w:val="000000" w:themeColor="text1"/>
                <w:szCs w:val="21"/>
              </w:rPr>
              <w:t>非甲烷总烃，《大气污染物综合排放标准详解》</w:t>
            </w:r>
          </w:p>
        </w:tc>
        <w:tc>
          <w:tcPr>
            <w:tcW w:w="1169" w:type="pct"/>
            <w:vAlign w:val="center"/>
          </w:tcPr>
          <w:p w14:paraId="56B10D7A">
            <w:pPr>
              <w:ind w:left="105" w:leftChars="50" w:right="105" w:rightChars="50"/>
              <w:jc w:val="center"/>
              <w:textAlignment w:val="baseline"/>
              <w:rPr>
                <w:color w:val="000000" w:themeColor="text1"/>
                <w:szCs w:val="21"/>
              </w:rPr>
            </w:pPr>
            <w:r>
              <w:rPr>
                <w:color w:val="000000" w:themeColor="text1"/>
                <w:szCs w:val="21"/>
              </w:rPr>
              <w:t>1小时均值</w:t>
            </w:r>
          </w:p>
        </w:tc>
        <w:tc>
          <w:tcPr>
            <w:tcW w:w="1265" w:type="pct"/>
            <w:vAlign w:val="center"/>
          </w:tcPr>
          <w:p w14:paraId="63D4C7B2">
            <w:pPr>
              <w:ind w:left="105" w:leftChars="50" w:right="105" w:rightChars="50"/>
              <w:jc w:val="center"/>
              <w:textAlignment w:val="baseline"/>
              <w:rPr>
                <w:color w:val="000000" w:themeColor="text1"/>
                <w:szCs w:val="21"/>
              </w:rPr>
            </w:pPr>
            <w:r>
              <w:rPr>
                <w:color w:val="000000" w:themeColor="text1"/>
                <w:szCs w:val="21"/>
              </w:rPr>
              <w:t>2000</w:t>
            </w:r>
          </w:p>
        </w:tc>
        <w:tc>
          <w:tcPr>
            <w:tcW w:w="629" w:type="pct"/>
            <w:vMerge w:val="continue"/>
            <w:vAlign w:val="center"/>
          </w:tcPr>
          <w:p w14:paraId="4E133472">
            <w:pPr>
              <w:jc w:val="center"/>
              <w:rPr>
                <w:color w:val="000000" w:themeColor="text1"/>
                <w:szCs w:val="21"/>
              </w:rPr>
            </w:pPr>
          </w:p>
        </w:tc>
      </w:tr>
    </w:tbl>
    <w:p w14:paraId="39E18940">
      <w:pPr>
        <w:snapToGrid w:val="0"/>
        <w:spacing w:line="500" w:lineRule="exact"/>
        <w:ind w:firstLine="352" w:firstLineChars="147"/>
        <w:rPr>
          <w:b/>
          <w:color w:val="000000" w:themeColor="text1"/>
          <w:sz w:val="24"/>
        </w:rPr>
      </w:pPr>
      <w:r>
        <w:rPr>
          <w:b/>
          <w:color w:val="000000" w:themeColor="text1"/>
          <w:sz w:val="24"/>
        </w:rPr>
        <w:t>（2）地表水</w:t>
      </w:r>
    </w:p>
    <w:p w14:paraId="696C47D8">
      <w:pPr>
        <w:snapToGrid w:val="0"/>
        <w:spacing w:line="500" w:lineRule="exact"/>
        <w:ind w:firstLine="480" w:firstLineChars="200"/>
        <w:jc w:val="left"/>
        <w:rPr>
          <w:color w:val="000000" w:themeColor="text1"/>
          <w:sz w:val="24"/>
        </w:rPr>
      </w:pPr>
      <w:r>
        <w:rPr>
          <w:color w:val="000000" w:themeColor="text1"/>
          <w:sz w:val="24"/>
        </w:rPr>
        <w:t>根据现场勘查，距本项目最近的为项目西侧2.1km的芒市大河、西南侧532m水塘、西南侧650m排鲁水库。</w:t>
      </w:r>
    </w:p>
    <w:p w14:paraId="5CF362B9">
      <w:pPr>
        <w:snapToGrid w:val="0"/>
        <w:spacing w:line="500" w:lineRule="exact"/>
        <w:ind w:firstLine="480" w:firstLineChars="200"/>
        <w:rPr>
          <w:color w:val="000000" w:themeColor="text1"/>
          <w:sz w:val="24"/>
        </w:rPr>
      </w:pPr>
      <w:r>
        <w:rPr>
          <w:color w:val="000000" w:themeColor="text1"/>
          <w:sz w:val="24"/>
        </w:rPr>
        <w:t xml:space="preserve">根据《云南省地表水水环境功能区划》（2010~2020年），源头—入芒市大河口执行《地表水环境质量标准》（GB3838-2002）III类水质标准，因此，芒市大河、西南侧532m水塘、西南侧650m排鲁水库执行《地表水环境质量标准》（GB3838-2002）III类水质标准，标准值见表1.3-2。 </w:t>
      </w:r>
    </w:p>
    <w:p w14:paraId="1939145B">
      <w:pPr>
        <w:snapToGrid w:val="0"/>
        <w:jc w:val="center"/>
        <w:rPr>
          <w:b/>
          <w:color w:val="000000" w:themeColor="text1"/>
          <w:sz w:val="24"/>
        </w:rPr>
      </w:pPr>
      <w:r>
        <w:rPr>
          <w:b/>
          <w:color w:val="000000" w:themeColor="text1"/>
          <w:sz w:val="24"/>
        </w:rPr>
        <w:t>表1.3-2  地表水环境质量标准限值</w:t>
      </w:r>
    </w:p>
    <w:tbl>
      <w:tblPr>
        <w:tblStyle w:val="42"/>
        <w:tblW w:w="5000"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3943"/>
        <w:gridCol w:w="3406"/>
      </w:tblGrid>
      <w:tr w14:paraId="2110C67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555F8375">
            <w:pPr>
              <w:jc w:val="center"/>
              <w:rPr>
                <w:bCs/>
                <w:color w:val="000000" w:themeColor="text1"/>
                <w:szCs w:val="21"/>
                <w:lang w:val="zh-CN"/>
              </w:rPr>
            </w:pPr>
            <w:r>
              <w:rPr>
                <w:bCs/>
                <w:color w:val="000000" w:themeColor="text1"/>
                <w:szCs w:val="21"/>
                <w:lang w:val="zh-CN"/>
              </w:rPr>
              <w:t>序号</w:t>
            </w:r>
          </w:p>
        </w:tc>
        <w:tc>
          <w:tcPr>
            <w:tcW w:w="2312" w:type="pct"/>
            <w:shd w:val="clear" w:color="auto" w:fill="auto"/>
            <w:vAlign w:val="center"/>
          </w:tcPr>
          <w:p w14:paraId="51AF4C7F">
            <w:pPr>
              <w:jc w:val="center"/>
              <w:rPr>
                <w:bCs/>
                <w:color w:val="000000" w:themeColor="text1"/>
                <w:szCs w:val="21"/>
                <w:lang w:val="zh-CN"/>
              </w:rPr>
            </w:pPr>
            <w:r>
              <w:rPr>
                <w:bCs/>
                <w:color w:val="000000" w:themeColor="text1"/>
                <w:szCs w:val="21"/>
                <w:lang w:val="zh-CN"/>
              </w:rPr>
              <w:t>项目</w:t>
            </w:r>
          </w:p>
        </w:tc>
        <w:tc>
          <w:tcPr>
            <w:tcW w:w="1997" w:type="pct"/>
          </w:tcPr>
          <w:p w14:paraId="7636FCA0">
            <w:pPr>
              <w:jc w:val="center"/>
              <w:rPr>
                <w:bCs/>
                <w:color w:val="000000" w:themeColor="text1"/>
                <w:szCs w:val="21"/>
                <w:lang w:val="zh-CN"/>
              </w:rPr>
            </w:pPr>
            <w:r>
              <w:rPr>
                <w:bCs/>
                <w:color w:val="000000" w:themeColor="text1"/>
                <w:szCs w:val="21"/>
                <w:lang w:val="zh-CN"/>
              </w:rPr>
              <w:t>III类标准值</w:t>
            </w:r>
          </w:p>
        </w:tc>
      </w:tr>
      <w:tr w14:paraId="25408CB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0E4CDB2C">
            <w:pPr>
              <w:jc w:val="center"/>
              <w:rPr>
                <w:bCs/>
                <w:color w:val="000000" w:themeColor="text1"/>
                <w:szCs w:val="32"/>
                <w:lang w:val="zh-CN"/>
              </w:rPr>
            </w:pPr>
            <w:r>
              <w:rPr>
                <w:bCs/>
                <w:color w:val="000000" w:themeColor="text1"/>
                <w:szCs w:val="32"/>
                <w:lang w:val="zh-CN"/>
              </w:rPr>
              <w:t>1</w:t>
            </w:r>
          </w:p>
        </w:tc>
        <w:tc>
          <w:tcPr>
            <w:tcW w:w="2312" w:type="pct"/>
            <w:shd w:val="clear" w:color="auto" w:fill="auto"/>
            <w:vAlign w:val="center"/>
          </w:tcPr>
          <w:p w14:paraId="112D4601">
            <w:pPr>
              <w:jc w:val="center"/>
              <w:rPr>
                <w:bCs/>
                <w:color w:val="000000" w:themeColor="text1"/>
                <w:szCs w:val="21"/>
                <w:lang w:val="zh-CN"/>
              </w:rPr>
            </w:pPr>
            <w:r>
              <w:rPr>
                <w:bCs/>
                <w:color w:val="000000" w:themeColor="text1"/>
                <w:szCs w:val="21"/>
                <w:lang w:val="zh-CN"/>
              </w:rPr>
              <w:t>pH值</w:t>
            </w:r>
          </w:p>
        </w:tc>
        <w:tc>
          <w:tcPr>
            <w:tcW w:w="1997" w:type="pct"/>
          </w:tcPr>
          <w:p w14:paraId="1AF25DA3">
            <w:pPr>
              <w:jc w:val="center"/>
              <w:rPr>
                <w:bCs/>
                <w:color w:val="000000" w:themeColor="text1"/>
                <w:szCs w:val="21"/>
                <w:lang w:val="zh-CN"/>
              </w:rPr>
            </w:pPr>
            <w:r>
              <w:rPr>
                <w:bCs/>
                <w:color w:val="000000" w:themeColor="text1"/>
                <w:szCs w:val="21"/>
                <w:lang w:val="zh-CN"/>
              </w:rPr>
              <w:t>6~9</w:t>
            </w:r>
          </w:p>
        </w:tc>
      </w:tr>
      <w:tr w14:paraId="3C44E79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4AA03B92">
            <w:pPr>
              <w:jc w:val="center"/>
              <w:rPr>
                <w:bCs/>
                <w:color w:val="000000" w:themeColor="text1"/>
                <w:szCs w:val="32"/>
                <w:lang w:val="zh-CN"/>
              </w:rPr>
            </w:pPr>
            <w:r>
              <w:rPr>
                <w:bCs/>
                <w:color w:val="000000" w:themeColor="text1"/>
                <w:szCs w:val="32"/>
                <w:lang w:val="zh-CN"/>
              </w:rPr>
              <w:t>2</w:t>
            </w:r>
          </w:p>
        </w:tc>
        <w:tc>
          <w:tcPr>
            <w:tcW w:w="2312" w:type="pct"/>
            <w:shd w:val="clear" w:color="auto" w:fill="auto"/>
            <w:vAlign w:val="center"/>
          </w:tcPr>
          <w:p w14:paraId="10FD0D86">
            <w:pPr>
              <w:jc w:val="center"/>
              <w:rPr>
                <w:bCs/>
                <w:color w:val="000000" w:themeColor="text1"/>
                <w:szCs w:val="21"/>
                <w:lang w:val="zh-CN"/>
              </w:rPr>
            </w:pPr>
            <w:r>
              <w:rPr>
                <w:bCs/>
                <w:color w:val="000000" w:themeColor="text1"/>
                <w:szCs w:val="21"/>
                <w:lang w:val="zh-CN"/>
              </w:rPr>
              <w:t>BOD</w:t>
            </w:r>
            <w:r>
              <w:rPr>
                <w:bCs/>
                <w:color w:val="000000" w:themeColor="text1"/>
                <w:szCs w:val="21"/>
                <w:vertAlign w:val="subscript"/>
                <w:lang w:val="zh-CN"/>
              </w:rPr>
              <w:t>5</w:t>
            </w:r>
          </w:p>
        </w:tc>
        <w:tc>
          <w:tcPr>
            <w:tcW w:w="1997" w:type="pct"/>
          </w:tcPr>
          <w:p w14:paraId="1770CE02">
            <w:pPr>
              <w:jc w:val="center"/>
              <w:rPr>
                <w:bCs/>
                <w:color w:val="000000" w:themeColor="text1"/>
                <w:szCs w:val="32"/>
                <w:lang w:val="zh-CN"/>
              </w:rPr>
            </w:pPr>
            <w:r>
              <w:rPr>
                <w:bCs/>
                <w:color w:val="000000" w:themeColor="text1"/>
                <w:szCs w:val="32"/>
                <w:lang w:val="zh-CN"/>
              </w:rPr>
              <w:t>≤4</w:t>
            </w:r>
          </w:p>
        </w:tc>
      </w:tr>
      <w:tr w14:paraId="4736AF0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6B149496">
            <w:pPr>
              <w:jc w:val="center"/>
              <w:rPr>
                <w:bCs/>
                <w:color w:val="000000" w:themeColor="text1"/>
                <w:szCs w:val="32"/>
                <w:lang w:val="zh-CN"/>
              </w:rPr>
            </w:pPr>
            <w:r>
              <w:rPr>
                <w:bCs/>
                <w:color w:val="000000" w:themeColor="text1"/>
                <w:szCs w:val="32"/>
                <w:lang w:val="zh-CN"/>
              </w:rPr>
              <w:t>3</w:t>
            </w:r>
          </w:p>
        </w:tc>
        <w:tc>
          <w:tcPr>
            <w:tcW w:w="2312" w:type="pct"/>
            <w:shd w:val="clear" w:color="auto" w:fill="auto"/>
            <w:vAlign w:val="center"/>
          </w:tcPr>
          <w:p w14:paraId="64325E99">
            <w:pPr>
              <w:jc w:val="center"/>
              <w:rPr>
                <w:bCs/>
                <w:color w:val="000000" w:themeColor="text1"/>
                <w:szCs w:val="21"/>
                <w:lang w:val="zh-CN"/>
              </w:rPr>
            </w:pPr>
            <w:r>
              <w:rPr>
                <w:bCs/>
                <w:color w:val="000000" w:themeColor="text1"/>
                <w:szCs w:val="21"/>
                <w:lang w:val="zh-CN"/>
              </w:rPr>
              <w:t>氟化物</w:t>
            </w:r>
          </w:p>
        </w:tc>
        <w:tc>
          <w:tcPr>
            <w:tcW w:w="1997" w:type="pct"/>
          </w:tcPr>
          <w:p w14:paraId="31EC9998">
            <w:pPr>
              <w:jc w:val="center"/>
              <w:rPr>
                <w:bCs/>
                <w:color w:val="000000" w:themeColor="text1"/>
                <w:szCs w:val="32"/>
                <w:lang w:val="zh-CN"/>
              </w:rPr>
            </w:pPr>
            <w:r>
              <w:rPr>
                <w:bCs/>
                <w:color w:val="000000" w:themeColor="text1"/>
                <w:szCs w:val="32"/>
                <w:lang w:val="zh-CN"/>
              </w:rPr>
              <w:t>≤1.0</w:t>
            </w:r>
          </w:p>
        </w:tc>
      </w:tr>
      <w:tr w14:paraId="5CDA591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6CFB8A18">
            <w:pPr>
              <w:jc w:val="center"/>
              <w:rPr>
                <w:bCs/>
                <w:color w:val="000000" w:themeColor="text1"/>
                <w:szCs w:val="32"/>
                <w:lang w:val="zh-CN"/>
              </w:rPr>
            </w:pPr>
            <w:r>
              <w:rPr>
                <w:bCs/>
                <w:color w:val="000000" w:themeColor="text1"/>
                <w:szCs w:val="32"/>
                <w:lang w:val="zh-CN"/>
              </w:rPr>
              <w:t>4</w:t>
            </w:r>
          </w:p>
        </w:tc>
        <w:tc>
          <w:tcPr>
            <w:tcW w:w="2312" w:type="pct"/>
            <w:shd w:val="clear" w:color="auto" w:fill="auto"/>
            <w:vAlign w:val="center"/>
          </w:tcPr>
          <w:p w14:paraId="251BA0B9">
            <w:pPr>
              <w:jc w:val="center"/>
              <w:rPr>
                <w:bCs/>
                <w:color w:val="000000" w:themeColor="text1"/>
                <w:szCs w:val="21"/>
                <w:lang w:val="zh-CN"/>
              </w:rPr>
            </w:pPr>
            <w:r>
              <w:rPr>
                <w:bCs/>
                <w:color w:val="000000" w:themeColor="text1"/>
                <w:szCs w:val="21"/>
                <w:lang w:val="zh-CN"/>
              </w:rPr>
              <w:t>CODcr</w:t>
            </w:r>
          </w:p>
        </w:tc>
        <w:tc>
          <w:tcPr>
            <w:tcW w:w="1997" w:type="pct"/>
          </w:tcPr>
          <w:p w14:paraId="7B2A6258">
            <w:pPr>
              <w:jc w:val="center"/>
              <w:rPr>
                <w:bCs/>
                <w:color w:val="000000" w:themeColor="text1"/>
                <w:szCs w:val="32"/>
                <w:lang w:val="zh-CN"/>
              </w:rPr>
            </w:pPr>
            <w:r>
              <w:rPr>
                <w:bCs/>
                <w:color w:val="000000" w:themeColor="text1"/>
                <w:szCs w:val="32"/>
                <w:lang w:val="zh-CN"/>
              </w:rPr>
              <w:t>20</w:t>
            </w:r>
          </w:p>
        </w:tc>
      </w:tr>
      <w:tr w14:paraId="2161BC7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521E40F6">
            <w:pPr>
              <w:jc w:val="center"/>
              <w:rPr>
                <w:bCs/>
                <w:color w:val="000000" w:themeColor="text1"/>
                <w:szCs w:val="32"/>
                <w:lang w:val="zh-CN"/>
              </w:rPr>
            </w:pPr>
            <w:r>
              <w:rPr>
                <w:bCs/>
                <w:color w:val="000000" w:themeColor="text1"/>
                <w:szCs w:val="32"/>
                <w:lang w:val="zh-CN"/>
              </w:rPr>
              <w:t>5</w:t>
            </w:r>
          </w:p>
        </w:tc>
        <w:tc>
          <w:tcPr>
            <w:tcW w:w="2312" w:type="pct"/>
            <w:shd w:val="clear" w:color="auto" w:fill="auto"/>
            <w:vAlign w:val="center"/>
          </w:tcPr>
          <w:p w14:paraId="16F5E082">
            <w:pPr>
              <w:jc w:val="center"/>
              <w:rPr>
                <w:bCs/>
                <w:color w:val="000000" w:themeColor="text1"/>
                <w:szCs w:val="21"/>
                <w:lang w:val="zh-CN"/>
              </w:rPr>
            </w:pPr>
            <w:r>
              <w:rPr>
                <w:bCs/>
                <w:color w:val="000000" w:themeColor="text1"/>
                <w:szCs w:val="21"/>
                <w:lang w:val="zh-CN"/>
              </w:rPr>
              <w:t>氨氮</w:t>
            </w:r>
          </w:p>
        </w:tc>
        <w:tc>
          <w:tcPr>
            <w:tcW w:w="1997" w:type="pct"/>
          </w:tcPr>
          <w:p w14:paraId="52886E9A">
            <w:pPr>
              <w:jc w:val="center"/>
              <w:rPr>
                <w:bCs/>
                <w:color w:val="000000" w:themeColor="text1"/>
                <w:szCs w:val="32"/>
                <w:lang w:val="zh-CN"/>
              </w:rPr>
            </w:pPr>
            <w:r>
              <w:rPr>
                <w:bCs/>
                <w:color w:val="000000" w:themeColor="text1"/>
                <w:szCs w:val="32"/>
                <w:lang w:val="zh-CN"/>
              </w:rPr>
              <w:t>1.0</w:t>
            </w:r>
          </w:p>
        </w:tc>
      </w:tr>
      <w:tr w14:paraId="637577D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145192B6">
            <w:pPr>
              <w:jc w:val="center"/>
              <w:rPr>
                <w:bCs/>
                <w:color w:val="000000" w:themeColor="text1"/>
                <w:szCs w:val="32"/>
                <w:lang w:val="zh-CN"/>
              </w:rPr>
            </w:pPr>
            <w:r>
              <w:rPr>
                <w:bCs/>
                <w:color w:val="000000" w:themeColor="text1"/>
                <w:szCs w:val="32"/>
                <w:lang w:val="zh-CN"/>
              </w:rPr>
              <w:t>6</w:t>
            </w:r>
          </w:p>
        </w:tc>
        <w:tc>
          <w:tcPr>
            <w:tcW w:w="2312" w:type="pct"/>
            <w:shd w:val="clear" w:color="auto" w:fill="auto"/>
            <w:vAlign w:val="center"/>
          </w:tcPr>
          <w:p w14:paraId="4D3A56CB">
            <w:pPr>
              <w:jc w:val="center"/>
              <w:rPr>
                <w:bCs/>
                <w:color w:val="000000" w:themeColor="text1"/>
                <w:szCs w:val="21"/>
                <w:lang w:val="zh-CN"/>
              </w:rPr>
            </w:pPr>
            <w:r>
              <w:rPr>
                <w:bCs/>
                <w:color w:val="000000" w:themeColor="text1"/>
                <w:szCs w:val="21"/>
                <w:lang w:val="zh-CN"/>
              </w:rPr>
              <w:t>总磷</w:t>
            </w:r>
          </w:p>
        </w:tc>
        <w:tc>
          <w:tcPr>
            <w:tcW w:w="1997" w:type="pct"/>
          </w:tcPr>
          <w:p w14:paraId="757F37AA">
            <w:pPr>
              <w:jc w:val="center"/>
              <w:rPr>
                <w:bCs/>
                <w:color w:val="000000" w:themeColor="text1"/>
                <w:szCs w:val="32"/>
                <w:lang w:val="zh-CN"/>
              </w:rPr>
            </w:pPr>
            <w:r>
              <w:rPr>
                <w:bCs/>
                <w:color w:val="000000" w:themeColor="text1"/>
                <w:szCs w:val="32"/>
                <w:lang w:val="zh-CN"/>
              </w:rPr>
              <w:t>≤0.2</w:t>
            </w:r>
          </w:p>
        </w:tc>
      </w:tr>
      <w:tr w14:paraId="6C5237B8">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69CD1890">
            <w:pPr>
              <w:jc w:val="center"/>
              <w:rPr>
                <w:bCs/>
                <w:color w:val="000000" w:themeColor="text1"/>
                <w:szCs w:val="32"/>
                <w:lang w:val="zh-CN"/>
              </w:rPr>
            </w:pPr>
            <w:r>
              <w:rPr>
                <w:bCs/>
                <w:color w:val="000000" w:themeColor="text1"/>
                <w:szCs w:val="32"/>
                <w:lang w:val="zh-CN"/>
              </w:rPr>
              <w:t>7</w:t>
            </w:r>
          </w:p>
        </w:tc>
        <w:tc>
          <w:tcPr>
            <w:tcW w:w="2312" w:type="pct"/>
            <w:shd w:val="clear" w:color="auto" w:fill="auto"/>
            <w:vAlign w:val="center"/>
          </w:tcPr>
          <w:p w14:paraId="1F87AA4E">
            <w:pPr>
              <w:jc w:val="center"/>
              <w:rPr>
                <w:bCs/>
                <w:color w:val="000000" w:themeColor="text1"/>
                <w:szCs w:val="21"/>
                <w:lang w:val="zh-CN"/>
              </w:rPr>
            </w:pPr>
            <w:r>
              <w:rPr>
                <w:bCs/>
                <w:color w:val="000000" w:themeColor="text1"/>
                <w:szCs w:val="21"/>
                <w:lang w:val="zh-CN"/>
              </w:rPr>
              <w:t>铬（六价）</w:t>
            </w:r>
          </w:p>
        </w:tc>
        <w:tc>
          <w:tcPr>
            <w:tcW w:w="1997" w:type="pct"/>
          </w:tcPr>
          <w:p w14:paraId="55324513">
            <w:pPr>
              <w:jc w:val="center"/>
              <w:rPr>
                <w:bCs/>
                <w:color w:val="000000" w:themeColor="text1"/>
                <w:szCs w:val="32"/>
                <w:lang w:val="zh-CN"/>
              </w:rPr>
            </w:pPr>
            <w:r>
              <w:rPr>
                <w:bCs/>
                <w:color w:val="000000" w:themeColor="text1"/>
                <w:szCs w:val="32"/>
                <w:lang w:val="zh-CN"/>
              </w:rPr>
              <w:t>≤0.05</w:t>
            </w:r>
          </w:p>
        </w:tc>
      </w:tr>
      <w:tr w14:paraId="3EA29FF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7D979E03">
            <w:pPr>
              <w:jc w:val="center"/>
              <w:rPr>
                <w:bCs/>
                <w:color w:val="000000" w:themeColor="text1"/>
                <w:szCs w:val="32"/>
                <w:lang w:val="zh-CN"/>
              </w:rPr>
            </w:pPr>
            <w:r>
              <w:rPr>
                <w:bCs/>
                <w:color w:val="000000" w:themeColor="text1"/>
                <w:szCs w:val="32"/>
                <w:lang w:val="zh-CN"/>
              </w:rPr>
              <w:t>8</w:t>
            </w:r>
          </w:p>
        </w:tc>
        <w:tc>
          <w:tcPr>
            <w:tcW w:w="2312" w:type="pct"/>
            <w:shd w:val="clear" w:color="auto" w:fill="auto"/>
            <w:vAlign w:val="center"/>
          </w:tcPr>
          <w:p w14:paraId="2AF10CF2">
            <w:pPr>
              <w:jc w:val="center"/>
              <w:rPr>
                <w:bCs/>
                <w:color w:val="000000" w:themeColor="text1"/>
                <w:szCs w:val="21"/>
                <w:lang w:val="zh-CN"/>
              </w:rPr>
            </w:pPr>
            <w:r>
              <w:rPr>
                <w:bCs/>
                <w:color w:val="000000" w:themeColor="text1"/>
                <w:szCs w:val="21"/>
              </w:rPr>
              <w:t>硫化物</w:t>
            </w:r>
          </w:p>
        </w:tc>
        <w:tc>
          <w:tcPr>
            <w:tcW w:w="1997" w:type="pct"/>
          </w:tcPr>
          <w:p w14:paraId="7BE7C353">
            <w:pPr>
              <w:jc w:val="center"/>
              <w:rPr>
                <w:bCs/>
                <w:color w:val="000000" w:themeColor="text1"/>
                <w:szCs w:val="32"/>
                <w:lang w:val="zh-CN"/>
              </w:rPr>
            </w:pPr>
            <w:r>
              <w:rPr>
                <w:bCs/>
                <w:color w:val="000000" w:themeColor="text1"/>
                <w:szCs w:val="32"/>
                <w:lang w:val="zh-CN"/>
              </w:rPr>
              <w:t>≤0.2</w:t>
            </w:r>
          </w:p>
        </w:tc>
      </w:tr>
      <w:tr w14:paraId="1402E2E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5D6E057B">
            <w:pPr>
              <w:jc w:val="center"/>
              <w:rPr>
                <w:bCs/>
                <w:color w:val="000000" w:themeColor="text1"/>
                <w:szCs w:val="32"/>
                <w:lang w:val="zh-CN"/>
              </w:rPr>
            </w:pPr>
            <w:r>
              <w:rPr>
                <w:bCs/>
                <w:color w:val="000000" w:themeColor="text1"/>
                <w:szCs w:val="32"/>
                <w:lang w:val="zh-CN"/>
              </w:rPr>
              <w:t>9</w:t>
            </w:r>
          </w:p>
        </w:tc>
        <w:tc>
          <w:tcPr>
            <w:tcW w:w="2312" w:type="pct"/>
            <w:shd w:val="clear" w:color="auto" w:fill="auto"/>
            <w:vAlign w:val="center"/>
          </w:tcPr>
          <w:p w14:paraId="21A138A7">
            <w:pPr>
              <w:jc w:val="center"/>
              <w:rPr>
                <w:bCs/>
                <w:color w:val="000000" w:themeColor="text1"/>
                <w:szCs w:val="21"/>
              </w:rPr>
            </w:pPr>
            <w:r>
              <w:rPr>
                <w:bCs/>
                <w:color w:val="000000" w:themeColor="text1"/>
                <w:szCs w:val="21"/>
              </w:rPr>
              <w:t>氰化物</w:t>
            </w:r>
          </w:p>
        </w:tc>
        <w:tc>
          <w:tcPr>
            <w:tcW w:w="1997" w:type="pct"/>
          </w:tcPr>
          <w:p w14:paraId="4823CD4C">
            <w:pPr>
              <w:jc w:val="center"/>
              <w:rPr>
                <w:bCs/>
                <w:color w:val="000000" w:themeColor="text1"/>
                <w:szCs w:val="32"/>
                <w:lang w:val="zh-CN"/>
              </w:rPr>
            </w:pPr>
            <w:r>
              <w:rPr>
                <w:bCs/>
                <w:color w:val="000000" w:themeColor="text1"/>
                <w:szCs w:val="32"/>
                <w:lang w:val="zh-CN"/>
              </w:rPr>
              <w:t>≤0.2</w:t>
            </w:r>
          </w:p>
        </w:tc>
      </w:tr>
      <w:tr w14:paraId="247D074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1F5FA48F">
            <w:pPr>
              <w:jc w:val="center"/>
              <w:rPr>
                <w:bCs/>
                <w:color w:val="000000" w:themeColor="text1"/>
                <w:szCs w:val="21"/>
                <w:lang w:val="zh-CN"/>
              </w:rPr>
            </w:pPr>
            <w:r>
              <w:rPr>
                <w:bCs/>
                <w:color w:val="000000" w:themeColor="text1"/>
                <w:szCs w:val="21"/>
                <w:lang w:val="zh-CN"/>
              </w:rPr>
              <w:t>10</w:t>
            </w:r>
          </w:p>
        </w:tc>
        <w:tc>
          <w:tcPr>
            <w:tcW w:w="2312" w:type="pct"/>
            <w:shd w:val="clear" w:color="auto" w:fill="auto"/>
            <w:vAlign w:val="center"/>
          </w:tcPr>
          <w:p w14:paraId="17C30ECF">
            <w:pPr>
              <w:jc w:val="center"/>
              <w:rPr>
                <w:bCs/>
                <w:color w:val="000000" w:themeColor="text1"/>
                <w:szCs w:val="21"/>
              </w:rPr>
            </w:pPr>
            <w:r>
              <w:rPr>
                <w:bCs/>
                <w:color w:val="000000" w:themeColor="text1"/>
                <w:szCs w:val="21"/>
              </w:rPr>
              <w:t>挥发酚</w:t>
            </w:r>
          </w:p>
        </w:tc>
        <w:tc>
          <w:tcPr>
            <w:tcW w:w="1997" w:type="pct"/>
          </w:tcPr>
          <w:p w14:paraId="090651A0">
            <w:pPr>
              <w:jc w:val="center"/>
              <w:rPr>
                <w:bCs/>
                <w:color w:val="000000" w:themeColor="text1"/>
                <w:szCs w:val="32"/>
                <w:lang w:val="zh-CN"/>
              </w:rPr>
            </w:pPr>
            <w:r>
              <w:rPr>
                <w:bCs/>
                <w:color w:val="000000" w:themeColor="text1"/>
                <w:szCs w:val="32"/>
                <w:lang w:val="zh-CN"/>
              </w:rPr>
              <w:t>≤0.005</w:t>
            </w:r>
          </w:p>
        </w:tc>
      </w:tr>
      <w:tr w14:paraId="561B0C9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74847E96">
            <w:pPr>
              <w:jc w:val="center"/>
              <w:rPr>
                <w:bCs/>
                <w:color w:val="000000" w:themeColor="text1"/>
                <w:szCs w:val="21"/>
                <w:lang w:val="zh-CN"/>
              </w:rPr>
            </w:pPr>
            <w:r>
              <w:rPr>
                <w:bCs/>
                <w:color w:val="000000" w:themeColor="text1"/>
                <w:szCs w:val="21"/>
                <w:lang w:val="zh-CN"/>
              </w:rPr>
              <w:t>11</w:t>
            </w:r>
          </w:p>
        </w:tc>
        <w:tc>
          <w:tcPr>
            <w:tcW w:w="2312" w:type="pct"/>
            <w:shd w:val="clear" w:color="auto" w:fill="auto"/>
            <w:vAlign w:val="center"/>
          </w:tcPr>
          <w:p w14:paraId="44D9A7AD">
            <w:pPr>
              <w:jc w:val="center"/>
              <w:rPr>
                <w:bCs/>
                <w:color w:val="000000" w:themeColor="text1"/>
                <w:szCs w:val="21"/>
                <w:lang w:val="zh-CN"/>
              </w:rPr>
            </w:pPr>
            <w:r>
              <w:rPr>
                <w:bCs/>
                <w:color w:val="000000" w:themeColor="text1"/>
                <w:szCs w:val="21"/>
                <w:lang w:val="zh-CN"/>
              </w:rPr>
              <w:t>石油类</w:t>
            </w:r>
          </w:p>
        </w:tc>
        <w:tc>
          <w:tcPr>
            <w:tcW w:w="1997" w:type="pct"/>
          </w:tcPr>
          <w:p w14:paraId="2FB6BB35">
            <w:pPr>
              <w:jc w:val="center"/>
              <w:rPr>
                <w:bCs/>
                <w:color w:val="000000" w:themeColor="text1"/>
                <w:szCs w:val="32"/>
                <w:lang w:val="zh-CN"/>
              </w:rPr>
            </w:pPr>
            <w:r>
              <w:rPr>
                <w:bCs/>
                <w:color w:val="000000" w:themeColor="text1"/>
                <w:szCs w:val="32"/>
                <w:lang w:val="zh-CN"/>
              </w:rPr>
              <w:t>≤0.05</w:t>
            </w:r>
          </w:p>
        </w:tc>
      </w:tr>
      <w:tr w14:paraId="208B12A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3E394E54">
            <w:pPr>
              <w:jc w:val="center"/>
              <w:rPr>
                <w:bCs/>
                <w:color w:val="000000" w:themeColor="text1"/>
                <w:szCs w:val="21"/>
                <w:lang w:val="zh-CN"/>
              </w:rPr>
            </w:pPr>
            <w:r>
              <w:rPr>
                <w:bCs/>
                <w:color w:val="000000" w:themeColor="text1"/>
                <w:szCs w:val="21"/>
                <w:lang w:val="zh-CN"/>
              </w:rPr>
              <w:t>12</w:t>
            </w:r>
          </w:p>
        </w:tc>
        <w:tc>
          <w:tcPr>
            <w:tcW w:w="2312" w:type="pct"/>
            <w:shd w:val="clear" w:color="auto" w:fill="auto"/>
            <w:vAlign w:val="center"/>
          </w:tcPr>
          <w:p w14:paraId="0E98E9C9">
            <w:pPr>
              <w:jc w:val="center"/>
              <w:rPr>
                <w:bCs/>
                <w:color w:val="000000" w:themeColor="text1"/>
                <w:szCs w:val="21"/>
                <w:lang w:val="zh-CN"/>
              </w:rPr>
            </w:pPr>
            <w:r>
              <w:rPr>
                <w:bCs/>
                <w:color w:val="000000" w:themeColor="text1"/>
                <w:szCs w:val="21"/>
                <w:lang w:val="zh-CN"/>
              </w:rPr>
              <w:t>溶解氧</w:t>
            </w:r>
          </w:p>
        </w:tc>
        <w:tc>
          <w:tcPr>
            <w:tcW w:w="1997" w:type="pct"/>
          </w:tcPr>
          <w:p w14:paraId="7784B13B">
            <w:pPr>
              <w:jc w:val="center"/>
              <w:rPr>
                <w:bCs/>
                <w:color w:val="000000" w:themeColor="text1"/>
                <w:szCs w:val="32"/>
                <w:lang w:val="zh-CN"/>
              </w:rPr>
            </w:pPr>
            <w:r>
              <w:rPr>
                <w:bCs/>
                <w:color w:val="000000" w:themeColor="text1"/>
                <w:szCs w:val="32"/>
                <w:lang w:val="zh-CN"/>
              </w:rPr>
              <w:t>≤4</w:t>
            </w:r>
          </w:p>
        </w:tc>
      </w:tr>
      <w:tr w14:paraId="67E6D2A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1" w:type="pct"/>
            <w:shd w:val="clear" w:color="auto" w:fill="auto"/>
            <w:vAlign w:val="center"/>
          </w:tcPr>
          <w:p w14:paraId="28FB277B">
            <w:pPr>
              <w:jc w:val="center"/>
              <w:rPr>
                <w:bCs/>
                <w:color w:val="000000" w:themeColor="text1"/>
                <w:szCs w:val="21"/>
                <w:lang w:val="zh-CN"/>
              </w:rPr>
            </w:pPr>
            <w:r>
              <w:rPr>
                <w:bCs/>
                <w:color w:val="000000" w:themeColor="text1"/>
                <w:szCs w:val="21"/>
                <w:lang w:val="zh-CN"/>
              </w:rPr>
              <w:t>13</w:t>
            </w:r>
          </w:p>
        </w:tc>
        <w:tc>
          <w:tcPr>
            <w:tcW w:w="2312" w:type="pct"/>
            <w:shd w:val="clear" w:color="auto" w:fill="auto"/>
            <w:vAlign w:val="center"/>
          </w:tcPr>
          <w:p w14:paraId="6493DA70">
            <w:pPr>
              <w:jc w:val="center"/>
              <w:rPr>
                <w:bCs/>
                <w:color w:val="000000" w:themeColor="text1"/>
                <w:szCs w:val="21"/>
                <w:lang w:val="zh-CN"/>
              </w:rPr>
            </w:pPr>
            <w:r>
              <w:rPr>
                <w:bCs/>
                <w:color w:val="000000" w:themeColor="text1"/>
                <w:szCs w:val="21"/>
                <w:lang w:val="zh-CN"/>
              </w:rPr>
              <w:t>粪大肠菌群（个/L）</w:t>
            </w:r>
          </w:p>
        </w:tc>
        <w:tc>
          <w:tcPr>
            <w:tcW w:w="1997" w:type="pct"/>
          </w:tcPr>
          <w:p w14:paraId="53E5877A">
            <w:pPr>
              <w:jc w:val="center"/>
              <w:rPr>
                <w:bCs/>
                <w:color w:val="000000" w:themeColor="text1"/>
                <w:szCs w:val="32"/>
                <w:lang w:val="zh-CN"/>
              </w:rPr>
            </w:pPr>
            <w:r>
              <w:rPr>
                <w:bCs/>
                <w:color w:val="000000" w:themeColor="text1"/>
                <w:szCs w:val="32"/>
                <w:lang w:val="zh-CN"/>
              </w:rPr>
              <w:t>≤10000</w:t>
            </w:r>
          </w:p>
        </w:tc>
      </w:tr>
    </w:tbl>
    <w:p w14:paraId="1B5DA58C">
      <w:pPr>
        <w:snapToGrid w:val="0"/>
        <w:spacing w:line="500" w:lineRule="exact"/>
        <w:ind w:firstLine="352" w:firstLineChars="147"/>
        <w:rPr>
          <w:b/>
          <w:color w:val="000000" w:themeColor="text1"/>
          <w:sz w:val="24"/>
        </w:rPr>
      </w:pPr>
      <w:r>
        <w:rPr>
          <w:b/>
          <w:color w:val="000000" w:themeColor="text1"/>
          <w:sz w:val="24"/>
        </w:rPr>
        <w:t>（3）地下水环境质量标准</w:t>
      </w:r>
    </w:p>
    <w:p w14:paraId="5EF8D665">
      <w:pPr>
        <w:spacing w:line="360" w:lineRule="auto"/>
        <w:ind w:firstLine="480" w:firstLineChars="200"/>
        <w:rPr>
          <w:color w:val="000000" w:themeColor="text1"/>
          <w:sz w:val="24"/>
        </w:rPr>
      </w:pPr>
      <w:r>
        <w:rPr>
          <w:color w:val="000000" w:themeColor="text1"/>
          <w:sz w:val="24"/>
        </w:rPr>
        <w:t>本项目区域执行GB/T 14848-2017《地下水环境质量标准》III类标准。</w:t>
      </w:r>
    </w:p>
    <w:p w14:paraId="7D941531">
      <w:pPr>
        <w:spacing w:line="460" w:lineRule="exact"/>
        <w:ind w:firstLine="1411" w:firstLineChars="588"/>
        <w:rPr>
          <w:b/>
          <w:color w:val="000000" w:themeColor="text1"/>
          <w:sz w:val="24"/>
          <w:szCs w:val="21"/>
        </w:rPr>
      </w:pPr>
      <w:r>
        <w:rPr>
          <w:b/>
          <w:color w:val="000000" w:themeColor="text1"/>
          <w:sz w:val="24"/>
          <w:szCs w:val="21"/>
        </w:rPr>
        <w:t>表1.3-3   地下水环境质量标准限值  单位：（mg/L）</w:t>
      </w:r>
    </w:p>
    <w:tbl>
      <w:tblPr>
        <w:tblStyle w:val="42"/>
        <w:tblW w:w="8523" w:type="dxa"/>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93"/>
        <w:gridCol w:w="2320"/>
        <w:gridCol w:w="1464"/>
        <w:gridCol w:w="2746"/>
      </w:tblGrid>
      <w:tr w14:paraId="4C9DCD33">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tblHeader/>
          <w:jc w:val="center"/>
        </w:trPr>
        <w:tc>
          <w:tcPr>
            <w:tcW w:w="1993" w:type="dxa"/>
            <w:vMerge w:val="restart"/>
            <w:vAlign w:val="center"/>
          </w:tcPr>
          <w:p w14:paraId="270A9A67">
            <w:pPr>
              <w:adjustRightInd w:val="0"/>
              <w:snapToGrid w:val="0"/>
              <w:jc w:val="center"/>
              <w:rPr>
                <w:b/>
                <w:color w:val="000000" w:themeColor="text1"/>
                <w:kern w:val="0"/>
                <w:szCs w:val="21"/>
                <w:lang w:eastAsia="en-US"/>
              </w:rPr>
            </w:pPr>
            <w:r>
              <w:rPr>
                <w:b/>
                <w:color w:val="000000" w:themeColor="text1"/>
                <w:kern w:val="0"/>
                <w:szCs w:val="21"/>
                <w:lang w:eastAsia="en-US"/>
              </w:rPr>
              <w:t>标准名称及类别</w:t>
            </w:r>
          </w:p>
        </w:tc>
        <w:tc>
          <w:tcPr>
            <w:tcW w:w="2320" w:type="dxa"/>
            <w:vMerge w:val="restart"/>
            <w:vAlign w:val="center"/>
          </w:tcPr>
          <w:p w14:paraId="07855BBD">
            <w:pPr>
              <w:adjustRightInd w:val="0"/>
              <w:snapToGrid w:val="0"/>
              <w:jc w:val="center"/>
              <w:rPr>
                <w:b/>
                <w:color w:val="000000" w:themeColor="text1"/>
                <w:kern w:val="0"/>
                <w:szCs w:val="21"/>
                <w:lang w:eastAsia="en-US"/>
              </w:rPr>
            </w:pPr>
            <w:r>
              <w:rPr>
                <w:b/>
                <w:color w:val="000000" w:themeColor="text1"/>
                <w:kern w:val="0"/>
                <w:szCs w:val="21"/>
                <w:lang w:eastAsia="en-US"/>
              </w:rPr>
              <w:t>项目</w:t>
            </w:r>
          </w:p>
        </w:tc>
        <w:tc>
          <w:tcPr>
            <w:tcW w:w="4210" w:type="dxa"/>
            <w:gridSpan w:val="2"/>
            <w:vAlign w:val="center"/>
          </w:tcPr>
          <w:p w14:paraId="6BC31E4B">
            <w:pPr>
              <w:adjustRightInd w:val="0"/>
              <w:snapToGrid w:val="0"/>
              <w:jc w:val="center"/>
              <w:rPr>
                <w:b/>
                <w:color w:val="000000" w:themeColor="text1"/>
                <w:kern w:val="0"/>
                <w:szCs w:val="21"/>
                <w:lang w:eastAsia="en-US"/>
              </w:rPr>
            </w:pPr>
            <w:r>
              <w:rPr>
                <w:b/>
                <w:color w:val="000000" w:themeColor="text1"/>
                <w:kern w:val="0"/>
                <w:szCs w:val="21"/>
                <w:lang w:eastAsia="en-US"/>
              </w:rPr>
              <w:t>标准值</w:t>
            </w:r>
          </w:p>
        </w:tc>
      </w:tr>
      <w:tr w14:paraId="77977446">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66" w:hRule="atLeast"/>
          <w:tblHeader/>
          <w:jc w:val="center"/>
        </w:trPr>
        <w:tc>
          <w:tcPr>
            <w:tcW w:w="1993" w:type="dxa"/>
            <w:vMerge w:val="continue"/>
            <w:vAlign w:val="center"/>
          </w:tcPr>
          <w:p w14:paraId="6806E59C">
            <w:pPr>
              <w:adjustRightInd w:val="0"/>
              <w:snapToGrid w:val="0"/>
              <w:jc w:val="center"/>
              <w:rPr>
                <w:b/>
                <w:color w:val="000000" w:themeColor="text1"/>
                <w:kern w:val="0"/>
                <w:szCs w:val="21"/>
                <w:lang w:eastAsia="en-US"/>
              </w:rPr>
            </w:pPr>
          </w:p>
        </w:tc>
        <w:tc>
          <w:tcPr>
            <w:tcW w:w="2320" w:type="dxa"/>
            <w:vMerge w:val="continue"/>
            <w:vAlign w:val="center"/>
          </w:tcPr>
          <w:p w14:paraId="4E089967">
            <w:pPr>
              <w:adjustRightInd w:val="0"/>
              <w:snapToGrid w:val="0"/>
              <w:jc w:val="center"/>
              <w:rPr>
                <w:b/>
                <w:color w:val="000000" w:themeColor="text1"/>
                <w:kern w:val="0"/>
                <w:szCs w:val="21"/>
                <w:lang w:eastAsia="en-US"/>
              </w:rPr>
            </w:pPr>
          </w:p>
        </w:tc>
        <w:tc>
          <w:tcPr>
            <w:tcW w:w="1464" w:type="dxa"/>
            <w:vAlign w:val="center"/>
          </w:tcPr>
          <w:p w14:paraId="5D0E1ACB">
            <w:pPr>
              <w:adjustRightInd w:val="0"/>
              <w:snapToGrid w:val="0"/>
              <w:jc w:val="center"/>
              <w:rPr>
                <w:b/>
                <w:color w:val="000000" w:themeColor="text1"/>
                <w:kern w:val="0"/>
                <w:szCs w:val="21"/>
                <w:lang w:eastAsia="en-US"/>
              </w:rPr>
            </w:pPr>
            <w:r>
              <w:rPr>
                <w:b/>
                <w:color w:val="000000" w:themeColor="text1"/>
                <w:kern w:val="0"/>
                <w:szCs w:val="21"/>
                <w:lang w:eastAsia="en-US"/>
              </w:rPr>
              <w:t>单位</w:t>
            </w:r>
          </w:p>
        </w:tc>
        <w:tc>
          <w:tcPr>
            <w:tcW w:w="2746" w:type="dxa"/>
            <w:vAlign w:val="center"/>
          </w:tcPr>
          <w:p w14:paraId="650CA9A7">
            <w:pPr>
              <w:adjustRightInd w:val="0"/>
              <w:snapToGrid w:val="0"/>
              <w:jc w:val="center"/>
              <w:rPr>
                <w:b/>
                <w:color w:val="000000" w:themeColor="text1"/>
                <w:kern w:val="0"/>
                <w:szCs w:val="21"/>
                <w:lang w:eastAsia="en-US"/>
              </w:rPr>
            </w:pPr>
            <w:r>
              <w:rPr>
                <w:b/>
                <w:color w:val="000000" w:themeColor="text1"/>
                <w:kern w:val="0"/>
                <w:szCs w:val="21"/>
                <w:lang w:eastAsia="en-US"/>
              </w:rPr>
              <w:t>数值</w:t>
            </w:r>
          </w:p>
        </w:tc>
      </w:tr>
      <w:tr w14:paraId="5A4C5D6E">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restart"/>
            <w:vAlign w:val="center"/>
          </w:tcPr>
          <w:p w14:paraId="13BE8ACE">
            <w:pPr>
              <w:adjustRightInd w:val="0"/>
              <w:snapToGrid w:val="0"/>
              <w:jc w:val="center"/>
              <w:rPr>
                <w:color w:val="000000" w:themeColor="text1"/>
                <w:kern w:val="0"/>
                <w:szCs w:val="21"/>
              </w:rPr>
            </w:pPr>
            <w:r>
              <w:rPr>
                <w:color w:val="000000" w:themeColor="text1"/>
                <w:kern w:val="0"/>
                <w:szCs w:val="21"/>
              </w:rPr>
              <w:t>GB14848-93《地下水质量标准》III类标准</w:t>
            </w:r>
          </w:p>
        </w:tc>
        <w:tc>
          <w:tcPr>
            <w:tcW w:w="2320" w:type="dxa"/>
            <w:vAlign w:val="center"/>
          </w:tcPr>
          <w:p w14:paraId="424845A8">
            <w:pPr>
              <w:adjustRightInd w:val="0"/>
              <w:snapToGrid w:val="0"/>
              <w:jc w:val="center"/>
              <w:rPr>
                <w:color w:val="000000" w:themeColor="text1"/>
                <w:kern w:val="0"/>
                <w:szCs w:val="21"/>
                <w:lang w:eastAsia="en-US"/>
              </w:rPr>
            </w:pPr>
            <w:r>
              <w:rPr>
                <w:color w:val="000000" w:themeColor="text1"/>
                <w:kern w:val="0"/>
                <w:szCs w:val="21"/>
                <w:lang w:eastAsia="en-US"/>
              </w:rPr>
              <w:t>pH</w:t>
            </w:r>
            <w:r>
              <w:rPr>
                <w:color w:val="000000" w:themeColor="text1"/>
                <w:kern w:val="0"/>
                <w:szCs w:val="21"/>
              </w:rPr>
              <w:t>（</w:t>
            </w:r>
            <w:r>
              <w:rPr>
                <w:b/>
                <w:color w:val="000000" w:themeColor="text1"/>
                <w:kern w:val="0"/>
                <w:szCs w:val="21"/>
                <w:lang w:eastAsia="en-US"/>
              </w:rPr>
              <w:t>无量纲</w:t>
            </w:r>
            <w:r>
              <w:rPr>
                <w:color w:val="000000" w:themeColor="text1"/>
                <w:kern w:val="0"/>
                <w:szCs w:val="21"/>
              </w:rPr>
              <w:t>）</w:t>
            </w:r>
          </w:p>
        </w:tc>
        <w:tc>
          <w:tcPr>
            <w:tcW w:w="1464" w:type="dxa"/>
            <w:vMerge w:val="restart"/>
            <w:vAlign w:val="center"/>
          </w:tcPr>
          <w:p w14:paraId="371BE6E2">
            <w:pPr>
              <w:adjustRightInd w:val="0"/>
              <w:snapToGrid w:val="0"/>
              <w:jc w:val="center"/>
              <w:rPr>
                <w:color w:val="000000" w:themeColor="text1"/>
                <w:kern w:val="0"/>
                <w:szCs w:val="21"/>
                <w:lang w:eastAsia="en-US"/>
              </w:rPr>
            </w:pPr>
            <w:r>
              <w:rPr>
                <w:color w:val="000000" w:themeColor="text1"/>
                <w:kern w:val="0"/>
                <w:szCs w:val="21"/>
                <w:lang w:eastAsia="en-US"/>
              </w:rPr>
              <w:t>mg/L</w:t>
            </w:r>
          </w:p>
        </w:tc>
        <w:tc>
          <w:tcPr>
            <w:tcW w:w="2746" w:type="dxa"/>
            <w:vAlign w:val="center"/>
          </w:tcPr>
          <w:p w14:paraId="6A86BC12">
            <w:pPr>
              <w:adjustRightInd w:val="0"/>
              <w:snapToGrid w:val="0"/>
              <w:jc w:val="center"/>
              <w:rPr>
                <w:color w:val="000000" w:themeColor="text1"/>
                <w:kern w:val="0"/>
                <w:szCs w:val="21"/>
                <w:lang w:eastAsia="en-US"/>
              </w:rPr>
            </w:pPr>
            <w:r>
              <w:rPr>
                <w:color w:val="000000" w:themeColor="text1"/>
                <w:kern w:val="0"/>
                <w:szCs w:val="21"/>
                <w:lang w:eastAsia="en-US"/>
              </w:rPr>
              <w:t>6.5~8.5</w:t>
            </w:r>
          </w:p>
        </w:tc>
      </w:tr>
      <w:tr w14:paraId="35BE6800">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3CDFFD68">
            <w:pPr>
              <w:adjustRightInd w:val="0"/>
              <w:snapToGrid w:val="0"/>
              <w:jc w:val="center"/>
              <w:rPr>
                <w:color w:val="000000" w:themeColor="text1"/>
                <w:kern w:val="0"/>
                <w:szCs w:val="21"/>
                <w:lang w:eastAsia="en-US"/>
              </w:rPr>
            </w:pPr>
          </w:p>
        </w:tc>
        <w:tc>
          <w:tcPr>
            <w:tcW w:w="2320" w:type="dxa"/>
            <w:vAlign w:val="center"/>
          </w:tcPr>
          <w:p w14:paraId="040E7DF9">
            <w:pPr>
              <w:adjustRightInd w:val="0"/>
              <w:snapToGrid w:val="0"/>
              <w:jc w:val="center"/>
              <w:rPr>
                <w:color w:val="000000" w:themeColor="text1"/>
                <w:kern w:val="0"/>
                <w:szCs w:val="21"/>
                <w:lang w:eastAsia="en-US"/>
              </w:rPr>
            </w:pPr>
            <w:r>
              <w:rPr>
                <w:color w:val="000000" w:themeColor="text1"/>
                <w:kern w:val="0"/>
                <w:szCs w:val="21"/>
                <w:lang w:eastAsia="en-US"/>
              </w:rPr>
              <w:t>总硬度</w:t>
            </w:r>
          </w:p>
        </w:tc>
        <w:tc>
          <w:tcPr>
            <w:tcW w:w="1464" w:type="dxa"/>
            <w:vMerge w:val="continue"/>
            <w:vAlign w:val="center"/>
          </w:tcPr>
          <w:p w14:paraId="3A298FAE">
            <w:pPr>
              <w:adjustRightInd w:val="0"/>
              <w:snapToGrid w:val="0"/>
              <w:jc w:val="center"/>
              <w:rPr>
                <w:color w:val="000000" w:themeColor="text1"/>
                <w:kern w:val="0"/>
                <w:szCs w:val="21"/>
                <w:lang w:eastAsia="en-US"/>
              </w:rPr>
            </w:pPr>
          </w:p>
        </w:tc>
        <w:tc>
          <w:tcPr>
            <w:tcW w:w="2746" w:type="dxa"/>
            <w:vAlign w:val="center"/>
          </w:tcPr>
          <w:p w14:paraId="50697BD1">
            <w:pPr>
              <w:adjustRightInd w:val="0"/>
              <w:snapToGrid w:val="0"/>
              <w:jc w:val="center"/>
              <w:rPr>
                <w:color w:val="000000" w:themeColor="text1"/>
                <w:kern w:val="0"/>
                <w:szCs w:val="21"/>
                <w:lang w:eastAsia="en-US"/>
              </w:rPr>
            </w:pPr>
            <w:r>
              <w:rPr>
                <w:color w:val="000000" w:themeColor="text1"/>
                <w:kern w:val="0"/>
                <w:szCs w:val="21"/>
                <w:lang w:eastAsia="en-US"/>
              </w:rPr>
              <w:t>≤450</w:t>
            </w:r>
          </w:p>
        </w:tc>
      </w:tr>
      <w:tr w14:paraId="3346F93B">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2E161E0A">
            <w:pPr>
              <w:adjustRightInd w:val="0"/>
              <w:snapToGrid w:val="0"/>
              <w:jc w:val="center"/>
              <w:rPr>
                <w:color w:val="000000" w:themeColor="text1"/>
                <w:kern w:val="0"/>
                <w:szCs w:val="21"/>
                <w:lang w:eastAsia="en-US"/>
              </w:rPr>
            </w:pPr>
          </w:p>
        </w:tc>
        <w:tc>
          <w:tcPr>
            <w:tcW w:w="2320" w:type="dxa"/>
            <w:vAlign w:val="center"/>
          </w:tcPr>
          <w:p w14:paraId="3DB283F0">
            <w:pPr>
              <w:adjustRightInd w:val="0"/>
              <w:snapToGrid w:val="0"/>
              <w:jc w:val="center"/>
              <w:rPr>
                <w:color w:val="000000" w:themeColor="text1"/>
                <w:kern w:val="0"/>
                <w:szCs w:val="21"/>
                <w:lang w:eastAsia="en-US"/>
              </w:rPr>
            </w:pPr>
            <w:r>
              <w:rPr>
                <w:color w:val="000000" w:themeColor="text1"/>
                <w:kern w:val="0"/>
                <w:szCs w:val="21"/>
                <w:lang w:eastAsia="en-US"/>
              </w:rPr>
              <w:t>溶解性总固体</w:t>
            </w:r>
          </w:p>
        </w:tc>
        <w:tc>
          <w:tcPr>
            <w:tcW w:w="1464" w:type="dxa"/>
            <w:vMerge w:val="continue"/>
            <w:vAlign w:val="center"/>
          </w:tcPr>
          <w:p w14:paraId="0FDC4787">
            <w:pPr>
              <w:adjustRightInd w:val="0"/>
              <w:snapToGrid w:val="0"/>
              <w:jc w:val="center"/>
              <w:rPr>
                <w:color w:val="000000" w:themeColor="text1"/>
                <w:kern w:val="0"/>
                <w:szCs w:val="21"/>
                <w:lang w:eastAsia="en-US"/>
              </w:rPr>
            </w:pPr>
          </w:p>
        </w:tc>
        <w:tc>
          <w:tcPr>
            <w:tcW w:w="2746" w:type="dxa"/>
            <w:vAlign w:val="center"/>
          </w:tcPr>
          <w:p w14:paraId="7BC749C3">
            <w:pPr>
              <w:adjustRightInd w:val="0"/>
              <w:snapToGrid w:val="0"/>
              <w:jc w:val="center"/>
              <w:rPr>
                <w:color w:val="000000" w:themeColor="text1"/>
                <w:kern w:val="0"/>
                <w:szCs w:val="21"/>
                <w:lang w:eastAsia="en-US"/>
              </w:rPr>
            </w:pPr>
            <w:r>
              <w:rPr>
                <w:color w:val="000000" w:themeColor="text1"/>
                <w:kern w:val="0"/>
                <w:szCs w:val="21"/>
                <w:lang w:eastAsia="en-US"/>
              </w:rPr>
              <w:t>≤1000</w:t>
            </w:r>
          </w:p>
        </w:tc>
      </w:tr>
      <w:tr w14:paraId="131781EB">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03AB1CBF">
            <w:pPr>
              <w:adjustRightInd w:val="0"/>
              <w:snapToGrid w:val="0"/>
              <w:jc w:val="center"/>
              <w:rPr>
                <w:color w:val="000000" w:themeColor="text1"/>
                <w:kern w:val="0"/>
                <w:szCs w:val="21"/>
                <w:lang w:eastAsia="en-US"/>
              </w:rPr>
            </w:pPr>
          </w:p>
        </w:tc>
        <w:tc>
          <w:tcPr>
            <w:tcW w:w="2320" w:type="dxa"/>
            <w:vAlign w:val="center"/>
          </w:tcPr>
          <w:p w14:paraId="65AA797D">
            <w:pPr>
              <w:adjustRightInd w:val="0"/>
              <w:snapToGrid w:val="0"/>
              <w:jc w:val="center"/>
              <w:rPr>
                <w:color w:val="000000" w:themeColor="text1"/>
                <w:kern w:val="0"/>
                <w:szCs w:val="21"/>
                <w:lang w:eastAsia="en-US"/>
              </w:rPr>
            </w:pPr>
            <w:r>
              <w:rPr>
                <w:color w:val="000000" w:themeColor="text1"/>
                <w:kern w:val="0"/>
                <w:szCs w:val="21"/>
                <w:lang w:eastAsia="en-US"/>
              </w:rPr>
              <w:t>高锰酸盐指数</w:t>
            </w:r>
          </w:p>
        </w:tc>
        <w:tc>
          <w:tcPr>
            <w:tcW w:w="1464" w:type="dxa"/>
            <w:vMerge w:val="continue"/>
            <w:vAlign w:val="center"/>
          </w:tcPr>
          <w:p w14:paraId="4EE24544">
            <w:pPr>
              <w:adjustRightInd w:val="0"/>
              <w:snapToGrid w:val="0"/>
              <w:jc w:val="center"/>
              <w:rPr>
                <w:color w:val="000000" w:themeColor="text1"/>
                <w:kern w:val="0"/>
                <w:szCs w:val="21"/>
                <w:lang w:eastAsia="en-US"/>
              </w:rPr>
            </w:pPr>
          </w:p>
        </w:tc>
        <w:tc>
          <w:tcPr>
            <w:tcW w:w="2746" w:type="dxa"/>
            <w:vAlign w:val="center"/>
          </w:tcPr>
          <w:p w14:paraId="7B8237A2">
            <w:pPr>
              <w:adjustRightInd w:val="0"/>
              <w:snapToGrid w:val="0"/>
              <w:jc w:val="center"/>
              <w:rPr>
                <w:color w:val="000000" w:themeColor="text1"/>
                <w:kern w:val="0"/>
                <w:szCs w:val="21"/>
                <w:lang w:eastAsia="en-US"/>
              </w:rPr>
            </w:pPr>
            <w:r>
              <w:rPr>
                <w:color w:val="000000" w:themeColor="text1"/>
                <w:kern w:val="0"/>
                <w:szCs w:val="21"/>
                <w:lang w:eastAsia="en-US"/>
              </w:rPr>
              <w:t>≤3.0</w:t>
            </w:r>
          </w:p>
        </w:tc>
      </w:tr>
      <w:tr w14:paraId="79807607">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380B6B69">
            <w:pPr>
              <w:adjustRightInd w:val="0"/>
              <w:snapToGrid w:val="0"/>
              <w:jc w:val="center"/>
              <w:rPr>
                <w:color w:val="000000" w:themeColor="text1"/>
                <w:kern w:val="0"/>
                <w:szCs w:val="21"/>
                <w:lang w:eastAsia="en-US"/>
              </w:rPr>
            </w:pPr>
          </w:p>
        </w:tc>
        <w:tc>
          <w:tcPr>
            <w:tcW w:w="2320" w:type="dxa"/>
            <w:vAlign w:val="center"/>
          </w:tcPr>
          <w:p w14:paraId="63490BE3">
            <w:pPr>
              <w:adjustRightInd w:val="0"/>
              <w:snapToGrid w:val="0"/>
              <w:jc w:val="center"/>
              <w:rPr>
                <w:color w:val="000000" w:themeColor="text1"/>
                <w:kern w:val="0"/>
                <w:szCs w:val="21"/>
                <w:lang w:eastAsia="en-US"/>
              </w:rPr>
            </w:pPr>
            <w:r>
              <w:rPr>
                <w:color w:val="000000" w:themeColor="text1"/>
                <w:kern w:val="0"/>
                <w:szCs w:val="21"/>
                <w:lang w:eastAsia="en-US"/>
              </w:rPr>
              <w:t>氨氮</w:t>
            </w:r>
          </w:p>
        </w:tc>
        <w:tc>
          <w:tcPr>
            <w:tcW w:w="1464" w:type="dxa"/>
            <w:vMerge w:val="continue"/>
            <w:vAlign w:val="center"/>
          </w:tcPr>
          <w:p w14:paraId="16861256">
            <w:pPr>
              <w:adjustRightInd w:val="0"/>
              <w:snapToGrid w:val="0"/>
              <w:jc w:val="center"/>
              <w:rPr>
                <w:color w:val="000000" w:themeColor="text1"/>
                <w:kern w:val="0"/>
                <w:szCs w:val="21"/>
                <w:lang w:eastAsia="en-US"/>
              </w:rPr>
            </w:pPr>
          </w:p>
        </w:tc>
        <w:tc>
          <w:tcPr>
            <w:tcW w:w="2746" w:type="dxa"/>
            <w:vAlign w:val="center"/>
          </w:tcPr>
          <w:p w14:paraId="79FF5A6A">
            <w:pPr>
              <w:adjustRightInd w:val="0"/>
              <w:snapToGrid w:val="0"/>
              <w:jc w:val="center"/>
              <w:rPr>
                <w:color w:val="000000" w:themeColor="text1"/>
                <w:kern w:val="0"/>
                <w:szCs w:val="21"/>
                <w:lang w:eastAsia="en-US"/>
              </w:rPr>
            </w:pPr>
            <w:r>
              <w:rPr>
                <w:color w:val="000000" w:themeColor="text1"/>
                <w:kern w:val="0"/>
                <w:szCs w:val="21"/>
                <w:lang w:eastAsia="en-US"/>
              </w:rPr>
              <w:t>≤0.2</w:t>
            </w:r>
          </w:p>
        </w:tc>
      </w:tr>
      <w:tr w14:paraId="5E042E23">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79706D2E">
            <w:pPr>
              <w:adjustRightInd w:val="0"/>
              <w:snapToGrid w:val="0"/>
              <w:jc w:val="center"/>
              <w:rPr>
                <w:color w:val="000000" w:themeColor="text1"/>
                <w:kern w:val="0"/>
                <w:szCs w:val="21"/>
                <w:lang w:eastAsia="en-US"/>
              </w:rPr>
            </w:pPr>
          </w:p>
        </w:tc>
        <w:tc>
          <w:tcPr>
            <w:tcW w:w="2320" w:type="dxa"/>
            <w:vAlign w:val="center"/>
          </w:tcPr>
          <w:p w14:paraId="41472DE2">
            <w:pPr>
              <w:adjustRightInd w:val="0"/>
              <w:snapToGrid w:val="0"/>
              <w:jc w:val="center"/>
              <w:rPr>
                <w:color w:val="000000" w:themeColor="text1"/>
                <w:kern w:val="0"/>
                <w:szCs w:val="21"/>
                <w:lang w:eastAsia="en-US"/>
              </w:rPr>
            </w:pPr>
            <w:r>
              <w:rPr>
                <w:color w:val="000000" w:themeColor="text1"/>
                <w:kern w:val="0"/>
                <w:szCs w:val="21"/>
                <w:lang w:eastAsia="en-US"/>
              </w:rPr>
              <w:t>挥发酚</w:t>
            </w:r>
          </w:p>
        </w:tc>
        <w:tc>
          <w:tcPr>
            <w:tcW w:w="1464" w:type="dxa"/>
            <w:vMerge w:val="continue"/>
            <w:vAlign w:val="center"/>
          </w:tcPr>
          <w:p w14:paraId="03070BEA">
            <w:pPr>
              <w:adjustRightInd w:val="0"/>
              <w:snapToGrid w:val="0"/>
              <w:jc w:val="center"/>
              <w:rPr>
                <w:color w:val="000000" w:themeColor="text1"/>
                <w:kern w:val="0"/>
                <w:szCs w:val="21"/>
                <w:lang w:eastAsia="en-US"/>
              </w:rPr>
            </w:pPr>
          </w:p>
        </w:tc>
        <w:tc>
          <w:tcPr>
            <w:tcW w:w="2746" w:type="dxa"/>
            <w:vAlign w:val="center"/>
          </w:tcPr>
          <w:p w14:paraId="1F3AD111">
            <w:pPr>
              <w:adjustRightInd w:val="0"/>
              <w:snapToGrid w:val="0"/>
              <w:jc w:val="center"/>
              <w:rPr>
                <w:color w:val="000000" w:themeColor="text1"/>
                <w:kern w:val="0"/>
                <w:szCs w:val="21"/>
                <w:lang w:eastAsia="en-US"/>
              </w:rPr>
            </w:pPr>
            <w:r>
              <w:rPr>
                <w:color w:val="000000" w:themeColor="text1"/>
                <w:kern w:val="0"/>
                <w:szCs w:val="21"/>
                <w:lang w:eastAsia="en-US"/>
              </w:rPr>
              <w:t>≤0.002</w:t>
            </w:r>
          </w:p>
        </w:tc>
      </w:tr>
      <w:tr w14:paraId="48E66361">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58CEA28F">
            <w:pPr>
              <w:adjustRightInd w:val="0"/>
              <w:snapToGrid w:val="0"/>
              <w:jc w:val="center"/>
              <w:rPr>
                <w:color w:val="000000" w:themeColor="text1"/>
                <w:kern w:val="0"/>
                <w:szCs w:val="21"/>
                <w:lang w:eastAsia="en-US"/>
              </w:rPr>
            </w:pPr>
          </w:p>
        </w:tc>
        <w:tc>
          <w:tcPr>
            <w:tcW w:w="2320" w:type="dxa"/>
            <w:vAlign w:val="center"/>
          </w:tcPr>
          <w:p w14:paraId="62329991">
            <w:pPr>
              <w:adjustRightInd w:val="0"/>
              <w:snapToGrid w:val="0"/>
              <w:jc w:val="center"/>
              <w:rPr>
                <w:color w:val="000000" w:themeColor="text1"/>
                <w:kern w:val="0"/>
                <w:szCs w:val="21"/>
                <w:lang w:eastAsia="en-US"/>
              </w:rPr>
            </w:pPr>
            <w:r>
              <w:rPr>
                <w:color w:val="000000" w:themeColor="text1"/>
                <w:kern w:val="0"/>
                <w:szCs w:val="21"/>
                <w:lang w:eastAsia="en-US"/>
              </w:rPr>
              <w:t>氟化物</w:t>
            </w:r>
          </w:p>
        </w:tc>
        <w:tc>
          <w:tcPr>
            <w:tcW w:w="1464" w:type="dxa"/>
            <w:vMerge w:val="continue"/>
            <w:vAlign w:val="center"/>
          </w:tcPr>
          <w:p w14:paraId="54D19ED4">
            <w:pPr>
              <w:adjustRightInd w:val="0"/>
              <w:snapToGrid w:val="0"/>
              <w:jc w:val="center"/>
              <w:rPr>
                <w:color w:val="000000" w:themeColor="text1"/>
                <w:kern w:val="0"/>
                <w:szCs w:val="21"/>
                <w:lang w:eastAsia="en-US"/>
              </w:rPr>
            </w:pPr>
          </w:p>
        </w:tc>
        <w:tc>
          <w:tcPr>
            <w:tcW w:w="2746" w:type="dxa"/>
            <w:vAlign w:val="center"/>
          </w:tcPr>
          <w:p w14:paraId="7318C2C6">
            <w:pPr>
              <w:adjustRightInd w:val="0"/>
              <w:snapToGrid w:val="0"/>
              <w:jc w:val="center"/>
              <w:rPr>
                <w:color w:val="000000" w:themeColor="text1"/>
                <w:kern w:val="0"/>
                <w:szCs w:val="21"/>
                <w:lang w:eastAsia="en-US"/>
              </w:rPr>
            </w:pPr>
            <w:r>
              <w:rPr>
                <w:color w:val="000000" w:themeColor="text1"/>
                <w:kern w:val="0"/>
                <w:szCs w:val="21"/>
                <w:lang w:eastAsia="en-US"/>
              </w:rPr>
              <w:t>≤1</w:t>
            </w:r>
          </w:p>
        </w:tc>
      </w:tr>
      <w:tr w14:paraId="3A985EBA">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1202E71E">
            <w:pPr>
              <w:adjustRightInd w:val="0"/>
              <w:snapToGrid w:val="0"/>
              <w:jc w:val="center"/>
              <w:rPr>
                <w:color w:val="000000" w:themeColor="text1"/>
                <w:kern w:val="0"/>
                <w:szCs w:val="21"/>
                <w:lang w:eastAsia="en-US"/>
              </w:rPr>
            </w:pPr>
          </w:p>
        </w:tc>
        <w:tc>
          <w:tcPr>
            <w:tcW w:w="2320" w:type="dxa"/>
            <w:vAlign w:val="center"/>
          </w:tcPr>
          <w:p w14:paraId="465A79AE">
            <w:pPr>
              <w:adjustRightInd w:val="0"/>
              <w:snapToGrid w:val="0"/>
              <w:jc w:val="center"/>
              <w:rPr>
                <w:color w:val="000000" w:themeColor="text1"/>
                <w:kern w:val="0"/>
                <w:szCs w:val="21"/>
                <w:lang w:eastAsia="en-US"/>
              </w:rPr>
            </w:pPr>
            <w:r>
              <w:rPr>
                <w:color w:val="000000" w:themeColor="text1"/>
                <w:kern w:val="0"/>
                <w:szCs w:val="21"/>
                <w:lang w:eastAsia="en-US"/>
              </w:rPr>
              <w:t>氯化物</w:t>
            </w:r>
          </w:p>
        </w:tc>
        <w:tc>
          <w:tcPr>
            <w:tcW w:w="1464" w:type="dxa"/>
            <w:vMerge w:val="continue"/>
            <w:vAlign w:val="center"/>
          </w:tcPr>
          <w:p w14:paraId="64915761">
            <w:pPr>
              <w:adjustRightInd w:val="0"/>
              <w:snapToGrid w:val="0"/>
              <w:jc w:val="center"/>
              <w:rPr>
                <w:color w:val="000000" w:themeColor="text1"/>
                <w:kern w:val="0"/>
                <w:szCs w:val="21"/>
                <w:lang w:eastAsia="en-US"/>
              </w:rPr>
            </w:pPr>
          </w:p>
        </w:tc>
        <w:tc>
          <w:tcPr>
            <w:tcW w:w="2746" w:type="dxa"/>
            <w:vAlign w:val="center"/>
          </w:tcPr>
          <w:p w14:paraId="6437B750">
            <w:pPr>
              <w:adjustRightInd w:val="0"/>
              <w:snapToGrid w:val="0"/>
              <w:jc w:val="center"/>
              <w:rPr>
                <w:color w:val="000000" w:themeColor="text1"/>
                <w:kern w:val="0"/>
                <w:szCs w:val="21"/>
              </w:rPr>
            </w:pPr>
            <w:r>
              <w:rPr>
                <w:color w:val="000000" w:themeColor="text1"/>
                <w:kern w:val="0"/>
                <w:szCs w:val="21"/>
                <w:lang w:eastAsia="en-US"/>
              </w:rPr>
              <w:t>≤</w:t>
            </w:r>
            <w:r>
              <w:rPr>
                <w:color w:val="000000" w:themeColor="text1"/>
                <w:kern w:val="0"/>
                <w:szCs w:val="21"/>
              </w:rPr>
              <w:t>250</w:t>
            </w:r>
          </w:p>
        </w:tc>
      </w:tr>
      <w:tr w14:paraId="16579E14">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1C6915BF">
            <w:pPr>
              <w:adjustRightInd w:val="0"/>
              <w:snapToGrid w:val="0"/>
              <w:jc w:val="center"/>
              <w:rPr>
                <w:color w:val="000000" w:themeColor="text1"/>
                <w:kern w:val="0"/>
                <w:szCs w:val="21"/>
                <w:lang w:eastAsia="en-US"/>
              </w:rPr>
            </w:pPr>
          </w:p>
        </w:tc>
        <w:tc>
          <w:tcPr>
            <w:tcW w:w="2320" w:type="dxa"/>
            <w:vAlign w:val="center"/>
          </w:tcPr>
          <w:p w14:paraId="035963A0">
            <w:pPr>
              <w:adjustRightInd w:val="0"/>
              <w:snapToGrid w:val="0"/>
              <w:jc w:val="center"/>
              <w:rPr>
                <w:color w:val="000000" w:themeColor="text1"/>
                <w:kern w:val="0"/>
                <w:szCs w:val="21"/>
                <w:lang w:eastAsia="en-US"/>
              </w:rPr>
            </w:pPr>
            <w:r>
              <w:rPr>
                <w:color w:val="000000" w:themeColor="text1"/>
                <w:kern w:val="0"/>
                <w:szCs w:val="21"/>
                <w:lang w:eastAsia="en-US"/>
              </w:rPr>
              <w:t>硫酸盐</w:t>
            </w:r>
          </w:p>
        </w:tc>
        <w:tc>
          <w:tcPr>
            <w:tcW w:w="1464" w:type="dxa"/>
            <w:vMerge w:val="continue"/>
            <w:vAlign w:val="center"/>
          </w:tcPr>
          <w:p w14:paraId="58C638BA">
            <w:pPr>
              <w:adjustRightInd w:val="0"/>
              <w:snapToGrid w:val="0"/>
              <w:jc w:val="center"/>
              <w:rPr>
                <w:color w:val="000000" w:themeColor="text1"/>
                <w:kern w:val="0"/>
                <w:szCs w:val="21"/>
                <w:lang w:eastAsia="en-US"/>
              </w:rPr>
            </w:pPr>
          </w:p>
        </w:tc>
        <w:tc>
          <w:tcPr>
            <w:tcW w:w="2746" w:type="dxa"/>
            <w:vAlign w:val="center"/>
          </w:tcPr>
          <w:p w14:paraId="441C6A35">
            <w:pPr>
              <w:adjustRightInd w:val="0"/>
              <w:snapToGrid w:val="0"/>
              <w:jc w:val="center"/>
              <w:rPr>
                <w:color w:val="000000" w:themeColor="text1"/>
                <w:kern w:val="0"/>
                <w:szCs w:val="21"/>
                <w:lang w:eastAsia="en-US"/>
              </w:rPr>
            </w:pPr>
            <w:r>
              <w:rPr>
                <w:color w:val="000000" w:themeColor="text1"/>
                <w:kern w:val="0"/>
                <w:szCs w:val="21"/>
                <w:lang w:eastAsia="en-US"/>
              </w:rPr>
              <w:t>≤250</w:t>
            </w:r>
          </w:p>
        </w:tc>
      </w:tr>
      <w:tr w14:paraId="00C33191">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23BECE8F">
            <w:pPr>
              <w:adjustRightInd w:val="0"/>
              <w:snapToGrid w:val="0"/>
              <w:jc w:val="center"/>
              <w:rPr>
                <w:color w:val="000000" w:themeColor="text1"/>
                <w:kern w:val="0"/>
                <w:szCs w:val="21"/>
                <w:lang w:eastAsia="en-US"/>
              </w:rPr>
            </w:pPr>
          </w:p>
        </w:tc>
        <w:tc>
          <w:tcPr>
            <w:tcW w:w="2320" w:type="dxa"/>
            <w:vAlign w:val="center"/>
          </w:tcPr>
          <w:p w14:paraId="6059970D">
            <w:pPr>
              <w:adjustRightInd w:val="0"/>
              <w:snapToGrid w:val="0"/>
              <w:jc w:val="center"/>
              <w:rPr>
                <w:color w:val="000000" w:themeColor="text1"/>
                <w:kern w:val="0"/>
                <w:szCs w:val="21"/>
                <w:lang w:eastAsia="en-US"/>
              </w:rPr>
            </w:pPr>
            <w:r>
              <w:rPr>
                <w:color w:val="000000" w:themeColor="text1"/>
                <w:kern w:val="0"/>
                <w:szCs w:val="21"/>
                <w:lang w:eastAsia="en-US"/>
              </w:rPr>
              <w:t>硝酸盐(以N计)</w:t>
            </w:r>
          </w:p>
        </w:tc>
        <w:tc>
          <w:tcPr>
            <w:tcW w:w="1464" w:type="dxa"/>
            <w:vMerge w:val="continue"/>
            <w:vAlign w:val="center"/>
          </w:tcPr>
          <w:p w14:paraId="06DED7F4">
            <w:pPr>
              <w:adjustRightInd w:val="0"/>
              <w:snapToGrid w:val="0"/>
              <w:jc w:val="center"/>
              <w:rPr>
                <w:color w:val="000000" w:themeColor="text1"/>
                <w:kern w:val="0"/>
                <w:szCs w:val="21"/>
                <w:lang w:eastAsia="en-US"/>
              </w:rPr>
            </w:pPr>
          </w:p>
        </w:tc>
        <w:tc>
          <w:tcPr>
            <w:tcW w:w="2746" w:type="dxa"/>
            <w:vAlign w:val="center"/>
          </w:tcPr>
          <w:p w14:paraId="7010A4F0">
            <w:pPr>
              <w:adjustRightInd w:val="0"/>
              <w:snapToGrid w:val="0"/>
              <w:jc w:val="center"/>
              <w:rPr>
                <w:color w:val="000000" w:themeColor="text1"/>
                <w:kern w:val="0"/>
                <w:szCs w:val="21"/>
                <w:lang w:eastAsia="en-US"/>
              </w:rPr>
            </w:pPr>
            <w:r>
              <w:rPr>
                <w:color w:val="000000" w:themeColor="text1"/>
                <w:kern w:val="0"/>
                <w:szCs w:val="21"/>
                <w:lang w:eastAsia="en-US"/>
              </w:rPr>
              <w:t>≤20</w:t>
            </w:r>
          </w:p>
        </w:tc>
      </w:tr>
      <w:tr w14:paraId="53C3F57C">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6CFBC0F3">
            <w:pPr>
              <w:adjustRightInd w:val="0"/>
              <w:snapToGrid w:val="0"/>
              <w:jc w:val="center"/>
              <w:rPr>
                <w:color w:val="000000" w:themeColor="text1"/>
                <w:kern w:val="0"/>
                <w:szCs w:val="21"/>
                <w:lang w:eastAsia="en-US"/>
              </w:rPr>
            </w:pPr>
          </w:p>
        </w:tc>
        <w:tc>
          <w:tcPr>
            <w:tcW w:w="2320" w:type="dxa"/>
            <w:vAlign w:val="center"/>
          </w:tcPr>
          <w:p w14:paraId="1B75AD13">
            <w:pPr>
              <w:adjustRightInd w:val="0"/>
              <w:snapToGrid w:val="0"/>
              <w:jc w:val="center"/>
              <w:rPr>
                <w:color w:val="000000" w:themeColor="text1"/>
                <w:kern w:val="0"/>
                <w:szCs w:val="21"/>
                <w:lang w:eastAsia="en-US"/>
              </w:rPr>
            </w:pPr>
            <w:r>
              <w:rPr>
                <w:color w:val="000000" w:themeColor="text1"/>
                <w:kern w:val="0"/>
                <w:szCs w:val="21"/>
                <w:lang w:eastAsia="en-US"/>
              </w:rPr>
              <w:t>亚硝酸盐</w:t>
            </w:r>
          </w:p>
        </w:tc>
        <w:tc>
          <w:tcPr>
            <w:tcW w:w="1464" w:type="dxa"/>
            <w:vMerge w:val="continue"/>
            <w:vAlign w:val="center"/>
          </w:tcPr>
          <w:p w14:paraId="522669DA">
            <w:pPr>
              <w:adjustRightInd w:val="0"/>
              <w:snapToGrid w:val="0"/>
              <w:jc w:val="center"/>
              <w:rPr>
                <w:color w:val="000000" w:themeColor="text1"/>
                <w:kern w:val="0"/>
                <w:szCs w:val="21"/>
                <w:lang w:eastAsia="en-US"/>
              </w:rPr>
            </w:pPr>
          </w:p>
        </w:tc>
        <w:tc>
          <w:tcPr>
            <w:tcW w:w="2746" w:type="dxa"/>
            <w:vAlign w:val="center"/>
          </w:tcPr>
          <w:p w14:paraId="09C1F20E">
            <w:pPr>
              <w:adjustRightInd w:val="0"/>
              <w:snapToGrid w:val="0"/>
              <w:jc w:val="center"/>
              <w:rPr>
                <w:color w:val="000000" w:themeColor="text1"/>
                <w:kern w:val="0"/>
                <w:szCs w:val="21"/>
                <w:lang w:eastAsia="en-US"/>
              </w:rPr>
            </w:pPr>
            <w:r>
              <w:rPr>
                <w:color w:val="000000" w:themeColor="text1"/>
                <w:kern w:val="0"/>
                <w:szCs w:val="21"/>
                <w:lang w:eastAsia="en-US"/>
              </w:rPr>
              <w:t>≤0.02</w:t>
            </w:r>
          </w:p>
        </w:tc>
      </w:tr>
      <w:tr w14:paraId="5F164ADB">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2900DE81">
            <w:pPr>
              <w:adjustRightInd w:val="0"/>
              <w:snapToGrid w:val="0"/>
              <w:jc w:val="center"/>
              <w:rPr>
                <w:color w:val="000000" w:themeColor="text1"/>
                <w:kern w:val="0"/>
                <w:szCs w:val="21"/>
                <w:lang w:eastAsia="en-US"/>
              </w:rPr>
            </w:pPr>
          </w:p>
        </w:tc>
        <w:tc>
          <w:tcPr>
            <w:tcW w:w="2320" w:type="dxa"/>
            <w:vAlign w:val="center"/>
          </w:tcPr>
          <w:p w14:paraId="510D08C3">
            <w:pPr>
              <w:adjustRightInd w:val="0"/>
              <w:snapToGrid w:val="0"/>
              <w:jc w:val="center"/>
              <w:rPr>
                <w:color w:val="000000" w:themeColor="text1"/>
                <w:kern w:val="0"/>
                <w:szCs w:val="21"/>
                <w:lang w:eastAsia="en-US"/>
              </w:rPr>
            </w:pPr>
            <w:r>
              <w:rPr>
                <w:color w:val="000000" w:themeColor="text1"/>
                <w:kern w:val="0"/>
                <w:szCs w:val="21"/>
                <w:lang w:eastAsia="en-US"/>
              </w:rPr>
              <w:t>氰化物</w:t>
            </w:r>
          </w:p>
        </w:tc>
        <w:tc>
          <w:tcPr>
            <w:tcW w:w="1464" w:type="dxa"/>
            <w:vMerge w:val="continue"/>
            <w:vAlign w:val="center"/>
          </w:tcPr>
          <w:p w14:paraId="62CBFCB4">
            <w:pPr>
              <w:adjustRightInd w:val="0"/>
              <w:snapToGrid w:val="0"/>
              <w:jc w:val="center"/>
              <w:rPr>
                <w:color w:val="000000" w:themeColor="text1"/>
                <w:kern w:val="0"/>
                <w:szCs w:val="21"/>
                <w:lang w:eastAsia="en-US"/>
              </w:rPr>
            </w:pPr>
          </w:p>
        </w:tc>
        <w:tc>
          <w:tcPr>
            <w:tcW w:w="2746" w:type="dxa"/>
            <w:vAlign w:val="center"/>
          </w:tcPr>
          <w:p w14:paraId="0989CEE8">
            <w:pPr>
              <w:adjustRightInd w:val="0"/>
              <w:snapToGrid w:val="0"/>
              <w:jc w:val="center"/>
              <w:rPr>
                <w:color w:val="000000" w:themeColor="text1"/>
                <w:kern w:val="0"/>
                <w:szCs w:val="21"/>
                <w:lang w:eastAsia="en-US"/>
              </w:rPr>
            </w:pPr>
            <w:r>
              <w:rPr>
                <w:color w:val="000000" w:themeColor="text1"/>
                <w:kern w:val="0"/>
                <w:szCs w:val="21"/>
                <w:lang w:eastAsia="en-US"/>
              </w:rPr>
              <w:t>≤0.05</w:t>
            </w:r>
          </w:p>
        </w:tc>
      </w:tr>
      <w:tr w14:paraId="0252528C">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78A98BF7">
            <w:pPr>
              <w:adjustRightInd w:val="0"/>
              <w:snapToGrid w:val="0"/>
              <w:jc w:val="center"/>
              <w:rPr>
                <w:color w:val="000000" w:themeColor="text1"/>
                <w:kern w:val="0"/>
                <w:szCs w:val="21"/>
                <w:lang w:eastAsia="en-US"/>
              </w:rPr>
            </w:pPr>
          </w:p>
        </w:tc>
        <w:tc>
          <w:tcPr>
            <w:tcW w:w="2320" w:type="dxa"/>
            <w:vAlign w:val="center"/>
          </w:tcPr>
          <w:p w14:paraId="55F3E78E">
            <w:pPr>
              <w:adjustRightInd w:val="0"/>
              <w:snapToGrid w:val="0"/>
              <w:jc w:val="center"/>
              <w:rPr>
                <w:color w:val="000000" w:themeColor="text1"/>
                <w:kern w:val="0"/>
                <w:szCs w:val="21"/>
                <w:lang w:eastAsia="en-US"/>
              </w:rPr>
            </w:pPr>
            <w:r>
              <w:rPr>
                <w:color w:val="000000" w:themeColor="text1"/>
                <w:kern w:val="0"/>
                <w:szCs w:val="21"/>
                <w:lang w:eastAsia="en-US"/>
              </w:rPr>
              <w:t>铁</w:t>
            </w:r>
          </w:p>
        </w:tc>
        <w:tc>
          <w:tcPr>
            <w:tcW w:w="1464" w:type="dxa"/>
            <w:vMerge w:val="continue"/>
            <w:vAlign w:val="center"/>
          </w:tcPr>
          <w:p w14:paraId="7C7B9319">
            <w:pPr>
              <w:adjustRightInd w:val="0"/>
              <w:snapToGrid w:val="0"/>
              <w:jc w:val="center"/>
              <w:rPr>
                <w:color w:val="000000" w:themeColor="text1"/>
                <w:kern w:val="0"/>
                <w:szCs w:val="21"/>
                <w:lang w:eastAsia="en-US"/>
              </w:rPr>
            </w:pPr>
          </w:p>
        </w:tc>
        <w:tc>
          <w:tcPr>
            <w:tcW w:w="2746" w:type="dxa"/>
            <w:vAlign w:val="center"/>
          </w:tcPr>
          <w:p w14:paraId="170EA53E">
            <w:pPr>
              <w:adjustRightInd w:val="0"/>
              <w:snapToGrid w:val="0"/>
              <w:jc w:val="center"/>
              <w:rPr>
                <w:color w:val="000000" w:themeColor="text1"/>
                <w:kern w:val="0"/>
                <w:szCs w:val="21"/>
                <w:lang w:eastAsia="en-US"/>
              </w:rPr>
            </w:pPr>
            <w:r>
              <w:rPr>
                <w:color w:val="000000" w:themeColor="text1"/>
                <w:kern w:val="0"/>
                <w:szCs w:val="21"/>
                <w:lang w:eastAsia="en-US"/>
              </w:rPr>
              <w:t>≤0.3</w:t>
            </w:r>
          </w:p>
        </w:tc>
      </w:tr>
      <w:tr w14:paraId="6604F55E">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5042CE4E">
            <w:pPr>
              <w:adjustRightInd w:val="0"/>
              <w:snapToGrid w:val="0"/>
              <w:jc w:val="center"/>
              <w:rPr>
                <w:color w:val="000000" w:themeColor="text1"/>
                <w:kern w:val="0"/>
                <w:szCs w:val="21"/>
                <w:lang w:eastAsia="en-US"/>
              </w:rPr>
            </w:pPr>
          </w:p>
        </w:tc>
        <w:tc>
          <w:tcPr>
            <w:tcW w:w="2320" w:type="dxa"/>
            <w:vAlign w:val="center"/>
          </w:tcPr>
          <w:p w14:paraId="1C4330D2">
            <w:pPr>
              <w:adjustRightInd w:val="0"/>
              <w:snapToGrid w:val="0"/>
              <w:jc w:val="center"/>
              <w:rPr>
                <w:color w:val="000000" w:themeColor="text1"/>
                <w:kern w:val="0"/>
                <w:szCs w:val="21"/>
                <w:lang w:eastAsia="en-US"/>
              </w:rPr>
            </w:pPr>
            <w:r>
              <w:rPr>
                <w:color w:val="000000" w:themeColor="text1"/>
                <w:kern w:val="0"/>
                <w:szCs w:val="21"/>
                <w:lang w:eastAsia="en-US"/>
              </w:rPr>
              <w:t>锰</w:t>
            </w:r>
          </w:p>
        </w:tc>
        <w:tc>
          <w:tcPr>
            <w:tcW w:w="1464" w:type="dxa"/>
            <w:vMerge w:val="continue"/>
            <w:vAlign w:val="center"/>
          </w:tcPr>
          <w:p w14:paraId="4DD5A081">
            <w:pPr>
              <w:adjustRightInd w:val="0"/>
              <w:snapToGrid w:val="0"/>
              <w:jc w:val="center"/>
              <w:rPr>
                <w:color w:val="000000" w:themeColor="text1"/>
                <w:kern w:val="0"/>
                <w:szCs w:val="21"/>
                <w:lang w:eastAsia="en-US"/>
              </w:rPr>
            </w:pPr>
          </w:p>
        </w:tc>
        <w:tc>
          <w:tcPr>
            <w:tcW w:w="2746" w:type="dxa"/>
            <w:vAlign w:val="center"/>
          </w:tcPr>
          <w:p w14:paraId="73BE6565">
            <w:pPr>
              <w:adjustRightInd w:val="0"/>
              <w:snapToGrid w:val="0"/>
              <w:jc w:val="center"/>
              <w:rPr>
                <w:color w:val="000000" w:themeColor="text1"/>
                <w:kern w:val="0"/>
                <w:szCs w:val="21"/>
                <w:lang w:eastAsia="en-US"/>
              </w:rPr>
            </w:pPr>
            <w:r>
              <w:rPr>
                <w:color w:val="000000" w:themeColor="text1"/>
                <w:kern w:val="0"/>
                <w:szCs w:val="21"/>
                <w:lang w:eastAsia="en-US"/>
              </w:rPr>
              <w:t>≤0.1</w:t>
            </w:r>
          </w:p>
        </w:tc>
      </w:tr>
      <w:tr w14:paraId="2CDAACD0">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1F1D390A">
            <w:pPr>
              <w:adjustRightInd w:val="0"/>
              <w:snapToGrid w:val="0"/>
              <w:jc w:val="center"/>
              <w:rPr>
                <w:color w:val="000000" w:themeColor="text1"/>
                <w:kern w:val="0"/>
                <w:szCs w:val="21"/>
                <w:lang w:eastAsia="en-US"/>
              </w:rPr>
            </w:pPr>
          </w:p>
        </w:tc>
        <w:tc>
          <w:tcPr>
            <w:tcW w:w="2320" w:type="dxa"/>
            <w:vAlign w:val="center"/>
          </w:tcPr>
          <w:p w14:paraId="4BD45E06">
            <w:pPr>
              <w:adjustRightInd w:val="0"/>
              <w:snapToGrid w:val="0"/>
              <w:jc w:val="center"/>
              <w:rPr>
                <w:color w:val="000000" w:themeColor="text1"/>
                <w:kern w:val="0"/>
                <w:szCs w:val="21"/>
                <w:lang w:eastAsia="en-US"/>
              </w:rPr>
            </w:pPr>
            <w:r>
              <w:rPr>
                <w:color w:val="000000" w:themeColor="text1"/>
                <w:kern w:val="0"/>
                <w:szCs w:val="21"/>
                <w:lang w:eastAsia="en-US"/>
              </w:rPr>
              <w:t>钴</w:t>
            </w:r>
          </w:p>
        </w:tc>
        <w:tc>
          <w:tcPr>
            <w:tcW w:w="1464" w:type="dxa"/>
            <w:vMerge w:val="continue"/>
            <w:vAlign w:val="center"/>
          </w:tcPr>
          <w:p w14:paraId="0CAD8AAB">
            <w:pPr>
              <w:adjustRightInd w:val="0"/>
              <w:snapToGrid w:val="0"/>
              <w:jc w:val="center"/>
              <w:rPr>
                <w:color w:val="000000" w:themeColor="text1"/>
                <w:kern w:val="0"/>
                <w:szCs w:val="21"/>
                <w:lang w:eastAsia="en-US"/>
              </w:rPr>
            </w:pPr>
          </w:p>
        </w:tc>
        <w:tc>
          <w:tcPr>
            <w:tcW w:w="2746" w:type="dxa"/>
            <w:vAlign w:val="center"/>
          </w:tcPr>
          <w:p w14:paraId="511985C6">
            <w:pPr>
              <w:adjustRightInd w:val="0"/>
              <w:snapToGrid w:val="0"/>
              <w:jc w:val="center"/>
              <w:rPr>
                <w:color w:val="000000" w:themeColor="text1"/>
                <w:kern w:val="0"/>
                <w:szCs w:val="21"/>
                <w:lang w:eastAsia="en-US"/>
              </w:rPr>
            </w:pPr>
            <w:r>
              <w:rPr>
                <w:color w:val="000000" w:themeColor="text1"/>
                <w:kern w:val="0"/>
                <w:szCs w:val="21"/>
                <w:lang w:eastAsia="en-US"/>
              </w:rPr>
              <w:t>≤0.05</w:t>
            </w:r>
          </w:p>
        </w:tc>
      </w:tr>
      <w:tr w14:paraId="02AE4E69">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24535E3A">
            <w:pPr>
              <w:adjustRightInd w:val="0"/>
              <w:snapToGrid w:val="0"/>
              <w:jc w:val="center"/>
              <w:rPr>
                <w:color w:val="000000" w:themeColor="text1"/>
                <w:kern w:val="0"/>
                <w:szCs w:val="21"/>
                <w:lang w:eastAsia="en-US"/>
              </w:rPr>
            </w:pPr>
          </w:p>
        </w:tc>
        <w:tc>
          <w:tcPr>
            <w:tcW w:w="2320" w:type="dxa"/>
            <w:vAlign w:val="center"/>
          </w:tcPr>
          <w:p w14:paraId="6C52C6C4">
            <w:pPr>
              <w:adjustRightInd w:val="0"/>
              <w:snapToGrid w:val="0"/>
              <w:jc w:val="center"/>
              <w:rPr>
                <w:color w:val="000000" w:themeColor="text1"/>
                <w:kern w:val="0"/>
                <w:szCs w:val="21"/>
                <w:lang w:eastAsia="en-US"/>
              </w:rPr>
            </w:pPr>
            <w:r>
              <w:rPr>
                <w:color w:val="000000" w:themeColor="text1"/>
                <w:kern w:val="0"/>
                <w:szCs w:val="21"/>
                <w:lang w:eastAsia="en-US"/>
              </w:rPr>
              <w:t>铜</w:t>
            </w:r>
          </w:p>
        </w:tc>
        <w:tc>
          <w:tcPr>
            <w:tcW w:w="1464" w:type="dxa"/>
            <w:vMerge w:val="continue"/>
            <w:vAlign w:val="center"/>
          </w:tcPr>
          <w:p w14:paraId="74969CCC">
            <w:pPr>
              <w:adjustRightInd w:val="0"/>
              <w:snapToGrid w:val="0"/>
              <w:jc w:val="center"/>
              <w:rPr>
                <w:color w:val="000000" w:themeColor="text1"/>
                <w:kern w:val="0"/>
                <w:szCs w:val="21"/>
                <w:lang w:eastAsia="en-US"/>
              </w:rPr>
            </w:pPr>
          </w:p>
        </w:tc>
        <w:tc>
          <w:tcPr>
            <w:tcW w:w="2746" w:type="dxa"/>
            <w:vAlign w:val="center"/>
          </w:tcPr>
          <w:p w14:paraId="01080AC4">
            <w:pPr>
              <w:adjustRightInd w:val="0"/>
              <w:snapToGrid w:val="0"/>
              <w:jc w:val="center"/>
              <w:rPr>
                <w:color w:val="000000" w:themeColor="text1"/>
                <w:kern w:val="0"/>
                <w:szCs w:val="21"/>
                <w:lang w:eastAsia="en-US"/>
              </w:rPr>
            </w:pPr>
            <w:r>
              <w:rPr>
                <w:color w:val="000000" w:themeColor="text1"/>
                <w:kern w:val="0"/>
                <w:szCs w:val="21"/>
                <w:lang w:eastAsia="en-US"/>
              </w:rPr>
              <w:t>≤1</w:t>
            </w:r>
          </w:p>
        </w:tc>
      </w:tr>
      <w:tr w14:paraId="6C1A0525">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6591A712">
            <w:pPr>
              <w:adjustRightInd w:val="0"/>
              <w:snapToGrid w:val="0"/>
              <w:jc w:val="center"/>
              <w:rPr>
                <w:color w:val="000000" w:themeColor="text1"/>
                <w:kern w:val="0"/>
                <w:szCs w:val="21"/>
                <w:lang w:eastAsia="en-US"/>
              </w:rPr>
            </w:pPr>
          </w:p>
        </w:tc>
        <w:tc>
          <w:tcPr>
            <w:tcW w:w="2320" w:type="dxa"/>
            <w:vAlign w:val="center"/>
          </w:tcPr>
          <w:p w14:paraId="291F47DC">
            <w:pPr>
              <w:adjustRightInd w:val="0"/>
              <w:snapToGrid w:val="0"/>
              <w:jc w:val="center"/>
              <w:rPr>
                <w:color w:val="000000" w:themeColor="text1"/>
                <w:kern w:val="0"/>
                <w:szCs w:val="21"/>
                <w:lang w:eastAsia="en-US"/>
              </w:rPr>
            </w:pPr>
            <w:r>
              <w:rPr>
                <w:color w:val="000000" w:themeColor="text1"/>
                <w:kern w:val="0"/>
                <w:szCs w:val="21"/>
                <w:lang w:eastAsia="en-US"/>
              </w:rPr>
              <w:t>锌</w:t>
            </w:r>
          </w:p>
        </w:tc>
        <w:tc>
          <w:tcPr>
            <w:tcW w:w="1464" w:type="dxa"/>
            <w:vMerge w:val="continue"/>
            <w:vAlign w:val="center"/>
          </w:tcPr>
          <w:p w14:paraId="71FCD8D1">
            <w:pPr>
              <w:adjustRightInd w:val="0"/>
              <w:snapToGrid w:val="0"/>
              <w:jc w:val="center"/>
              <w:rPr>
                <w:color w:val="000000" w:themeColor="text1"/>
                <w:kern w:val="0"/>
                <w:szCs w:val="21"/>
                <w:lang w:eastAsia="en-US"/>
              </w:rPr>
            </w:pPr>
          </w:p>
        </w:tc>
        <w:tc>
          <w:tcPr>
            <w:tcW w:w="2746" w:type="dxa"/>
            <w:vAlign w:val="center"/>
          </w:tcPr>
          <w:p w14:paraId="538463BD">
            <w:pPr>
              <w:adjustRightInd w:val="0"/>
              <w:snapToGrid w:val="0"/>
              <w:jc w:val="center"/>
              <w:rPr>
                <w:color w:val="000000" w:themeColor="text1"/>
                <w:kern w:val="0"/>
                <w:szCs w:val="21"/>
                <w:lang w:eastAsia="en-US"/>
              </w:rPr>
            </w:pPr>
            <w:r>
              <w:rPr>
                <w:color w:val="000000" w:themeColor="text1"/>
                <w:kern w:val="0"/>
                <w:szCs w:val="21"/>
                <w:lang w:eastAsia="en-US"/>
              </w:rPr>
              <w:t>≤1</w:t>
            </w:r>
          </w:p>
        </w:tc>
      </w:tr>
      <w:tr w14:paraId="083CA1AC">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4B809916">
            <w:pPr>
              <w:adjustRightInd w:val="0"/>
              <w:snapToGrid w:val="0"/>
              <w:jc w:val="center"/>
              <w:rPr>
                <w:color w:val="000000" w:themeColor="text1"/>
                <w:kern w:val="0"/>
                <w:szCs w:val="21"/>
                <w:lang w:eastAsia="en-US"/>
              </w:rPr>
            </w:pPr>
          </w:p>
        </w:tc>
        <w:tc>
          <w:tcPr>
            <w:tcW w:w="2320" w:type="dxa"/>
            <w:vAlign w:val="center"/>
          </w:tcPr>
          <w:p w14:paraId="0C94597E">
            <w:pPr>
              <w:adjustRightInd w:val="0"/>
              <w:snapToGrid w:val="0"/>
              <w:jc w:val="center"/>
              <w:rPr>
                <w:color w:val="000000" w:themeColor="text1"/>
                <w:kern w:val="0"/>
                <w:szCs w:val="21"/>
                <w:lang w:eastAsia="en-US"/>
              </w:rPr>
            </w:pPr>
            <w:r>
              <w:rPr>
                <w:color w:val="000000" w:themeColor="text1"/>
                <w:kern w:val="0"/>
                <w:szCs w:val="21"/>
                <w:lang w:eastAsia="en-US"/>
              </w:rPr>
              <w:t>铅</w:t>
            </w:r>
          </w:p>
        </w:tc>
        <w:tc>
          <w:tcPr>
            <w:tcW w:w="1464" w:type="dxa"/>
            <w:vMerge w:val="continue"/>
            <w:vAlign w:val="center"/>
          </w:tcPr>
          <w:p w14:paraId="2127065A">
            <w:pPr>
              <w:adjustRightInd w:val="0"/>
              <w:snapToGrid w:val="0"/>
              <w:jc w:val="center"/>
              <w:rPr>
                <w:color w:val="000000" w:themeColor="text1"/>
                <w:kern w:val="0"/>
                <w:szCs w:val="21"/>
                <w:lang w:eastAsia="en-US"/>
              </w:rPr>
            </w:pPr>
          </w:p>
        </w:tc>
        <w:tc>
          <w:tcPr>
            <w:tcW w:w="2746" w:type="dxa"/>
            <w:vAlign w:val="center"/>
          </w:tcPr>
          <w:p w14:paraId="1497422E">
            <w:pPr>
              <w:adjustRightInd w:val="0"/>
              <w:snapToGrid w:val="0"/>
              <w:jc w:val="center"/>
              <w:rPr>
                <w:color w:val="000000" w:themeColor="text1"/>
                <w:kern w:val="0"/>
                <w:szCs w:val="21"/>
                <w:lang w:eastAsia="en-US"/>
              </w:rPr>
            </w:pPr>
            <w:r>
              <w:rPr>
                <w:color w:val="000000" w:themeColor="text1"/>
                <w:kern w:val="0"/>
                <w:szCs w:val="21"/>
                <w:lang w:eastAsia="en-US"/>
              </w:rPr>
              <w:t>≤0.05</w:t>
            </w:r>
          </w:p>
        </w:tc>
      </w:tr>
      <w:tr w14:paraId="48790B15">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762901C0">
            <w:pPr>
              <w:adjustRightInd w:val="0"/>
              <w:snapToGrid w:val="0"/>
              <w:jc w:val="center"/>
              <w:rPr>
                <w:color w:val="000000" w:themeColor="text1"/>
                <w:kern w:val="0"/>
                <w:szCs w:val="21"/>
                <w:lang w:eastAsia="en-US"/>
              </w:rPr>
            </w:pPr>
          </w:p>
        </w:tc>
        <w:tc>
          <w:tcPr>
            <w:tcW w:w="2320" w:type="dxa"/>
            <w:vAlign w:val="center"/>
          </w:tcPr>
          <w:p w14:paraId="0C962C64">
            <w:pPr>
              <w:adjustRightInd w:val="0"/>
              <w:snapToGrid w:val="0"/>
              <w:jc w:val="center"/>
              <w:rPr>
                <w:color w:val="000000" w:themeColor="text1"/>
                <w:kern w:val="0"/>
                <w:szCs w:val="21"/>
                <w:lang w:eastAsia="en-US"/>
              </w:rPr>
            </w:pPr>
            <w:r>
              <w:rPr>
                <w:color w:val="000000" w:themeColor="text1"/>
                <w:kern w:val="0"/>
                <w:szCs w:val="21"/>
                <w:lang w:eastAsia="en-US"/>
              </w:rPr>
              <w:t>砷</w:t>
            </w:r>
          </w:p>
        </w:tc>
        <w:tc>
          <w:tcPr>
            <w:tcW w:w="1464" w:type="dxa"/>
            <w:vMerge w:val="continue"/>
            <w:vAlign w:val="center"/>
          </w:tcPr>
          <w:p w14:paraId="49D6EB27">
            <w:pPr>
              <w:adjustRightInd w:val="0"/>
              <w:snapToGrid w:val="0"/>
              <w:jc w:val="center"/>
              <w:rPr>
                <w:color w:val="000000" w:themeColor="text1"/>
                <w:kern w:val="0"/>
                <w:szCs w:val="21"/>
                <w:lang w:eastAsia="en-US"/>
              </w:rPr>
            </w:pPr>
          </w:p>
        </w:tc>
        <w:tc>
          <w:tcPr>
            <w:tcW w:w="2746" w:type="dxa"/>
            <w:vAlign w:val="center"/>
          </w:tcPr>
          <w:p w14:paraId="69119C59">
            <w:pPr>
              <w:adjustRightInd w:val="0"/>
              <w:snapToGrid w:val="0"/>
              <w:jc w:val="center"/>
              <w:rPr>
                <w:color w:val="000000" w:themeColor="text1"/>
                <w:kern w:val="0"/>
                <w:szCs w:val="21"/>
                <w:lang w:eastAsia="en-US"/>
              </w:rPr>
            </w:pPr>
            <w:r>
              <w:rPr>
                <w:color w:val="000000" w:themeColor="text1"/>
                <w:kern w:val="0"/>
                <w:szCs w:val="21"/>
                <w:lang w:eastAsia="en-US"/>
              </w:rPr>
              <w:t>≤0.05</w:t>
            </w:r>
          </w:p>
        </w:tc>
      </w:tr>
      <w:tr w14:paraId="219E6E0D">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73C9FFC8">
            <w:pPr>
              <w:adjustRightInd w:val="0"/>
              <w:snapToGrid w:val="0"/>
              <w:jc w:val="center"/>
              <w:rPr>
                <w:color w:val="000000" w:themeColor="text1"/>
                <w:kern w:val="0"/>
                <w:szCs w:val="21"/>
                <w:lang w:eastAsia="en-US"/>
              </w:rPr>
            </w:pPr>
          </w:p>
        </w:tc>
        <w:tc>
          <w:tcPr>
            <w:tcW w:w="2320" w:type="dxa"/>
            <w:vAlign w:val="center"/>
          </w:tcPr>
          <w:p w14:paraId="14521085">
            <w:pPr>
              <w:adjustRightInd w:val="0"/>
              <w:snapToGrid w:val="0"/>
              <w:jc w:val="center"/>
              <w:rPr>
                <w:color w:val="000000" w:themeColor="text1"/>
                <w:kern w:val="0"/>
                <w:szCs w:val="21"/>
                <w:lang w:eastAsia="en-US"/>
              </w:rPr>
            </w:pPr>
            <w:r>
              <w:rPr>
                <w:color w:val="000000" w:themeColor="text1"/>
                <w:kern w:val="0"/>
                <w:szCs w:val="21"/>
                <w:lang w:eastAsia="en-US"/>
              </w:rPr>
              <w:t>汞</w:t>
            </w:r>
          </w:p>
        </w:tc>
        <w:tc>
          <w:tcPr>
            <w:tcW w:w="1464" w:type="dxa"/>
            <w:vMerge w:val="continue"/>
            <w:vAlign w:val="center"/>
          </w:tcPr>
          <w:p w14:paraId="351611C2">
            <w:pPr>
              <w:adjustRightInd w:val="0"/>
              <w:snapToGrid w:val="0"/>
              <w:jc w:val="center"/>
              <w:rPr>
                <w:color w:val="000000" w:themeColor="text1"/>
                <w:kern w:val="0"/>
                <w:szCs w:val="21"/>
                <w:lang w:eastAsia="en-US"/>
              </w:rPr>
            </w:pPr>
          </w:p>
        </w:tc>
        <w:tc>
          <w:tcPr>
            <w:tcW w:w="2746" w:type="dxa"/>
            <w:vAlign w:val="center"/>
          </w:tcPr>
          <w:p w14:paraId="23231245">
            <w:pPr>
              <w:adjustRightInd w:val="0"/>
              <w:snapToGrid w:val="0"/>
              <w:jc w:val="center"/>
              <w:rPr>
                <w:color w:val="000000" w:themeColor="text1"/>
                <w:kern w:val="0"/>
                <w:szCs w:val="21"/>
                <w:lang w:eastAsia="en-US"/>
              </w:rPr>
            </w:pPr>
            <w:r>
              <w:rPr>
                <w:color w:val="000000" w:themeColor="text1"/>
                <w:kern w:val="0"/>
                <w:szCs w:val="21"/>
                <w:lang w:eastAsia="en-US"/>
              </w:rPr>
              <w:t>≤0.001</w:t>
            </w:r>
          </w:p>
        </w:tc>
      </w:tr>
      <w:tr w14:paraId="34F0AF47">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35485E91">
            <w:pPr>
              <w:adjustRightInd w:val="0"/>
              <w:snapToGrid w:val="0"/>
              <w:jc w:val="center"/>
              <w:rPr>
                <w:color w:val="000000" w:themeColor="text1"/>
                <w:kern w:val="0"/>
                <w:szCs w:val="21"/>
                <w:lang w:eastAsia="en-US"/>
              </w:rPr>
            </w:pPr>
          </w:p>
        </w:tc>
        <w:tc>
          <w:tcPr>
            <w:tcW w:w="2320" w:type="dxa"/>
            <w:vAlign w:val="center"/>
          </w:tcPr>
          <w:p w14:paraId="5C3AEDF6">
            <w:pPr>
              <w:adjustRightInd w:val="0"/>
              <w:snapToGrid w:val="0"/>
              <w:jc w:val="center"/>
              <w:rPr>
                <w:color w:val="000000" w:themeColor="text1"/>
                <w:kern w:val="0"/>
                <w:szCs w:val="21"/>
                <w:lang w:eastAsia="en-US"/>
              </w:rPr>
            </w:pPr>
            <w:r>
              <w:rPr>
                <w:color w:val="000000" w:themeColor="text1"/>
                <w:kern w:val="0"/>
                <w:szCs w:val="21"/>
                <w:lang w:eastAsia="en-US"/>
              </w:rPr>
              <w:t>镉</w:t>
            </w:r>
          </w:p>
        </w:tc>
        <w:tc>
          <w:tcPr>
            <w:tcW w:w="1464" w:type="dxa"/>
            <w:vMerge w:val="continue"/>
            <w:vAlign w:val="center"/>
          </w:tcPr>
          <w:p w14:paraId="4504FE2F">
            <w:pPr>
              <w:adjustRightInd w:val="0"/>
              <w:snapToGrid w:val="0"/>
              <w:jc w:val="center"/>
              <w:rPr>
                <w:color w:val="000000" w:themeColor="text1"/>
                <w:kern w:val="0"/>
                <w:szCs w:val="21"/>
                <w:lang w:eastAsia="en-US"/>
              </w:rPr>
            </w:pPr>
          </w:p>
        </w:tc>
        <w:tc>
          <w:tcPr>
            <w:tcW w:w="2746" w:type="dxa"/>
            <w:vAlign w:val="center"/>
          </w:tcPr>
          <w:p w14:paraId="1A4D222D">
            <w:pPr>
              <w:adjustRightInd w:val="0"/>
              <w:snapToGrid w:val="0"/>
              <w:jc w:val="center"/>
              <w:rPr>
                <w:color w:val="000000" w:themeColor="text1"/>
                <w:kern w:val="0"/>
                <w:szCs w:val="21"/>
                <w:lang w:eastAsia="en-US"/>
              </w:rPr>
            </w:pPr>
            <w:r>
              <w:rPr>
                <w:color w:val="000000" w:themeColor="text1"/>
                <w:kern w:val="0"/>
                <w:szCs w:val="21"/>
                <w:lang w:eastAsia="en-US"/>
              </w:rPr>
              <w:t>≤0.01</w:t>
            </w:r>
          </w:p>
        </w:tc>
      </w:tr>
      <w:tr w14:paraId="7819D4F1">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36BF9F38">
            <w:pPr>
              <w:adjustRightInd w:val="0"/>
              <w:snapToGrid w:val="0"/>
              <w:jc w:val="center"/>
              <w:rPr>
                <w:color w:val="000000" w:themeColor="text1"/>
                <w:kern w:val="0"/>
                <w:szCs w:val="21"/>
                <w:lang w:eastAsia="en-US"/>
              </w:rPr>
            </w:pPr>
          </w:p>
        </w:tc>
        <w:tc>
          <w:tcPr>
            <w:tcW w:w="2320" w:type="dxa"/>
            <w:vAlign w:val="center"/>
          </w:tcPr>
          <w:p w14:paraId="3F4EEA02">
            <w:pPr>
              <w:adjustRightInd w:val="0"/>
              <w:snapToGrid w:val="0"/>
              <w:jc w:val="center"/>
              <w:rPr>
                <w:color w:val="000000" w:themeColor="text1"/>
                <w:kern w:val="0"/>
                <w:szCs w:val="21"/>
                <w:lang w:eastAsia="en-US"/>
              </w:rPr>
            </w:pPr>
            <w:r>
              <w:rPr>
                <w:color w:val="000000" w:themeColor="text1"/>
                <w:kern w:val="0"/>
                <w:szCs w:val="21"/>
                <w:lang w:eastAsia="en-US"/>
              </w:rPr>
              <w:t>镍</w:t>
            </w:r>
          </w:p>
        </w:tc>
        <w:tc>
          <w:tcPr>
            <w:tcW w:w="1464" w:type="dxa"/>
            <w:vMerge w:val="continue"/>
            <w:vAlign w:val="center"/>
          </w:tcPr>
          <w:p w14:paraId="2C555DE0">
            <w:pPr>
              <w:adjustRightInd w:val="0"/>
              <w:snapToGrid w:val="0"/>
              <w:jc w:val="center"/>
              <w:rPr>
                <w:color w:val="000000" w:themeColor="text1"/>
                <w:kern w:val="0"/>
                <w:szCs w:val="21"/>
                <w:lang w:eastAsia="en-US"/>
              </w:rPr>
            </w:pPr>
          </w:p>
        </w:tc>
        <w:tc>
          <w:tcPr>
            <w:tcW w:w="2746" w:type="dxa"/>
            <w:vAlign w:val="center"/>
          </w:tcPr>
          <w:p w14:paraId="50E15FD2">
            <w:pPr>
              <w:adjustRightInd w:val="0"/>
              <w:snapToGrid w:val="0"/>
              <w:jc w:val="center"/>
              <w:rPr>
                <w:color w:val="000000" w:themeColor="text1"/>
                <w:kern w:val="0"/>
                <w:szCs w:val="21"/>
                <w:lang w:eastAsia="en-US"/>
              </w:rPr>
            </w:pPr>
            <w:r>
              <w:rPr>
                <w:color w:val="000000" w:themeColor="text1"/>
                <w:kern w:val="0"/>
                <w:szCs w:val="21"/>
                <w:lang w:eastAsia="en-US"/>
              </w:rPr>
              <w:t>≤0.05</w:t>
            </w:r>
          </w:p>
        </w:tc>
      </w:tr>
      <w:tr w14:paraId="3A10303D">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64E02899">
            <w:pPr>
              <w:adjustRightInd w:val="0"/>
              <w:snapToGrid w:val="0"/>
              <w:jc w:val="center"/>
              <w:rPr>
                <w:color w:val="000000" w:themeColor="text1"/>
                <w:kern w:val="0"/>
                <w:szCs w:val="21"/>
                <w:lang w:eastAsia="en-US"/>
              </w:rPr>
            </w:pPr>
          </w:p>
        </w:tc>
        <w:tc>
          <w:tcPr>
            <w:tcW w:w="2320" w:type="dxa"/>
            <w:vAlign w:val="center"/>
          </w:tcPr>
          <w:p w14:paraId="2FCA8C03">
            <w:pPr>
              <w:adjustRightInd w:val="0"/>
              <w:snapToGrid w:val="0"/>
              <w:jc w:val="center"/>
              <w:rPr>
                <w:color w:val="000000" w:themeColor="text1"/>
                <w:kern w:val="0"/>
                <w:szCs w:val="21"/>
                <w:lang w:eastAsia="en-US"/>
              </w:rPr>
            </w:pPr>
            <w:r>
              <w:rPr>
                <w:color w:val="000000" w:themeColor="text1"/>
                <w:kern w:val="0"/>
                <w:szCs w:val="21"/>
                <w:lang w:eastAsia="en-US"/>
              </w:rPr>
              <w:t>六价铬</w:t>
            </w:r>
          </w:p>
        </w:tc>
        <w:tc>
          <w:tcPr>
            <w:tcW w:w="1464" w:type="dxa"/>
            <w:vMerge w:val="continue"/>
            <w:vAlign w:val="center"/>
          </w:tcPr>
          <w:p w14:paraId="580151D5">
            <w:pPr>
              <w:adjustRightInd w:val="0"/>
              <w:snapToGrid w:val="0"/>
              <w:jc w:val="center"/>
              <w:rPr>
                <w:color w:val="000000" w:themeColor="text1"/>
                <w:kern w:val="0"/>
                <w:szCs w:val="21"/>
                <w:lang w:eastAsia="en-US"/>
              </w:rPr>
            </w:pPr>
          </w:p>
        </w:tc>
        <w:tc>
          <w:tcPr>
            <w:tcW w:w="2746" w:type="dxa"/>
            <w:vAlign w:val="center"/>
          </w:tcPr>
          <w:p w14:paraId="4F4E163B">
            <w:pPr>
              <w:adjustRightInd w:val="0"/>
              <w:snapToGrid w:val="0"/>
              <w:jc w:val="center"/>
              <w:rPr>
                <w:color w:val="000000" w:themeColor="text1"/>
                <w:kern w:val="0"/>
                <w:szCs w:val="21"/>
                <w:lang w:eastAsia="en-US"/>
              </w:rPr>
            </w:pPr>
            <w:r>
              <w:rPr>
                <w:color w:val="000000" w:themeColor="text1"/>
                <w:kern w:val="0"/>
                <w:szCs w:val="21"/>
                <w:lang w:eastAsia="en-US"/>
              </w:rPr>
              <w:t>≤0.05</w:t>
            </w:r>
          </w:p>
        </w:tc>
      </w:tr>
      <w:tr w14:paraId="0E0725B2">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303B69D6">
            <w:pPr>
              <w:adjustRightInd w:val="0"/>
              <w:snapToGrid w:val="0"/>
              <w:jc w:val="center"/>
              <w:rPr>
                <w:color w:val="000000" w:themeColor="text1"/>
                <w:kern w:val="0"/>
                <w:szCs w:val="21"/>
                <w:lang w:eastAsia="en-US"/>
              </w:rPr>
            </w:pPr>
          </w:p>
        </w:tc>
        <w:tc>
          <w:tcPr>
            <w:tcW w:w="2320" w:type="dxa"/>
            <w:vAlign w:val="center"/>
          </w:tcPr>
          <w:p w14:paraId="6393B244">
            <w:pPr>
              <w:adjustRightInd w:val="0"/>
              <w:snapToGrid w:val="0"/>
              <w:jc w:val="center"/>
              <w:rPr>
                <w:color w:val="000000" w:themeColor="text1"/>
                <w:kern w:val="0"/>
                <w:szCs w:val="21"/>
                <w:lang w:eastAsia="en-US"/>
              </w:rPr>
            </w:pPr>
            <w:r>
              <w:rPr>
                <w:color w:val="000000" w:themeColor="text1"/>
                <w:kern w:val="0"/>
                <w:szCs w:val="21"/>
                <w:lang w:eastAsia="en-US"/>
              </w:rPr>
              <w:t>细菌总数</w:t>
            </w:r>
          </w:p>
        </w:tc>
        <w:tc>
          <w:tcPr>
            <w:tcW w:w="1464" w:type="dxa"/>
            <w:vAlign w:val="center"/>
          </w:tcPr>
          <w:p w14:paraId="36C9DCC3">
            <w:pPr>
              <w:adjustRightInd w:val="0"/>
              <w:snapToGrid w:val="0"/>
              <w:jc w:val="center"/>
              <w:rPr>
                <w:color w:val="000000" w:themeColor="text1"/>
                <w:kern w:val="0"/>
                <w:szCs w:val="21"/>
                <w:lang w:eastAsia="en-US"/>
              </w:rPr>
            </w:pPr>
            <w:r>
              <w:rPr>
                <w:color w:val="000000" w:themeColor="text1"/>
                <w:kern w:val="0"/>
                <w:szCs w:val="21"/>
                <w:lang w:eastAsia="en-US"/>
              </w:rPr>
              <w:t>个/mL</w:t>
            </w:r>
          </w:p>
        </w:tc>
        <w:tc>
          <w:tcPr>
            <w:tcW w:w="2746" w:type="dxa"/>
            <w:vAlign w:val="center"/>
          </w:tcPr>
          <w:p w14:paraId="579408A1">
            <w:pPr>
              <w:adjustRightInd w:val="0"/>
              <w:snapToGrid w:val="0"/>
              <w:jc w:val="center"/>
              <w:rPr>
                <w:color w:val="000000" w:themeColor="text1"/>
                <w:kern w:val="0"/>
                <w:szCs w:val="21"/>
                <w:lang w:eastAsia="en-US"/>
              </w:rPr>
            </w:pPr>
            <w:r>
              <w:rPr>
                <w:color w:val="000000" w:themeColor="text1"/>
                <w:kern w:val="0"/>
                <w:szCs w:val="21"/>
                <w:lang w:eastAsia="en-US"/>
              </w:rPr>
              <w:t>≤100</w:t>
            </w:r>
          </w:p>
        </w:tc>
      </w:tr>
      <w:tr w14:paraId="1585B54F">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993" w:type="dxa"/>
            <w:vMerge w:val="continue"/>
            <w:vAlign w:val="center"/>
          </w:tcPr>
          <w:p w14:paraId="4DA8E1A1">
            <w:pPr>
              <w:adjustRightInd w:val="0"/>
              <w:snapToGrid w:val="0"/>
              <w:jc w:val="center"/>
              <w:rPr>
                <w:color w:val="000000" w:themeColor="text1"/>
                <w:kern w:val="0"/>
                <w:szCs w:val="21"/>
                <w:lang w:eastAsia="en-US"/>
              </w:rPr>
            </w:pPr>
          </w:p>
        </w:tc>
        <w:tc>
          <w:tcPr>
            <w:tcW w:w="2320" w:type="dxa"/>
            <w:vAlign w:val="center"/>
          </w:tcPr>
          <w:p w14:paraId="6B912D23">
            <w:pPr>
              <w:adjustRightInd w:val="0"/>
              <w:snapToGrid w:val="0"/>
              <w:jc w:val="center"/>
              <w:rPr>
                <w:color w:val="000000" w:themeColor="text1"/>
                <w:kern w:val="0"/>
                <w:szCs w:val="21"/>
                <w:lang w:eastAsia="en-US"/>
              </w:rPr>
            </w:pPr>
            <w:r>
              <w:rPr>
                <w:color w:val="000000" w:themeColor="text1"/>
                <w:kern w:val="0"/>
                <w:szCs w:val="21"/>
                <w:lang w:eastAsia="en-US"/>
              </w:rPr>
              <w:t>总大肠菌群</w:t>
            </w:r>
          </w:p>
        </w:tc>
        <w:tc>
          <w:tcPr>
            <w:tcW w:w="1464" w:type="dxa"/>
            <w:vAlign w:val="center"/>
          </w:tcPr>
          <w:p w14:paraId="3CD93383">
            <w:pPr>
              <w:adjustRightInd w:val="0"/>
              <w:snapToGrid w:val="0"/>
              <w:jc w:val="center"/>
              <w:rPr>
                <w:color w:val="000000" w:themeColor="text1"/>
                <w:kern w:val="0"/>
                <w:szCs w:val="21"/>
                <w:lang w:eastAsia="en-US"/>
              </w:rPr>
            </w:pPr>
            <w:r>
              <w:rPr>
                <w:color w:val="000000" w:themeColor="text1"/>
                <w:kern w:val="0"/>
                <w:szCs w:val="21"/>
                <w:lang w:eastAsia="en-US"/>
              </w:rPr>
              <w:t>个/L</w:t>
            </w:r>
          </w:p>
        </w:tc>
        <w:tc>
          <w:tcPr>
            <w:tcW w:w="2746" w:type="dxa"/>
            <w:vAlign w:val="center"/>
          </w:tcPr>
          <w:p w14:paraId="483A5C41">
            <w:pPr>
              <w:adjustRightInd w:val="0"/>
              <w:snapToGrid w:val="0"/>
              <w:jc w:val="center"/>
              <w:rPr>
                <w:color w:val="000000" w:themeColor="text1"/>
                <w:kern w:val="0"/>
                <w:szCs w:val="21"/>
                <w:lang w:eastAsia="en-US"/>
              </w:rPr>
            </w:pPr>
            <w:r>
              <w:rPr>
                <w:color w:val="000000" w:themeColor="text1"/>
                <w:kern w:val="0"/>
                <w:szCs w:val="21"/>
                <w:lang w:eastAsia="en-US"/>
              </w:rPr>
              <w:t>≤3</w:t>
            </w:r>
          </w:p>
        </w:tc>
      </w:tr>
    </w:tbl>
    <w:p w14:paraId="44045EAB">
      <w:pPr>
        <w:snapToGrid w:val="0"/>
        <w:spacing w:line="500" w:lineRule="exact"/>
        <w:ind w:firstLine="480" w:firstLineChars="200"/>
        <w:rPr>
          <w:b/>
          <w:color w:val="000000" w:themeColor="text1"/>
          <w:sz w:val="24"/>
        </w:rPr>
      </w:pPr>
      <w:r>
        <w:rPr>
          <w:b/>
          <w:color w:val="000000" w:themeColor="text1"/>
          <w:sz w:val="24"/>
        </w:rPr>
        <w:t>（4）声环境</w:t>
      </w:r>
    </w:p>
    <w:p w14:paraId="325F9EE5">
      <w:pPr>
        <w:snapToGrid w:val="0"/>
        <w:spacing w:line="360" w:lineRule="auto"/>
        <w:ind w:firstLine="480" w:firstLineChars="200"/>
        <w:rPr>
          <w:color w:val="000000" w:themeColor="text1"/>
          <w:sz w:val="24"/>
        </w:rPr>
      </w:pPr>
      <w:r>
        <w:rPr>
          <w:color w:val="000000" w:themeColor="text1"/>
          <w:sz w:val="24"/>
        </w:rPr>
        <w:t>本项目位于云南省德宏州芒市遮放镇户拉村委会遮焕村民小组盛达泰硅业厂区内，居住、商业、工业混杂区，项目声环境功能分区属2类区，执行GB3096-2008《声环境质量标准》2类标准。标标准值见表1.3-4。</w:t>
      </w:r>
    </w:p>
    <w:p w14:paraId="06FA4912">
      <w:pPr>
        <w:jc w:val="center"/>
        <w:rPr>
          <w:b/>
          <w:color w:val="000000" w:themeColor="text1"/>
          <w:sz w:val="24"/>
        </w:rPr>
      </w:pPr>
      <w:r>
        <w:rPr>
          <w:b/>
          <w:color w:val="000000" w:themeColor="text1"/>
          <w:sz w:val="24"/>
        </w:rPr>
        <w:t>表1.3-4  声环境标准  单位：dB（A）</w:t>
      </w:r>
    </w:p>
    <w:tbl>
      <w:tblPr>
        <w:tblStyle w:val="280"/>
        <w:tblW w:w="5000" w:type="pct"/>
        <w:tblInd w:w="0" w:type="dxa"/>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853"/>
        <w:gridCol w:w="3401"/>
        <w:gridCol w:w="3119"/>
        <w:gridCol w:w="939"/>
      </w:tblGrid>
      <w:tr w14:paraId="55DDCD5F">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513" w:type="pct"/>
            <w:vAlign w:val="center"/>
          </w:tcPr>
          <w:p w14:paraId="5A9F6685">
            <w:pPr>
              <w:pStyle w:val="281"/>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类别</w:t>
            </w:r>
          </w:p>
        </w:tc>
        <w:tc>
          <w:tcPr>
            <w:tcW w:w="2046" w:type="pct"/>
            <w:vAlign w:val="center"/>
          </w:tcPr>
          <w:p w14:paraId="7954EA65">
            <w:pPr>
              <w:pStyle w:val="281"/>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适用区域</w:t>
            </w:r>
          </w:p>
        </w:tc>
        <w:tc>
          <w:tcPr>
            <w:tcW w:w="1876" w:type="pct"/>
            <w:vAlign w:val="center"/>
          </w:tcPr>
          <w:p w14:paraId="31AAB9BE">
            <w:pPr>
              <w:pStyle w:val="281"/>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昼间</w:t>
            </w:r>
          </w:p>
        </w:tc>
        <w:tc>
          <w:tcPr>
            <w:tcW w:w="566" w:type="pct"/>
            <w:vAlign w:val="center"/>
          </w:tcPr>
          <w:p w14:paraId="5DAFDE1A">
            <w:pPr>
              <w:pStyle w:val="281"/>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夜间</w:t>
            </w:r>
          </w:p>
        </w:tc>
      </w:tr>
      <w:tr w14:paraId="4B8A24E9">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513" w:type="pct"/>
            <w:vAlign w:val="center"/>
          </w:tcPr>
          <w:p w14:paraId="1A6B39B9">
            <w:pPr>
              <w:pStyle w:val="281"/>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Times New Roman" w:cs="Times New Roman"/>
                <w:color w:val="000000" w:themeColor="text1"/>
                <w:sz w:val="21"/>
                <w:szCs w:val="21"/>
              </w:rPr>
              <w:t>2</w:t>
            </w:r>
            <w:r>
              <w:rPr>
                <w:rFonts w:ascii="Times New Roman" w:hAnsi="Times New Roman" w:eastAsia="宋体" w:cs="Times New Roman"/>
                <w:color w:val="000000" w:themeColor="text1"/>
                <w:sz w:val="21"/>
                <w:szCs w:val="21"/>
              </w:rPr>
              <w:t>类</w:t>
            </w:r>
          </w:p>
        </w:tc>
        <w:tc>
          <w:tcPr>
            <w:tcW w:w="2046" w:type="pct"/>
            <w:vAlign w:val="center"/>
          </w:tcPr>
          <w:p w14:paraId="3911535C">
            <w:pPr>
              <w:pStyle w:val="281"/>
              <w:ind w:left="105" w:leftChars="50" w:right="105" w:rightChars="5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保护目标</w:t>
            </w:r>
          </w:p>
        </w:tc>
        <w:tc>
          <w:tcPr>
            <w:tcW w:w="1876" w:type="pct"/>
            <w:vAlign w:val="center"/>
          </w:tcPr>
          <w:p w14:paraId="4E9CF0DD">
            <w:pPr>
              <w:pStyle w:val="281"/>
              <w:ind w:left="105" w:leftChars="50" w:right="105" w:rightChars="50"/>
              <w:jc w:val="center"/>
              <w:rPr>
                <w:rFonts w:ascii="Times New Roman" w:hAnsi="Times New Roman" w:eastAsia="Times New Roman" w:cs="Times New Roman"/>
                <w:color w:val="000000" w:themeColor="text1"/>
                <w:sz w:val="21"/>
                <w:szCs w:val="21"/>
              </w:rPr>
            </w:pPr>
            <w:r>
              <w:rPr>
                <w:rFonts w:ascii="Times New Roman" w:hAnsi="Times New Roman" w:cs="Times New Roman"/>
                <w:color w:val="000000" w:themeColor="text1"/>
                <w:sz w:val="21"/>
              </w:rPr>
              <w:t>60</w:t>
            </w:r>
          </w:p>
        </w:tc>
        <w:tc>
          <w:tcPr>
            <w:tcW w:w="566" w:type="pct"/>
            <w:vAlign w:val="center"/>
          </w:tcPr>
          <w:p w14:paraId="3E936F49">
            <w:pPr>
              <w:pStyle w:val="281"/>
              <w:ind w:left="105" w:leftChars="50" w:right="105" w:rightChars="50"/>
              <w:jc w:val="center"/>
              <w:rPr>
                <w:rFonts w:ascii="Times New Roman" w:hAnsi="Times New Roman" w:eastAsia="Times New Roman" w:cs="Times New Roman"/>
                <w:color w:val="000000" w:themeColor="text1"/>
                <w:sz w:val="21"/>
                <w:szCs w:val="21"/>
              </w:rPr>
            </w:pPr>
            <w:r>
              <w:rPr>
                <w:rFonts w:ascii="Times New Roman" w:hAnsi="Times New Roman" w:cs="Times New Roman"/>
                <w:color w:val="000000" w:themeColor="text1"/>
                <w:sz w:val="21"/>
              </w:rPr>
              <w:t>50</w:t>
            </w:r>
          </w:p>
        </w:tc>
      </w:tr>
    </w:tbl>
    <w:p w14:paraId="2F878D7D">
      <w:pPr>
        <w:pStyle w:val="105"/>
        <w:rPr>
          <w:rFonts w:cs="Times New Roman"/>
          <w:color w:val="000000" w:themeColor="text1"/>
        </w:rPr>
      </w:pPr>
      <w:r>
        <w:rPr>
          <w:rFonts w:cs="Times New Roman"/>
          <w:color w:val="000000" w:themeColor="text1"/>
        </w:rPr>
        <w:t>1.3.2排放标准</w:t>
      </w:r>
    </w:p>
    <w:p w14:paraId="706C9564">
      <w:pPr>
        <w:snapToGrid w:val="0"/>
        <w:spacing w:line="500" w:lineRule="exact"/>
        <w:ind w:firstLine="480" w:firstLineChars="200"/>
        <w:rPr>
          <w:b/>
          <w:color w:val="000000" w:themeColor="text1"/>
          <w:sz w:val="24"/>
        </w:rPr>
      </w:pPr>
      <w:r>
        <w:rPr>
          <w:b/>
          <w:color w:val="000000" w:themeColor="text1"/>
          <w:sz w:val="24"/>
        </w:rPr>
        <w:t>（1）大气污染物排放标准</w:t>
      </w:r>
    </w:p>
    <w:p w14:paraId="71B4ECF4">
      <w:pPr>
        <w:snapToGrid w:val="0"/>
        <w:spacing w:line="500" w:lineRule="exact"/>
        <w:ind w:firstLine="480" w:firstLineChars="200"/>
        <w:rPr>
          <w:b/>
          <w:color w:val="000000" w:themeColor="text1"/>
          <w:sz w:val="24"/>
        </w:rPr>
      </w:pPr>
      <w:r>
        <w:rPr>
          <w:rFonts w:hint="eastAsia" w:ascii="宋体" w:hAnsi="宋体" w:cs="宋体"/>
          <w:b/>
          <w:color w:val="000000" w:themeColor="text1"/>
          <w:sz w:val="24"/>
        </w:rPr>
        <w:t>①</w:t>
      </w:r>
      <w:r>
        <w:rPr>
          <w:b/>
          <w:color w:val="000000" w:themeColor="text1"/>
          <w:sz w:val="24"/>
        </w:rPr>
        <w:t>施工期大气污染物排放标准</w:t>
      </w:r>
    </w:p>
    <w:p w14:paraId="45024591">
      <w:pPr>
        <w:snapToGrid w:val="0"/>
        <w:spacing w:line="500" w:lineRule="exact"/>
        <w:ind w:firstLine="480" w:firstLineChars="200"/>
        <w:rPr>
          <w:color w:val="000000" w:themeColor="text1"/>
          <w:sz w:val="24"/>
        </w:rPr>
      </w:pPr>
      <w:r>
        <w:rPr>
          <w:color w:val="000000" w:themeColor="text1"/>
          <w:sz w:val="24"/>
        </w:rPr>
        <w:t>施工期执行《大气污染物综合排放标准》（GB16297-1996）表2二级标准，标准值见表1.3-5。</w:t>
      </w:r>
    </w:p>
    <w:p w14:paraId="71A44E8C">
      <w:pPr>
        <w:jc w:val="center"/>
        <w:rPr>
          <w:b/>
          <w:color w:val="000000" w:themeColor="text1"/>
          <w:sz w:val="24"/>
        </w:rPr>
      </w:pPr>
      <w:r>
        <w:rPr>
          <w:b/>
          <w:color w:val="000000" w:themeColor="text1"/>
          <w:sz w:val="24"/>
        </w:rPr>
        <w:t>表1.3-5  大气污染物综合排放标准</w:t>
      </w:r>
    </w:p>
    <w:tbl>
      <w:tblPr>
        <w:tblStyle w:val="42"/>
        <w:tblW w:w="5000"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64"/>
        <w:gridCol w:w="4264"/>
      </w:tblGrid>
      <w:tr w14:paraId="742894C5">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vAlign w:val="center"/>
          </w:tcPr>
          <w:p w14:paraId="1AECEBEA">
            <w:pPr>
              <w:spacing w:line="276" w:lineRule="auto"/>
              <w:jc w:val="center"/>
              <w:rPr>
                <w:color w:val="000000" w:themeColor="text1"/>
                <w:szCs w:val="21"/>
              </w:rPr>
            </w:pPr>
            <w:r>
              <w:rPr>
                <w:color w:val="000000" w:themeColor="text1"/>
                <w:szCs w:val="21"/>
              </w:rPr>
              <w:t>标准类别</w:t>
            </w:r>
          </w:p>
        </w:tc>
        <w:tc>
          <w:tcPr>
            <w:tcW w:w="2500" w:type="pct"/>
            <w:vAlign w:val="center"/>
          </w:tcPr>
          <w:p w14:paraId="16F96E23">
            <w:pPr>
              <w:spacing w:line="276" w:lineRule="auto"/>
              <w:jc w:val="center"/>
              <w:rPr>
                <w:color w:val="000000" w:themeColor="text1"/>
                <w:szCs w:val="21"/>
              </w:rPr>
            </w:pPr>
            <w:r>
              <w:rPr>
                <w:color w:val="000000" w:themeColor="text1"/>
                <w:szCs w:val="21"/>
              </w:rPr>
              <w:t>颗粒物（mg/ m</w:t>
            </w:r>
            <w:r>
              <w:rPr>
                <w:color w:val="000000" w:themeColor="text1"/>
                <w:szCs w:val="21"/>
                <w:vertAlign w:val="superscript"/>
              </w:rPr>
              <w:t>3</w:t>
            </w:r>
            <w:r>
              <w:rPr>
                <w:color w:val="000000" w:themeColor="text1"/>
                <w:szCs w:val="21"/>
              </w:rPr>
              <w:t>）</w:t>
            </w:r>
          </w:p>
        </w:tc>
      </w:tr>
      <w:tr w14:paraId="38A402B8">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2500" w:type="pct"/>
            <w:vAlign w:val="center"/>
          </w:tcPr>
          <w:p w14:paraId="0E905227">
            <w:pPr>
              <w:spacing w:line="276" w:lineRule="auto"/>
              <w:jc w:val="center"/>
              <w:rPr>
                <w:color w:val="000000" w:themeColor="text1"/>
                <w:szCs w:val="21"/>
              </w:rPr>
            </w:pPr>
            <w:r>
              <w:rPr>
                <w:color w:val="000000" w:themeColor="text1"/>
                <w:szCs w:val="21"/>
              </w:rPr>
              <w:t>无组织排放限值</w:t>
            </w:r>
          </w:p>
        </w:tc>
        <w:tc>
          <w:tcPr>
            <w:tcW w:w="2500" w:type="pct"/>
            <w:vAlign w:val="center"/>
          </w:tcPr>
          <w:p w14:paraId="325F1D45">
            <w:pPr>
              <w:spacing w:line="276" w:lineRule="auto"/>
              <w:jc w:val="center"/>
              <w:rPr>
                <w:color w:val="000000" w:themeColor="text1"/>
                <w:szCs w:val="21"/>
              </w:rPr>
            </w:pPr>
            <w:r>
              <w:rPr>
                <w:color w:val="000000" w:themeColor="text1"/>
                <w:szCs w:val="21"/>
              </w:rPr>
              <w:t>1.0</w:t>
            </w:r>
          </w:p>
        </w:tc>
      </w:tr>
    </w:tbl>
    <w:p w14:paraId="5434271E">
      <w:pPr>
        <w:adjustRightInd w:val="0"/>
        <w:snapToGrid w:val="0"/>
        <w:spacing w:line="360" w:lineRule="auto"/>
        <w:ind w:firstLine="480"/>
        <w:rPr>
          <w:b/>
          <w:color w:val="000000" w:themeColor="text1"/>
          <w:sz w:val="24"/>
        </w:rPr>
      </w:pPr>
    </w:p>
    <w:p w14:paraId="3D7AD2E6">
      <w:pPr>
        <w:adjustRightInd w:val="0"/>
        <w:snapToGrid w:val="0"/>
        <w:spacing w:line="360" w:lineRule="auto"/>
        <w:ind w:firstLine="480"/>
        <w:rPr>
          <w:b/>
          <w:color w:val="000000" w:themeColor="text1"/>
          <w:sz w:val="24"/>
        </w:rPr>
      </w:pPr>
      <w:r>
        <w:rPr>
          <w:rFonts w:hint="eastAsia" w:ascii="宋体" w:hAnsi="宋体" w:cs="宋体"/>
          <w:b/>
          <w:color w:val="000000" w:themeColor="text1"/>
          <w:sz w:val="24"/>
        </w:rPr>
        <w:t>②</w:t>
      </w:r>
      <w:r>
        <w:rPr>
          <w:b/>
          <w:color w:val="000000" w:themeColor="text1"/>
          <w:sz w:val="24"/>
        </w:rPr>
        <w:t>运营期大气污染物排放标准</w:t>
      </w:r>
    </w:p>
    <w:p w14:paraId="3B123995">
      <w:pPr>
        <w:adjustRightInd w:val="0"/>
        <w:snapToGrid w:val="0"/>
        <w:spacing w:line="360" w:lineRule="auto"/>
        <w:ind w:firstLine="480"/>
        <w:rPr>
          <w:color w:val="000000" w:themeColor="text1"/>
          <w:sz w:val="24"/>
        </w:rPr>
      </w:pPr>
      <w:r>
        <w:rPr>
          <w:b/>
          <w:color w:val="000000" w:themeColor="text1"/>
          <w:sz w:val="24"/>
        </w:rPr>
        <w:t>有组织废气：</w:t>
      </w:r>
      <w:r>
        <w:rPr>
          <w:color w:val="000000" w:themeColor="text1"/>
          <w:sz w:val="24"/>
        </w:rPr>
        <w:t>运营期有组织颗粒物和非甲烷总烃执行《合成树脂工业污染物排放标准》（GB31572-2015）中标准，具体标准值见下表。</w:t>
      </w:r>
    </w:p>
    <w:p w14:paraId="36CAEADC">
      <w:pPr>
        <w:jc w:val="center"/>
        <w:rPr>
          <w:b/>
          <w:snapToGrid w:val="0"/>
          <w:color w:val="000000" w:themeColor="text1"/>
          <w:kern w:val="0"/>
          <w:sz w:val="24"/>
        </w:rPr>
      </w:pPr>
      <w:r>
        <w:rPr>
          <w:b/>
          <w:color w:val="000000" w:themeColor="text1"/>
          <w:sz w:val="24"/>
        </w:rPr>
        <w:t xml:space="preserve">表1.3-6  </w:t>
      </w:r>
      <w:r>
        <w:rPr>
          <w:b/>
          <w:snapToGrid w:val="0"/>
          <w:color w:val="000000" w:themeColor="text1"/>
          <w:kern w:val="0"/>
          <w:sz w:val="24"/>
        </w:rPr>
        <w:t>有组织废气排放执行标准一览表</w:t>
      </w:r>
    </w:p>
    <w:tbl>
      <w:tblPr>
        <w:tblStyle w:val="42"/>
        <w:tblW w:w="5000" w:type="pct"/>
        <w:jc w:val="center"/>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autofit"/>
        <w:tblCellMar>
          <w:top w:w="0" w:type="dxa"/>
          <w:left w:w="23" w:type="dxa"/>
          <w:bottom w:w="0" w:type="dxa"/>
          <w:right w:w="23" w:type="dxa"/>
        </w:tblCellMar>
      </w:tblPr>
      <w:tblGrid>
        <w:gridCol w:w="1260"/>
        <w:gridCol w:w="1392"/>
        <w:gridCol w:w="1103"/>
        <w:gridCol w:w="1127"/>
        <w:gridCol w:w="3476"/>
      </w:tblGrid>
      <w:tr w14:paraId="297084A2">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0" w:hRule="atLeast"/>
          <w:jc w:val="center"/>
        </w:trPr>
        <w:tc>
          <w:tcPr>
            <w:tcW w:w="754" w:type="pct"/>
            <w:vAlign w:val="center"/>
          </w:tcPr>
          <w:p w14:paraId="7607C43D">
            <w:pPr>
              <w:jc w:val="center"/>
              <w:rPr>
                <w:color w:val="000000" w:themeColor="text1"/>
              </w:rPr>
            </w:pPr>
            <w:r>
              <w:rPr>
                <w:color w:val="000000" w:themeColor="text1"/>
              </w:rPr>
              <w:t>污染源</w:t>
            </w:r>
          </w:p>
        </w:tc>
        <w:tc>
          <w:tcPr>
            <w:tcW w:w="833" w:type="pct"/>
            <w:vAlign w:val="center"/>
          </w:tcPr>
          <w:p w14:paraId="6C706002">
            <w:pPr>
              <w:jc w:val="center"/>
              <w:rPr>
                <w:color w:val="000000" w:themeColor="text1"/>
              </w:rPr>
            </w:pPr>
            <w:r>
              <w:rPr>
                <w:color w:val="000000" w:themeColor="text1"/>
              </w:rPr>
              <w:t>污染因子</w:t>
            </w:r>
          </w:p>
        </w:tc>
        <w:tc>
          <w:tcPr>
            <w:tcW w:w="660" w:type="pct"/>
            <w:vAlign w:val="center"/>
          </w:tcPr>
          <w:p w14:paraId="64A52539">
            <w:pPr>
              <w:jc w:val="center"/>
              <w:rPr>
                <w:color w:val="000000" w:themeColor="text1"/>
              </w:rPr>
            </w:pPr>
            <w:r>
              <w:rPr>
                <w:color w:val="000000" w:themeColor="text1"/>
              </w:rPr>
              <w:t>标准限值</w:t>
            </w:r>
          </w:p>
        </w:tc>
        <w:tc>
          <w:tcPr>
            <w:tcW w:w="674" w:type="pct"/>
            <w:vAlign w:val="center"/>
          </w:tcPr>
          <w:p w14:paraId="756691AB">
            <w:pPr>
              <w:jc w:val="center"/>
              <w:rPr>
                <w:color w:val="000000" w:themeColor="text1"/>
              </w:rPr>
            </w:pPr>
            <w:r>
              <w:rPr>
                <w:color w:val="000000" w:themeColor="text1"/>
              </w:rPr>
              <w:t>单位</w:t>
            </w:r>
          </w:p>
        </w:tc>
        <w:tc>
          <w:tcPr>
            <w:tcW w:w="2079" w:type="pct"/>
            <w:vAlign w:val="center"/>
          </w:tcPr>
          <w:p w14:paraId="1966002A">
            <w:pPr>
              <w:jc w:val="center"/>
              <w:rPr>
                <w:color w:val="000000" w:themeColor="text1"/>
              </w:rPr>
            </w:pPr>
            <w:r>
              <w:rPr>
                <w:color w:val="000000" w:themeColor="text1"/>
              </w:rPr>
              <w:t>标准名称</w:t>
            </w:r>
          </w:p>
        </w:tc>
      </w:tr>
      <w:tr w14:paraId="2950FF76">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0" w:hRule="atLeast"/>
          <w:jc w:val="center"/>
        </w:trPr>
        <w:tc>
          <w:tcPr>
            <w:tcW w:w="754" w:type="pct"/>
            <w:vMerge w:val="restart"/>
            <w:vAlign w:val="center"/>
          </w:tcPr>
          <w:p w14:paraId="29C27116">
            <w:pPr>
              <w:jc w:val="center"/>
              <w:rPr>
                <w:color w:val="000000" w:themeColor="text1"/>
              </w:rPr>
            </w:pPr>
            <w:r>
              <w:rPr>
                <w:color w:val="000000" w:themeColor="text1"/>
              </w:rPr>
              <w:t>生产车间排气筒</w:t>
            </w:r>
          </w:p>
        </w:tc>
        <w:tc>
          <w:tcPr>
            <w:tcW w:w="833" w:type="pct"/>
            <w:vAlign w:val="center"/>
          </w:tcPr>
          <w:p w14:paraId="54CDAC85">
            <w:pPr>
              <w:jc w:val="center"/>
              <w:rPr>
                <w:color w:val="000000" w:themeColor="text1"/>
              </w:rPr>
            </w:pPr>
            <w:r>
              <w:rPr>
                <w:color w:val="000000" w:themeColor="text1"/>
              </w:rPr>
              <w:t>颗粒物</w:t>
            </w:r>
          </w:p>
        </w:tc>
        <w:tc>
          <w:tcPr>
            <w:tcW w:w="660" w:type="pct"/>
            <w:vAlign w:val="center"/>
          </w:tcPr>
          <w:p w14:paraId="3C041501">
            <w:pPr>
              <w:jc w:val="center"/>
              <w:rPr>
                <w:color w:val="000000" w:themeColor="text1"/>
              </w:rPr>
            </w:pPr>
            <w:r>
              <w:rPr>
                <w:rFonts w:eastAsia="新宋体"/>
                <w:color w:val="000000" w:themeColor="text1"/>
                <w:szCs w:val="21"/>
              </w:rPr>
              <w:t>30</w:t>
            </w:r>
          </w:p>
        </w:tc>
        <w:tc>
          <w:tcPr>
            <w:tcW w:w="674" w:type="pct"/>
            <w:vAlign w:val="center"/>
          </w:tcPr>
          <w:p w14:paraId="7992379B">
            <w:pPr>
              <w:jc w:val="center"/>
              <w:rPr>
                <w:color w:val="000000" w:themeColor="text1"/>
              </w:rPr>
            </w:pPr>
            <w:r>
              <w:rPr>
                <w:bCs/>
                <w:color w:val="000000" w:themeColor="text1"/>
                <w:szCs w:val="21"/>
              </w:rPr>
              <w:t>mg/m</w:t>
            </w:r>
            <w:r>
              <w:rPr>
                <w:bCs/>
                <w:color w:val="000000" w:themeColor="text1"/>
                <w:szCs w:val="21"/>
                <w:vertAlign w:val="superscript"/>
              </w:rPr>
              <w:t>3</w:t>
            </w:r>
          </w:p>
        </w:tc>
        <w:tc>
          <w:tcPr>
            <w:tcW w:w="2079" w:type="pct"/>
            <w:vMerge w:val="restart"/>
            <w:vAlign w:val="center"/>
          </w:tcPr>
          <w:p w14:paraId="0CB1F46B">
            <w:pPr>
              <w:adjustRightInd w:val="0"/>
              <w:snapToGrid w:val="0"/>
              <w:spacing w:line="280" w:lineRule="exact"/>
              <w:jc w:val="center"/>
              <w:textAlignment w:val="baseline"/>
              <w:rPr>
                <w:color w:val="000000" w:themeColor="text1"/>
              </w:rPr>
            </w:pPr>
            <w:r>
              <w:rPr>
                <w:color w:val="000000" w:themeColor="text1"/>
              </w:rPr>
              <w:t>《合成树脂工业污染物排放标准》（GB31572-2015）</w:t>
            </w:r>
          </w:p>
        </w:tc>
      </w:tr>
      <w:tr w14:paraId="79B1360D">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23" w:type="dxa"/>
            <w:bottom w:w="0" w:type="dxa"/>
            <w:right w:w="23" w:type="dxa"/>
          </w:tblCellMar>
        </w:tblPrEx>
        <w:trPr>
          <w:trHeight w:val="20" w:hRule="atLeast"/>
          <w:jc w:val="center"/>
        </w:trPr>
        <w:tc>
          <w:tcPr>
            <w:tcW w:w="754" w:type="pct"/>
            <w:vMerge w:val="continue"/>
            <w:vAlign w:val="center"/>
          </w:tcPr>
          <w:p w14:paraId="0FF37B2B">
            <w:pPr>
              <w:jc w:val="center"/>
              <w:rPr>
                <w:color w:val="000000" w:themeColor="text1"/>
              </w:rPr>
            </w:pPr>
          </w:p>
        </w:tc>
        <w:tc>
          <w:tcPr>
            <w:tcW w:w="833" w:type="pct"/>
            <w:vAlign w:val="center"/>
          </w:tcPr>
          <w:p w14:paraId="7A21612B">
            <w:pPr>
              <w:jc w:val="center"/>
              <w:rPr>
                <w:color w:val="000000" w:themeColor="text1"/>
              </w:rPr>
            </w:pPr>
            <w:r>
              <w:rPr>
                <w:color w:val="000000" w:themeColor="text1"/>
              </w:rPr>
              <w:t>非甲烷总烃</w:t>
            </w:r>
          </w:p>
        </w:tc>
        <w:tc>
          <w:tcPr>
            <w:tcW w:w="660" w:type="pct"/>
            <w:vAlign w:val="center"/>
          </w:tcPr>
          <w:p w14:paraId="7D7BCF45">
            <w:pPr>
              <w:adjustRightInd w:val="0"/>
              <w:jc w:val="center"/>
              <w:textAlignment w:val="baseline"/>
              <w:rPr>
                <w:color w:val="000000" w:themeColor="text1"/>
              </w:rPr>
            </w:pPr>
            <w:r>
              <w:rPr>
                <w:color w:val="000000" w:themeColor="text1"/>
                <w:szCs w:val="21"/>
              </w:rPr>
              <w:t>100</w:t>
            </w:r>
          </w:p>
        </w:tc>
        <w:tc>
          <w:tcPr>
            <w:tcW w:w="674" w:type="pct"/>
            <w:vAlign w:val="center"/>
          </w:tcPr>
          <w:p w14:paraId="21AF6F44">
            <w:pPr>
              <w:adjustRightInd w:val="0"/>
              <w:jc w:val="center"/>
              <w:textAlignment w:val="baseline"/>
              <w:rPr>
                <w:color w:val="000000" w:themeColor="text1"/>
              </w:rPr>
            </w:pPr>
            <w:r>
              <w:rPr>
                <w:bCs/>
                <w:color w:val="000000" w:themeColor="text1"/>
                <w:szCs w:val="21"/>
              </w:rPr>
              <w:t>mg/m</w:t>
            </w:r>
            <w:r>
              <w:rPr>
                <w:bCs/>
                <w:color w:val="000000" w:themeColor="text1"/>
                <w:szCs w:val="21"/>
                <w:vertAlign w:val="superscript"/>
              </w:rPr>
              <w:t>3</w:t>
            </w:r>
          </w:p>
        </w:tc>
        <w:tc>
          <w:tcPr>
            <w:tcW w:w="2079" w:type="pct"/>
            <w:vMerge w:val="continue"/>
            <w:vAlign w:val="center"/>
          </w:tcPr>
          <w:p w14:paraId="586A8842">
            <w:pPr>
              <w:adjustRightInd w:val="0"/>
              <w:snapToGrid w:val="0"/>
              <w:spacing w:line="280" w:lineRule="exact"/>
              <w:jc w:val="center"/>
              <w:textAlignment w:val="baseline"/>
              <w:rPr>
                <w:bCs/>
                <w:color w:val="000000" w:themeColor="text1"/>
              </w:rPr>
            </w:pPr>
          </w:p>
        </w:tc>
      </w:tr>
    </w:tbl>
    <w:p w14:paraId="2EA4D98E">
      <w:pPr>
        <w:spacing w:line="360" w:lineRule="auto"/>
        <w:ind w:firstLine="475"/>
        <w:jc w:val="left"/>
        <w:rPr>
          <w:color w:val="000000" w:themeColor="text1"/>
          <w:sz w:val="24"/>
        </w:rPr>
      </w:pPr>
      <w:r>
        <w:rPr>
          <w:b/>
          <w:color w:val="000000" w:themeColor="text1"/>
          <w:sz w:val="24"/>
        </w:rPr>
        <w:t>厂界无组织废气：</w:t>
      </w:r>
      <w:r>
        <w:rPr>
          <w:color w:val="000000" w:themeColor="text1"/>
          <w:sz w:val="24"/>
        </w:rPr>
        <w:t>运营期厂界无组织颗粒物和非甲烷总烃执行《合成树脂工业污染物排放标准》（GB31572-2015）；</w:t>
      </w:r>
    </w:p>
    <w:p w14:paraId="1F1E9561">
      <w:pPr>
        <w:spacing w:line="360" w:lineRule="auto"/>
        <w:ind w:firstLine="475"/>
        <w:jc w:val="left"/>
        <w:rPr>
          <w:color w:val="000000" w:themeColor="text1"/>
          <w:sz w:val="24"/>
        </w:rPr>
      </w:pPr>
      <w:r>
        <w:rPr>
          <w:b/>
          <w:color w:val="000000" w:themeColor="text1"/>
          <w:sz w:val="24"/>
        </w:rPr>
        <w:t>臭气浓度：</w:t>
      </w:r>
      <w:r>
        <w:rPr>
          <w:color w:val="000000" w:themeColor="text1"/>
          <w:sz w:val="24"/>
        </w:rPr>
        <w:t>执行《恶臭污染物排放标准》（GB14554-1993）中表1恶臭污染物厂界标准中二级标准，具体标准值见下表。</w:t>
      </w:r>
    </w:p>
    <w:p w14:paraId="24EDAA25">
      <w:pPr>
        <w:jc w:val="center"/>
        <w:rPr>
          <w:color w:val="000000" w:themeColor="text1"/>
          <w:kern w:val="0"/>
          <w:sz w:val="24"/>
        </w:rPr>
      </w:pPr>
      <w:r>
        <w:rPr>
          <w:b/>
          <w:color w:val="000000" w:themeColor="text1"/>
          <w:sz w:val="24"/>
        </w:rPr>
        <w:t xml:space="preserve">表1.3-7  </w:t>
      </w:r>
      <w:r>
        <w:rPr>
          <w:b/>
          <w:snapToGrid w:val="0"/>
          <w:color w:val="000000" w:themeColor="text1"/>
          <w:kern w:val="0"/>
          <w:sz w:val="24"/>
        </w:rPr>
        <w:t>厂界无组织废气排放标准一览表</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3" w:type="dxa"/>
          <w:bottom w:w="0" w:type="dxa"/>
          <w:right w:w="23" w:type="dxa"/>
        </w:tblCellMar>
      </w:tblPr>
      <w:tblGrid>
        <w:gridCol w:w="590"/>
        <w:gridCol w:w="1135"/>
        <w:gridCol w:w="1418"/>
        <w:gridCol w:w="849"/>
        <w:gridCol w:w="891"/>
        <w:gridCol w:w="3475"/>
      </w:tblGrid>
      <w:tr w14:paraId="2AFB76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20" w:hRule="atLeast"/>
          <w:jc w:val="center"/>
        </w:trPr>
        <w:tc>
          <w:tcPr>
            <w:tcW w:w="353" w:type="pct"/>
            <w:tcBorders>
              <w:bottom w:val="single" w:color="auto" w:sz="6" w:space="0"/>
              <w:right w:val="single" w:color="auto" w:sz="4" w:space="0"/>
            </w:tcBorders>
            <w:vAlign w:val="center"/>
          </w:tcPr>
          <w:p w14:paraId="1E68BF5A">
            <w:pPr>
              <w:jc w:val="center"/>
              <w:rPr>
                <w:color w:val="000000" w:themeColor="text1"/>
                <w:szCs w:val="21"/>
              </w:rPr>
            </w:pPr>
            <w:r>
              <w:rPr>
                <w:color w:val="000000" w:themeColor="text1"/>
                <w:szCs w:val="21"/>
              </w:rPr>
              <w:t>污染源</w:t>
            </w:r>
          </w:p>
        </w:tc>
        <w:tc>
          <w:tcPr>
            <w:tcW w:w="1527" w:type="pct"/>
            <w:gridSpan w:val="2"/>
            <w:tcBorders>
              <w:left w:val="single" w:color="auto" w:sz="4" w:space="0"/>
              <w:bottom w:val="single" w:color="auto" w:sz="6" w:space="0"/>
              <w:right w:val="single" w:color="auto" w:sz="4" w:space="0"/>
            </w:tcBorders>
            <w:vAlign w:val="center"/>
          </w:tcPr>
          <w:p w14:paraId="1007F209">
            <w:pPr>
              <w:jc w:val="center"/>
              <w:rPr>
                <w:color w:val="000000" w:themeColor="text1"/>
                <w:szCs w:val="21"/>
              </w:rPr>
            </w:pPr>
            <w:r>
              <w:rPr>
                <w:color w:val="000000" w:themeColor="text1"/>
                <w:szCs w:val="21"/>
              </w:rPr>
              <w:t>污染因子</w:t>
            </w:r>
          </w:p>
        </w:tc>
        <w:tc>
          <w:tcPr>
            <w:tcW w:w="508" w:type="pct"/>
            <w:tcBorders>
              <w:left w:val="single" w:color="auto" w:sz="4" w:space="0"/>
              <w:bottom w:val="single" w:color="auto" w:sz="6" w:space="0"/>
              <w:right w:val="single" w:color="auto" w:sz="4" w:space="0"/>
            </w:tcBorders>
            <w:vAlign w:val="center"/>
          </w:tcPr>
          <w:p w14:paraId="51D09913">
            <w:pPr>
              <w:jc w:val="center"/>
              <w:rPr>
                <w:color w:val="000000" w:themeColor="text1"/>
                <w:szCs w:val="21"/>
              </w:rPr>
            </w:pPr>
            <w:r>
              <w:rPr>
                <w:color w:val="000000" w:themeColor="text1"/>
                <w:szCs w:val="21"/>
              </w:rPr>
              <w:t>标准限值</w:t>
            </w:r>
          </w:p>
        </w:tc>
        <w:tc>
          <w:tcPr>
            <w:tcW w:w="533" w:type="pct"/>
            <w:tcBorders>
              <w:left w:val="single" w:color="auto" w:sz="4" w:space="0"/>
              <w:bottom w:val="single" w:color="auto" w:sz="6" w:space="0"/>
            </w:tcBorders>
            <w:vAlign w:val="center"/>
          </w:tcPr>
          <w:p w14:paraId="67224070">
            <w:pPr>
              <w:jc w:val="center"/>
              <w:rPr>
                <w:color w:val="000000" w:themeColor="text1"/>
                <w:szCs w:val="21"/>
              </w:rPr>
            </w:pPr>
            <w:r>
              <w:rPr>
                <w:color w:val="000000" w:themeColor="text1"/>
                <w:szCs w:val="21"/>
              </w:rPr>
              <w:t>单位</w:t>
            </w:r>
          </w:p>
        </w:tc>
        <w:tc>
          <w:tcPr>
            <w:tcW w:w="2079" w:type="pct"/>
            <w:tcBorders>
              <w:bottom w:val="single" w:color="auto" w:sz="6" w:space="0"/>
            </w:tcBorders>
            <w:vAlign w:val="center"/>
          </w:tcPr>
          <w:p w14:paraId="63D669CE">
            <w:pPr>
              <w:jc w:val="center"/>
              <w:rPr>
                <w:color w:val="000000" w:themeColor="text1"/>
                <w:szCs w:val="21"/>
              </w:rPr>
            </w:pPr>
            <w:r>
              <w:rPr>
                <w:color w:val="000000" w:themeColor="text1"/>
                <w:szCs w:val="21"/>
              </w:rPr>
              <w:t>标准名称</w:t>
            </w:r>
          </w:p>
        </w:tc>
      </w:tr>
      <w:tr w14:paraId="22E68C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20" w:hRule="atLeast"/>
          <w:jc w:val="center"/>
        </w:trPr>
        <w:tc>
          <w:tcPr>
            <w:tcW w:w="353" w:type="pct"/>
            <w:vMerge w:val="restart"/>
            <w:tcBorders>
              <w:top w:val="single" w:color="auto" w:sz="6" w:space="0"/>
              <w:right w:val="single" w:color="auto" w:sz="4" w:space="0"/>
            </w:tcBorders>
            <w:vAlign w:val="center"/>
          </w:tcPr>
          <w:p w14:paraId="60E2C046">
            <w:pPr>
              <w:jc w:val="center"/>
              <w:rPr>
                <w:color w:val="000000" w:themeColor="text1"/>
                <w:szCs w:val="21"/>
              </w:rPr>
            </w:pPr>
            <w:r>
              <w:rPr>
                <w:color w:val="000000" w:themeColor="text1"/>
                <w:szCs w:val="21"/>
              </w:rPr>
              <w:t>无组织排放</w:t>
            </w:r>
          </w:p>
        </w:tc>
        <w:tc>
          <w:tcPr>
            <w:tcW w:w="679" w:type="pct"/>
            <w:tcBorders>
              <w:top w:val="single" w:color="auto" w:sz="6" w:space="0"/>
              <w:left w:val="single" w:color="auto" w:sz="4" w:space="0"/>
              <w:bottom w:val="single" w:color="auto" w:sz="6" w:space="0"/>
              <w:right w:val="single" w:color="auto" w:sz="4" w:space="0"/>
            </w:tcBorders>
            <w:vAlign w:val="center"/>
          </w:tcPr>
          <w:p w14:paraId="4B2143C6">
            <w:pPr>
              <w:jc w:val="center"/>
              <w:rPr>
                <w:color w:val="000000" w:themeColor="text1"/>
                <w:szCs w:val="21"/>
              </w:rPr>
            </w:pPr>
            <w:r>
              <w:rPr>
                <w:color w:val="000000" w:themeColor="text1"/>
                <w:szCs w:val="21"/>
              </w:rPr>
              <w:t>颗粒物</w:t>
            </w:r>
          </w:p>
        </w:tc>
        <w:tc>
          <w:tcPr>
            <w:tcW w:w="848" w:type="pct"/>
            <w:vMerge w:val="restart"/>
            <w:tcBorders>
              <w:top w:val="single" w:color="auto" w:sz="6" w:space="0"/>
              <w:left w:val="single" w:color="auto" w:sz="4" w:space="0"/>
              <w:right w:val="single" w:color="auto" w:sz="4" w:space="0"/>
            </w:tcBorders>
            <w:vAlign w:val="center"/>
          </w:tcPr>
          <w:p w14:paraId="00DC93AF">
            <w:pPr>
              <w:jc w:val="center"/>
              <w:rPr>
                <w:color w:val="000000" w:themeColor="text1"/>
                <w:szCs w:val="21"/>
              </w:rPr>
            </w:pPr>
            <w:r>
              <w:rPr>
                <w:color w:val="000000" w:themeColor="text1"/>
                <w:kern w:val="0"/>
                <w:szCs w:val="21"/>
              </w:rPr>
              <w:t>监控点处1 h平均浓度值</w:t>
            </w:r>
          </w:p>
        </w:tc>
        <w:tc>
          <w:tcPr>
            <w:tcW w:w="508" w:type="pct"/>
            <w:tcBorders>
              <w:top w:val="single" w:color="auto" w:sz="6" w:space="0"/>
              <w:left w:val="single" w:color="auto" w:sz="4" w:space="0"/>
              <w:bottom w:val="single" w:color="auto" w:sz="6" w:space="0"/>
              <w:right w:val="single" w:color="auto" w:sz="4" w:space="0"/>
            </w:tcBorders>
            <w:vAlign w:val="center"/>
          </w:tcPr>
          <w:p w14:paraId="429CBA3E">
            <w:pPr>
              <w:jc w:val="center"/>
              <w:rPr>
                <w:bCs/>
                <w:color w:val="000000" w:themeColor="text1"/>
                <w:szCs w:val="21"/>
              </w:rPr>
            </w:pPr>
            <w:r>
              <w:rPr>
                <w:color w:val="000000" w:themeColor="text1"/>
                <w:szCs w:val="21"/>
              </w:rPr>
              <w:t>1.0</w:t>
            </w:r>
          </w:p>
        </w:tc>
        <w:tc>
          <w:tcPr>
            <w:tcW w:w="533" w:type="pct"/>
            <w:tcBorders>
              <w:top w:val="single" w:color="auto" w:sz="6" w:space="0"/>
              <w:left w:val="single" w:color="auto" w:sz="4" w:space="0"/>
              <w:bottom w:val="single" w:color="auto" w:sz="6" w:space="0"/>
            </w:tcBorders>
            <w:vAlign w:val="center"/>
          </w:tcPr>
          <w:p w14:paraId="0241FE8B">
            <w:pPr>
              <w:jc w:val="center"/>
              <w:rPr>
                <w:color w:val="000000" w:themeColor="text1"/>
                <w:szCs w:val="21"/>
              </w:rPr>
            </w:pPr>
            <w:r>
              <w:rPr>
                <w:bCs/>
                <w:color w:val="000000" w:themeColor="text1"/>
                <w:szCs w:val="21"/>
              </w:rPr>
              <w:t>mg/m</w:t>
            </w:r>
            <w:r>
              <w:rPr>
                <w:bCs/>
                <w:color w:val="000000" w:themeColor="text1"/>
                <w:szCs w:val="21"/>
                <w:vertAlign w:val="superscript"/>
              </w:rPr>
              <w:t>3</w:t>
            </w:r>
          </w:p>
        </w:tc>
        <w:tc>
          <w:tcPr>
            <w:tcW w:w="2079" w:type="pct"/>
            <w:vMerge w:val="restart"/>
            <w:tcBorders>
              <w:top w:val="single" w:color="auto" w:sz="6" w:space="0"/>
            </w:tcBorders>
            <w:vAlign w:val="center"/>
          </w:tcPr>
          <w:p w14:paraId="5057C8F9">
            <w:pPr>
              <w:adjustRightInd w:val="0"/>
              <w:snapToGrid w:val="0"/>
              <w:spacing w:line="280" w:lineRule="exact"/>
              <w:jc w:val="center"/>
              <w:textAlignment w:val="baseline"/>
              <w:rPr>
                <w:bCs/>
                <w:color w:val="000000" w:themeColor="text1"/>
                <w:szCs w:val="21"/>
              </w:rPr>
            </w:pPr>
            <w:r>
              <w:rPr>
                <w:bCs/>
                <w:color w:val="000000" w:themeColor="text1"/>
                <w:szCs w:val="21"/>
              </w:rPr>
              <w:t>《合成树脂工业污染物排放标准》（GB31572-2015）</w:t>
            </w:r>
          </w:p>
        </w:tc>
      </w:tr>
      <w:tr w14:paraId="69EE50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352" w:hRule="atLeast"/>
          <w:jc w:val="center"/>
        </w:trPr>
        <w:tc>
          <w:tcPr>
            <w:tcW w:w="353" w:type="pct"/>
            <w:vMerge w:val="continue"/>
            <w:tcBorders>
              <w:right w:val="single" w:color="auto" w:sz="4" w:space="0"/>
            </w:tcBorders>
            <w:vAlign w:val="center"/>
          </w:tcPr>
          <w:p w14:paraId="29EE31BA">
            <w:pPr>
              <w:jc w:val="center"/>
              <w:rPr>
                <w:color w:val="000000" w:themeColor="text1"/>
                <w:szCs w:val="21"/>
              </w:rPr>
            </w:pPr>
          </w:p>
        </w:tc>
        <w:tc>
          <w:tcPr>
            <w:tcW w:w="679" w:type="pct"/>
            <w:tcBorders>
              <w:top w:val="single" w:color="auto" w:sz="6" w:space="0"/>
              <w:left w:val="single" w:color="auto" w:sz="4" w:space="0"/>
              <w:right w:val="single" w:color="auto" w:sz="4" w:space="0"/>
            </w:tcBorders>
            <w:vAlign w:val="center"/>
          </w:tcPr>
          <w:p w14:paraId="7F7B40A3">
            <w:pPr>
              <w:jc w:val="center"/>
              <w:rPr>
                <w:color w:val="000000" w:themeColor="text1"/>
                <w:szCs w:val="21"/>
              </w:rPr>
            </w:pPr>
            <w:r>
              <w:rPr>
                <w:color w:val="000000" w:themeColor="text1"/>
                <w:szCs w:val="21"/>
              </w:rPr>
              <w:t>非甲烷总烃</w:t>
            </w:r>
          </w:p>
        </w:tc>
        <w:tc>
          <w:tcPr>
            <w:tcW w:w="848" w:type="pct"/>
            <w:vMerge w:val="continue"/>
            <w:tcBorders>
              <w:left w:val="single" w:color="auto" w:sz="4" w:space="0"/>
              <w:bottom w:val="single" w:color="auto" w:sz="6" w:space="0"/>
              <w:right w:val="single" w:color="auto" w:sz="4" w:space="0"/>
            </w:tcBorders>
            <w:vAlign w:val="center"/>
          </w:tcPr>
          <w:p w14:paraId="06A5D396">
            <w:pPr>
              <w:jc w:val="center"/>
              <w:rPr>
                <w:color w:val="000000" w:themeColor="text1"/>
                <w:kern w:val="0"/>
                <w:szCs w:val="21"/>
              </w:rPr>
            </w:pPr>
          </w:p>
        </w:tc>
        <w:tc>
          <w:tcPr>
            <w:tcW w:w="508" w:type="pct"/>
            <w:tcBorders>
              <w:top w:val="single" w:color="auto" w:sz="6" w:space="0"/>
              <w:left w:val="single" w:color="auto" w:sz="4" w:space="0"/>
              <w:right w:val="single" w:color="auto" w:sz="4" w:space="0"/>
            </w:tcBorders>
            <w:vAlign w:val="center"/>
          </w:tcPr>
          <w:p w14:paraId="3796236F">
            <w:pPr>
              <w:jc w:val="center"/>
              <w:rPr>
                <w:color w:val="000000" w:themeColor="text1"/>
                <w:szCs w:val="21"/>
              </w:rPr>
            </w:pPr>
            <w:r>
              <w:rPr>
                <w:color w:val="000000" w:themeColor="text1"/>
                <w:szCs w:val="21"/>
              </w:rPr>
              <w:t>4.0</w:t>
            </w:r>
          </w:p>
        </w:tc>
        <w:tc>
          <w:tcPr>
            <w:tcW w:w="533" w:type="pct"/>
            <w:tcBorders>
              <w:top w:val="single" w:color="auto" w:sz="6" w:space="0"/>
              <w:left w:val="single" w:color="auto" w:sz="4" w:space="0"/>
            </w:tcBorders>
            <w:vAlign w:val="center"/>
          </w:tcPr>
          <w:p w14:paraId="196B4F2E">
            <w:pPr>
              <w:jc w:val="center"/>
              <w:rPr>
                <w:color w:val="000000" w:themeColor="text1"/>
                <w:szCs w:val="21"/>
              </w:rPr>
            </w:pPr>
            <w:r>
              <w:rPr>
                <w:bCs/>
                <w:color w:val="000000" w:themeColor="text1"/>
                <w:szCs w:val="21"/>
              </w:rPr>
              <w:t>mg/m</w:t>
            </w:r>
            <w:r>
              <w:rPr>
                <w:bCs/>
                <w:color w:val="000000" w:themeColor="text1"/>
                <w:szCs w:val="21"/>
                <w:vertAlign w:val="superscript"/>
              </w:rPr>
              <w:t>3</w:t>
            </w:r>
          </w:p>
        </w:tc>
        <w:tc>
          <w:tcPr>
            <w:tcW w:w="2079" w:type="pct"/>
            <w:vMerge w:val="continue"/>
            <w:vAlign w:val="center"/>
          </w:tcPr>
          <w:p w14:paraId="2AF1E003">
            <w:pPr>
              <w:spacing w:line="280" w:lineRule="exact"/>
              <w:jc w:val="center"/>
              <w:rPr>
                <w:color w:val="000000" w:themeColor="text1"/>
                <w:szCs w:val="21"/>
              </w:rPr>
            </w:pPr>
          </w:p>
        </w:tc>
      </w:tr>
      <w:tr w14:paraId="38DE4F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20" w:hRule="atLeast"/>
          <w:jc w:val="center"/>
        </w:trPr>
        <w:tc>
          <w:tcPr>
            <w:tcW w:w="353" w:type="pct"/>
            <w:vMerge w:val="continue"/>
            <w:tcBorders>
              <w:right w:val="single" w:color="auto" w:sz="4" w:space="0"/>
            </w:tcBorders>
            <w:vAlign w:val="center"/>
          </w:tcPr>
          <w:p w14:paraId="38C18DA7">
            <w:pPr>
              <w:jc w:val="center"/>
              <w:rPr>
                <w:color w:val="000000" w:themeColor="text1"/>
                <w:szCs w:val="21"/>
              </w:rPr>
            </w:pPr>
          </w:p>
        </w:tc>
        <w:tc>
          <w:tcPr>
            <w:tcW w:w="1527" w:type="pct"/>
            <w:gridSpan w:val="2"/>
            <w:tcBorders>
              <w:top w:val="single" w:color="auto" w:sz="6" w:space="0"/>
              <w:left w:val="single" w:color="auto" w:sz="4" w:space="0"/>
              <w:right w:val="single" w:color="auto" w:sz="4" w:space="0"/>
            </w:tcBorders>
            <w:vAlign w:val="center"/>
          </w:tcPr>
          <w:p w14:paraId="5509863B">
            <w:pPr>
              <w:jc w:val="center"/>
              <w:rPr>
                <w:color w:val="000000" w:themeColor="text1"/>
                <w:szCs w:val="21"/>
              </w:rPr>
            </w:pPr>
            <w:r>
              <w:rPr>
                <w:color w:val="000000" w:themeColor="text1"/>
                <w:szCs w:val="21"/>
              </w:rPr>
              <w:t>臭气浓度</w:t>
            </w:r>
          </w:p>
        </w:tc>
        <w:tc>
          <w:tcPr>
            <w:tcW w:w="508" w:type="pct"/>
            <w:tcBorders>
              <w:top w:val="single" w:color="auto" w:sz="6" w:space="0"/>
              <w:left w:val="single" w:color="auto" w:sz="4" w:space="0"/>
              <w:right w:val="single" w:color="auto" w:sz="4" w:space="0"/>
            </w:tcBorders>
            <w:vAlign w:val="center"/>
          </w:tcPr>
          <w:p w14:paraId="0C3E7F8A">
            <w:pPr>
              <w:jc w:val="center"/>
              <w:rPr>
                <w:color w:val="000000" w:themeColor="text1"/>
                <w:szCs w:val="21"/>
              </w:rPr>
            </w:pPr>
            <w:r>
              <w:rPr>
                <w:color w:val="000000" w:themeColor="text1"/>
                <w:szCs w:val="21"/>
              </w:rPr>
              <w:t>20</w:t>
            </w:r>
          </w:p>
        </w:tc>
        <w:tc>
          <w:tcPr>
            <w:tcW w:w="533" w:type="pct"/>
            <w:tcBorders>
              <w:top w:val="single" w:color="auto" w:sz="6" w:space="0"/>
              <w:left w:val="single" w:color="auto" w:sz="4" w:space="0"/>
            </w:tcBorders>
            <w:vAlign w:val="center"/>
          </w:tcPr>
          <w:p w14:paraId="42AFCF1A">
            <w:pPr>
              <w:jc w:val="center"/>
              <w:rPr>
                <w:color w:val="000000" w:themeColor="text1"/>
                <w:szCs w:val="21"/>
              </w:rPr>
            </w:pPr>
            <w:r>
              <w:rPr>
                <w:color w:val="000000" w:themeColor="text1"/>
                <w:szCs w:val="21"/>
              </w:rPr>
              <w:t>无量纲</w:t>
            </w:r>
          </w:p>
        </w:tc>
        <w:tc>
          <w:tcPr>
            <w:tcW w:w="2079" w:type="pct"/>
            <w:tcBorders>
              <w:top w:val="single" w:color="auto" w:sz="6" w:space="0"/>
            </w:tcBorders>
            <w:vAlign w:val="center"/>
          </w:tcPr>
          <w:p w14:paraId="7D54E563">
            <w:pPr>
              <w:spacing w:line="280" w:lineRule="exact"/>
              <w:jc w:val="center"/>
              <w:rPr>
                <w:color w:val="000000" w:themeColor="text1"/>
                <w:szCs w:val="21"/>
              </w:rPr>
            </w:pPr>
            <w:r>
              <w:rPr>
                <w:color w:val="000000" w:themeColor="text1"/>
                <w:szCs w:val="21"/>
              </w:rPr>
              <w:t>《恶臭污染物排放标准》（GB14554-93）</w:t>
            </w:r>
          </w:p>
        </w:tc>
      </w:tr>
      <w:bookmarkEnd w:id="47"/>
      <w:bookmarkEnd w:id="48"/>
      <w:bookmarkEnd w:id="49"/>
      <w:bookmarkEnd w:id="50"/>
      <w:bookmarkEnd w:id="51"/>
      <w:bookmarkEnd w:id="52"/>
    </w:tbl>
    <w:p w14:paraId="585A501E">
      <w:pPr>
        <w:adjustRightInd w:val="0"/>
        <w:snapToGrid w:val="0"/>
        <w:spacing w:line="360" w:lineRule="auto"/>
        <w:ind w:firstLine="480"/>
        <w:jc w:val="left"/>
        <w:rPr>
          <w:b/>
          <w:color w:val="FF0000"/>
          <w:sz w:val="24"/>
        </w:rPr>
      </w:pPr>
      <w:bookmarkStart w:id="59" w:name="_Toc362393088"/>
      <w:bookmarkStart w:id="60" w:name="_Toc362393087"/>
      <w:bookmarkStart w:id="61" w:name="_Toc360004795"/>
      <w:bookmarkStart w:id="62" w:name="_Toc226861715"/>
      <w:bookmarkStart w:id="63" w:name="_Toc230393123"/>
      <w:bookmarkStart w:id="64" w:name="_Toc226540114"/>
      <w:bookmarkStart w:id="65" w:name="_Toc226540386"/>
      <w:bookmarkStart w:id="66" w:name="_Toc280621016"/>
      <w:bookmarkStart w:id="67" w:name="_Toc290295714"/>
    </w:p>
    <w:p w14:paraId="7D4140EA">
      <w:pPr>
        <w:adjustRightInd w:val="0"/>
        <w:snapToGrid w:val="0"/>
        <w:spacing w:line="360" w:lineRule="auto"/>
        <w:ind w:firstLine="480"/>
        <w:jc w:val="left"/>
        <w:rPr>
          <w:color w:val="000000" w:themeColor="text1"/>
          <w:sz w:val="24"/>
        </w:rPr>
      </w:pPr>
      <w:r>
        <w:rPr>
          <w:b/>
          <w:color w:val="000000" w:themeColor="text1"/>
          <w:sz w:val="24"/>
        </w:rPr>
        <w:t>食堂废气：</w:t>
      </w:r>
      <w:r>
        <w:rPr>
          <w:color w:val="000000" w:themeColor="text1"/>
          <w:sz w:val="24"/>
        </w:rPr>
        <w:t>项目区设有食堂，餐饮以电和液化气作为燃料，餐饮油烟执行GB18483-2001《饮食业油烟排放标准》小型，油烟最高允许排放浓度和油烟净化设施最低去除效率见下表。</w:t>
      </w:r>
    </w:p>
    <w:p w14:paraId="5BED8E8B">
      <w:pPr>
        <w:jc w:val="center"/>
        <w:rPr>
          <w:b/>
          <w:color w:val="000000" w:themeColor="text1"/>
          <w:kern w:val="0"/>
          <w:sz w:val="24"/>
        </w:rPr>
      </w:pPr>
      <w:r>
        <w:rPr>
          <w:b/>
          <w:color w:val="000000" w:themeColor="text1"/>
          <w:kern w:val="0"/>
          <w:sz w:val="24"/>
        </w:rPr>
        <w:t>表1.3-8  饮食业单位排放标准值及油烟最低去除率</w:t>
      </w:r>
    </w:p>
    <w:tbl>
      <w:tblPr>
        <w:tblStyle w:val="42"/>
        <w:tblW w:w="8364" w:type="dxa"/>
        <w:tblInd w:w="108" w:type="dxa"/>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969"/>
        <w:gridCol w:w="4395"/>
      </w:tblGrid>
      <w:tr w14:paraId="7926002C">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PrEx>
        <w:trPr>
          <w:trHeight w:val="340" w:hRule="atLeast"/>
        </w:trPr>
        <w:tc>
          <w:tcPr>
            <w:tcW w:w="3969" w:type="dxa"/>
            <w:vAlign w:val="center"/>
          </w:tcPr>
          <w:p w14:paraId="542AF14D">
            <w:pPr>
              <w:autoSpaceDE w:val="0"/>
              <w:autoSpaceDN w:val="0"/>
              <w:jc w:val="center"/>
              <w:rPr>
                <w:color w:val="000000" w:themeColor="text1"/>
                <w:szCs w:val="21"/>
              </w:rPr>
            </w:pPr>
            <w:r>
              <w:rPr>
                <w:color w:val="000000" w:themeColor="text1"/>
                <w:szCs w:val="21"/>
              </w:rPr>
              <w:t>规模</w:t>
            </w:r>
          </w:p>
        </w:tc>
        <w:tc>
          <w:tcPr>
            <w:tcW w:w="4395" w:type="dxa"/>
            <w:vAlign w:val="center"/>
          </w:tcPr>
          <w:p w14:paraId="719EF43B">
            <w:pPr>
              <w:autoSpaceDE w:val="0"/>
              <w:autoSpaceDN w:val="0"/>
              <w:jc w:val="center"/>
              <w:rPr>
                <w:color w:val="FF0000"/>
                <w:szCs w:val="21"/>
              </w:rPr>
            </w:pPr>
            <w:r>
              <w:rPr>
                <w:color w:val="FF0000"/>
                <w:szCs w:val="21"/>
              </w:rPr>
              <w:t>小型</w:t>
            </w:r>
          </w:p>
        </w:tc>
      </w:tr>
      <w:tr w14:paraId="1E62E69E">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69" w:type="dxa"/>
            <w:vAlign w:val="center"/>
          </w:tcPr>
          <w:p w14:paraId="6D5E5B5C">
            <w:pPr>
              <w:autoSpaceDE w:val="0"/>
              <w:autoSpaceDN w:val="0"/>
              <w:jc w:val="center"/>
              <w:rPr>
                <w:color w:val="000000" w:themeColor="text1"/>
                <w:szCs w:val="21"/>
              </w:rPr>
            </w:pPr>
            <w:r>
              <w:rPr>
                <w:color w:val="000000" w:themeColor="text1"/>
                <w:szCs w:val="21"/>
              </w:rPr>
              <w:t>最高允许排放浓度（mg/m</w:t>
            </w:r>
            <w:r>
              <w:rPr>
                <w:color w:val="000000" w:themeColor="text1"/>
                <w:szCs w:val="21"/>
                <w:vertAlign w:val="superscript"/>
              </w:rPr>
              <w:t>3</w:t>
            </w:r>
            <w:r>
              <w:rPr>
                <w:color w:val="000000" w:themeColor="text1"/>
                <w:szCs w:val="21"/>
              </w:rPr>
              <w:t>）</w:t>
            </w:r>
          </w:p>
        </w:tc>
        <w:tc>
          <w:tcPr>
            <w:tcW w:w="4395" w:type="dxa"/>
            <w:vAlign w:val="center"/>
          </w:tcPr>
          <w:p w14:paraId="7D9E385E">
            <w:pPr>
              <w:autoSpaceDE w:val="0"/>
              <w:autoSpaceDN w:val="0"/>
              <w:jc w:val="center"/>
              <w:rPr>
                <w:color w:val="000000" w:themeColor="text1"/>
                <w:szCs w:val="21"/>
              </w:rPr>
            </w:pPr>
            <w:r>
              <w:rPr>
                <w:color w:val="000000" w:themeColor="text1"/>
                <w:szCs w:val="21"/>
              </w:rPr>
              <w:t>2.0</w:t>
            </w:r>
          </w:p>
        </w:tc>
      </w:tr>
      <w:tr w14:paraId="4FF898DB">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69" w:type="dxa"/>
            <w:vAlign w:val="center"/>
          </w:tcPr>
          <w:p w14:paraId="3D43CC64">
            <w:pPr>
              <w:autoSpaceDE w:val="0"/>
              <w:autoSpaceDN w:val="0"/>
              <w:jc w:val="center"/>
              <w:rPr>
                <w:color w:val="000000" w:themeColor="text1"/>
                <w:szCs w:val="21"/>
              </w:rPr>
            </w:pPr>
            <w:r>
              <w:rPr>
                <w:color w:val="000000" w:themeColor="text1"/>
                <w:szCs w:val="21"/>
              </w:rPr>
              <w:t>净化设施最低去除效率（%）</w:t>
            </w:r>
          </w:p>
        </w:tc>
        <w:tc>
          <w:tcPr>
            <w:tcW w:w="4395" w:type="dxa"/>
            <w:vAlign w:val="center"/>
          </w:tcPr>
          <w:p w14:paraId="79FE603D">
            <w:pPr>
              <w:autoSpaceDE w:val="0"/>
              <w:autoSpaceDN w:val="0"/>
              <w:jc w:val="center"/>
              <w:rPr>
                <w:color w:val="000000" w:themeColor="text1"/>
                <w:szCs w:val="21"/>
              </w:rPr>
            </w:pPr>
            <w:r>
              <w:rPr>
                <w:color w:val="000000" w:themeColor="text1"/>
                <w:szCs w:val="21"/>
              </w:rPr>
              <w:t>60</w:t>
            </w:r>
          </w:p>
        </w:tc>
      </w:tr>
    </w:tbl>
    <w:p w14:paraId="7070E8E8">
      <w:pPr>
        <w:adjustRightInd w:val="0"/>
        <w:snapToGrid w:val="0"/>
        <w:spacing w:line="360" w:lineRule="auto"/>
        <w:ind w:firstLine="480"/>
        <w:rPr>
          <w:b/>
          <w:color w:val="000000" w:themeColor="text1"/>
          <w:sz w:val="24"/>
        </w:rPr>
      </w:pPr>
      <w:r>
        <w:rPr>
          <w:b/>
          <w:color w:val="000000" w:themeColor="text1"/>
          <w:sz w:val="24"/>
        </w:rPr>
        <w:t>（2）废水</w:t>
      </w:r>
    </w:p>
    <w:p w14:paraId="0009B249">
      <w:pPr>
        <w:adjustRightInd w:val="0"/>
        <w:snapToGrid w:val="0"/>
        <w:spacing w:line="360" w:lineRule="auto"/>
        <w:ind w:firstLine="480"/>
        <w:jc w:val="left"/>
        <w:rPr>
          <w:color w:val="000000" w:themeColor="text1"/>
          <w:sz w:val="24"/>
        </w:rPr>
      </w:pPr>
      <w:r>
        <w:rPr>
          <w:b/>
          <w:color w:val="000000" w:themeColor="text1"/>
          <w:sz w:val="24"/>
        </w:rPr>
        <w:t>生活废水：</w:t>
      </w:r>
      <w:r>
        <w:rPr>
          <w:color w:val="000000" w:themeColor="text1"/>
          <w:sz w:val="24"/>
        </w:rPr>
        <w:t>废水主要为员工生活废水，厨房废水经1个隔油池处理后，与其它生活废水排入化粪池处理，定期委托周边村民清运，用于农作物施肥，不外排。</w:t>
      </w:r>
    </w:p>
    <w:p w14:paraId="4E59716B">
      <w:pPr>
        <w:adjustRightInd w:val="0"/>
        <w:snapToGrid w:val="0"/>
        <w:spacing w:line="360" w:lineRule="auto"/>
        <w:ind w:firstLine="480"/>
        <w:jc w:val="left"/>
        <w:rPr>
          <w:color w:val="000000" w:themeColor="text1"/>
          <w:sz w:val="24"/>
        </w:rPr>
      </w:pPr>
      <w:r>
        <w:rPr>
          <w:b/>
          <w:color w:val="000000" w:themeColor="text1"/>
          <w:sz w:val="24"/>
        </w:rPr>
        <w:t>生产废水：</w:t>
      </w:r>
      <w:r>
        <w:rPr>
          <w:color w:val="000000" w:themeColor="text1"/>
          <w:sz w:val="24"/>
        </w:rPr>
        <w:t>本项目生产清洗废水通过自建的</w:t>
      </w:r>
      <w:r>
        <w:rPr>
          <w:color w:val="FF0000"/>
          <w:sz w:val="24"/>
        </w:rPr>
        <w:t>污水处理设施（隔油池+沉淀池）处理后</w:t>
      </w:r>
      <w:r>
        <w:rPr>
          <w:color w:val="000000" w:themeColor="text1"/>
          <w:sz w:val="24"/>
        </w:rPr>
        <w:t>，回用于生产</w:t>
      </w:r>
      <w:bookmarkStart w:id="68" w:name="OLE_LINK6"/>
      <w:bookmarkStart w:id="69" w:name="OLE_LINK5"/>
      <w:r>
        <w:rPr>
          <w:color w:val="000000" w:themeColor="text1"/>
          <w:sz w:val="24"/>
        </w:rPr>
        <w:t>；</w:t>
      </w:r>
    </w:p>
    <w:p w14:paraId="17C82FB4">
      <w:pPr>
        <w:adjustRightInd w:val="0"/>
        <w:snapToGrid w:val="0"/>
        <w:spacing w:line="360" w:lineRule="auto"/>
        <w:ind w:firstLine="480"/>
        <w:jc w:val="left"/>
        <w:rPr>
          <w:color w:val="000000" w:themeColor="text1"/>
          <w:sz w:val="24"/>
        </w:rPr>
      </w:pPr>
      <w:r>
        <w:rPr>
          <w:color w:val="000000" w:themeColor="text1"/>
          <w:sz w:val="24"/>
        </w:rPr>
        <w:t>造粒、编织袋生产冷却水循环使用（主要污染物为SS），不外排</w:t>
      </w:r>
      <w:bookmarkEnd w:id="68"/>
      <w:bookmarkEnd w:id="69"/>
      <w:r>
        <w:rPr>
          <w:color w:val="000000" w:themeColor="text1"/>
          <w:sz w:val="24"/>
        </w:rPr>
        <w:t>，不设排放标准。</w:t>
      </w:r>
    </w:p>
    <w:p w14:paraId="337C5658">
      <w:pPr>
        <w:spacing w:line="360" w:lineRule="auto"/>
        <w:ind w:firstLine="480"/>
        <w:rPr>
          <w:b/>
          <w:color w:val="000000" w:themeColor="text1"/>
          <w:sz w:val="24"/>
        </w:rPr>
      </w:pPr>
      <w:r>
        <w:rPr>
          <w:b/>
          <w:color w:val="000000" w:themeColor="text1"/>
          <w:sz w:val="24"/>
        </w:rPr>
        <w:t>（3）噪声排放标准</w:t>
      </w:r>
    </w:p>
    <w:p w14:paraId="265A8B73">
      <w:pPr>
        <w:tabs>
          <w:tab w:val="left" w:pos="4395"/>
        </w:tabs>
        <w:spacing w:line="360" w:lineRule="auto"/>
        <w:ind w:firstLine="480"/>
        <w:rPr>
          <w:color w:val="000000" w:themeColor="text1"/>
          <w:sz w:val="24"/>
        </w:rPr>
      </w:pPr>
      <w:bookmarkStart w:id="70" w:name="_Toc226861714"/>
      <w:bookmarkStart w:id="71" w:name="_Toc230393122"/>
      <w:bookmarkStart w:id="72" w:name="_Toc290295713"/>
      <w:bookmarkStart w:id="73" w:name="_Toc280621015"/>
      <w:bookmarkStart w:id="74" w:name="_Toc226540385"/>
      <w:bookmarkStart w:id="75" w:name="_Toc226540113"/>
      <w:r>
        <w:rPr>
          <w:color w:val="000000" w:themeColor="text1"/>
          <w:sz w:val="24"/>
        </w:rPr>
        <w:t>项目施工场界噪声执行GB12523-2011《建筑施工场界环境噪声排放标准》，标准限值列于表1.3-10。</w:t>
      </w:r>
    </w:p>
    <w:p w14:paraId="44BD27F3">
      <w:pPr>
        <w:ind w:firstLine="482"/>
        <w:jc w:val="center"/>
        <w:rPr>
          <w:b/>
          <w:color w:val="000000" w:themeColor="text1"/>
          <w:sz w:val="24"/>
        </w:rPr>
      </w:pPr>
      <w:r>
        <w:rPr>
          <w:b/>
          <w:color w:val="000000" w:themeColor="text1"/>
          <w:sz w:val="24"/>
        </w:rPr>
        <w:t>表1.3-10  建筑施工场界环境噪声排放限值   单位：</w:t>
      </w:r>
      <w:r>
        <w:rPr>
          <w:color w:val="000000" w:themeColor="text1"/>
          <w:sz w:val="24"/>
        </w:rPr>
        <w:t>dB(A)</w:t>
      </w:r>
    </w:p>
    <w:tbl>
      <w:tblPr>
        <w:tblStyle w:val="42"/>
        <w:tblW w:w="8522"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2B062FC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14:paraId="76BB4BC7">
            <w:pPr>
              <w:jc w:val="center"/>
              <w:rPr>
                <w:color w:val="000000" w:themeColor="text1"/>
                <w:szCs w:val="21"/>
              </w:rPr>
            </w:pPr>
            <w:r>
              <w:rPr>
                <w:bCs/>
                <w:color w:val="000000" w:themeColor="text1"/>
                <w:szCs w:val="21"/>
              </w:rPr>
              <w:t>昼间</w:t>
            </w:r>
          </w:p>
        </w:tc>
        <w:tc>
          <w:tcPr>
            <w:tcW w:w="4261" w:type="dxa"/>
            <w:vAlign w:val="center"/>
          </w:tcPr>
          <w:p w14:paraId="12B86EB0">
            <w:pPr>
              <w:jc w:val="center"/>
              <w:rPr>
                <w:color w:val="000000" w:themeColor="text1"/>
                <w:szCs w:val="21"/>
              </w:rPr>
            </w:pPr>
            <w:r>
              <w:rPr>
                <w:bCs/>
                <w:color w:val="000000" w:themeColor="text1"/>
                <w:szCs w:val="21"/>
              </w:rPr>
              <w:t>夜间</w:t>
            </w:r>
          </w:p>
        </w:tc>
      </w:tr>
      <w:tr w14:paraId="722172F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14:paraId="50057BBB">
            <w:pPr>
              <w:jc w:val="center"/>
              <w:rPr>
                <w:color w:val="000000" w:themeColor="text1"/>
                <w:szCs w:val="21"/>
              </w:rPr>
            </w:pPr>
            <w:r>
              <w:rPr>
                <w:color w:val="000000" w:themeColor="text1"/>
                <w:szCs w:val="21"/>
              </w:rPr>
              <w:t>70</w:t>
            </w:r>
          </w:p>
        </w:tc>
        <w:tc>
          <w:tcPr>
            <w:tcW w:w="4261" w:type="dxa"/>
            <w:vAlign w:val="center"/>
          </w:tcPr>
          <w:p w14:paraId="4A60D068">
            <w:pPr>
              <w:jc w:val="center"/>
              <w:rPr>
                <w:color w:val="000000" w:themeColor="text1"/>
                <w:szCs w:val="21"/>
              </w:rPr>
            </w:pPr>
            <w:r>
              <w:rPr>
                <w:color w:val="000000" w:themeColor="text1"/>
                <w:szCs w:val="21"/>
              </w:rPr>
              <w:t>55</w:t>
            </w:r>
          </w:p>
        </w:tc>
      </w:tr>
    </w:tbl>
    <w:p w14:paraId="1FA91435">
      <w:pPr>
        <w:spacing w:line="360" w:lineRule="auto"/>
        <w:ind w:firstLine="480"/>
        <w:rPr>
          <w:color w:val="000000" w:themeColor="text1"/>
          <w:sz w:val="24"/>
        </w:rPr>
      </w:pPr>
      <w:r>
        <w:rPr>
          <w:color w:val="000000" w:themeColor="text1"/>
          <w:sz w:val="24"/>
        </w:rPr>
        <w:t>项目运营期厂界噪声排放执行GB12348-2008《工业企业厂界环境噪声排放标准》2类标准，标准限值列于表1.3-11。</w:t>
      </w:r>
    </w:p>
    <w:p w14:paraId="5A2A42F5">
      <w:pPr>
        <w:spacing w:line="360" w:lineRule="auto"/>
        <w:ind w:firstLine="480"/>
        <w:rPr>
          <w:color w:val="000000" w:themeColor="text1"/>
          <w:sz w:val="24"/>
        </w:rPr>
      </w:pPr>
    </w:p>
    <w:p w14:paraId="75C6757C">
      <w:pPr>
        <w:ind w:firstLine="482"/>
        <w:jc w:val="center"/>
        <w:rPr>
          <w:b/>
          <w:color w:val="000000" w:themeColor="text1"/>
          <w:sz w:val="24"/>
        </w:rPr>
      </w:pPr>
      <w:r>
        <w:rPr>
          <w:b/>
          <w:color w:val="000000" w:themeColor="text1"/>
          <w:sz w:val="24"/>
        </w:rPr>
        <w:t>表1.3-11  工业企业厂界环境噪声排放标准</w:t>
      </w:r>
    </w:p>
    <w:tbl>
      <w:tblPr>
        <w:tblStyle w:val="42"/>
        <w:tblW w:w="8522"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3544"/>
        <w:gridCol w:w="1893"/>
      </w:tblGrid>
      <w:tr w14:paraId="06466A8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85" w:type="dxa"/>
          </w:tcPr>
          <w:p w14:paraId="674642A3">
            <w:pPr>
              <w:adjustRightInd w:val="0"/>
              <w:jc w:val="center"/>
              <w:rPr>
                <w:color w:val="000000" w:themeColor="text1"/>
              </w:rPr>
            </w:pPr>
            <w:r>
              <w:rPr>
                <w:color w:val="000000" w:themeColor="text1"/>
              </w:rPr>
              <w:t>类  别</w:t>
            </w:r>
          </w:p>
        </w:tc>
        <w:tc>
          <w:tcPr>
            <w:tcW w:w="3544" w:type="dxa"/>
          </w:tcPr>
          <w:p w14:paraId="21803003">
            <w:pPr>
              <w:adjustRightInd w:val="0"/>
              <w:jc w:val="center"/>
              <w:rPr>
                <w:color w:val="000000" w:themeColor="text1"/>
              </w:rPr>
            </w:pPr>
            <w:r>
              <w:rPr>
                <w:color w:val="000000" w:themeColor="text1"/>
              </w:rPr>
              <w:t>昼 间  [dB(A)]</w:t>
            </w:r>
          </w:p>
        </w:tc>
        <w:tc>
          <w:tcPr>
            <w:tcW w:w="1893" w:type="dxa"/>
          </w:tcPr>
          <w:p w14:paraId="7DE805D3">
            <w:pPr>
              <w:adjustRightInd w:val="0"/>
              <w:jc w:val="center"/>
              <w:rPr>
                <w:color w:val="000000" w:themeColor="text1"/>
              </w:rPr>
            </w:pPr>
            <w:r>
              <w:rPr>
                <w:color w:val="000000" w:themeColor="text1"/>
              </w:rPr>
              <w:t>夜 间   [dB(A)]</w:t>
            </w:r>
          </w:p>
        </w:tc>
      </w:tr>
      <w:tr w14:paraId="35901E7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85" w:type="dxa"/>
            <w:vAlign w:val="center"/>
          </w:tcPr>
          <w:p w14:paraId="384096C9">
            <w:pPr>
              <w:adjustRightInd w:val="0"/>
              <w:jc w:val="center"/>
              <w:rPr>
                <w:color w:val="000000" w:themeColor="text1"/>
                <w:szCs w:val="21"/>
              </w:rPr>
            </w:pPr>
            <w:r>
              <w:rPr>
                <w:color w:val="000000" w:themeColor="text1"/>
                <w:szCs w:val="21"/>
              </w:rPr>
              <w:t>2类</w:t>
            </w:r>
          </w:p>
        </w:tc>
        <w:tc>
          <w:tcPr>
            <w:tcW w:w="3544" w:type="dxa"/>
            <w:vAlign w:val="center"/>
          </w:tcPr>
          <w:p w14:paraId="347B79AA">
            <w:pPr>
              <w:adjustRightInd w:val="0"/>
              <w:jc w:val="center"/>
              <w:rPr>
                <w:color w:val="000000" w:themeColor="text1"/>
                <w:szCs w:val="21"/>
              </w:rPr>
            </w:pPr>
            <w:r>
              <w:rPr>
                <w:color w:val="000000" w:themeColor="text1"/>
                <w:szCs w:val="21"/>
              </w:rPr>
              <w:t>≤60</w:t>
            </w:r>
          </w:p>
        </w:tc>
        <w:tc>
          <w:tcPr>
            <w:tcW w:w="1893" w:type="dxa"/>
            <w:vAlign w:val="center"/>
          </w:tcPr>
          <w:p w14:paraId="3788E227">
            <w:pPr>
              <w:adjustRightInd w:val="0"/>
              <w:jc w:val="center"/>
              <w:rPr>
                <w:color w:val="000000" w:themeColor="text1"/>
                <w:szCs w:val="21"/>
              </w:rPr>
            </w:pPr>
            <w:r>
              <w:rPr>
                <w:color w:val="000000" w:themeColor="text1"/>
                <w:szCs w:val="21"/>
              </w:rPr>
              <w:t>≤50</w:t>
            </w:r>
          </w:p>
        </w:tc>
      </w:tr>
      <w:bookmarkEnd w:id="70"/>
      <w:bookmarkEnd w:id="71"/>
      <w:bookmarkEnd w:id="72"/>
      <w:bookmarkEnd w:id="73"/>
      <w:bookmarkEnd w:id="74"/>
      <w:bookmarkEnd w:id="75"/>
    </w:tbl>
    <w:p w14:paraId="75916DE0">
      <w:pPr>
        <w:spacing w:line="360" w:lineRule="auto"/>
        <w:ind w:firstLine="480" w:firstLineChars="200"/>
        <w:rPr>
          <w:b/>
          <w:color w:val="000000" w:themeColor="text1"/>
          <w:sz w:val="24"/>
        </w:rPr>
      </w:pPr>
      <w:r>
        <w:rPr>
          <w:b/>
          <w:color w:val="000000" w:themeColor="text1"/>
          <w:sz w:val="24"/>
        </w:rPr>
        <w:t>（4）固体废物</w:t>
      </w:r>
    </w:p>
    <w:p w14:paraId="67ECF29A">
      <w:pPr>
        <w:spacing w:line="360" w:lineRule="auto"/>
        <w:ind w:firstLine="480" w:firstLineChars="200"/>
        <w:rPr>
          <w:color w:val="000000" w:themeColor="text1"/>
          <w:sz w:val="24"/>
        </w:rPr>
      </w:pPr>
      <w:r>
        <w:rPr>
          <w:color w:val="000000" w:themeColor="text1"/>
          <w:sz w:val="24"/>
        </w:rPr>
        <w:t>GB18599-2001《一般工业固体废弃物贮存、处置场污染物控制标准》及其修改单；</w:t>
      </w:r>
    </w:p>
    <w:p w14:paraId="0F621AC7">
      <w:pPr>
        <w:spacing w:line="360" w:lineRule="auto"/>
        <w:ind w:firstLine="480" w:firstLineChars="200"/>
        <w:rPr>
          <w:color w:val="000000" w:themeColor="text1"/>
          <w:sz w:val="24"/>
        </w:rPr>
      </w:pPr>
      <w:r>
        <w:rPr>
          <w:color w:val="000000" w:themeColor="text1"/>
          <w:sz w:val="24"/>
        </w:rPr>
        <w:t>危险固体废物执行《危险废物贮存污染控制标准》（GB18597-2001）及其修改单；</w:t>
      </w:r>
    </w:p>
    <w:bookmarkEnd w:id="59"/>
    <w:bookmarkEnd w:id="60"/>
    <w:bookmarkEnd w:id="61"/>
    <w:p w14:paraId="106DF3B9">
      <w:pPr>
        <w:pStyle w:val="4"/>
        <w:rPr>
          <w:rFonts w:ascii="Times New Roman" w:hAnsi="Times New Roman"/>
          <w:color w:val="000000" w:themeColor="text1"/>
        </w:rPr>
      </w:pPr>
      <w:bookmarkStart w:id="76" w:name="_Toc28117678"/>
      <w:bookmarkStart w:id="77" w:name="_Toc360004796"/>
      <w:bookmarkStart w:id="78" w:name="_Toc362393089"/>
      <w:r>
        <w:rPr>
          <w:rFonts w:ascii="Times New Roman" w:hAnsi="Times New Roman"/>
          <w:color w:val="000000" w:themeColor="text1"/>
        </w:rPr>
        <w:t>1.4环境影响因子识别和评价因子的筛选</w:t>
      </w:r>
      <w:bookmarkEnd w:id="76"/>
    </w:p>
    <w:p w14:paraId="31783C0B">
      <w:pPr>
        <w:pStyle w:val="105"/>
        <w:rPr>
          <w:rFonts w:cs="Times New Roman"/>
          <w:color w:val="000000" w:themeColor="text1"/>
        </w:rPr>
      </w:pPr>
      <w:r>
        <w:rPr>
          <w:rFonts w:cs="Times New Roman"/>
          <w:color w:val="000000" w:themeColor="text1"/>
        </w:rPr>
        <w:t>1.4.1环境影响因子识别</w:t>
      </w:r>
    </w:p>
    <w:p w14:paraId="47480977">
      <w:pPr>
        <w:spacing w:line="360" w:lineRule="auto"/>
        <w:ind w:firstLine="480"/>
        <w:rPr>
          <w:color w:val="000000" w:themeColor="text1"/>
          <w:sz w:val="24"/>
        </w:rPr>
      </w:pPr>
      <w:r>
        <w:rPr>
          <w:color w:val="000000" w:themeColor="text1"/>
          <w:sz w:val="24"/>
        </w:rPr>
        <w:t>本项目对环境的影响发生在施工期和运营期，主要影响在运营期。</w:t>
      </w:r>
    </w:p>
    <w:p w14:paraId="7AD7C160">
      <w:pPr>
        <w:spacing w:line="360" w:lineRule="auto"/>
        <w:ind w:firstLine="480"/>
        <w:rPr>
          <w:color w:val="000000" w:themeColor="text1"/>
          <w:sz w:val="24"/>
        </w:rPr>
      </w:pPr>
      <w:r>
        <w:rPr>
          <w:color w:val="000000" w:themeColor="text1"/>
          <w:sz w:val="24"/>
        </w:rPr>
        <w:t>不利影响主要为：运营期产生的废水、废气和固体废物对环境的影响；施工期噪声、扬尘、水土流失对环境的影响。</w:t>
      </w:r>
    </w:p>
    <w:p w14:paraId="4BA8BE07">
      <w:pPr>
        <w:spacing w:line="360" w:lineRule="auto"/>
        <w:ind w:firstLine="480"/>
        <w:rPr>
          <w:color w:val="000000" w:themeColor="text1"/>
          <w:sz w:val="24"/>
        </w:rPr>
      </w:pPr>
      <w:r>
        <w:rPr>
          <w:color w:val="000000" w:themeColor="text1"/>
          <w:sz w:val="24"/>
        </w:rPr>
        <w:t>有利影响主要为：运营期对项目的所在区域的社会经济发展产生积极的影响；施工期对区域社会环境经济发展产生的正面影响。</w:t>
      </w:r>
    </w:p>
    <w:p w14:paraId="070B9445">
      <w:pPr>
        <w:spacing w:line="360" w:lineRule="auto"/>
        <w:ind w:firstLine="480"/>
        <w:rPr>
          <w:color w:val="000000" w:themeColor="text1"/>
          <w:sz w:val="24"/>
        </w:rPr>
      </w:pPr>
      <w:r>
        <w:rPr>
          <w:color w:val="000000" w:themeColor="text1"/>
          <w:sz w:val="24"/>
        </w:rPr>
        <w:t>建设项目可能产生的环境影响因子识别见表1.4-1。</w:t>
      </w:r>
    </w:p>
    <w:p w14:paraId="718EA827">
      <w:pPr>
        <w:autoSpaceDE w:val="0"/>
        <w:autoSpaceDN w:val="0"/>
        <w:jc w:val="center"/>
        <w:rPr>
          <w:b/>
          <w:color w:val="000000" w:themeColor="text1"/>
          <w:sz w:val="24"/>
        </w:rPr>
      </w:pPr>
      <w:r>
        <w:rPr>
          <w:b/>
          <w:color w:val="000000" w:themeColor="text1"/>
          <w:sz w:val="24"/>
        </w:rPr>
        <w:t>表1.4-1  环境影响因子识别表</w:t>
      </w:r>
    </w:p>
    <w:tbl>
      <w:tblPr>
        <w:tblStyle w:val="42"/>
        <w:tblW w:w="8522"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066"/>
        <w:gridCol w:w="1660"/>
        <w:gridCol w:w="945"/>
        <w:gridCol w:w="945"/>
        <w:gridCol w:w="946"/>
        <w:gridCol w:w="946"/>
        <w:gridCol w:w="950"/>
      </w:tblGrid>
      <w:tr w14:paraId="77F202A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restart"/>
            <w:vAlign w:val="center"/>
          </w:tcPr>
          <w:p w14:paraId="03B7EB6C">
            <w:pPr>
              <w:jc w:val="center"/>
              <w:rPr>
                <w:color w:val="000000" w:themeColor="text1"/>
                <w:szCs w:val="21"/>
              </w:rPr>
            </w:pPr>
            <w:r>
              <w:rPr>
                <w:color w:val="000000" w:themeColor="text1"/>
                <w:szCs w:val="21"/>
              </w:rPr>
              <w:t>环境影响因子</w:t>
            </w:r>
          </w:p>
        </w:tc>
        <w:tc>
          <w:tcPr>
            <w:tcW w:w="2726" w:type="dxa"/>
            <w:gridSpan w:val="2"/>
            <w:vAlign w:val="center"/>
          </w:tcPr>
          <w:p w14:paraId="564A2D8A">
            <w:pPr>
              <w:jc w:val="center"/>
              <w:rPr>
                <w:color w:val="000000" w:themeColor="text1"/>
                <w:szCs w:val="21"/>
              </w:rPr>
            </w:pPr>
            <w:r>
              <w:rPr>
                <w:color w:val="000000" w:themeColor="text1"/>
                <w:szCs w:val="21"/>
              </w:rPr>
              <w:t>施工期</w:t>
            </w:r>
          </w:p>
        </w:tc>
        <w:tc>
          <w:tcPr>
            <w:tcW w:w="4732" w:type="dxa"/>
            <w:gridSpan w:val="5"/>
            <w:vAlign w:val="center"/>
          </w:tcPr>
          <w:p w14:paraId="2FB29579">
            <w:pPr>
              <w:jc w:val="center"/>
              <w:rPr>
                <w:color w:val="000000" w:themeColor="text1"/>
                <w:szCs w:val="21"/>
              </w:rPr>
            </w:pPr>
            <w:r>
              <w:rPr>
                <w:color w:val="000000" w:themeColor="text1"/>
                <w:szCs w:val="21"/>
              </w:rPr>
              <w:t>运营期</w:t>
            </w:r>
          </w:p>
        </w:tc>
      </w:tr>
      <w:tr w14:paraId="702E445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Merge w:val="continue"/>
            <w:vAlign w:val="center"/>
          </w:tcPr>
          <w:p w14:paraId="6BA2A42B">
            <w:pPr>
              <w:jc w:val="center"/>
              <w:rPr>
                <w:color w:val="000000" w:themeColor="text1"/>
                <w:szCs w:val="21"/>
              </w:rPr>
            </w:pPr>
          </w:p>
        </w:tc>
        <w:tc>
          <w:tcPr>
            <w:tcW w:w="1066" w:type="dxa"/>
            <w:vAlign w:val="center"/>
          </w:tcPr>
          <w:p w14:paraId="12ED066B">
            <w:pPr>
              <w:jc w:val="center"/>
              <w:rPr>
                <w:color w:val="000000" w:themeColor="text1"/>
                <w:szCs w:val="21"/>
              </w:rPr>
            </w:pPr>
            <w:r>
              <w:rPr>
                <w:color w:val="000000" w:themeColor="text1"/>
                <w:szCs w:val="21"/>
              </w:rPr>
              <w:t>开挖、机械作业等</w:t>
            </w:r>
          </w:p>
        </w:tc>
        <w:tc>
          <w:tcPr>
            <w:tcW w:w="1660" w:type="dxa"/>
            <w:vAlign w:val="center"/>
          </w:tcPr>
          <w:p w14:paraId="2C7D7ED0">
            <w:pPr>
              <w:jc w:val="center"/>
              <w:rPr>
                <w:color w:val="000000" w:themeColor="text1"/>
                <w:szCs w:val="21"/>
              </w:rPr>
            </w:pPr>
            <w:r>
              <w:rPr>
                <w:color w:val="000000" w:themeColor="text1"/>
                <w:szCs w:val="21"/>
              </w:rPr>
              <w:t>废水、固废、噪声</w:t>
            </w:r>
          </w:p>
        </w:tc>
        <w:tc>
          <w:tcPr>
            <w:tcW w:w="945" w:type="dxa"/>
            <w:vAlign w:val="center"/>
          </w:tcPr>
          <w:p w14:paraId="1011BC35">
            <w:pPr>
              <w:jc w:val="center"/>
              <w:rPr>
                <w:color w:val="000000" w:themeColor="text1"/>
                <w:szCs w:val="21"/>
              </w:rPr>
            </w:pPr>
            <w:r>
              <w:rPr>
                <w:color w:val="000000" w:themeColor="text1"/>
                <w:szCs w:val="21"/>
              </w:rPr>
              <w:t>废水</w:t>
            </w:r>
          </w:p>
        </w:tc>
        <w:tc>
          <w:tcPr>
            <w:tcW w:w="945" w:type="dxa"/>
            <w:vAlign w:val="center"/>
          </w:tcPr>
          <w:p w14:paraId="751676CA">
            <w:pPr>
              <w:jc w:val="center"/>
              <w:rPr>
                <w:color w:val="000000" w:themeColor="text1"/>
                <w:szCs w:val="21"/>
              </w:rPr>
            </w:pPr>
            <w:r>
              <w:rPr>
                <w:color w:val="000000" w:themeColor="text1"/>
                <w:szCs w:val="21"/>
              </w:rPr>
              <w:t>固体</w:t>
            </w:r>
          </w:p>
          <w:p w14:paraId="1203025A">
            <w:pPr>
              <w:jc w:val="center"/>
              <w:rPr>
                <w:color w:val="000000" w:themeColor="text1"/>
                <w:szCs w:val="21"/>
              </w:rPr>
            </w:pPr>
            <w:r>
              <w:rPr>
                <w:color w:val="000000" w:themeColor="text1"/>
                <w:szCs w:val="21"/>
              </w:rPr>
              <w:t>废物</w:t>
            </w:r>
          </w:p>
        </w:tc>
        <w:tc>
          <w:tcPr>
            <w:tcW w:w="946" w:type="dxa"/>
            <w:vAlign w:val="center"/>
          </w:tcPr>
          <w:p w14:paraId="06F9C664">
            <w:pPr>
              <w:jc w:val="center"/>
              <w:rPr>
                <w:color w:val="000000" w:themeColor="text1"/>
                <w:szCs w:val="21"/>
              </w:rPr>
            </w:pPr>
            <w:r>
              <w:rPr>
                <w:color w:val="000000" w:themeColor="text1"/>
                <w:szCs w:val="21"/>
              </w:rPr>
              <w:t>废气</w:t>
            </w:r>
          </w:p>
        </w:tc>
        <w:tc>
          <w:tcPr>
            <w:tcW w:w="946" w:type="dxa"/>
            <w:vAlign w:val="center"/>
          </w:tcPr>
          <w:p w14:paraId="36BA3BEE">
            <w:pPr>
              <w:jc w:val="center"/>
              <w:rPr>
                <w:color w:val="000000" w:themeColor="text1"/>
                <w:szCs w:val="21"/>
              </w:rPr>
            </w:pPr>
            <w:r>
              <w:rPr>
                <w:color w:val="000000" w:themeColor="text1"/>
                <w:szCs w:val="21"/>
              </w:rPr>
              <w:t>噪声</w:t>
            </w:r>
          </w:p>
        </w:tc>
        <w:tc>
          <w:tcPr>
            <w:tcW w:w="950" w:type="dxa"/>
            <w:vAlign w:val="center"/>
          </w:tcPr>
          <w:p w14:paraId="0EE2B6C9">
            <w:pPr>
              <w:jc w:val="center"/>
              <w:rPr>
                <w:color w:val="000000" w:themeColor="text1"/>
                <w:szCs w:val="21"/>
              </w:rPr>
            </w:pPr>
            <w:r>
              <w:rPr>
                <w:color w:val="000000" w:themeColor="text1"/>
                <w:szCs w:val="21"/>
              </w:rPr>
              <w:t>项目</w:t>
            </w:r>
          </w:p>
          <w:p w14:paraId="537E6307">
            <w:pPr>
              <w:jc w:val="center"/>
              <w:rPr>
                <w:color w:val="000000" w:themeColor="text1"/>
                <w:szCs w:val="21"/>
              </w:rPr>
            </w:pPr>
            <w:r>
              <w:rPr>
                <w:color w:val="000000" w:themeColor="text1"/>
                <w:szCs w:val="21"/>
              </w:rPr>
              <w:t>运营</w:t>
            </w:r>
          </w:p>
        </w:tc>
      </w:tr>
      <w:tr w14:paraId="48EEE34D">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3858C684">
            <w:pPr>
              <w:jc w:val="center"/>
              <w:rPr>
                <w:color w:val="000000" w:themeColor="text1"/>
                <w:szCs w:val="21"/>
              </w:rPr>
            </w:pPr>
            <w:r>
              <w:rPr>
                <w:color w:val="000000" w:themeColor="text1"/>
                <w:szCs w:val="21"/>
              </w:rPr>
              <w:t>土地利用</w:t>
            </w:r>
          </w:p>
        </w:tc>
        <w:tc>
          <w:tcPr>
            <w:tcW w:w="1066" w:type="dxa"/>
            <w:vAlign w:val="center"/>
          </w:tcPr>
          <w:p w14:paraId="0A484A8F">
            <w:pPr>
              <w:jc w:val="center"/>
              <w:rPr>
                <w:color w:val="000000" w:themeColor="text1"/>
                <w:szCs w:val="21"/>
              </w:rPr>
            </w:pPr>
            <w:r>
              <w:rPr>
                <w:color w:val="000000" w:themeColor="text1"/>
                <w:szCs w:val="21"/>
              </w:rPr>
              <w:t>/</w:t>
            </w:r>
          </w:p>
        </w:tc>
        <w:tc>
          <w:tcPr>
            <w:tcW w:w="1660" w:type="dxa"/>
            <w:vAlign w:val="center"/>
          </w:tcPr>
          <w:p w14:paraId="23106E99">
            <w:pPr>
              <w:jc w:val="center"/>
              <w:rPr>
                <w:color w:val="000000" w:themeColor="text1"/>
                <w:szCs w:val="21"/>
              </w:rPr>
            </w:pPr>
            <w:r>
              <w:rPr>
                <w:color w:val="000000" w:themeColor="text1"/>
                <w:szCs w:val="21"/>
              </w:rPr>
              <w:t>●</w:t>
            </w:r>
          </w:p>
        </w:tc>
        <w:tc>
          <w:tcPr>
            <w:tcW w:w="945" w:type="dxa"/>
            <w:vAlign w:val="center"/>
          </w:tcPr>
          <w:p w14:paraId="016A1FE8">
            <w:pPr>
              <w:jc w:val="center"/>
              <w:rPr>
                <w:color w:val="000000" w:themeColor="text1"/>
                <w:szCs w:val="21"/>
              </w:rPr>
            </w:pPr>
            <w:r>
              <w:rPr>
                <w:color w:val="000000" w:themeColor="text1"/>
                <w:szCs w:val="21"/>
              </w:rPr>
              <w:t>●</w:t>
            </w:r>
          </w:p>
        </w:tc>
        <w:tc>
          <w:tcPr>
            <w:tcW w:w="945" w:type="dxa"/>
            <w:vAlign w:val="center"/>
          </w:tcPr>
          <w:p w14:paraId="532CDC22">
            <w:pPr>
              <w:jc w:val="center"/>
              <w:rPr>
                <w:color w:val="000000" w:themeColor="text1"/>
                <w:szCs w:val="21"/>
              </w:rPr>
            </w:pPr>
            <w:r>
              <w:rPr>
                <w:color w:val="000000" w:themeColor="text1"/>
                <w:szCs w:val="21"/>
              </w:rPr>
              <w:t>●</w:t>
            </w:r>
          </w:p>
        </w:tc>
        <w:tc>
          <w:tcPr>
            <w:tcW w:w="946" w:type="dxa"/>
            <w:vAlign w:val="center"/>
          </w:tcPr>
          <w:p w14:paraId="41459957">
            <w:pPr>
              <w:jc w:val="center"/>
              <w:rPr>
                <w:color w:val="000000" w:themeColor="text1"/>
                <w:szCs w:val="21"/>
              </w:rPr>
            </w:pPr>
            <w:r>
              <w:rPr>
                <w:color w:val="000000" w:themeColor="text1"/>
                <w:szCs w:val="21"/>
              </w:rPr>
              <w:t>●</w:t>
            </w:r>
          </w:p>
        </w:tc>
        <w:tc>
          <w:tcPr>
            <w:tcW w:w="946" w:type="dxa"/>
            <w:vAlign w:val="center"/>
          </w:tcPr>
          <w:p w14:paraId="799C677B">
            <w:pPr>
              <w:jc w:val="center"/>
              <w:rPr>
                <w:color w:val="000000" w:themeColor="text1"/>
                <w:szCs w:val="21"/>
              </w:rPr>
            </w:pPr>
            <w:r>
              <w:rPr>
                <w:color w:val="000000" w:themeColor="text1"/>
                <w:szCs w:val="21"/>
              </w:rPr>
              <w:t>●</w:t>
            </w:r>
          </w:p>
        </w:tc>
        <w:tc>
          <w:tcPr>
            <w:tcW w:w="950" w:type="dxa"/>
            <w:vAlign w:val="center"/>
          </w:tcPr>
          <w:p w14:paraId="62476019">
            <w:pPr>
              <w:jc w:val="center"/>
              <w:rPr>
                <w:color w:val="000000" w:themeColor="text1"/>
                <w:szCs w:val="21"/>
              </w:rPr>
            </w:pPr>
            <w:r>
              <w:rPr>
                <w:color w:val="000000" w:themeColor="text1"/>
                <w:szCs w:val="21"/>
              </w:rPr>
              <w:t>●</w:t>
            </w:r>
          </w:p>
        </w:tc>
      </w:tr>
      <w:tr w14:paraId="744A00E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74B735BA">
            <w:pPr>
              <w:jc w:val="center"/>
              <w:rPr>
                <w:color w:val="000000" w:themeColor="text1"/>
                <w:szCs w:val="21"/>
              </w:rPr>
            </w:pPr>
            <w:r>
              <w:rPr>
                <w:color w:val="000000" w:themeColor="text1"/>
                <w:szCs w:val="21"/>
              </w:rPr>
              <w:t>地表水</w:t>
            </w:r>
          </w:p>
        </w:tc>
        <w:tc>
          <w:tcPr>
            <w:tcW w:w="1066" w:type="dxa"/>
            <w:vAlign w:val="center"/>
          </w:tcPr>
          <w:p w14:paraId="08C4B26C">
            <w:pPr>
              <w:jc w:val="center"/>
              <w:rPr>
                <w:color w:val="000000" w:themeColor="text1"/>
                <w:szCs w:val="21"/>
              </w:rPr>
            </w:pPr>
            <w:r>
              <w:rPr>
                <w:color w:val="000000" w:themeColor="text1"/>
                <w:szCs w:val="21"/>
              </w:rPr>
              <w:t>●</w:t>
            </w:r>
          </w:p>
        </w:tc>
        <w:tc>
          <w:tcPr>
            <w:tcW w:w="1660" w:type="dxa"/>
            <w:vAlign w:val="center"/>
          </w:tcPr>
          <w:p w14:paraId="0FDBED4D">
            <w:pPr>
              <w:jc w:val="center"/>
              <w:rPr>
                <w:color w:val="000000" w:themeColor="text1"/>
                <w:szCs w:val="21"/>
              </w:rPr>
            </w:pPr>
            <w:r>
              <w:rPr>
                <w:color w:val="000000" w:themeColor="text1"/>
                <w:szCs w:val="21"/>
              </w:rPr>
              <w:t>●</w:t>
            </w:r>
          </w:p>
        </w:tc>
        <w:tc>
          <w:tcPr>
            <w:tcW w:w="945" w:type="dxa"/>
            <w:vAlign w:val="center"/>
          </w:tcPr>
          <w:p w14:paraId="27BA9253">
            <w:pPr>
              <w:jc w:val="center"/>
              <w:rPr>
                <w:color w:val="000000" w:themeColor="text1"/>
                <w:szCs w:val="21"/>
              </w:rPr>
            </w:pPr>
            <w:r>
              <w:rPr>
                <w:color w:val="000000" w:themeColor="text1"/>
                <w:szCs w:val="21"/>
              </w:rPr>
              <w:t>●</w:t>
            </w:r>
          </w:p>
        </w:tc>
        <w:tc>
          <w:tcPr>
            <w:tcW w:w="945" w:type="dxa"/>
            <w:vAlign w:val="center"/>
          </w:tcPr>
          <w:p w14:paraId="07AC3379">
            <w:pPr>
              <w:jc w:val="center"/>
              <w:rPr>
                <w:color w:val="000000" w:themeColor="text1"/>
                <w:szCs w:val="21"/>
              </w:rPr>
            </w:pPr>
            <w:r>
              <w:rPr>
                <w:color w:val="000000" w:themeColor="text1"/>
                <w:szCs w:val="21"/>
              </w:rPr>
              <w:t>●</w:t>
            </w:r>
          </w:p>
        </w:tc>
        <w:tc>
          <w:tcPr>
            <w:tcW w:w="946" w:type="dxa"/>
            <w:vAlign w:val="center"/>
          </w:tcPr>
          <w:p w14:paraId="2DC50B76">
            <w:pPr>
              <w:jc w:val="center"/>
              <w:rPr>
                <w:color w:val="000000" w:themeColor="text1"/>
                <w:szCs w:val="21"/>
              </w:rPr>
            </w:pPr>
            <w:r>
              <w:rPr>
                <w:color w:val="000000" w:themeColor="text1"/>
                <w:szCs w:val="21"/>
              </w:rPr>
              <w:t>●</w:t>
            </w:r>
          </w:p>
        </w:tc>
        <w:tc>
          <w:tcPr>
            <w:tcW w:w="946" w:type="dxa"/>
            <w:vAlign w:val="center"/>
          </w:tcPr>
          <w:p w14:paraId="55FD21A5">
            <w:pPr>
              <w:jc w:val="center"/>
              <w:rPr>
                <w:color w:val="000000" w:themeColor="text1"/>
                <w:szCs w:val="21"/>
              </w:rPr>
            </w:pPr>
            <w:r>
              <w:rPr>
                <w:color w:val="000000" w:themeColor="text1"/>
                <w:szCs w:val="21"/>
              </w:rPr>
              <w:t>/</w:t>
            </w:r>
          </w:p>
        </w:tc>
        <w:tc>
          <w:tcPr>
            <w:tcW w:w="950" w:type="dxa"/>
            <w:vAlign w:val="center"/>
          </w:tcPr>
          <w:p w14:paraId="64595053">
            <w:pPr>
              <w:jc w:val="center"/>
              <w:rPr>
                <w:color w:val="000000" w:themeColor="text1"/>
                <w:szCs w:val="21"/>
              </w:rPr>
            </w:pPr>
            <w:r>
              <w:rPr>
                <w:color w:val="000000" w:themeColor="text1"/>
                <w:szCs w:val="21"/>
              </w:rPr>
              <w:t>●</w:t>
            </w:r>
          </w:p>
        </w:tc>
      </w:tr>
      <w:tr w14:paraId="272F01A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0E5AAE63">
            <w:pPr>
              <w:jc w:val="center"/>
              <w:rPr>
                <w:color w:val="000000" w:themeColor="text1"/>
                <w:szCs w:val="21"/>
              </w:rPr>
            </w:pPr>
            <w:r>
              <w:rPr>
                <w:color w:val="000000" w:themeColor="text1"/>
                <w:szCs w:val="21"/>
              </w:rPr>
              <w:t>大气环境</w:t>
            </w:r>
          </w:p>
        </w:tc>
        <w:tc>
          <w:tcPr>
            <w:tcW w:w="1066" w:type="dxa"/>
            <w:vAlign w:val="center"/>
          </w:tcPr>
          <w:p w14:paraId="7D7EACF2">
            <w:pPr>
              <w:jc w:val="center"/>
              <w:rPr>
                <w:color w:val="000000" w:themeColor="text1"/>
                <w:szCs w:val="21"/>
              </w:rPr>
            </w:pPr>
            <w:r>
              <w:rPr>
                <w:color w:val="000000" w:themeColor="text1"/>
                <w:szCs w:val="21"/>
              </w:rPr>
              <w:t>●</w:t>
            </w:r>
          </w:p>
        </w:tc>
        <w:tc>
          <w:tcPr>
            <w:tcW w:w="1660" w:type="dxa"/>
            <w:vAlign w:val="center"/>
          </w:tcPr>
          <w:p w14:paraId="4B4FE509">
            <w:pPr>
              <w:jc w:val="center"/>
              <w:rPr>
                <w:color w:val="000000" w:themeColor="text1"/>
                <w:szCs w:val="21"/>
              </w:rPr>
            </w:pPr>
            <w:r>
              <w:rPr>
                <w:color w:val="000000" w:themeColor="text1"/>
                <w:szCs w:val="21"/>
              </w:rPr>
              <w:t>●</w:t>
            </w:r>
          </w:p>
        </w:tc>
        <w:tc>
          <w:tcPr>
            <w:tcW w:w="945" w:type="dxa"/>
            <w:vAlign w:val="center"/>
          </w:tcPr>
          <w:p w14:paraId="47D2985D">
            <w:pPr>
              <w:jc w:val="center"/>
              <w:rPr>
                <w:color w:val="000000" w:themeColor="text1"/>
                <w:szCs w:val="21"/>
              </w:rPr>
            </w:pPr>
            <w:r>
              <w:rPr>
                <w:color w:val="000000" w:themeColor="text1"/>
                <w:szCs w:val="21"/>
              </w:rPr>
              <w:t>/</w:t>
            </w:r>
          </w:p>
        </w:tc>
        <w:tc>
          <w:tcPr>
            <w:tcW w:w="945" w:type="dxa"/>
            <w:vAlign w:val="center"/>
          </w:tcPr>
          <w:p w14:paraId="79A80FC4">
            <w:pPr>
              <w:jc w:val="center"/>
              <w:rPr>
                <w:color w:val="000000" w:themeColor="text1"/>
                <w:szCs w:val="21"/>
              </w:rPr>
            </w:pPr>
            <w:r>
              <w:rPr>
                <w:color w:val="000000" w:themeColor="text1"/>
                <w:szCs w:val="21"/>
              </w:rPr>
              <w:t>●</w:t>
            </w:r>
          </w:p>
        </w:tc>
        <w:tc>
          <w:tcPr>
            <w:tcW w:w="946" w:type="dxa"/>
            <w:vAlign w:val="center"/>
          </w:tcPr>
          <w:p w14:paraId="1DB9EBA5">
            <w:pPr>
              <w:jc w:val="center"/>
              <w:rPr>
                <w:color w:val="000000" w:themeColor="text1"/>
                <w:szCs w:val="21"/>
              </w:rPr>
            </w:pPr>
            <w:r>
              <w:rPr>
                <w:color w:val="000000" w:themeColor="text1"/>
                <w:szCs w:val="21"/>
              </w:rPr>
              <w:t>●</w:t>
            </w:r>
          </w:p>
        </w:tc>
        <w:tc>
          <w:tcPr>
            <w:tcW w:w="946" w:type="dxa"/>
            <w:vAlign w:val="center"/>
          </w:tcPr>
          <w:p w14:paraId="0BC57BEF">
            <w:pPr>
              <w:jc w:val="center"/>
              <w:rPr>
                <w:color w:val="000000" w:themeColor="text1"/>
                <w:szCs w:val="21"/>
              </w:rPr>
            </w:pPr>
            <w:r>
              <w:rPr>
                <w:color w:val="000000" w:themeColor="text1"/>
                <w:szCs w:val="21"/>
              </w:rPr>
              <w:t>/</w:t>
            </w:r>
          </w:p>
        </w:tc>
        <w:tc>
          <w:tcPr>
            <w:tcW w:w="950" w:type="dxa"/>
            <w:vAlign w:val="center"/>
          </w:tcPr>
          <w:p w14:paraId="22291F4B">
            <w:pPr>
              <w:jc w:val="center"/>
              <w:rPr>
                <w:color w:val="000000" w:themeColor="text1"/>
                <w:szCs w:val="21"/>
              </w:rPr>
            </w:pPr>
            <w:r>
              <w:rPr>
                <w:color w:val="000000" w:themeColor="text1"/>
                <w:szCs w:val="21"/>
              </w:rPr>
              <w:t>●</w:t>
            </w:r>
          </w:p>
        </w:tc>
      </w:tr>
      <w:tr w14:paraId="286B89B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5A3C6833">
            <w:pPr>
              <w:jc w:val="center"/>
              <w:rPr>
                <w:color w:val="000000" w:themeColor="text1"/>
                <w:szCs w:val="21"/>
              </w:rPr>
            </w:pPr>
            <w:r>
              <w:rPr>
                <w:color w:val="000000" w:themeColor="text1"/>
                <w:szCs w:val="21"/>
              </w:rPr>
              <w:t>声环境</w:t>
            </w:r>
          </w:p>
        </w:tc>
        <w:tc>
          <w:tcPr>
            <w:tcW w:w="1066" w:type="dxa"/>
            <w:vAlign w:val="center"/>
          </w:tcPr>
          <w:p w14:paraId="0BEDB64B">
            <w:pPr>
              <w:jc w:val="center"/>
              <w:rPr>
                <w:color w:val="000000" w:themeColor="text1"/>
                <w:szCs w:val="21"/>
              </w:rPr>
            </w:pPr>
            <w:r>
              <w:rPr>
                <w:color w:val="000000" w:themeColor="text1"/>
                <w:szCs w:val="21"/>
              </w:rPr>
              <w:t>●</w:t>
            </w:r>
          </w:p>
        </w:tc>
        <w:tc>
          <w:tcPr>
            <w:tcW w:w="1660" w:type="dxa"/>
            <w:vAlign w:val="center"/>
          </w:tcPr>
          <w:p w14:paraId="29042042">
            <w:pPr>
              <w:jc w:val="center"/>
              <w:rPr>
                <w:color w:val="000000" w:themeColor="text1"/>
                <w:szCs w:val="21"/>
              </w:rPr>
            </w:pPr>
            <w:r>
              <w:rPr>
                <w:color w:val="000000" w:themeColor="text1"/>
                <w:szCs w:val="21"/>
              </w:rPr>
              <w:t>●</w:t>
            </w:r>
          </w:p>
        </w:tc>
        <w:tc>
          <w:tcPr>
            <w:tcW w:w="945" w:type="dxa"/>
            <w:vAlign w:val="center"/>
          </w:tcPr>
          <w:p w14:paraId="25529CD2">
            <w:pPr>
              <w:jc w:val="center"/>
              <w:rPr>
                <w:color w:val="000000" w:themeColor="text1"/>
                <w:szCs w:val="21"/>
              </w:rPr>
            </w:pPr>
            <w:r>
              <w:rPr>
                <w:color w:val="000000" w:themeColor="text1"/>
                <w:szCs w:val="21"/>
              </w:rPr>
              <w:t>/</w:t>
            </w:r>
          </w:p>
        </w:tc>
        <w:tc>
          <w:tcPr>
            <w:tcW w:w="945" w:type="dxa"/>
            <w:vAlign w:val="center"/>
          </w:tcPr>
          <w:p w14:paraId="5C7C04A0">
            <w:pPr>
              <w:jc w:val="center"/>
              <w:rPr>
                <w:color w:val="000000" w:themeColor="text1"/>
                <w:szCs w:val="21"/>
              </w:rPr>
            </w:pPr>
            <w:r>
              <w:rPr>
                <w:color w:val="000000" w:themeColor="text1"/>
                <w:szCs w:val="21"/>
              </w:rPr>
              <w:t>/</w:t>
            </w:r>
          </w:p>
        </w:tc>
        <w:tc>
          <w:tcPr>
            <w:tcW w:w="946" w:type="dxa"/>
            <w:vAlign w:val="center"/>
          </w:tcPr>
          <w:p w14:paraId="5807BB67">
            <w:pPr>
              <w:jc w:val="center"/>
              <w:rPr>
                <w:color w:val="000000" w:themeColor="text1"/>
                <w:szCs w:val="21"/>
              </w:rPr>
            </w:pPr>
            <w:r>
              <w:rPr>
                <w:color w:val="000000" w:themeColor="text1"/>
                <w:szCs w:val="21"/>
              </w:rPr>
              <w:t>/</w:t>
            </w:r>
          </w:p>
        </w:tc>
        <w:tc>
          <w:tcPr>
            <w:tcW w:w="946" w:type="dxa"/>
            <w:vAlign w:val="center"/>
          </w:tcPr>
          <w:p w14:paraId="6B2F70A2">
            <w:pPr>
              <w:jc w:val="center"/>
              <w:rPr>
                <w:color w:val="000000" w:themeColor="text1"/>
                <w:szCs w:val="21"/>
              </w:rPr>
            </w:pPr>
            <w:r>
              <w:rPr>
                <w:color w:val="000000" w:themeColor="text1"/>
                <w:szCs w:val="21"/>
              </w:rPr>
              <w:t>●</w:t>
            </w:r>
          </w:p>
        </w:tc>
        <w:tc>
          <w:tcPr>
            <w:tcW w:w="950" w:type="dxa"/>
            <w:vAlign w:val="center"/>
          </w:tcPr>
          <w:p w14:paraId="0C3EE5BA">
            <w:pPr>
              <w:jc w:val="center"/>
              <w:rPr>
                <w:color w:val="000000" w:themeColor="text1"/>
                <w:szCs w:val="21"/>
              </w:rPr>
            </w:pPr>
            <w:r>
              <w:rPr>
                <w:color w:val="000000" w:themeColor="text1"/>
                <w:szCs w:val="21"/>
              </w:rPr>
              <w:t>●</w:t>
            </w:r>
          </w:p>
        </w:tc>
      </w:tr>
      <w:tr w14:paraId="2C53A99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1DA39A30">
            <w:pPr>
              <w:jc w:val="center"/>
              <w:rPr>
                <w:color w:val="000000" w:themeColor="text1"/>
                <w:szCs w:val="21"/>
              </w:rPr>
            </w:pPr>
            <w:r>
              <w:rPr>
                <w:color w:val="000000" w:themeColor="text1"/>
                <w:szCs w:val="21"/>
              </w:rPr>
              <w:t>备注</w:t>
            </w:r>
          </w:p>
        </w:tc>
        <w:tc>
          <w:tcPr>
            <w:tcW w:w="7458" w:type="dxa"/>
            <w:gridSpan w:val="7"/>
            <w:vAlign w:val="center"/>
          </w:tcPr>
          <w:p w14:paraId="421D24BF">
            <w:pPr>
              <w:jc w:val="center"/>
              <w:rPr>
                <w:color w:val="000000" w:themeColor="text1"/>
                <w:szCs w:val="21"/>
              </w:rPr>
            </w:pPr>
            <w:r>
              <w:rPr>
                <w:color w:val="000000" w:themeColor="text1"/>
                <w:szCs w:val="21"/>
              </w:rPr>
              <w:t>○为有利影响；●为不利影响；/为无影响或微小影响</w:t>
            </w:r>
          </w:p>
        </w:tc>
      </w:tr>
    </w:tbl>
    <w:p w14:paraId="0960C1CD">
      <w:pPr>
        <w:autoSpaceDE w:val="0"/>
        <w:autoSpaceDN w:val="0"/>
        <w:jc w:val="center"/>
        <w:rPr>
          <w:b/>
          <w:color w:val="000000" w:themeColor="text1"/>
          <w:sz w:val="24"/>
        </w:rPr>
      </w:pPr>
      <w:r>
        <w:rPr>
          <w:b/>
          <w:color w:val="000000" w:themeColor="text1"/>
          <w:sz w:val="24"/>
        </w:rPr>
        <w:t>表1.4-2  环境影响性质分析一览表</w:t>
      </w:r>
    </w:p>
    <w:tbl>
      <w:tblPr>
        <w:tblStyle w:val="42"/>
        <w:tblW w:w="8522"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893"/>
        <w:gridCol w:w="893"/>
        <w:gridCol w:w="892"/>
        <w:gridCol w:w="892"/>
        <w:gridCol w:w="892"/>
        <w:gridCol w:w="892"/>
        <w:gridCol w:w="892"/>
        <w:gridCol w:w="892"/>
      </w:tblGrid>
      <w:tr w14:paraId="418F022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tcPr>
          <w:p w14:paraId="7E36E7A0">
            <w:pPr>
              <w:jc w:val="center"/>
              <w:rPr>
                <w:color w:val="000000" w:themeColor="text1"/>
                <w:szCs w:val="21"/>
              </w:rPr>
            </w:pPr>
            <w:r>
              <w:rPr>
                <w:color w:val="000000" w:themeColor="text1"/>
                <w:szCs w:val="21"/>
              </w:rPr>
              <w:t>影响性质</w:t>
            </w:r>
          </w:p>
          <w:p w14:paraId="506B976F">
            <w:pPr>
              <w:jc w:val="center"/>
              <w:rPr>
                <w:color w:val="000000" w:themeColor="text1"/>
                <w:szCs w:val="21"/>
              </w:rPr>
            </w:pPr>
            <w:r>
              <w:rPr>
                <w:color w:val="000000" w:themeColor="text1"/>
                <w:szCs w:val="21"/>
              </w:rPr>
              <w:t>环境因素</w:t>
            </w:r>
          </w:p>
        </w:tc>
        <w:tc>
          <w:tcPr>
            <w:tcW w:w="893" w:type="dxa"/>
          </w:tcPr>
          <w:p w14:paraId="07D6B6EE">
            <w:pPr>
              <w:jc w:val="center"/>
              <w:rPr>
                <w:color w:val="000000" w:themeColor="text1"/>
                <w:szCs w:val="21"/>
              </w:rPr>
            </w:pPr>
            <w:r>
              <w:rPr>
                <w:color w:val="000000" w:themeColor="text1"/>
                <w:szCs w:val="21"/>
              </w:rPr>
              <w:t>短期</w:t>
            </w:r>
          </w:p>
          <w:p w14:paraId="2475D5CE">
            <w:pPr>
              <w:jc w:val="center"/>
              <w:rPr>
                <w:color w:val="000000" w:themeColor="text1"/>
                <w:szCs w:val="21"/>
              </w:rPr>
            </w:pPr>
            <w:r>
              <w:rPr>
                <w:color w:val="000000" w:themeColor="text1"/>
                <w:szCs w:val="21"/>
              </w:rPr>
              <w:t>影响</w:t>
            </w:r>
          </w:p>
        </w:tc>
        <w:tc>
          <w:tcPr>
            <w:tcW w:w="893" w:type="dxa"/>
          </w:tcPr>
          <w:p w14:paraId="43E7761D">
            <w:pPr>
              <w:jc w:val="center"/>
              <w:rPr>
                <w:color w:val="000000" w:themeColor="text1"/>
                <w:szCs w:val="21"/>
              </w:rPr>
            </w:pPr>
            <w:r>
              <w:rPr>
                <w:color w:val="000000" w:themeColor="text1"/>
                <w:szCs w:val="21"/>
              </w:rPr>
              <w:t>长期</w:t>
            </w:r>
          </w:p>
          <w:p w14:paraId="44564C8F">
            <w:pPr>
              <w:jc w:val="center"/>
              <w:rPr>
                <w:color w:val="000000" w:themeColor="text1"/>
                <w:szCs w:val="21"/>
              </w:rPr>
            </w:pPr>
            <w:r>
              <w:rPr>
                <w:color w:val="000000" w:themeColor="text1"/>
                <w:szCs w:val="21"/>
              </w:rPr>
              <w:t>影响</w:t>
            </w:r>
          </w:p>
        </w:tc>
        <w:tc>
          <w:tcPr>
            <w:tcW w:w="892" w:type="dxa"/>
          </w:tcPr>
          <w:p w14:paraId="792DA5E6">
            <w:pPr>
              <w:jc w:val="center"/>
              <w:rPr>
                <w:color w:val="000000" w:themeColor="text1"/>
                <w:szCs w:val="21"/>
              </w:rPr>
            </w:pPr>
            <w:r>
              <w:rPr>
                <w:color w:val="000000" w:themeColor="text1"/>
                <w:szCs w:val="21"/>
              </w:rPr>
              <w:t>可逆</w:t>
            </w:r>
          </w:p>
          <w:p w14:paraId="667BCF24">
            <w:pPr>
              <w:jc w:val="center"/>
              <w:rPr>
                <w:color w:val="000000" w:themeColor="text1"/>
                <w:szCs w:val="21"/>
              </w:rPr>
            </w:pPr>
            <w:r>
              <w:rPr>
                <w:color w:val="000000" w:themeColor="text1"/>
                <w:szCs w:val="21"/>
              </w:rPr>
              <w:t>影响</w:t>
            </w:r>
          </w:p>
        </w:tc>
        <w:tc>
          <w:tcPr>
            <w:tcW w:w="892" w:type="dxa"/>
          </w:tcPr>
          <w:p w14:paraId="3F2FC2BD">
            <w:pPr>
              <w:jc w:val="center"/>
              <w:rPr>
                <w:color w:val="000000" w:themeColor="text1"/>
                <w:szCs w:val="21"/>
              </w:rPr>
            </w:pPr>
            <w:r>
              <w:rPr>
                <w:color w:val="000000" w:themeColor="text1"/>
                <w:szCs w:val="21"/>
              </w:rPr>
              <w:t>不可</w:t>
            </w:r>
          </w:p>
          <w:p w14:paraId="1E075303">
            <w:pPr>
              <w:jc w:val="center"/>
              <w:rPr>
                <w:color w:val="000000" w:themeColor="text1"/>
                <w:szCs w:val="21"/>
              </w:rPr>
            </w:pPr>
            <w:r>
              <w:rPr>
                <w:color w:val="000000" w:themeColor="text1"/>
                <w:szCs w:val="21"/>
              </w:rPr>
              <w:t>逆影响</w:t>
            </w:r>
          </w:p>
        </w:tc>
        <w:tc>
          <w:tcPr>
            <w:tcW w:w="892" w:type="dxa"/>
          </w:tcPr>
          <w:p w14:paraId="56254AA6">
            <w:pPr>
              <w:jc w:val="center"/>
              <w:rPr>
                <w:color w:val="000000" w:themeColor="text1"/>
                <w:szCs w:val="21"/>
              </w:rPr>
            </w:pPr>
            <w:r>
              <w:rPr>
                <w:color w:val="000000" w:themeColor="text1"/>
                <w:szCs w:val="21"/>
              </w:rPr>
              <w:t>直接</w:t>
            </w:r>
          </w:p>
          <w:p w14:paraId="31171051">
            <w:pPr>
              <w:jc w:val="center"/>
              <w:rPr>
                <w:color w:val="000000" w:themeColor="text1"/>
                <w:szCs w:val="21"/>
              </w:rPr>
            </w:pPr>
            <w:r>
              <w:rPr>
                <w:color w:val="000000" w:themeColor="text1"/>
                <w:szCs w:val="21"/>
              </w:rPr>
              <w:t>影响</w:t>
            </w:r>
          </w:p>
        </w:tc>
        <w:tc>
          <w:tcPr>
            <w:tcW w:w="892" w:type="dxa"/>
          </w:tcPr>
          <w:p w14:paraId="502BD1D6">
            <w:pPr>
              <w:jc w:val="center"/>
              <w:rPr>
                <w:color w:val="000000" w:themeColor="text1"/>
                <w:szCs w:val="21"/>
              </w:rPr>
            </w:pPr>
            <w:r>
              <w:rPr>
                <w:color w:val="000000" w:themeColor="text1"/>
                <w:szCs w:val="21"/>
              </w:rPr>
              <w:t>间接</w:t>
            </w:r>
          </w:p>
          <w:p w14:paraId="50DA423C">
            <w:pPr>
              <w:jc w:val="center"/>
              <w:rPr>
                <w:color w:val="000000" w:themeColor="text1"/>
                <w:szCs w:val="21"/>
              </w:rPr>
            </w:pPr>
            <w:r>
              <w:rPr>
                <w:color w:val="000000" w:themeColor="text1"/>
                <w:szCs w:val="21"/>
              </w:rPr>
              <w:t>影响</w:t>
            </w:r>
          </w:p>
        </w:tc>
        <w:tc>
          <w:tcPr>
            <w:tcW w:w="892" w:type="dxa"/>
          </w:tcPr>
          <w:p w14:paraId="2C4F6844">
            <w:pPr>
              <w:jc w:val="center"/>
              <w:rPr>
                <w:color w:val="000000" w:themeColor="text1"/>
                <w:szCs w:val="21"/>
              </w:rPr>
            </w:pPr>
            <w:r>
              <w:rPr>
                <w:color w:val="000000" w:themeColor="text1"/>
                <w:szCs w:val="21"/>
              </w:rPr>
              <w:t>局部</w:t>
            </w:r>
          </w:p>
          <w:p w14:paraId="3FBA3FC1">
            <w:pPr>
              <w:jc w:val="center"/>
              <w:rPr>
                <w:color w:val="000000" w:themeColor="text1"/>
                <w:szCs w:val="21"/>
              </w:rPr>
            </w:pPr>
            <w:r>
              <w:rPr>
                <w:color w:val="000000" w:themeColor="text1"/>
                <w:szCs w:val="21"/>
              </w:rPr>
              <w:t>影响</w:t>
            </w:r>
          </w:p>
        </w:tc>
        <w:tc>
          <w:tcPr>
            <w:tcW w:w="892" w:type="dxa"/>
          </w:tcPr>
          <w:p w14:paraId="2B813B82">
            <w:pPr>
              <w:jc w:val="center"/>
              <w:rPr>
                <w:color w:val="000000" w:themeColor="text1"/>
                <w:szCs w:val="21"/>
              </w:rPr>
            </w:pPr>
            <w:r>
              <w:rPr>
                <w:color w:val="000000" w:themeColor="text1"/>
                <w:szCs w:val="21"/>
              </w:rPr>
              <w:t>大范围影响</w:t>
            </w:r>
          </w:p>
        </w:tc>
      </w:tr>
      <w:tr w14:paraId="3B6BB99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tcPr>
          <w:p w14:paraId="060B5950">
            <w:pPr>
              <w:jc w:val="center"/>
              <w:rPr>
                <w:color w:val="000000" w:themeColor="text1"/>
                <w:szCs w:val="21"/>
              </w:rPr>
            </w:pPr>
            <w:r>
              <w:rPr>
                <w:color w:val="000000" w:themeColor="text1"/>
                <w:szCs w:val="21"/>
              </w:rPr>
              <w:t>大气环境</w:t>
            </w:r>
          </w:p>
        </w:tc>
        <w:tc>
          <w:tcPr>
            <w:tcW w:w="893" w:type="dxa"/>
          </w:tcPr>
          <w:p w14:paraId="099E5832">
            <w:pPr>
              <w:jc w:val="center"/>
              <w:rPr>
                <w:color w:val="000000" w:themeColor="text1"/>
                <w:szCs w:val="21"/>
              </w:rPr>
            </w:pPr>
            <w:r>
              <w:rPr>
                <w:color w:val="000000" w:themeColor="text1"/>
                <w:szCs w:val="21"/>
              </w:rPr>
              <w:t>√</w:t>
            </w:r>
          </w:p>
        </w:tc>
        <w:tc>
          <w:tcPr>
            <w:tcW w:w="893" w:type="dxa"/>
          </w:tcPr>
          <w:p w14:paraId="59A19208">
            <w:pPr>
              <w:jc w:val="center"/>
              <w:rPr>
                <w:color w:val="000000" w:themeColor="text1"/>
              </w:rPr>
            </w:pPr>
            <w:r>
              <w:rPr>
                <w:color w:val="000000" w:themeColor="text1"/>
                <w:szCs w:val="21"/>
              </w:rPr>
              <w:t>√</w:t>
            </w:r>
          </w:p>
        </w:tc>
        <w:tc>
          <w:tcPr>
            <w:tcW w:w="892" w:type="dxa"/>
          </w:tcPr>
          <w:p w14:paraId="3CA38FD3">
            <w:pPr>
              <w:jc w:val="center"/>
              <w:rPr>
                <w:color w:val="000000" w:themeColor="text1"/>
              </w:rPr>
            </w:pPr>
            <w:r>
              <w:rPr>
                <w:color w:val="000000" w:themeColor="text1"/>
                <w:szCs w:val="21"/>
              </w:rPr>
              <w:t>√</w:t>
            </w:r>
          </w:p>
        </w:tc>
        <w:tc>
          <w:tcPr>
            <w:tcW w:w="892" w:type="dxa"/>
          </w:tcPr>
          <w:p w14:paraId="55834176">
            <w:pPr>
              <w:jc w:val="center"/>
              <w:rPr>
                <w:color w:val="000000" w:themeColor="text1"/>
                <w:szCs w:val="21"/>
              </w:rPr>
            </w:pPr>
          </w:p>
        </w:tc>
        <w:tc>
          <w:tcPr>
            <w:tcW w:w="892" w:type="dxa"/>
          </w:tcPr>
          <w:p w14:paraId="211A94AD">
            <w:pPr>
              <w:jc w:val="center"/>
              <w:rPr>
                <w:color w:val="000000" w:themeColor="text1"/>
              </w:rPr>
            </w:pPr>
            <w:r>
              <w:rPr>
                <w:color w:val="000000" w:themeColor="text1"/>
                <w:szCs w:val="21"/>
              </w:rPr>
              <w:t>√</w:t>
            </w:r>
          </w:p>
        </w:tc>
        <w:tc>
          <w:tcPr>
            <w:tcW w:w="892" w:type="dxa"/>
          </w:tcPr>
          <w:p w14:paraId="6BF39AB9">
            <w:pPr>
              <w:jc w:val="center"/>
              <w:rPr>
                <w:color w:val="000000" w:themeColor="text1"/>
                <w:szCs w:val="21"/>
              </w:rPr>
            </w:pPr>
          </w:p>
        </w:tc>
        <w:tc>
          <w:tcPr>
            <w:tcW w:w="892" w:type="dxa"/>
          </w:tcPr>
          <w:p w14:paraId="7981DE3A">
            <w:pPr>
              <w:jc w:val="center"/>
              <w:rPr>
                <w:color w:val="000000" w:themeColor="text1"/>
              </w:rPr>
            </w:pPr>
            <w:r>
              <w:rPr>
                <w:color w:val="000000" w:themeColor="text1"/>
                <w:szCs w:val="21"/>
              </w:rPr>
              <w:t>√</w:t>
            </w:r>
          </w:p>
        </w:tc>
        <w:tc>
          <w:tcPr>
            <w:tcW w:w="892" w:type="dxa"/>
          </w:tcPr>
          <w:p w14:paraId="10B3F2FC">
            <w:pPr>
              <w:jc w:val="center"/>
              <w:rPr>
                <w:color w:val="000000" w:themeColor="text1"/>
                <w:szCs w:val="21"/>
              </w:rPr>
            </w:pPr>
          </w:p>
        </w:tc>
      </w:tr>
      <w:tr w14:paraId="46EEDDE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tcPr>
          <w:p w14:paraId="1BCFADA7">
            <w:pPr>
              <w:jc w:val="center"/>
              <w:rPr>
                <w:color w:val="000000" w:themeColor="text1"/>
                <w:szCs w:val="21"/>
              </w:rPr>
            </w:pPr>
            <w:r>
              <w:rPr>
                <w:color w:val="000000" w:themeColor="text1"/>
                <w:szCs w:val="21"/>
              </w:rPr>
              <w:t>地表水环境</w:t>
            </w:r>
          </w:p>
        </w:tc>
        <w:tc>
          <w:tcPr>
            <w:tcW w:w="893" w:type="dxa"/>
          </w:tcPr>
          <w:p w14:paraId="0148A022">
            <w:pPr>
              <w:jc w:val="center"/>
              <w:rPr>
                <w:color w:val="000000" w:themeColor="text1"/>
              </w:rPr>
            </w:pPr>
            <w:r>
              <w:rPr>
                <w:color w:val="000000" w:themeColor="text1"/>
                <w:szCs w:val="21"/>
              </w:rPr>
              <w:t>√</w:t>
            </w:r>
          </w:p>
        </w:tc>
        <w:tc>
          <w:tcPr>
            <w:tcW w:w="893" w:type="dxa"/>
          </w:tcPr>
          <w:p w14:paraId="4753DCE6">
            <w:pPr>
              <w:jc w:val="center"/>
              <w:rPr>
                <w:color w:val="000000" w:themeColor="text1"/>
              </w:rPr>
            </w:pPr>
            <w:r>
              <w:rPr>
                <w:color w:val="000000" w:themeColor="text1"/>
                <w:szCs w:val="21"/>
              </w:rPr>
              <w:t>√</w:t>
            </w:r>
          </w:p>
        </w:tc>
        <w:tc>
          <w:tcPr>
            <w:tcW w:w="892" w:type="dxa"/>
          </w:tcPr>
          <w:p w14:paraId="69993BD4">
            <w:pPr>
              <w:jc w:val="center"/>
              <w:rPr>
                <w:color w:val="000000" w:themeColor="text1"/>
              </w:rPr>
            </w:pPr>
            <w:r>
              <w:rPr>
                <w:color w:val="000000" w:themeColor="text1"/>
                <w:szCs w:val="21"/>
              </w:rPr>
              <w:t>√</w:t>
            </w:r>
          </w:p>
        </w:tc>
        <w:tc>
          <w:tcPr>
            <w:tcW w:w="892" w:type="dxa"/>
          </w:tcPr>
          <w:p w14:paraId="18280F25">
            <w:pPr>
              <w:jc w:val="center"/>
              <w:rPr>
                <w:color w:val="000000" w:themeColor="text1"/>
                <w:szCs w:val="21"/>
              </w:rPr>
            </w:pPr>
          </w:p>
        </w:tc>
        <w:tc>
          <w:tcPr>
            <w:tcW w:w="892" w:type="dxa"/>
          </w:tcPr>
          <w:p w14:paraId="4B2657A8">
            <w:pPr>
              <w:jc w:val="center"/>
              <w:rPr>
                <w:color w:val="000000" w:themeColor="text1"/>
              </w:rPr>
            </w:pPr>
            <w:r>
              <w:rPr>
                <w:color w:val="000000" w:themeColor="text1"/>
                <w:szCs w:val="21"/>
              </w:rPr>
              <w:t>√</w:t>
            </w:r>
          </w:p>
        </w:tc>
        <w:tc>
          <w:tcPr>
            <w:tcW w:w="892" w:type="dxa"/>
          </w:tcPr>
          <w:p w14:paraId="2394D06F">
            <w:pPr>
              <w:jc w:val="center"/>
              <w:rPr>
                <w:color w:val="000000" w:themeColor="text1"/>
                <w:szCs w:val="21"/>
              </w:rPr>
            </w:pPr>
            <w:r>
              <w:rPr>
                <w:color w:val="000000" w:themeColor="text1"/>
                <w:szCs w:val="21"/>
              </w:rPr>
              <w:t>√</w:t>
            </w:r>
          </w:p>
        </w:tc>
        <w:tc>
          <w:tcPr>
            <w:tcW w:w="892" w:type="dxa"/>
          </w:tcPr>
          <w:p w14:paraId="17D9B549">
            <w:pPr>
              <w:jc w:val="center"/>
              <w:rPr>
                <w:color w:val="000000" w:themeColor="text1"/>
              </w:rPr>
            </w:pPr>
            <w:r>
              <w:rPr>
                <w:color w:val="000000" w:themeColor="text1"/>
                <w:szCs w:val="21"/>
              </w:rPr>
              <w:t>√</w:t>
            </w:r>
          </w:p>
        </w:tc>
        <w:tc>
          <w:tcPr>
            <w:tcW w:w="892" w:type="dxa"/>
          </w:tcPr>
          <w:p w14:paraId="66E9A589">
            <w:pPr>
              <w:jc w:val="center"/>
              <w:rPr>
                <w:color w:val="000000" w:themeColor="text1"/>
                <w:szCs w:val="21"/>
              </w:rPr>
            </w:pPr>
          </w:p>
        </w:tc>
      </w:tr>
      <w:tr w14:paraId="065F10B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tcPr>
          <w:p w14:paraId="782F72CC">
            <w:pPr>
              <w:jc w:val="center"/>
              <w:rPr>
                <w:color w:val="000000" w:themeColor="text1"/>
                <w:szCs w:val="21"/>
              </w:rPr>
            </w:pPr>
            <w:r>
              <w:rPr>
                <w:color w:val="000000" w:themeColor="text1"/>
                <w:szCs w:val="21"/>
              </w:rPr>
              <w:t>声环境</w:t>
            </w:r>
          </w:p>
        </w:tc>
        <w:tc>
          <w:tcPr>
            <w:tcW w:w="893" w:type="dxa"/>
          </w:tcPr>
          <w:p w14:paraId="4486E49A">
            <w:pPr>
              <w:jc w:val="center"/>
              <w:rPr>
                <w:color w:val="000000" w:themeColor="text1"/>
              </w:rPr>
            </w:pPr>
            <w:r>
              <w:rPr>
                <w:color w:val="000000" w:themeColor="text1"/>
                <w:szCs w:val="21"/>
              </w:rPr>
              <w:t>√</w:t>
            </w:r>
          </w:p>
        </w:tc>
        <w:tc>
          <w:tcPr>
            <w:tcW w:w="893" w:type="dxa"/>
          </w:tcPr>
          <w:p w14:paraId="0F7BA167">
            <w:pPr>
              <w:jc w:val="center"/>
              <w:rPr>
                <w:color w:val="000000" w:themeColor="text1"/>
                <w:szCs w:val="21"/>
              </w:rPr>
            </w:pPr>
          </w:p>
        </w:tc>
        <w:tc>
          <w:tcPr>
            <w:tcW w:w="892" w:type="dxa"/>
          </w:tcPr>
          <w:p w14:paraId="2E9759C8">
            <w:pPr>
              <w:jc w:val="center"/>
              <w:rPr>
                <w:color w:val="000000" w:themeColor="text1"/>
              </w:rPr>
            </w:pPr>
            <w:r>
              <w:rPr>
                <w:color w:val="000000" w:themeColor="text1"/>
                <w:szCs w:val="21"/>
              </w:rPr>
              <w:t>√</w:t>
            </w:r>
          </w:p>
        </w:tc>
        <w:tc>
          <w:tcPr>
            <w:tcW w:w="892" w:type="dxa"/>
          </w:tcPr>
          <w:p w14:paraId="50766AF2">
            <w:pPr>
              <w:jc w:val="center"/>
              <w:rPr>
                <w:color w:val="000000" w:themeColor="text1"/>
                <w:szCs w:val="21"/>
              </w:rPr>
            </w:pPr>
          </w:p>
        </w:tc>
        <w:tc>
          <w:tcPr>
            <w:tcW w:w="892" w:type="dxa"/>
          </w:tcPr>
          <w:p w14:paraId="3296697F">
            <w:pPr>
              <w:jc w:val="center"/>
              <w:rPr>
                <w:color w:val="000000" w:themeColor="text1"/>
              </w:rPr>
            </w:pPr>
            <w:r>
              <w:rPr>
                <w:color w:val="000000" w:themeColor="text1"/>
                <w:szCs w:val="21"/>
              </w:rPr>
              <w:t>√</w:t>
            </w:r>
          </w:p>
        </w:tc>
        <w:tc>
          <w:tcPr>
            <w:tcW w:w="892" w:type="dxa"/>
          </w:tcPr>
          <w:p w14:paraId="5160CD5E">
            <w:pPr>
              <w:jc w:val="center"/>
              <w:rPr>
                <w:color w:val="000000" w:themeColor="text1"/>
                <w:szCs w:val="21"/>
              </w:rPr>
            </w:pPr>
          </w:p>
        </w:tc>
        <w:tc>
          <w:tcPr>
            <w:tcW w:w="892" w:type="dxa"/>
          </w:tcPr>
          <w:p w14:paraId="31CB92FA">
            <w:pPr>
              <w:jc w:val="center"/>
              <w:rPr>
                <w:color w:val="000000" w:themeColor="text1"/>
              </w:rPr>
            </w:pPr>
            <w:r>
              <w:rPr>
                <w:color w:val="000000" w:themeColor="text1"/>
                <w:szCs w:val="21"/>
              </w:rPr>
              <w:t>√</w:t>
            </w:r>
          </w:p>
        </w:tc>
        <w:tc>
          <w:tcPr>
            <w:tcW w:w="892" w:type="dxa"/>
          </w:tcPr>
          <w:p w14:paraId="3AB1FE6D">
            <w:pPr>
              <w:jc w:val="center"/>
              <w:rPr>
                <w:color w:val="000000" w:themeColor="text1"/>
                <w:szCs w:val="21"/>
              </w:rPr>
            </w:pPr>
          </w:p>
        </w:tc>
      </w:tr>
      <w:tr w14:paraId="6AFACEF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tcPr>
          <w:p w14:paraId="2C995D89">
            <w:pPr>
              <w:jc w:val="center"/>
              <w:rPr>
                <w:color w:val="000000" w:themeColor="text1"/>
                <w:szCs w:val="21"/>
              </w:rPr>
            </w:pPr>
            <w:r>
              <w:rPr>
                <w:color w:val="000000" w:themeColor="text1"/>
                <w:szCs w:val="21"/>
              </w:rPr>
              <w:t>生态环境</w:t>
            </w:r>
          </w:p>
        </w:tc>
        <w:tc>
          <w:tcPr>
            <w:tcW w:w="893" w:type="dxa"/>
          </w:tcPr>
          <w:p w14:paraId="38B646FA">
            <w:pPr>
              <w:jc w:val="center"/>
              <w:rPr>
                <w:color w:val="000000" w:themeColor="text1"/>
              </w:rPr>
            </w:pPr>
            <w:r>
              <w:rPr>
                <w:color w:val="000000" w:themeColor="text1"/>
                <w:szCs w:val="21"/>
              </w:rPr>
              <w:t>√</w:t>
            </w:r>
          </w:p>
        </w:tc>
        <w:tc>
          <w:tcPr>
            <w:tcW w:w="893" w:type="dxa"/>
          </w:tcPr>
          <w:p w14:paraId="170BEE9B">
            <w:pPr>
              <w:jc w:val="center"/>
              <w:rPr>
                <w:color w:val="000000" w:themeColor="text1"/>
              </w:rPr>
            </w:pPr>
            <w:r>
              <w:rPr>
                <w:color w:val="000000" w:themeColor="text1"/>
                <w:szCs w:val="21"/>
              </w:rPr>
              <w:t>√</w:t>
            </w:r>
          </w:p>
        </w:tc>
        <w:tc>
          <w:tcPr>
            <w:tcW w:w="892" w:type="dxa"/>
          </w:tcPr>
          <w:p w14:paraId="031EAD5C">
            <w:pPr>
              <w:jc w:val="center"/>
              <w:rPr>
                <w:color w:val="000000" w:themeColor="text1"/>
                <w:szCs w:val="21"/>
              </w:rPr>
            </w:pPr>
          </w:p>
        </w:tc>
        <w:tc>
          <w:tcPr>
            <w:tcW w:w="892" w:type="dxa"/>
          </w:tcPr>
          <w:p w14:paraId="31A2B477">
            <w:pPr>
              <w:jc w:val="center"/>
              <w:rPr>
                <w:color w:val="000000" w:themeColor="text1"/>
                <w:szCs w:val="21"/>
              </w:rPr>
            </w:pPr>
            <w:r>
              <w:rPr>
                <w:color w:val="000000" w:themeColor="text1"/>
                <w:szCs w:val="21"/>
              </w:rPr>
              <w:t>√</w:t>
            </w:r>
          </w:p>
        </w:tc>
        <w:tc>
          <w:tcPr>
            <w:tcW w:w="892" w:type="dxa"/>
          </w:tcPr>
          <w:p w14:paraId="647DB312">
            <w:pPr>
              <w:jc w:val="center"/>
              <w:rPr>
                <w:color w:val="000000" w:themeColor="text1"/>
              </w:rPr>
            </w:pPr>
            <w:r>
              <w:rPr>
                <w:color w:val="000000" w:themeColor="text1"/>
                <w:szCs w:val="21"/>
              </w:rPr>
              <w:t>√</w:t>
            </w:r>
          </w:p>
        </w:tc>
        <w:tc>
          <w:tcPr>
            <w:tcW w:w="892" w:type="dxa"/>
          </w:tcPr>
          <w:p w14:paraId="2BB1FA70">
            <w:pPr>
              <w:jc w:val="center"/>
              <w:rPr>
                <w:color w:val="000000" w:themeColor="text1"/>
              </w:rPr>
            </w:pPr>
            <w:r>
              <w:rPr>
                <w:color w:val="000000" w:themeColor="text1"/>
                <w:szCs w:val="21"/>
              </w:rPr>
              <w:t>√</w:t>
            </w:r>
          </w:p>
        </w:tc>
        <w:tc>
          <w:tcPr>
            <w:tcW w:w="892" w:type="dxa"/>
          </w:tcPr>
          <w:p w14:paraId="247D8AEC">
            <w:pPr>
              <w:jc w:val="center"/>
              <w:rPr>
                <w:color w:val="000000" w:themeColor="text1"/>
              </w:rPr>
            </w:pPr>
            <w:r>
              <w:rPr>
                <w:color w:val="000000" w:themeColor="text1"/>
                <w:szCs w:val="21"/>
              </w:rPr>
              <w:t>√</w:t>
            </w:r>
          </w:p>
        </w:tc>
        <w:tc>
          <w:tcPr>
            <w:tcW w:w="892" w:type="dxa"/>
          </w:tcPr>
          <w:p w14:paraId="1C26A4C1">
            <w:pPr>
              <w:jc w:val="center"/>
              <w:rPr>
                <w:color w:val="000000" w:themeColor="text1"/>
                <w:szCs w:val="21"/>
              </w:rPr>
            </w:pPr>
          </w:p>
        </w:tc>
      </w:tr>
    </w:tbl>
    <w:p w14:paraId="6BDB9D00">
      <w:pPr>
        <w:pStyle w:val="57"/>
        <w:ind w:firstLine="480" w:firstLineChars="200"/>
        <w:rPr>
          <w:color w:val="000000" w:themeColor="text1"/>
        </w:rPr>
      </w:pPr>
      <w:r>
        <w:rPr>
          <w:color w:val="000000" w:themeColor="text1"/>
          <w:szCs w:val="24"/>
        </w:rPr>
        <w:t>从上述矩阵识别因子表可以看出，建设项目施工期对环境的影响主要是施工废水、固废等对环境的影响。项目运营期对环境的影响主要因子是废水、废气、噪声和固废。</w:t>
      </w:r>
    </w:p>
    <w:p w14:paraId="0B6D794C">
      <w:pPr>
        <w:pStyle w:val="105"/>
        <w:rPr>
          <w:rFonts w:cs="Times New Roman"/>
          <w:color w:val="000000" w:themeColor="text1"/>
        </w:rPr>
      </w:pPr>
      <w:r>
        <w:rPr>
          <w:rFonts w:cs="Times New Roman"/>
          <w:color w:val="000000" w:themeColor="text1"/>
        </w:rPr>
        <w:t>1.4.2评价因子</w:t>
      </w:r>
      <w:bookmarkEnd w:id="77"/>
      <w:bookmarkEnd w:id="78"/>
    </w:p>
    <w:p w14:paraId="3CA05A84">
      <w:pPr>
        <w:autoSpaceDE w:val="0"/>
        <w:autoSpaceDN w:val="0"/>
        <w:spacing w:line="360" w:lineRule="auto"/>
        <w:ind w:firstLine="480"/>
        <w:rPr>
          <w:color w:val="000000" w:themeColor="text1"/>
          <w:kern w:val="0"/>
          <w:sz w:val="24"/>
        </w:rPr>
      </w:pPr>
      <w:r>
        <w:rPr>
          <w:color w:val="000000" w:themeColor="text1"/>
          <w:kern w:val="0"/>
          <w:sz w:val="24"/>
        </w:rPr>
        <w:t>根据对项目主要环境污染问题的分析结果，筛选出该项目在施工期和运营期的主要评价因子见下表。</w:t>
      </w:r>
    </w:p>
    <w:p w14:paraId="735DC444">
      <w:pPr>
        <w:autoSpaceDE w:val="0"/>
        <w:autoSpaceDN w:val="0"/>
        <w:jc w:val="center"/>
        <w:rPr>
          <w:b/>
          <w:color w:val="000000" w:themeColor="text1"/>
          <w:sz w:val="24"/>
        </w:rPr>
      </w:pPr>
      <w:r>
        <w:rPr>
          <w:b/>
          <w:color w:val="000000" w:themeColor="text1"/>
          <w:sz w:val="24"/>
        </w:rPr>
        <w:t>表1.4-3  项目评价因子</w:t>
      </w:r>
    </w:p>
    <w:tbl>
      <w:tblPr>
        <w:tblStyle w:val="42"/>
        <w:tblW w:w="8522"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701"/>
        <w:gridCol w:w="5723"/>
      </w:tblGrid>
      <w:tr w14:paraId="2753E19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799" w:type="dxa"/>
            <w:gridSpan w:val="2"/>
            <w:vAlign w:val="center"/>
          </w:tcPr>
          <w:p w14:paraId="311CC2F5">
            <w:pPr>
              <w:jc w:val="center"/>
              <w:rPr>
                <w:b/>
                <w:color w:val="000000" w:themeColor="text1"/>
                <w:szCs w:val="21"/>
              </w:rPr>
            </w:pPr>
            <w:bookmarkStart w:id="79" w:name="_Toc250447522"/>
            <w:r>
              <w:rPr>
                <w:b/>
                <w:color w:val="000000" w:themeColor="text1"/>
                <w:szCs w:val="21"/>
              </w:rPr>
              <w:t>项目</w:t>
            </w:r>
            <w:bookmarkEnd w:id="79"/>
          </w:p>
        </w:tc>
        <w:tc>
          <w:tcPr>
            <w:tcW w:w="5723" w:type="dxa"/>
            <w:vAlign w:val="center"/>
          </w:tcPr>
          <w:p w14:paraId="357DC043">
            <w:pPr>
              <w:jc w:val="center"/>
              <w:rPr>
                <w:b/>
                <w:color w:val="000000" w:themeColor="text1"/>
                <w:szCs w:val="21"/>
              </w:rPr>
            </w:pPr>
            <w:bookmarkStart w:id="80" w:name="_Toc250447523"/>
            <w:r>
              <w:rPr>
                <w:b/>
                <w:color w:val="000000" w:themeColor="text1"/>
                <w:szCs w:val="21"/>
              </w:rPr>
              <w:t>评价因子</w:t>
            </w:r>
            <w:bookmarkEnd w:id="80"/>
          </w:p>
        </w:tc>
      </w:tr>
      <w:tr w14:paraId="1B26DFA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Merge w:val="restart"/>
            <w:vAlign w:val="center"/>
          </w:tcPr>
          <w:p w14:paraId="3B57D552">
            <w:pPr>
              <w:jc w:val="center"/>
              <w:rPr>
                <w:color w:val="000000" w:themeColor="text1"/>
                <w:szCs w:val="21"/>
              </w:rPr>
            </w:pPr>
            <w:bookmarkStart w:id="81" w:name="_Toc250447524"/>
            <w:r>
              <w:rPr>
                <w:color w:val="000000" w:themeColor="text1"/>
                <w:szCs w:val="21"/>
              </w:rPr>
              <w:t>环境空气</w:t>
            </w:r>
            <w:bookmarkEnd w:id="81"/>
          </w:p>
        </w:tc>
        <w:tc>
          <w:tcPr>
            <w:tcW w:w="1701" w:type="dxa"/>
            <w:vAlign w:val="center"/>
          </w:tcPr>
          <w:p w14:paraId="454B803A">
            <w:pPr>
              <w:jc w:val="center"/>
              <w:rPr>
                <w:color w:val="000000" w:themeColor="text1"/>
                <w:szCs w:val="21"/>
              </w:rPr>
            </w:pPr>
            <w:bookmarkStart w:id="82" w:name="_Toc250447525"/>
            <w:r>
              <w:rPr>
                <w:color w:val="000000" w:themeColor="text1"/>
                <w:szCs w:val="21"/>
              </w:rPr>
              <w:t>现状评价</w:t>
            </w:r>
            <w:bookmarkEnd w:id="82"/>
          </w:p>
        </w:tc>
        <w:tc>
          <w:tcPr>
            <w:tcW w:w="5723" w:type="dxa"/>
            <w:vAlign w:val="center"/>
          </w:tcPr>
          <w:p w14:paraId="77E108E2">
            <w:pPr>
              <w:ind w:firstLine="420" w:firstLineChars="200"/>
              <w:jc w:val="left"/>
              <w:rPr>
                <w:color w:val="000000" w:themeColor="text1"/>
                <w:szCs w:val="21"/>
              </w:rPr>
            </w:pPr>
            <w:r>
              <w:rPr>
                <w:color w:val="000000" w:themeColor="text1"/>
                <w:szCs w:val="21"/>
              </w:rPr>
              <w:t>TSP、PM</w:t>
            </w:r>
            <w:r>
              <w:rPr>
                <w:color w:val="000000" w:themeColor="text1"/>
                <w:szCs w:val="21"/>
                <w:vertAlign w:val="subscript"/>
              </w:rPr>
              <w:t>10</w:t>
            </w:r>
            <w:r>
              <w:rPr>
                <w:color w:val="000000" w:themeColor="text1"/>
                <w:szCs w:val="21"/>
              </w:rPr>
              <w:t>、SO</w:t>
            </w:r>
            <w:r>
              <w:rPr>
                <w:color w:val="000000" w:themeColor="text1"/>
                <w:szCs w:val="21"/>
                <w:vertAlign w:val="subscript"/>
              </w:rPr>
              <w:t>2</w:t>
            </w:r>
            <w:r>
              <w:rPr>
                <w:color w:val="000000" w:themeColor="text1"/>
                <w:szCs w:val="21"/>
              </w:rPr>
              <w:t>、NO</w:t>
            </w:r>
            <w:r>
              <w:rPr>
                <w:color w:val="000000" w:themeColor="text1"/>
                <w:szCs w:val="21"/>
                <w:vertAlign w:val="subscript"/>
              </w:rPr>
              <w:t>2</w:t>
            </w:r>
            <w:r>
              <w:rPr>
                <w:color w:val="000000" w:themeColor="text1"/>
                <w:szCs w:val="21"/>
              </w:rPr>
              <w:t>、非甲烷总烃、PM</w:t>
            </w:r>
            <w:r>
              <w:rPr>
                <w:color w:val="000000" w:themeColor="text1"/>
                <w:szCs w:val="21"/>
                <w:vertAlign w:val="subscript"/>
              </w:rPr>
              <w:t>2.5</w:t>
            </w:r>
          </w:p>
        </w:tc>
      </w:tr>
      <w:tr w14:paraId="083AE52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Merge w:val="continue"/>
            <w:vAlign w:val="center"/>
          </w:tcPr>
          <w:p w14:paraId="7964FD4D">
            <w:pPr>
              <w:widowControl/>
              <w:jc w:val="center"/>
              <w:rPr>
                <w:color w:val="000000" w:themeColor="text1"/>
                <w:szCs w:val="21"/>
              </w:rPr>
            </w:pPr>
          </w:p>
        </w:tc>
        <w:tc>
          <w:tcPr>
            <w:tcW w:w="1701" w:type="dxa"/>
            <w:vAlign w:val="center"/>
          </w:tcPr>
          <w:p w14:paraId="2DFE3E40">
            <w:pPr>
              <w:jc w:val="center"/>
              <w:rPr>
                <w:color w:val="000000" w:themeColor="text1"/>
                <w:szCs w:val="21"/>
              </w:rPr>
            </w:pPr>
            <w:bookmarkStart w:id="83" w:name="_Toc250447526"/>
            <w:r>
              <w:rPr>
                <w:color w:val="000000" w:themeColor="text1"/>
                <w:szCs w:val="21"/>
              </w:rPr>
              <w:t>影响分析</w:t>
            </w:r>
            <w:bookmarkEnd w:id="83"/>
          </w:p>
        </w:tc>
        <w:tc>
          <w:tcPr>
            <w:tcW w:w="5723" w:type="dxa"/>
            <w:vAlign w:val="center"/>
          </w:tcPr>
          <w:p w14:paraId="044DE39F">
            <w:pPr>
              <w:ind w:firstLine="420" w:firstLineChars="200"/>
              <w:jc w:val="left"/>
              <w:rPr>
                <w:color w:val="000000" w:themeColor="text1"/>
                <w:szCs w:val="21"/>
              </w:rPr>
            </w:pPr>
            <w:r>
              <w:rPr>
                <w:color w:val="000000" w:themeColor="text1"/>
                <w:szCs w:val="21"/>
              </w:rPr>
              <w:t>施工期扬尘；运营期TSP、非甲烷总烃、臭气</w:t>
            </w:r>
          </w:p>
        </w:tc>
      </w:tr>
      <w:tr w14:paraId="678C5E2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Merge w:val="restart"/>
            <w:vAlign w:val="center"/>
          </w:tcPr>
          <w:p w14:paraId="3A7EC01C">
            <w:pPr>
              <w:jc w:val="center"/>
              <w:rPr>
                <w:color w:val="000000" w:themeColor="text1"/>
                <w:szCs w:val="21"/>
              </w:rPr>
            </w:pPr>
            <w:bookmarkStart w:id="84" w:name="_Toc250447527"/>
            <w:r>
              <w:rPr>
                <w:color w:val="000000" w:themeColor="text1"/>
                <w:szCs w:val="21"/>
              </w:rPr>
              <w:t>地表水环境</w:t>
            </w:r>
            <w:bookmarkEnd w:id="84"/>
          </w:p>
        </w:tc>
        <w:tc>
          <w:tcPr>
            <w:tcW w:w="1701" w:type="dxa"/>
            <w:vAlign w:val="center"/>
          </w:tcPr>
          <w:p w14:paraId="6BE3E265">
            <w:pPr>
              <w:jc w:val="center"/>
              <w:rPr>
                <w:color w:val="000000" w:themeColor="text1"/>
                <w:szCs w:val="21"/>
              </w:rPr>
            </w:pPr>
            <w:bookmarkStart w:id="85" w:name="_Toc250447528"/>
            <w:r>
              <w:rPr>
                <w:color w:val="000000" w:themeColor="text1"/>
                <w:szCs w:val="21"/>
              </w:rPr>
              <w:t>现状评价</w:t>
            </w:r>
            <w:bookmarkEnd w:id="85"/>
          </w:p>
        </w:tc>
        <w:tc>
          <w:tcPr>
            <w:tcW w:w="5723" w:type="dxa"/>
            <w:vAlign w:val="center"/>
          </w:tcPr>
          <w:p w14:paraId="30220DE3">
            <w:pPr>
              <w:widowControl/>
              <w:ind w:firstLine="420" w:firstLineChars="200"/>
              <w:jc w:val="left"/>
              <w:rPr>
                <w:color w:val="000000" w:themeColor="text1"/>
                <w:kern w:val="0"/>
                <w:szCs w:val="21"/>
              </w:rPr>
            </w:pPr>
            <w:r>
              <w:rPr>
                <w:color w:val="000000" w:themeColor="text1"/>
              </w:rPr>
              <w:t>pH、BOD</w:t>
            </w:r>
            <w:r>
              <w:rPr>
                <w:color w:val="000000" w:themeColor="text1"/>
                <w:vertAlign w:val="subscript"/>
              </w:rPr>
              <w:t>5</w:t>
            </w:r>
            <w:r>
              <w:rPr>
                <w:color w:val="000000" w:themeColor="text1"/>
              </w:rPr>
              <w:t>、COD</w:t>
            </w:r>
            <w:r>
              <w:rPr>
                <w:color w:val="000000" w:themeColor="text1"/>
                <w:vertAlign w:val="subscript"/>
              </w:rPr>
              <w:t>cr</w:t>
            </w:r>
            <w:r>
              <w:rPr>
                <w:color w:val="000000" w:themeColor="text1"/>
              </w:rPr>
              <w:t>、溶解氧、SS、氨氮、总氮、总磷、石油类、悬浮物</w:t>
            </w:r>
          </w:p>
        </w:tc>
      </w:tr>
      <w:tr w14:paraId="7C59345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Merge w:val="continue"/>
            <w:vAlign w:val="center"/>
          </w:tcPr>
          <w:p w14:paraId="4020152B">
            <w:pPr>
              <w:widowControl/>
              <w:jc w:val="center"/>
              <w:rPr>
                <w:color w:val="000000" w:themeColor="text1"/>
                <w:szCs w:val="21"/>
              </w:rPr>
            </w:pPr>
          </w:p>
        </w:tc>
        <w:tc>
          <w:tcPr>
            <w:tcW w:w="1701" w:type="dxa"/>
            <w:vAlign w:val="center"/>
          </w:tcPr>
          <w:p w14:paraId="7F958082">
            <w:pPr>
              <w:jc w:val="center"/>
              <w:rPr>
                <w:color w:val="000000" w:themeColor="text1"/>
                <w:szCs w:val="21"/>
              </w:rPr>
            </w:pPr>
            <w:bookmarkStart w:id="86" w:name="_Toc250447529"/>
            <w:r>
              <w:rPr>
                <w:color w:val="000000" w:themeColor="text1"/>
                <w:szCs w:val="21"/>
              </w:rPr>
              <w:t>影响分析</w:t>
            </w:r>
            <w:bookmarkEnd w:id="86"/>
          </w:p>
        </w:tc>
        <w:tc>
          <w:tcPr>
            <w:tcW w:w="5723" w:type="dxa"/>
            <w:vAlign w:val="center"/>
          </w:tcPr>
          <w:p w14:paraId="125A27AA">
            <w:pPr>
              <w:ind w:firstLine="420" w:firstLineChars="200"/>
              <w:jc w:val="left"/>
              <w:rPr>
                <w:color w:val="000000" w:themeColor="text1"/>
                <w:szCs w:val="21"/>
              </w:rPr>
            </w:pPr>
            <w:r>
              <w:rPr>
                <w:color w:val="000000" w:themeColor="text1"/>
                <w:szCs w:val="21"/>
              </w:rPr>
              <w:t>COD、BOD</w:t>
            </w:r>
            <w:r>
              <w:rPr>
                <w:color w:val="000000" w:themeColor="text1"/>
                <w:szCs w:val="21"/>
                <w:vertAlign w:val="subscript"/>
              </w:rPr>
              <w:t>5</w:t>
            </w:r>
            <w:r>
              <w:rPr>
                <w:color w:val="000000" w:themeColor="text1"/>
                <w:szCs w:val="21"/>
              </w:rPr>
              <w:t>、</w:t>
            </w:r>
            <w:r>
              <w:rPr>
                <w:color w:val="000000" w:themeColor="text1"/>
                <w:kern w:val="0"/>
                <w:szCs w:val="21"/>
              </w:rPr>
              <w:t>NH</w:t>
            </w:r>
            <w:r>
              <w:rPr>
                <w:color w:val="000000" w:themeColor="text1"/>
                <w:kern w:val="0"/>
                <w:szCs w:val="21"/>
                <w:vertAlign w:val="subscript"/>
              </w:rPr>
              <w:t>3</w:t>
            </w:r>
            <w:r>
              <w:rPr>
                <w:color w:val="000000" w:themeColor="text1"/>
                <w:kern w:val="0"/>
                <w:szCs w:val="21"/>
              </w:rPr>
              <w:t>-N、</w:t>
            </w:r>
            <w:r>
              <w:rPr>
                <w:color w:val="000000" w:themeColor="text1"/>
                <w:szCs w:val="21"/>
              </w:rPr>
              <w:t>总磷、SS等</w:t>
            </w:r>
          </w:p>
        </w:tc>
      </w:tr>
      <w:tr w14:paraId="5ECF2B5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Merge w:val="restart"/>
            <w:vAlign w:val="center"/>
          </w:tcPr>
          <w:p w14:paraId="301A8E13">
            <w:pPr>
              <w:jc w:val="center"/>
              <w:rPr>
                <w:color w:val="000000" w:themeColor="text1"/>
                <w:szCs w:val="21"/>
              </w:rPr>
            </w:pPr>
            <w:bookmarkStart w:id="87" w:name="_Toc250447530"/>
            <w:r>
              <w:rPr>
                <w:color w:val="000000" w:themeColor="text1"/>
                <w:szCs w:val="21"/>
              </w:rPr>
              <w:t>声环境</w:t>
            </w:r>
            <w:bookmarkEnd w:id="87"/>
          </w:p>
        </w:tc>
        <w:tc>
          <w:tcPr>
            <w:tcW w:w="1701" w:type="dxa"/>
            <w:vAlign w:val="center"/>
          </w:tcPr>
          <w:p w14:paraId="0AD9BA68">
            <w:pPr>
              <w:jc w:val="center"/>
              <w:rPr>
                <w:color w:val="000000" w:themeColor="text1"/>
                <w:szCs w:val="21"/>
              </w:rPr>
            </w:pPr>
            <w:bookmarkStart w:id="88" w:name="_Toc250447531"/>
            <w:r>
              <w:rPr>
                <w:color w:val="000000" w:themeColor="text1"/>
                <w:szCs w:val="21"/>
              </w:rPr>
              <w:t>现状评价</w:t>
            </w:r>
            <w:bookmarkEnd w:id="88"/>
          </w:p>
        </w:tc>
        <w:tc>
          <w:tcPr>
            <w:tcW w:w="5723" w:type="dxa"/>
            <w:vMerge w:val="restart"/>
            <w:vAlign w:val="center"/>
          </w:tcPr>
          <w:p w14:paraId="74ACDD4A">
            <w:pPr>
              <w:widowControl/>
              <w:ind w:firstLine="420" w:firstLineChars="200"/>
              <w:jc w:val="left"/>
              <w:rPr>
                <w:color w:val="000000" w:themeColor="text1"/>
                <w:kern w:val="0"/>
                <w:szCs w:val="21"/>
              </w:rPr>
            </w:pPr>
            <w:r>
              <w:rPr>
                <w:color w:val="000000" w:themeColor="text1"/>
                <w:szCs w:val="21"/>
              </w:rPr>
              <w:t>Leq(A)</w:t>
            </w:r>
          </w:p>
        </w:tc>
      </w:tr>
      <w:tr w14:paraId="42C26F8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Merge w:val="continue"/>
            <w:vAlign w:val="center"/>
          </w:tcPr>
          <w:p w14:paraId="2694995C">
            <w:pPr>
              <w:widowControl/>
              <w:jc w:val="center"/>
              <w:rPr>
                <w:color w:val="000000" w:themeColor="text1"/>
                <w:szCs w:val="21"/>
              </w:rPr>
            </w:pPr>
          </w:p>
        </w:tc>
        <w:tc>
          <w:tcPr>
            <w:tcW w:w="1701" w:type="dxa"/>
            <w:vAlign w:val="center"/>
          </w:tcPr>
          <w:p w14:paraId="60FB1438">
            <w:pPr>
              <w:jc w:val="center"/>
              <w:rPr>
                <w:color w:val="000000" w:themeColor="text1"/>
                <w:szCs w:val="21"/>
              </w:rPr>
            </w:pPr>
            <w:bookmarkStart w:id="89" w:name="_Toc250447532"/>
            <w:r>
              <w:rPr>
                <w:color w:val="000000" w:themeColor="text1"/>
                <w:szCs w:val="21"/>
              </w:rPr>
              <w:t>影响分析</w:t>
            </w:r>
            <w:bookmarkEnd w:id="89"/>
          </w:p>
        </w:tc>
        <w:tc>
          <w:tcPr>
            <w:tcW w:w="5723" w:type="dxa"/>
            <w:vMerge w:val="continue"/>
            <w:vAlign w:val="center"/>
          </w:tcPr>
          <w:p w14:paraId="068EE377">
            <w:pPr>
              <w:widowControl/>
              <w:ind w:firstLine="420" w:firstLineChars="200"/>
              <w:jc w:val="left"/>
              <w:rPr>
                <w:color w:val="000000" w:themeColor="text1"/>
                <w:kern w:val="0"/>
                <w:szCs w:val="21"/>
              </w:rPr>
            </w:pPr>
          </w:p>
        </w:tc>
      </w:tr>
      <w:tr w14:paraId="64D4D87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Align w:val="center"/>
          </w:tcPr>
          <w:p w14:paraId="5CE0A86C">
            <w:pPr>
              <w:jc w:val="center"/>
              <w:rPr>
                <w:color w:val="000000" w:themeColor="text1"/>
                <w:szCs w:val="21"/>
              </w:rPr>
            </w:pPr>
            <w:bookmarkStart w:id="90" w:name="_Toc250447533"/>
            <w:r>
              <w:rPr>
                <w:color w:val="000000" w:themeColor="text1"/>
                <w:szCs w:val="21"/>
              </w:rPr>
              <w:t>固体废弃物</w:t>
            </w:r>
            <w:bookmarkEnd w:id="90"/>
          </w:p>
        </w:tc>
        <w:tc>
          <w:tcPr>
            <w:tcW w:w="1701" w:type="dxa"/>
            <w:vAlign w:val="center"/>
          </w:tcPr>
          <w:p w14:paraId="58243037">
            <w:pPr>
              <w:jc w:val="center"/>
              <w:rPr>
                <w:color w:val="000000" w:themeColor="text1"/>
                <w:szCs w:val="21"/>
              </w:rPr>
            </w:pPr>
            <w:bookmarkStart w:id="91" w:name="_Toc250447534"/>
            <w:r>
              <w:rPr>
                <w:color w:val="000000" w:themeColor="text1"/>
                <w:szCs w:val="21"/>
              </w:rPr>
              <w:t>影响评价</w:t>
            </w:r>
            <w:bookmarkEnd w:id="91"/>
          </w:p>
        </w:tc>
        <w:tc>
          <w:tcPr>
            <w:tcW w:w="5723" w:type="dxa"/>
            <w:vAlign w:val="center"/>
          </w:tcPr>
          <w:p w14:paraId="7C804170">
            <w:pPr>
              <w:widowControl/>
              <w:ind w:firstLine="420" w:firstLineChars="200"/>
              <w:jc w:val="left"/>
              <w:rPr>
                <w:color w:val="000000" w:themeColor="text1"/>
                <w:kern w:val="0"/>
                <w:szCs w:val="21"/>
              </w:rPr>
            </w:pPr>
            <w:r>
              <w:rPr>
                <w:color w:val="000000" w:themeColor="text1"/>
                <w:kern w:val="0"/>
                <w:szCs w:val="21"/>
              </w:rPr>
              <w:t>施工期：生活垃圾、建筑垃圾；</w:t>
            </w:r>
          </w:p>
          <w:p w14:paraId="5DE064C6">
            <w:pPr>
              <w:widowControl/>
              <w:ind w:firstLine="420" w:firstLineChars="200"/>
              <w:jc w:val="left"/>
              <w:rPr>
                <w:color w:val="000000" w:themeColor="text1"/>
                <w:kern w:val="0"/>
                <w:szCs w:val="21"/>
              </w:rPr>
            </w:pPr>
            <w:r>
              <w:rPr>
                <w:color w:val="000000" w:themeColor="text1"/>
                <w:kern w:val="0"/>
                <w:szCs w:val="21"/>
              </w:rPr>
              <w:t>运营期：一般工业固废、生活垃圾、危险废物</w:t>
            </w:r>
          </w:p>
        </w:tc>
      </w:tr>
      <w:tr w14:paraId="236FD27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Merge w:val="restart"/>
            <w:vAlign w:val="center"/>
          </w:tcPr>
          <w:p w14:paraId="3095E976">
            <w:pPr>
              <w:jc w:val="center"/>
              <w:rPr>
                <w:color w:val="000000" w:themeColor="text1"/>
                <w:szCs w:val="21"/>
              </w:rPr>
            </w:pPr>
            <w:bookmarkStart w:id="92" w:name="_Toc250447535"/>
            <w:r>
              <w:rPr>
                <w:color w:val="000000" w:themeColor="text1"/>
                <w:szCs w:val="21"/>
              </w:rPr>
              <w:t>生态</w:t>
            </w:r>
            <w:bookmarkEnd w:id="92"/>
          </w:p>
        </w:tc>
        <w:tc>
          <w:tcPr>
            <w:tcW w:w="1701" w:type="dxa"/>
            <w:vAlign w:val="center"/>
          </w:tcPr>
          <w:p w14:paraId="0E231CF4">
            <w:pPr>
              <w:jc w:val="center"/>
              <w:rPr>
                <w:color w:val="000000" w:themeColor="text1"/>
                <w:szCs w:val="21"/>
              </w:rPr>
            </w:pPr>
            <w:bookmarkStart w:id="93" w:name="_Toc250447536"/>
            <w:r>
              <w:rPr>
                <w:color w:val="000000" w:themeColor="text1"/>
                <w:szCs w:val="21"/>
              </w:rPr>
              <w:t>现状评价</w:t>
            </w:r>
            <w:bookmarkEnd w:id="93"/>
          </w:p>
        </w:tc>
        <w:tc>
          <w:tcPr>
            <w:tcW w:w="5723" w:type="dxa"/>
            <w:vMerge w:val="restart"/>
            <w:vAlign w:val="center"/>
          </w:tcPr>
          <w:p w14:paraId="030DC5D8">
            <w:pPr>
              <w:widowControl/>
              <w:ind w:firstLine="420" w:firstLineChars="200"/>
              <w:jc w:val="left"/>
              <w:rPr>
                <w:color w:val="000000" w:themeColor="text1"/>
                <w:kern w:val="0"/>
                <w:szCs w:val="21"/>
              </w:rPr>
            </w:pPr>
            <w:r>
              <w:rPr>
                <w:color w:val="000000" w:themeColor="text1"/>
                <w:kern w:val="0"/>
                <w:szCs w:val="21"/>
              </w:rPr>
              <w:t>动植物、土地利用等</w:t>
            </w:r>
          </w:p>
        </w:tc>
      </w:tr>
      <w:tr w14:paraId="652675F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8" w:type="dxa"/>
            <w:vMerge w:val="continue"/>
            <w:vAlign w:val="center"/>
          </w:tcPr>
          <w:p w14:paraId="1C76F1CA">
            <w:pPr>
              <w:widowControl/>
              <w:jc w:val="center"/>
              <w:rPr>
                <w:color w:val="000000" w:themeColor="text1"/>
                <w:szCs w:val="21"/>
              </w:rPr>
            </w:pPr>
          </w:p>
        </w:tc>
        <w:tc>
          <w:tcPr>
            <w:tcW w:w="1701" w:type="dxa"/>
            <w:vAlign w:val="center"/>
          </w:tcPr>
          <w:p w14:paraId="280C1BCE">
            <w:pPr>
              <w:jc w:val="center"/>
              <w:rPr>
                <w:color w:val="000000" w:themeColor="text1"/>
                <w:szCs w:val="21"/>
              </w:rPr>
            </w:pPr>
            <w:bookmarkStart w:id="94" w:name="_Toc250447537"/>
            <w:r>
              <w:rPr>
                <w:color w:val="000000" w:themeColor="text1"/>
                <w:szCs w:val="21"/>
              </w:rPr>
              <w:t>影响评价</w:t>
            </w:r>
            <w:bookmarkEnd w:id="94"/>
          </w:p>
        </w:tc>
        <w:tc>
          <w:tcPr>
            <w:tcW w:w="5723" w:type="dxa"/>
            <w:vMerge w:val="continue"/>
            <w:vAlign w:val="center"/>
          </w:tcPr>
          <w:p w14:paraId="2858D386">
            <w:pPr>
              <w:widowControl/>
              <w:jc w:val="left"/>
              <w:rPr>
                <w:color w:val="000000" w:themeColor="text1"/>
                <w:kern w:val="0"/>
                <w:szCs w:val="21"/>
              </w:rPr>
            </w:pPr>
          </w:p>
        </w:tc>
      </w:tr>
      <w:bookmarkEnd w:id="62"/>
      <w:bookmarkEnd w:id="63"/>
      <w:bookmarkEnd w:id="64"/>
      <w:bookmarkEnd w:id="65"/>
      <w:bookmarkEnd w:id="66"/>
      <w:bookmarkEnd w:id="67"/>
    </w:tbl>
    <w:p w14:paraId="77E46392">
      <w:pPr>
        <w:pStyle w:val="4"/>
        <w:rPr>
          <w:rFonts w:ascii="Times New Roman" w:hAnsi="Times New Roman"/>
          <w:color w:val="000000" w:themeColor="text1"/>
        </w:rPr>
      </w:pPr>
      <w:bookmarkStart w:id="95" w:name="_Toc28117679"/>
      <w:bookmarkStart w:id="96" w:name="_Toc362393090"/>
      <w:bookmarkStart w:id="97" w:name="_Toc360004798"/>
      <w:bookmarkStart w:id="98" w:name="_Toc362393091"/>
      <w:bookmarkStart w:id="99" w:name="_Toc226540392"/>
      <w:bookmarkStart w:id="100" w:name="_Toc280621024"/>
      <w:bookmarkStart w:id="101" w:name="_Toc362393093"/>
      <w:bookmarkStart w:id="102" w:name="_Toc226540123"/>
      <w:bookmarkStart w:id="103" w:name="_Toc290295722"/>
      <w:bookmarkStart w:id="104" w:name="_Toc226861723"/>
      <w:bookmarkStart w:id="105" w:name="_Toc230393131"/>
      <w:r>
        <w:rPr>
          <w:rFonts w:ascii="Times New Roman" w:hAnsi="Times New Roman"/>
          <w:color w:val="000000" w:themeColor="text1"/>
        </w:rPr>
        <w:t>1.5评价等级、评价重点</w:t>
      </w:r>
      <w:bookmarkEnd w:id="95"/>
      <w:bookmarkEnd w:id="96"/>
    </w:p>
    <w:p w14:paraId="6F7E6944">
      <w:pPr>
        <w:pStyle w:val="105"/>
        <w:rPr>
          <w:rFonts w:cs="Times New Roman"/>
          <w:color w:val="000000" w:themeColor="text1"/>
        </w:rPr>
      </w:pPr>
      <w:r>
        <w:rPr>
          <w:rFonts w:cs="Times New Roman"/>
          <w:color w:val="000000" w:themeColor="text1"/>
        </w:rPr>
        <w:t>1.5.1评价等级</w:t>
      </w:r>
      <w:bookmarkEnd w:id="97"/>
      <w:bookmarkEnd w:id="98"/>
    </w:p>
    <w:p w14:paraId="5E6E535C">
      <w:pPr>
        <w:spacing w:line="360" w:lineRule="auto"/>
        <w:ind w:firstLine="480"/>
        <w:rPr>
          <w:b/>
          <w:color w:val="000000" w:themeColor="text1"/>
          <w:sz w:val="24"/>
        </w:rPr>
      </w:pPr>
      <w:r>
        <w:rPr>
          <w:b/>
          <w:color w:val="000000" w:themeColor="text1"/>
          <w:sz w:val="24"/>
        </w:rPr>
        <w:t>（1）大气环境影响评价等级</w:t>
      </w:r>
    </w:p>
    <w:p w14:paraId="2552521C">
      <w:pPr>
        <w:spacing w:line="360" w:lineRule="auto"/>
        <w:ind w:firstLine="480"/>
        <w:rPr>
          <w:color w:val="000000" w:themeColor="text1"/>
          <w:sz w:val="24"/>
        </w:rPr>
      </w:pPr>
      <w:r>
        <w:rPr>
          <w:color w:val="000000" w:themeColor="text1"/>
          <w:sz w:val="24"/>
        </w:rPr>
        <w:t>根据本项目工程情况，本项目其中主要污染物为造粒及编织袋生产过程中产生的废气（颗粒物、非甲烷总烃）。根据HJ2.2-2018《环境影响评价技术导则-大气环境》推荐的估算模式（AERSCREEN），估算结果见表1.5-2。最大占标率计算公式如下：</w:t>
      </w:r>
    </w:p>
    <w:p w14:paraId="451EAB0A">
      <w:pPr>
        <w:spacing w:line="360" w:lineRule="auto"/>
        <w:ind w:firstLine="480"/>
        <w:jc w:val="center"/>
        <w:rPr>
          <w:b/>
          <w:color w:val="000000" w:themeColor="text1"/>
          <w:sz w:val="30"/>
          <w:szCs w:val="30"/>
        </w:rPr>
      </w:pPr>
      <w:r>
        <w:rPr>
          <w:b/>
          <w:color w:val="000000" w:themeColor="text1"/>
          <w:sz w:val="30"/>
          <w:szCs w:val="30"/>
        </w:rPr>
        <w:t>P</w:t>
      </w:r>
      <w:r>
        <w:rPr>
          <w:b/>
          <w:color w:val="000000" w:themeColor="text1"/>
          <w:sz w:val="30"/>
          <w:szCs w:val="30"/>
          <w:vertAlign w:val="subscript"/>
        </w:rPr>
        <w:t>i</w:t>
      </w:r>
      <w:r>
        <w:rPr>
          <w:b/>
          <w:color w:val="000000" w:themeColor="text1"/>
          <w:sz w:val="30"/>
          <w:szCs w:val="30"/>
        </w:rPr>
        <w:t>＝(C</w:t>
      </w:r>
      <w:r>
        <w:rPr>
          <w:b/>
          <w:color w:val="000000" w:themeColor="text1"/>
          <w:sz w:val="30"/>
          <w:szCs w:val="30"/>
          <w:vertAlign w:val="subscript"/>
        </w:rPr>
        <w:t>i</w:t>
      </w:r>
      <w:r>
        <w:rPr>
          <w:b/>
          <w:color w:val="000000" w:themeColor="text1"/>
          <w:sz w:val="30"/>
          <w:szCs w:val="30"/>
        </w:rPr>
        <w:t>/C</w:t>
      </w:r>
      <w:r>
        <w:rPr>
          <w:b/>
          <w:color w:val="000000" w:themeColor="text1"/>
          <w:sz w:val="30"/>
          <w:szCs w:val="30"/>
          <w:vertAlign w:val="subscript"/>
        </w:rPr>
        <w:t>0i</w:t>
      </w:r>
      <w:r>
        <w:rPr>
          <w:b/>
          <w:color w:val="000000" w:themeColor="text1"/>
          <w:sz w:val="30"/>
          <w:szCs w:val="30"/>
        </w:rPr>
        <w:t>)×100%</w:t>
      </w:r>
    </w:p>
    <w:p w14:paraId="31857D77">
      <w:pPr>
        <w:spacing w:line="360" w:lineRule="auto"/>
        <w:ind w:firstLine="480"/>
        <w:rPr>
          <w:color w:val="000000" w:themeColor="text1"/>
          <w:sz w:val="24"/>
        </w:rPr>
      </w:pPr>
      <w:r>
        <w:rPr>
          <w:color w:val="000000" w:themeColor="text1"/>
          <w:sz w:val="24"/>
        </w:rPr>
        <w:t>式中：P</w:t>
      </w:r>
      <w:r>
        <w:rPr>
          <w:color w:val="000000" w:themeColor="text1"/>
          <w:sz w:val="24"/>
          <w:vertAlign w:val="subscript"/>
        </w:rPr>
        <w:t>i</w:t>
      </w:r>
      <w:r>
        <w:rPr>
          <w:color w:val="000000" w:themeColor="text1"/>
          <w:sz w:val="24"/>
        </w:rPr>
        <w:t>— 第i个污染物的最大地面质量浓度占标率，%；</w:t>
      </w:r>
    </w:p>
    <w:p w14:paraId="4898A4BB">
      <w:pPr>
        <w:spacing w:line="360" w:lineRule="auto"/>
        <w:ind w:firstLine="1200" w:firstLineChars="500"/>
        <w:rPr>
          <w:color w:val="000000" w:themeColor="text1"/>
          <w:sz w:val="24"/>
        </w:rPr>
      </w:pPr>
      <w:r>
        <w:rPr>
          <w:color w:val="000000" w:themeColor="text1"/>
          <w:sz w:val="24"/>
        </w:rPr>
        <w:t>C</w:t>
      </w:r>
      <w:r>
        <w:rPr>
          <w:color w:val="000000" w:themeColor="text1"/>
          <w:sz w:val="24"/>
          <w:vertAlign w:val="subscript"/>
        </w:rPr>
        <w:t>i</w:t>
      </w:r>
      <w:r>
        <w:rPr>
          <w:color w:val="000000" w:themeColor="text1"/>
          <w:sz w:val="24"/>
        </w:rPr>
        <w:t xml:space="preserve"> — 采用估算模式计算出的第i个污染物的最大地面质量浓度，mg/m</w:t>
      </w:r>
      <w:r>
        <w:rPr>
          <w:color w:val="000000" w:themeColor="text1"/>
          <w:sz w:val="24"/>
          <w:vertAlign w:val="superscript"/>
        </w:rPr>
        <w:t>3</w:t>
      </w:r>
      <w:r>
        <w:rPr>
          <w:color w:val="000000" w:themeColor="text1"/>
          <w:sz w:val="24"/>
        </w:rPr>
        <w:t>；</w:t>
      </w:r>
    </w:p>
    <w:p w14:paraId="2E6C99BD">
      <w:pPr>
        <w:spacing w:line="360" w:lineRule="auto"/>
        <w:ind w:firstLine="1200" w:firstLineChars="500"/>
        <w:rPr>
          <w:color w:val="000000" w:themeColor="text1"/>
          <w:sz w:val="24"/>
        </w:rPr>
      </w:pPr>
      <w:r>
        <w:rPr>
          <w:color w:val="000000" w:themeColor="text1"/>
          <w:sz w:val="24"/>
        </w:rPr>
        <w:t>C</w:t>
      </w:r>
      <w:r>
        <w:rPr>
          <w:color w:val="000000" w:themeColor="text1"/>
          <w:sz w:val="24"/>
          <w:vertAlign w:val="subscript"/>
        </w:rPr>
        <w:t>0i</w:t>
      </w:r>
      <w:r>
        <w:rPr>
          <w:color w:val="000000" w:themeColor="text1"/>
          <w:sz w:val="24"/>
        </w:rPr>
        <w:t>— 第i个污染物的环境空气质量浓度标准，mg/m</w:t>
      </w:r>
      <w:r>
        <w:rPr>
          <w:color w:val="000000" w:themeColor="text1"/>
          <w:sz w:val="24"/>
          <w:vertAlign w:val="superscript"/>
        </w:rPr>
        <w:t>3</w:t>
      </w:r>
      <w:r>
        <w:rPr>
          <w:color w:val="000000" w:themeColor="text1"/>
          <w:sz w:val="24"/>
        </w:rPr>
        <w:t>。</w:t>
      </w:r>
    </w:p>
    <w:p w14:paraId="12B04FEA">
      <w:pPr>
        <w:spacing w:line="360" w:lineRule="auto"/>
        <w:ind w:firstLine="600" w:firstLineChars="250"/>
        <w:rPr>
          <w:b/>
          <w:color w:val="000000" w:themeColor="text1"/>
          <w:sz w:val="24"/>
        </w:rPr>
      </w:pPr>
      <w:r>
        <w:rPr>
          <w:color w:val="000000" w:themeColor="text1"/>
          <w:sz w:val="24"/>
        </w:rPr>
        <w:t>根据《环境影响评价技术导则-大气环境》（HJ2.2-2018），占标率确定评价等级，一级评价Pmax≥10%，二级评价1%≤Pmax＜10%，三级Pmax＜1%，大气评价等级划分见表1.5-1。</w:t>
      </w:r>
    </w:p>
    <w:p w14:paraId="57CBDFFA">
      <w:pPr>
        <w:autoSpaceDE w:val="0"/>
        <w:autoSpaceDN w:val="0"/>
        <w:jc w:val="center"/>
        <w:rPr>
          <w:b/>
          <w:color w:val="000000" w:themeColor="text1"/>
          <w:sz w:val="24"/>
        </w:rPr>
      </w:pPr>
      <w:r>
        <w:rPr>
          <w:b/>
          <w:color w:val="000000" w:themeColor="text1"/>
          <w:sz w:val="24"/>
        </w:rPr>
        <w:t>表1.5-1  环境空气评价等级划分</w:t>
      </w:r>
    </w:p>
    <w:tbl>
      <w:tblPr>
        <w:tblStyle w:val="42"/>
        <w:tblW w:w="8522" w:type="dxa"/>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47"/>
        <w:gridCol w:w="6875"/>
      </w:tblGrid>
      <w:tr w14:paraId="19CC70F5">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47" w:type="dxa"/>
            <w:vAlign w:val="center"/>
          </w:tcPr>
          <w:p w14:paraId="2717F2DE">
            <w:pPr>
              <w:ind w:firstLine="422"/>
              <w:jc w:val="center"/>
              <w:rPr>
                <w:b/>
                <w:color w:val="000000" w:themeColor="text1"/>
                <w:szCs w:val="21"/>
              </w:rPr>
            </w:pPr>
            <w:r>
              <w:rPr>
                <w:b/>
                <w:color w:val="000000" w:themeColor="text1"/>
                <w:szCs w:val="21"/>
              </w:rPr>
              <w:t>工作等级</w:t>
            </w:r>
          </w:p>
        </w:tc>
        <w:tc>
          <w:tcPr>
            <w:tcW w:w="6875" w:type="dxa"/>
            <w:vAlign w:val="center"/>
          </w:tcPr>
          <w:p w14:paraId="595BFA2A">
            <w:pPr>
              <w:ind w:firstLine="422"/>
              <w:jc w:val="center"/>
              <w:rPr>
                <w:b/>
                <w:color w:val="000000" w:themeColor="text1"/>
                <w:szCs w:val="21"/>
              </w:rPr>
            </w:pPr>
            <w:r>
              <w:rPr>
                <w:b/>
                <w:color w:val="000000" w:themeColor="text1"/>
                <w:szCs w:val="21"/>
              </w:rPr>
              <w:t>评价工作分级判据</w:t>
            </w:r>
          </w:p>
        </w:tc>
      </w:tr>
      <w:tr w14:paraId="1B9879B7">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47" w:type="dxa"/>
            <w:vAlign w:val="center"/>
          </w:tcPr>
          <w:p w14:paraId="72057D20">
            <w:pPr>
              <w:ind w:firstLine="422"/>
              <w:jc w:val="center"/>
              <w:rPr>
                <w:b/>
                <w:color w:val="000000" w:themeColor="text1"/>
                <w:szCs w:val="21"/>
              </w:rPr>
            </w:pPr>
            <w:r>
              <w:rPr>
                <w:b/>
                <w:color w:val="000000" w:themeColor="text1"/>
                <w:szCs w:val="21"/>
              </w:rPr>
              <w:t>一级</w:t>
            </w:r>
          </w:p>
        </w:tc>
        <w:tc>
          <w:tcPr>
            <w:tcW w:w="6875" w:type="dxa"/>
          </w:tcPr>
          <w:p w14:paraId="03272232">
            <w:pPr>
              <w:pStyle w:val="281"/>
              <w:ind w:left="105" w:leftChars="50"/>
              <w:jc w:val="center"/>
              <w:rPr>
                <w:rFonts w:ascii="Times New Roman" w:hAnsi="Times New Roman" w:cs="Times New Roman"/>
                <w:color w:val="000000" w:themeColor="text1"/>
                <w:sz w:val="21"/>
              </w:rPr>
            </w:pPr>
            <w:r>
              <w:rPr>
                <w:rFonts w:ascii="Times New Roman" w:hAnsi="Times New Roman" w:cs="Times New Roman"/>
                <w:i/>
                <w:color w:val="000000" w:themeColor="text1"/>
                <w:position w:val="2"/>
                <w:sz w:val="21"/>
              </w:rPr>
              <w:t>P</w:t>
            </w:r>
            <w:r>
              <w:rPr>
                <w:rFonts w:ascii="Times New Roman" w:hAnsi="Times New Roman" w:cs="Times New Roman"/>
                <w:color w:val="000000" w:themeColor="text1"/>
                <w:sz w:val="14"/>
              </w:rPr>
              <w:t xml:space="preserve">max  </w:t>
            </w:r>
            <w:r>
              <w:rPr>
                <w:rFonts w:ascii="Times New Roman" w:hAnsi="Times New Roman" w:cs="Times New Roman"/>
                <w:color w:val="000000" w:themeColor="text1"/>
                <w:position w:val="2"/>
                <w:sz w:val="21"/>
              </w:rPr>
              <w:t>≥ 10%</w:t>
            </w:r>
          </w:p>
        </w:tc>
      </w:tr>
      <w:tr w14:paraId="07E68F92">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47" w:type="dxa"/>
            <w:vAlign w:val="center"/>
          </w:tcPr>
          <w:p w14:paraId="5050E8EC">
            <w:pPr>
              <w:ind w:firstLine="422"/>
              <w:jc w:val="center"/>
              <w:rPr>
                <w:b/>
                <w:color w:val="000000" w:themeColor="text1"/>
                <w:szCs w:val="21"/>
              </w:rPr>
            </w:pPr>
            <w:r>
              <w:rPr>
                <w:b/>
                <w:color w:val="000000" w:themeColor="text1"/>
                <w:szCs w:val="21"/>
              </w:rPr>
              <w:t>二级</w:t>
            </w:r>
          </w:p>
        </w:tc>
        <w:tc>
          <w:tcPr>
            <w:tcW w:w="6875" w:type="dxa"/>
          </w:tcPr>
          <w:p w14:paraId="10D0FD8A">
            <w:pPr>
              <w:pStyle w:val="281"/>
              <w:ind w:left="105" w:leftChars="50"/>
              <w:jc w:val="center"/>
              <w:rPr>
                <w:rFonts w:ascii="Times New Roman" w:hAnsi="Times New Roman" w:eastAsia="Times New Roman" w:cs="Times New Roman"/>
                <w:color w:val="000000" w:themeColor="text1"/>
                <w:sz w:val="21"/>
              </w:rPr>
            </w:pPr>
            <w:r>
              <w:rPr>
                <w:rFonts w:ascii="Times New Roman" w:hAnsi="Times New Roman" w:eastAsia="Times New Roman" w:cs="Times New Roman"/>
                <w:color w:val="000000" w:themeColor="text1"/>
                <w:position w:val="2"/>
                <w:sz w:val="21"/>
              </w:rPr>
              <w:t xml:space="preserve">1% </w:t>
            </w:r>
            <w:r>
              <w:rPr>
                <w:rFonts w:ascii="Times New Roman" w:hAnsi="Times New Roman" w:cs="Times New Roman"/>
                <w:color w:val="000000" w:themeColor="text1"/>
                <w:position w:val="2"/>
                <w:sz w:val="21"/>
              </w:rPr>
              <w:t xml:space="preserve">≤ </w:t>
            </w:r>
            <w:r>
              <w:rPr>
                <w:rFonts w:ascii="Times New Roman" w:hAnsi="Times New Roman" w:eastAsia="Times New Roman" w:cs="Times New Roman"/>
                <w:i/>
                <w:color w:val="000000" w:themeColor="text1"/>
                <w:position w:val="2"/>
                <w:sz w:val="21"/>
              </w:rPr>
              <w:t>P</w:t>
            </w:r>
            <w:r>
              <w:rPr>
                <w:rFonts w:ascii="Times New Roman" w:hAnsi="Times New Roman" w:eastAsia="Times New Roman" w:cs="Times New Roman"/>
                <w:color w:val="000000" w:themeColor="text1"/>
                <w:sz w:val="14"/>
              </w:rPr>
              <w:t>max</w:t>
            </w:r>
            <w:r>
              <w:rPr>
                <w:rFonts w:ascii="Times New Roman" w:hAnsi="Times New Roman" w:cs="Times New Roman"/>
                <w:color w:val="000000" w:themeColor="text1"/>
                <w:position w:val="2"/>
                <w:sz w:val="21"/>
              </w:rPr>
              <w:t>＜</w:t>
            </w:r>
            <w:r>
              <w:rPr>
                <w:rFonts w:ascii="Times New Roman" w:hAnsi="Times New Roman" w:eastAsia="Times New Roman" w:cs="Times New Roman"/>
                <w:color w:val="000000" w:themeColor="text1"/>
                <w:position w:val="2"/>
                <w:sz w:val="21"/>
              </w:rPr>
              <w:t>10%</w:t>
            </w:r>
          </w:p>
        </w:tc>
      </w:tr>
      <w:tr w14:paraId="463D5DB1">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5" w:hRule="atLeast"/>
          <w:jc w:val="center"/>
        </w:trPr>
        <w:tc>
          <w:tcPr>
            <w:tcW w:w="1647" w:type="dxa"/>
            <w:vAlign w:val="center"/>
          </w:tcPr>
          <w:p w14:paraId="3490B716">
            <w:pPr>
              <w:ind w:firstLine="422"/>
              <w:jc w:val="center"/>
              <w:rPr>
                <w:b/>
                <w:color w:val="000000" w:themeColor="text1"/>
                <w:szCs w:val="21"/>
              </w:rPr>
            </w:pPr>
            <w:r>
              <w:rPr>
                <w:b/>
                <w:color w:val="000000" w:themeColor="text1"/>
                <w:szCs w:val="21"/>
              </w:rPr>
              <w:t>三级</w:t>
            </w:r>
          </w:p>
        </w:tc>
        <w:tc>
          <w:tcPr>
            <w:tcW w:w="6875" w:type="dxa"/>
          </w:tcPr>
          <w:p w14:paraId="529B76C9">
            <w:pPr>
              <w:pStyle w:val="281"/>
              <w:ind w:left="105" w:leftChars="50"/>
              <w:jc w:val="center"/>
              <w:rPr>
                <w:rFonts w:ascii="Times New Roman" w:hAnsi="Times New Roman" w:eastAsia="Times New Roman" w:cs="Times New Roman"/>
                <w:color w:val="000000" w:themeColor="text1"/>
                <w:sz w:val="21"/>
              </w:rPr>
            </w:pPr>
            <w:r>
              <w:rPr>
                <w:rFonts w:ascii="Times New Roman" w:hAnsi="Times New Roman" w:eastAsia="Times New Roman" w:cs="Times New Roman"/>
                <w:i/>
                <w:color w:val="000000" w:themeColor="text1"/>
                <w:position w:val="2"/>
                <w:sz w:val="21"/>
              </w:rPr>
              <w:t>P</w:t>
            </w:r>
            <w:r>
              <w:rPr>
                <w:rFonts w:ascii="Times New Roman" w:hAnsi="Times New Roman" w:eastAsia="Times New Roman" w:cs="Times New Roman"/>
                <w:color w:val="000000" w:themeColor="text1"/>
                <w:sz w:val="14"/>
              </w:rPr>
              <w:t>max</w:t>
            </w:r>
            <w:r>
              <w:rPr>
                <w:rFonts w:ascii="Times New Roman" w:hAnsi="Times New Roman" w:cs="Times New Roman"/>
                <w:color w:val="000000" w:themeColor="text1"/>
                <w:position w:val="2"/>
                <w:sz w:val="21"/>
              </w:rPr>
              <w:t xml:space="preserve">＜ </w:t>
            </w:r>
            <w:r>
              <w:rPr>
                <w:rFonts w:ascii="Times New Roman" w:hAnsi="Times New Roman" w:eastAsia="Times New Roman" w:cs="Times New Roman"/>
                <w:color w:val="000000" w:themeColor="text1"/>
                <w:position w:val="2"/>
                <w:sz w:val="21"/>
              </w:rPr>
              <w:t>1%</w:t>
            </w:r>
          </w:p>
        </w:tc>
      </w:tr>
    </w:tbl>
    <w:p w14:paraId="334C4138">
      <w:pPr>
        <w:autoSpaceDE w:val="0"/>
        <w:autoSpaceDN w:val="0"/>
        <w:jc w:val="center"/>
        <w:rPr>
          <w:b/>
          <w:color w:val="000000" w:themeColor="text1"/>
          <w:sz w:val="24"/>
        </w:rPr>
      </w:pPr>
      <w:r>
        <w:rPr>
          <w:b/>
          <w:color w:val="000000" w:themeColor="text1"/>
          <w:sz w:val="24"/>
        </w:rPr>
        <w:t>表1.5-2   大气评级等级估算模式计算表</w:t>
      </w:r>
    </w:p>
    <w:tbl>
      <w:tblPr>
        <w:tblStyle w:val="42"/>
        <w:tblW w:w="5000"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1134"/>
        <w:gridCol w:w="1987"/>
        <w:gridCol w:w="1985"/>
        <w:gridCol w:w="1277"/>
        <w:gridCol w:w="1470"/>
      </w:tblGrid>
      <w:tr w14:paraId="662A2398">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396" w:type="pct"/>
            <w:vAlign w:val="center"/>
          </w:tcPr>
          <w:p w14:paraId="3CC9EBD7">
            <w:pPr>
              <w:jc w:val="center"/>
              <w:rPr>
                <w:b/>
                <w:color w:val="000000" w:themeColor="text1"/>
                <w:szCs w:val="21"/>
              </w:rPr>
            </w:pPr>
            <w:r>
              <w:rPr>
                <w:b/>
                <w:color w:val="000000" w:themeColor="text1"/>
                <w:szCs w:val="21"/>
              </w:rPr>
              <w:t>类别</w:t>
            </w:r>
          </w:p>
        </w:tc>
        <w:tc>
          <w:tcPr>
            <w:tcW w:w="1830" w:type="pct"/>
            <w:gridSpan w:val="2"/>
          </w:tcPr>
          <w:p w14:paraId="3A11D86A">
            <w:pPr>
              <w:jc w:val="center"/>
              <w:rPr>
                <w:b/>
                <w:color w:val="000000" w:themeColor="text1"/>
                <w:szCs w:val="21"/>
              </w:rPr>
            </w:pPr>
            <w:r>
              <w:rPr>
                <w:b/>
                <w:color w:val="000000" w:themeColor="text1"/>
                <w:szCs w:val="21"/>
              </w:rPr>
              <w:t>污染源</w:t>
            </w:r>
          </w:p>
        </w:tc>
        <w:tc>
          <w:tcPr>
            <w:tcW w:w="1164" w:type="pct"/>
            <w:vAlign w:val="center"/>
          </w:tcPr>
          <w:p w14:paraId="3F0C67AE">
            <w:pPr>
              <w:jc w:val="center"/>
              <w:rPr>
                <w:b/>
                <w:color w:val="000000" w:themeColor="text1"/>
                <w:szCs w:val="21"/>
              </w:rPr>
            </w:pPr>
            <w:r>
              <w:rPr>
                <w:b/>
                <w:color w:val="000000" w:themeColor="text1"/>
                <w:szCs w:val="21"/>
              </w:rPr>
              <w:t>最大贡献浓度（ug/m</w:t>
            </w:r>
            <w:r>
              <w:rPr>
                <w:b/>
                <w:color w:val="000000" w:themeColor="text1"/>
                <w:szCs w:val="21"/>
                <w:vertAlign w:val="superscript"/>
              </w:rPr>
              <w:t>3</w:t>
            </w:r>
            <w:r>
              <w:rPr>
                <w:b/>
                <w:color w:val="000000" w:themeColor="text1"/>
                <w:szCs w:val="21"/>
              </w:rPr>
              <w:t>）</w:t>
            </w:r>
          </w:p>
        </w:tc>
        <w:tc>
          <w:tcPr>
            <w:tcW w:w="749" w:type="pct"/>
            <w:vAlign w:val="center"/>
          </w:tcPr>
          <w:p w14:paraId="3604A866">
            <w:pPr>
              <w:jc w:val="center"/>
              <w:rPr>
                <w:b/>
                <w:color w:val="000000" w:themeColor="text1"/>
                <w:szCs w:val="21"/>
              </w:rPr>
            </w:pPr>
            <w:r>
              <w:rPr>
                <w:b/>
                <w:color w:val="000000" w:themeColor="text1"/>
                <w:szCs w:val="21"/>
              </w:rPr>
              <w:t>P</w:t>
            </w:r>
            <w:r>
              <w:rPr>
                <w:b/>
                <w:color w:val="000000" w:themeColor="text1"/>
                <w:szCs w:val="21"/>
                <w:vertAlign w:val="subscript"/>
              </w:rPr>
              <w:t>max</w:t>
            </w:r>
            <w:r>
              <w:rPr>
                <w:b/>
                <w:color w:val="000000" w:themeColor="text1"/>
                <w:szCs w:val="21"/>
              </w:rPr>
              <w:t>（%）</w:t>
            </w:r>
          </w:p>
        </w:tc>
        <w:tc>
          <w:tcPr>
            <w:tcW w:w="861" w:type="pct"/>
            <w:vAlign w:val="center"/>
          </w:tcPr>
          <w:p w14:paraId="3B26E64A">
            <w:pPr>
              <w:jc w:val="center"/>
              <w:rPr>
                <w:b/>
                <w:color w:val="000000" w:themeColor="text1"/>
                <w:szCs w:val="21"/>
              </w:rPr>
            </w:pPr>
            <w:r>
              <w:rPr>
                <w:b/>
                <w:color w:val="000000" w:themeColor="text1"/>
                <w:szCs w:val="21"/>
              </w:rPr>
              <w:t>D10%(m)</w:t>
            </w:r>
          </w:p>
        </w:tc>
      </w:tr>
      <w:tr w14:paraId="11E58D83">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restart"/>
            <w:vAlign w:val="center"/>
          </w:tcPr>
          <w:p w14:paraId="728B8D50">
            <w:pPr>
              <w:jc w:val="center"/>
              <w:rPr>
                <w:color w:val="000000" w:themeColor="text1"/>
                <w:szCs w:val="21"/>
              </w:rPr>
            </w:pPr>
            <w:r>
              <w:rPr>
                <w:color w:val="000000" w:themeColor="text1"/>
                <w:szCs w:val="21"/>
              </w:rPr>
              <w:t>有组织</w:t>
            </w:r>
          </w:p>
        </w:tc>
        <w:tc>
          <w:tcPr>
            <w:tcW w:w="665" w:type="pct"/>
            <w:vMerge w:val="restart"/>
            <w:vAlign w:val="center"/>
          </w:tcPr>
          <w:p w14:paraId="4E978801">
            <w:pPr>
              <w:jc w:val="center"/>
              <w:rPr>
                <w:color w:val="000000" w:themeColor="text1"/>
                <w:szCs w:val="21"/>
              </w:rPr>
            </w:pPr>
            <w:r>
              <w:rPr>
                <w:color w:val="000000" w:themeColor="text1"/>
                <w:szCs w:val="21"/>
              </w:rPr>
              <w:t>造粒工序</w:t>
            </w:r>
          </w:p>
        </w:tc>
        <w:tc>
          <w:tcPr>
            <w:tcW w:w="1165" w:type="pct"/>
            <w:vAlign w:val="center"/>
          </w:tcPr>
          <w:p w14:paraId="3D814C7B">
            <w:pPr>
              <w:jc w:val="center"/>
              <w:rPr>
                <w:color w:val="000000" w:themeColor="text1"/>
                <w:szCs w:val="21"/>
              </w:rPr>
            </w:pPr>
            <w:r>
              <w:rPr>
                <w:color w:val="000000" w:themeColor="text1"/>
                <w:szCs w:val="21"/>
              </w:rPr>
              <w:t>颗粒物（TSP）</w:t>
            </w:r>
          </w:p>
        </w:tc>
        <w:tc>
          <w:tcPr>
            <w:tcW w:w="1164" w:type="pct"/>
            <w:vAlign w:val="center"/>
          </w:tcPr>
          <w:p w14:paraId="6A9503A8">
            <w:pPr>
              <w:jc w:val="center"/>
              <w:rPr>
                <w:color w:val="000000" w:themeColor="text1"/>
                <w:szCs w:val="21"/>
              </w:rPr>
            </w:pPr>
            <w:r>
              <w:rPr>
                <w:color w:val="000000" w:themeColor="text1"/>
                <w:szCs w:val="21"/>
              </w:rPr>
              <w:t>6.6551</w:t>
            </w:r>
          </w:p>
        </w:tc>
        <w:tc>
          <w:tcPr>
            <w:tcW w:w="749" w:type="pct"/>
            <w:vAlign w:val="center"/>
          </w:tcPr>
          <w:p w14:paraId="5852E416">
            <w:pPr>
              <w:jc w:val="center"/>
              <w:rPr>
                <w:color w:val="000000" w:themeColor="text1"/>
                <w:szCs w:val="21"/>
              </w:rPr>
            </w:pPr>
            <w:r>
              <w:rPr>
                <w:color w:val="000000" w:themeColor="text1"/>
                <w:szCs w:val="21"/>
              </w:rPr>
              <w:t>0.7395</w:t>
            </w:r>
          </w:p>
        </w:tc>
        <w:tc>
          <w:tcPr>
            <w:tcW w:w="861" w:type="pct"/>
            <w:vMerge w:val="restart"/>
            <w:vAlign w:val="center"/>
          </w:tcPr>
          <w:p w14:paraId="102C9DC9">
            <w:pPr>
              <w:jc w:val="center"/>
              <w:rPr>
                <w:color w:val="000000" w:themeColor="text1"/>
                <w:szCs w:val="21"/>
              </w:rPr>
            </w:pPr>
            <w:r>
              <w:rPr>
                <w:color w:val="000000" w:themeColor="text1"/>
                <w:szCs w:val="21"/>
              </w:rPr>
              <w:t>/</w:t>
            </w:r>
          </w:p>
        </w:tc>
      </w:tr>
      <w:tr w14:paraId="2A44CDAC">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continue"/>
            <w:vAlign w:val="center"/>
          </w:tcPr>
          <w:p w14:paraId="36148A9F">
            <w:pPr>
              <w:jc w:val="center"/>
              <w:rPr>
                <w:color w:val="000000" w:themeColor="text1"/>
                <w:szCs w:val="21"/>
              </w:rPr>
            </w:pPr>
          </w:p>
        </w:tc>
        <w:tc>
          <w:tcPr>
            <w:tcW w:w="665" w:type="pct"/>
            <w:vMerge w:val="continue"/>
            <w:vAlign w:val="center"/>
          </w:tcPr>
          <w:p w14:paraId="6C979BF5">
            <w:pPr>
              <w:jc w:val="center"/>
              <w:rPr>
                <w:color w:val="000000" w:themeColor="text1"/>
                <w:szCs w:val="21"/>
              </w:rPr>
            </w:pPr>
          </w:p>
        </w:tc>
        <w:tc>
          <w:tcPr>
            <w:tcW w:w="1165" w:type="pct"/>
            <w:vAlign w:val="center"/>
          </w:tcPr>
          <w:p w14:paraId="7E21F779">
            <w:pPr>
              <w:jc w:val="center"/>
              <w:rPr>
                <w:color w:val="000000" w:themeColor="text1"/>
                <w:szCs w:val="21"/>
              </w:rPr>
            </w:pPr>
            <w:r>
              <w:rPr>
                <w:color w:val="000000" w:themeColor="text1"/>
                <w:szCs w:val="21"/>
              </w:rPr>
              <w:t>非甲烷总烃</w:t>
            </w:r>
          </w:p>
        </w:tc>
        <w:tc>
          <w:tcPr>
            <w:tcW w:w="1164" w:type="pct"/>
            <w:vAlign w:val="center"/>
          </w:tcPr>
          <w:p w14:paraId="24187653">
            <w:pPr>
              <w:jc w:val="center"/>
              <w:rPr>
                <w:color w:val="000000" w:themeColor="text1"/>
                <w:szCs w:val="21"/>
              </w:rPr>
            </w:pPr>
            <w:r>
              <w:rPr>
                <w:color w:val="000000" w:themeColor="text1"/>
                <w:szCs w:val="21"/>
              </w:rPr>
              <w:t>44.6842</w:t>
            </w:r>
          </w:p>
        </w:tc>
        <w:tc>
          <w:tcPr>
            <w:tcW w:w="749" w:type="pct"/>
            <w:vAlign w:val="center"/>
          </w:tcPr>
          <w:p w14:paraId="09D727CE">
            <w:pPr>
              <w:jc w:val="center"/>
              <w:rPr>
                <w:color w:val="000000" w:themeColor="text1"/>
                <w:szCs w:val="21"/>
              </w:rPr>
            </w:pPr>
            <w:r>
              <w:rPr>
                <w:color w:val="000000" w:themeColor="text1"/>
                <w:szCs w:val="21"/>
              </w:rPr>
              <w:t>2.2342</w:t>
            </w:r>
          </w:p>
        </w:tc>
        <w:tc>
          <w:tcPr>
            <w:tcW w:w="861" w:type="pct"/>
            <w:vMerge w:val="continue"/>
            <w:vAlign w:val="center"/>
          </w:tcPr>
          <w:p w14:paraId="255C920D">
            <w:pPr>
              <w:jc w:val="center"/>
              <w:rPr>
                <w:color w:val="000000" w:themeColor="text1"/>
                <w:szCs w:val="21"/>
              </w:rPr>
            </w:pPr>
          </w:p>
        </w:tc>
      </w:tr>
      <w:tr w14:paraId="2EF8BFEB">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continue"/>
            <w:vAlign w:val="center"/>
          </w:tcPr>
          <w:p w14:paraId="62DF87F4">
            <w:pPr>
              <w:jc w:val="center"/>
              <w:rPr>
                <w:color w:val="000000" w:themeColor="text1"/>
                <w:szCs w:val="21"/>
              </w:rPr>
            </w:pPr>
          </w:p>
        </w:tc>
        <w:tc>
          <w:tcPr>
            <w:tcW w:w="665" w:type="pct"/>
            <w:vMerge w:val="restart"/>
            <w:vAlign w:val="center"/>
          </w:tcPr>
          <w:p w14:paraId="2A0B6B20">
            <w:pPr>
              <w:jc w:val="center"/>
              <w:rPr>
                <w:color w:val="000000" w:themeColor="text1"/>
                <w:szCs w:val="21"/>
              </w:rPr>
            </w:pPr>
            <w:r>
              <w:rPr>
                <w:color w:val="000000" w:themeColor="text1"/>
                <w:szCs w:val="21"/>
              </w:rPr>
              <w:t>编织袋生产</w:t>
            </w:r>
          </w:p>
        </w:tc>
        <w:tc>
          <w:tcPr>
            <w:tcW w:w="1165" w:type="pct"/>
            <w:vAlign w:val="center"/>
          </w:tcPr>
          <w:p w14:paraId="7A590B9A">
            <w:pPr>
              <w:jc w:val="center"/>
              <w:rPr>
                <w:color w:val="000000" w:themeColor="text1"/>
                <w:szCs w:val="21"/>
              </w:rPr>
            </w:pPr>
            <w:r>
              <w:rPr>
                <w:color w:val="000000" w:themeColor="text1"/>
                <w:szCs w:val="21"/>
              </w:rPr>
              <w:t>颗粒物（TSP）</w:t>
            </w:r>
          </w:p>
        </w:tc>
        <w:tc>
          <w:tcPr>
            <w:tcW w:w="1164" w:type="pct"/>
            <w:vAlign w:val="center"/>
          </w:tcPr>
          <w:p w14:paraId="79800D04">
            <w:pPr>
              <w:jc w:val="center"/>
              <w:rPr>
                <w:color w:val="000000" w:themeColor="text1"/>
                <w:szCs w:val="21"/>
              </w:rPr>
            </w:pPr>
            <w:r>
              <w:rPr>
                <w:color w:val="000000" w:themeColor="text1"/>
                <w:szCs w:val="21"/>
              </w:rPr>
              <w:t>6.5301</w:t>
            </w:r>
          </w:p>
        </w:tc>
        <w:tc>
          <w:tcPr>
            <w:tcW w:w="749" w:type="pct"/>
            <w:vAlign w:val="center"/>
          </w:tcPr>
          <w:p w14:paraId="695EFA8A">
            <w:pPr>
              <w:jc w:val="center"/>
              <w:rPr>
                <w:color w:val="000000" w:themeColor="text1"/>
                <w:szCs w:val="21"/>
              </w:rPr>
            </w:pPr>
            <w:r>
              <w:rPr>
                <w:color w:val="000000" w:themeColor="text1"/>
                <w:szCs w:val="21"/>
              </w:rPr>
              <w:t>0.3265</w:t>
            </w:r>
          </w:p>
        </w:tc>
        <w:tc>
          <w:tcPr>
            <w:tcW w:w="861" w:type="pct"/>
            <w:vMerge w:val="restart"/>
            <w:vAlign w:val="center"/>
          </w:tcPr>
          <w:p w14:paraId="36FD4AF3">
            <w:pPr>
              <w:jc w:val="center"/>
              <w:rPr>
                <w:color w:val="000000" w:themeColor="text1"/>
                <w:szCs w:val="21"/>
              </w:rPr>
            </w:pPr>
            <w:r>
              <w:rPr>
                <w:color w:val="000000" w:themeColor="text1"/>
                <w:szCs w:val="21"/>
              </w:rPr>
              <w:t>/</w:t>
            </w:r>
          </w:p>
        </w:tc>
      </w:tr>
      <w:tr w14:paraId="13332F6A">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continue"/>
            <w:vAlign w:val="center"/>
          </w:tcPr>
          <w:p w14:paraId="4639319E">
            <w:pPr>
              <w:jc w:val="center"/>
              <w:rPr>
                <w:color w:val="000000" w:themeColor="text1"/>
                <w:szCs w:val="21"/>
              </w:rPr>
            </w:pPr>
          </w:p>
        </w:tc>
        <w:tc>
          <w:tcPr>
            <w:tcW w:w="665" w:type="pct"/>
            <w:vMerge w:val="continue"/>
          </w:tcPr>
          <w:p w14:paraId="69AC8A56">
            <w:pPr>
              <w:jc w:val="center"/>
              <w:rPr>
                <w:color w:val="000000" w:themeColor="text1"/>
                <w:szCs w:val="21"/>
              </w:rPr>
            </w:pPr>
          </w:p>
        </w:tc>
        <w:tc>
          <w:tcPr>
            <w:tcW w:w="1165" w:type="pct"/>
            <w:vAlign w:val="center"/>
          </w:tcPr>
          <w:p w14:paraId="245BB526">
            <w:pPr>
              <w:jc w:val="center"/>
              <w:rPr>
                <w:color w:val="000000" w:themeColor="text1"/>
                <w:szCs w:val="21"/>
              </w:rPr>
            </w:pPr>
            <w:r>
              <w:rPr>
                <w:color w:val="000000" w:themeColor="text1"/>
                <w:szCs w:val="21"/>
              </w:rPr>
              <w:t>非甲烷总烃</w:t>
            </w:r>
          </w:p>
        </w:tc>
        <w:tc>
          <w:tcPr>
            <w:tcW w:w="1164" w:type="pct"/>
            <w:vAlign w:val="center"/>
          </w:tcPr>
          <w:p w14:paraId="061BD2AF">
            <w:pPr>
              <w:jc w:val="center"/>
              <w:rPr>
                <w:color w:val="000000" w:themeColor="text1"/>
                <w:szCs w:val="21"/>
              </w:rPr>
            </w:pPr>
            <w:r>
              <w:rPr>
                <w:color w:val="000000" w:themeColor="text1"/>
                <w:szCs w:val="21"/>
              </w:rPr>
              <w:t>6.2544</w:t>
            </w:r>
          </w:p>
        </w:tc>
        <w:tc>
          <w:tcPr>
            <w:tcW w:w="749" w:type="pct"/>
            <w:vAlign w:val="center"/>
          </w:tcPr>
          <w:p w14:paraId="6BFC241E">
            <w:pPr>
              <w:jc w:val="center"/>
              <w:rPr>
                <w:color w:val="000000" w:themeColor="text1"/>
                <w:szCs w:val="21"/>
              </w:rPr>
            </w:pPr>
            <w:r>
              <w:rPr>
                <w:color w:val="000000" w:themeColor="text1"/>
                <w:szCs w:val="21"/>
              </w:rPr>
              <w:t>0.6949</w:t>
            </w:r>
          </w:p>
        </w:tc>
        <w:tc>
          <w:tcPr>
            <w:tcW w:w="861" w:type="pct"/>
            <w:vMerge w:val="continue"/>
            <w:vAlign w:val="center"/>
          </w:tcPr>
          <w:p w14:paraId="132D327C">
            <w:pPr>
              <w:jc w:val="center"/>
              <w:rPr>
                <w:color w:val="000000" w:themeColor="text1"/>
                <w:szCs w:val="21"/>
              </w:rPr>
            </w:pPr>
          </w:p>
        </w:tc>
      </w:tr>
      <w:tr w14:paraId="48BADE10">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restart"/>
            <w:vAlign w:val="center"/>
          </w:tcPr>
          <w:p w14:paraId="78CCCD1E">
            <w:pPr>
              <w:jc w:val="center"/>
              <w:rPr>
                <w:color w:val="000000" w:themeColor="text1"/>
                <w:szCs w:val="21"/>
              </w:rPr>
            </w:pPr>
            <w:r>
              <w:rPr>
                <w:color w:val="000000" w:themeColor="text1"/>
                <w:szCs w:val="21"/>
              </w:rPr>
              <w:t>无组织</w:t>
            </w:r>
          </w:p>
        </w:tc>
        <w:tc>
          <w:tcPr>
            <w:tcW w:w="665" w:type="pct"/>
            <w:vMerge w:val="restart"/>
          </w:tcPr>
          <w:p w14:paraId="3ACD722D">
            <w:pPr>
              <w:jc w:val="center"/>
              <w:rPr>
                <w:color w:val="000000" w:themeColor="text1"/>
                <w:szCs w:val="21"/>
              </w:rPr>
            </w:pPr>
            <w:r>
              <w:rPr>
                <w:color w:val="000000" w:themeColor="text1"/>
                <w:szCs w:val="21"/>
              </w:rPr>
              <w:t>生产区</w:t>
            </w:r>
          </w:p>
        </w:tc>
        <w:tc>
          <w:tcPr>
            <w:tcW w:w="1165" w:type="pct"/>
            <w:vAlign w:val="center"/>
          </w:tcPr>
          <w:p w14:paraId="16CE3C12">
            <w:pPr>
              <w:jc w:val="center"/>
              <w:rPr>
                <w:color w:val="000000" w:themeColor="text1"/>
                <w:szCs w:val="21"/>
              </w:rPr>
            </w:pPr>
            <w:r>
              <w:rPr>
                <w:color w:val="000000" w:themeColor="text1"/>
                <w:szCs w:val="21"/>
              </w:rPr>
              <w:t>颗粒物（TSP）</w:t>
            </w:r>
          </w:p>
        </w:tc>
        <w:tc>
          <w:tcPr>
            <w:tcW w:w="1164" w:type="pct"/>
            <w:vAlign w:val="center"/>
          </w:tcPr>
          <w:p w14:paraId="1518A26B">
            <w:pPr>
              <w:jc w:val="center"/>
              <w:rPr>
                <w:color w:val="000000" w:themeColor="text1"/>
                <w:szCs w:val="21"/>
              </w:rPr>
            </w:pPr>
            <w:r>
              <w:rPr>
                <w:color w:val="000000" w:themeColor="text1"/>
                <w:szCs w:val="21"/>
              </w:rPr>
              <w:t>0.9488</w:t>
            </w:r>
          </w:p>
        </w:tc>
        <w:tc>
          <w:tcPr>
            <w:tcW w:w="749" w:type="pct"/>
            <w:vAlign w:val="center"/>
          </w:tcPr>
          <w:p w14:paraId="00AB21E8">
            <w:pPr>
              <w:jc w:val="center"/>
              <w:rPr>
                <w:color w:val="000000" w:themeColor="text1"/>
                <w:szCs w:val="21"/>
              </w:rPr>
            </w:pPr>
            <w:r>
              <w:rPr>
                <w:color w:val="000000" w:themeColor="text1"/>
                <w:szCs w:val="21"/>
              </w:rPr>
              <w:t>0.1054</w:t>
            </w:r>
          </w:p>
        </w:tc>
        <w:tc>
          <w:tcPr>
            <w:tcW w:w="861" w:type="pct"/>
            <w:vMerge w:val="restart"/>
            <w:vAlign w:val="center"/>
          </w:tcPr>
          <w:p w14:paraId="77215175">
            <w:pPr>
              <w:jc w:val="center"/>
              <w:rPr>
                <w:color w:val="000000" w:themeColor="text1"/>
                <w:szCs w:val="21"/>
              </w:rPr>
            </w:pPr>
            <w:r>
              <w:rPr>
                <w:color w:val="000000" w:themeColor="text1"/>
                <w:szCs w:val="21"/>
              </w:rPr>
              <w:t>/</w:t>
            </w:r>
          </w:p>
        </w:tc>
      </w:tr>
      <w:tr w14:paraId="016B2BBA">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continue"/>
            <w:vAlign w:val="center"/>
          </w:tcPr>
          <w:p w14:paraId="5796CA27">
            <w:pPr>
              <w:jc w:val="center"/>
              <w:rPr>
                <w:color w:val="000000" w:themeColor="text1"/>
                <w:szCs w:val="21"/>
              </w:rPr>
            </w:pPr>
          </w:p>
        </w:tc>
        <w:tc>
          <w:tcPr>
            <w:tcW w:w="665" w:type="pct"/>
            <w:vMerge w:val="continue"/>
          </w:tcPr>
          <w:p w14:paraId="629959AA">
            <w:pPr>
              <w:jc w:val="center"/>
              <w:rPr>
                <w:color w:val="000000" w:themeColor="text1"/>
                <w:szCs w:val="21"/>
              </w:rPr>
            </w:pPr>
          </w:p>
        </w:tc>
        <w:tc>
          <w:tcPr>
            <w:tcW w:w="1165" w:type="pct"/>
            <w:vAlign w:val="center"/>
          </w:tcPr>
          <w:p w14:paraId="00648C2C">
            <w:pPr>
              <w:jc w:val="center"/>
              <w:rPr>
                <w:color w:val="000000" w:themeColor="text1"/>
                <w:szCs w:val="21"/>
              </w:rPr>
            </w:pPr>
            <w:r>
              <w:rPr>
                <w:color w:val="000000" w:themeColor="text1"/>
                <w:szCs w:val="21"/>
              </w:rPr>
              <w:t>非甲烷总烃</w:t>
            </w:r>
          </w:p>
        </w:tc>
        <w:tc>
          <w:tcPr>
            <w:tcW w:w="1164" w:type="pct"/>
            <w:vAlign w:val="center"/>
          </w:tcPr>
          <w:p w14:paraId="15685C13">
            <w:pPr>
              <w:jc w:val="center"/>
              <w:rPr>
                <w:color w:val="000000" w:themeColor="text1"/>
                <w:szCs w:val="21"/>
              </w:rPr>
            </w:pPr>
            <w:r>
              <w:rPr>
                <w:color w:val="000000" w:themeColor="text1"/>
                <w:szCs w:val="21"/>
              </w:rPr>
              <w:t>6.5301</w:t>
            </w:r>
          </w:p>
        </w:tc>
        <w:tc>
          <w:tcPr>
            <w:tcW w:w="749" w:type="pct"/>
            <w:vAlign w:val="center"/>
          </w:tcPr>
          <w:p w14:paraId="09D5D822">
            <w:pPr>
              <w:jc w:val="center"/>
              <w:rPr>
                <w:color w:val="000000" w:themeColor="text1"/>
                <w:szCs w:val="21"/>
              </w:rPr>
            </w:pPr>
            <w:r>
              <w:rPr>
                <w:color w:val="000000" w:themeColor="text1"/>
                <w:szCs w:val="21"/>
              </w:rPr>
              <w:t>0.3265</w:t>
            </w:r>
          </w:p>
        </w:tc>
        <w:tc>
          <w:tcPr>
            <w:tcW w:w="861" w:type="pct"/>
            <w:vMerge w:val="continue"/>
            <w:vAlign w:val="center"/>
          </w:tcPr>
          <w:p w14:paraId="7379CAA2">
            <w:pPr>
              <w:jc w:val="center"/>
              <w:rPr>
                <w:color w:val="000000" w:themeColor="text1"/>
                <w:szCs w:val="21"/>
              </w:rPr>
            </w:pPr>
          </w:p>
        </w:tc>
      </w:tr>
    </w:tbl>
    <w:p w14:paraId="76B6C274">
      <w:pPr>
        <w:spacing w:line="360" w:lineRule="auto"/>
        <w:ind w:firstLine="480"/>
        <w:jc w:val="left"/>
        <w:rPr>
          <w:color w:val="000000" w:themeColor="text1"/>
          <w:sz w:val="24"/>
        </w:rPr>
      </w:pPr>
      <w:r>
        <w:rPr>
          <w:color w:val="000000" w:themeColor="text1"/>
          <w:sz w:val="24"/>
        </w:rPr>
        <w:t>由上表可知，项目区造粒工序有组织废气中非甲烷总烃占标率1%≤ P</w:t>
      </w:r>
      <w:r>
        <w:rPr>
          <w:color w:val="000000" w:themeColor="text1"/>
          <w:sz w:val="24"/>
          <w:vertAlign w:val="subscript"/>
        </w:rPr>
        <w:t>max</w:t>
      </w:r>
      <w:r>
        <w:rPr>
          <w:color w:val="000000" w:themeColor="text1"/>
          <w:sz w:val="24"/>
        </w:rPr>
        <w:t>=2.2342%＜10%，根据估算结果及技术导则，本项目环境空气评价工作等级划分为二级。</w:t>
      </w:r>
    </w:p>
    <w:p w14:paraId="256638E1">
      <w:pPr>
        <w:spacing w:line="360" w:lineRule="auto"/>
        <w:ind w:firstLine="480"/>
        <w:rPr>
          <w:b/>
          <w:color w:val="000000" w:themeColor="text1"/>
          <w:sz w:val="24"/>
        </w:rPr>
      </w:pPr>
      <w:r>
        <w:rPr>
          <w:b/>
          <w:color w:val="000000" w:themeColor="text1"/>
          <w:sz w:val="24"/>
        </w:rPr>
        <w:t>（2）水环境影响评价等级</w:t>
      </w:r>
    </w:p>
    <w:p w14:paraId="09DCEF4B">
      <w:pPr>
        <w:spacing w:line="360" w:lineRule="auto"/>
        <w:ind w:firstLine="480"/>
        <w:jc w:val="left"/>
        <w:rPr>
          <w:color w:val="000000" w:themeColor="text1"/>
          <w:sz w:val="24"/>
        </w:rPr>
      </w:pPr>
      <w:r>
        <w:rPr>
          <w:color w:val="000000" w:themeColor="text1"/>
          <w:sz w:val="24"/>
        </w:rPr>
        <w:t>本项目建成后，废水主要为生活污水和生产废水。</w:t>
      </w:r>
    </w:p>
    <w:p w14:paraId="108D3285">
      <w:pPr>
        <w:spacing w:line="360" w:lineRule="auto"/>
        <w:ind w:firstLine="480"/>
        <w:jc w:val="left"/>
        <w:rPr>
          <w:color w:val="000000" w:themeColor="text1"/>
          <w:sz w:val="24"/>
        </w:rPr>
      </w:pPr>
      <w:r>
        <w:rPr>
          <w:b/>
          <w:color w:val="000000" w:themeColor="text1"/>
          <w:sz w:val="24"/>
        </w:rPr>
        <w:t>生活污水：</w:t>
      </w:r>
      <w:r>
        <w:rPr>
          <w:color w:val="000000" w:themeColor="text1"/>
          <w:sz w:val="24"/>
        </w:rPr>
        <w:t>主要来自于员工产生的办公废水、办公区域清洁废水、职工生活废水等；</w:t>
      </w:r>
    </w:p>
    <w:p w14:paraId="509C8AAE">
      <w:pPr>
        <w:spacing w:line="360" w:lineRule="auto"/>
        <w:ind w:firstLine="480"/>
        <w:jc w:val="left"/>
        <w:rPr>
          <w:color w:val="000000" w:themeColor="text1"/>
          <w:sz w:val="24"/>
        </w:rPr>
      </w:pPr>
      <w:r>
        <w:rPr>
          <w:b/>
          <w:color w:val="000000" w:themeColor="text1"/>
          <w:sz w:val="24"/>
        </w:rPr>
        <w:t>生产废水：</w:t>
      </w:r>
      <w:r>
        <w:rPr>
          <w:color w:val="000000" w:themeColor="text1"/>
          <w:sz w:val="24"/>
        </w:rPr>
        <w:t>主要来自于塑料破碎清洗产生的废水，废水中主要污染物为COD</w:t>
      </w:r>
      <w:r>
        <w:rPr>
          <w:color w:val="000000" w:themeColor="text1"/>
          <w:sz w:val="24"/>
          <w:vertAlign w:val="subscript"/>
        </w:rPr>
        <w:t>Cr</w:t>
      </w:r>
      <w:r>
        <w:rPr>
          <w:color w:val="000000" w:themeColor="text1"/>
          <w:sz w:val="24"/>
        </w:rPr>
        <w:t>、SS、NH</w:t>
      </w:r>
      <w:r>
        <w:rPr>
          <w:color w:val="000000" w:themeColor="text1"/>
          <w:sz w:val="24"/>
          <w:vertAlign w:val="subscript"/>
        </w:rPr>
        <w:t>3</w:t>
      </w:r>
      <w:r>
        <w:rPr>
          <w:color w:val="000000" w:themeColor="text1"/>
          <w:sz w:val="24"/>
        </w:rPr>
        <w:t>-N、TP和动植物油；</w:t>
      </w:r>
    </w:p>
    <w:p w14:paraId="44E06230">
      <w:pPr>
        <w:spacing w:line="360" w:lineRule="auto"/>
        <w:ind w:firstLine="480"/>
        <w:jc w:val="left"/>
        <w:rPr>
          <w:color w:val="000000" w:themeColor="text1"/>
          <w:kern w:val="0"/>
          <w:sz w:val="24"/>
        </w:rPr>
      </w:pPr>
      <w:r>
        <w:rPr>
          <w:color w:val="000000" w:themeColor="text1"/>
          <w:kern w:val="0"/>
          <w:sz w:val="24"/>
        </w:rPr>
        <w:t>本项目废水不外排，根据</w:t>
      </w:r>
      <w:r>
        <w:rPr>
          <w:color w:val="000000" w:themeColor="text1"/>
          <w:sz w:val="24"/>
        </w:rPr>
        <w:t>《环境影响评价技术导则  地面水环境》（HJ/T2.3-2018）</w:t>
      </w:r>
      <w:r>
        <w:rPr>
          <w:color w:val="000000" w:themeColor="text1"/>
          <w:kern w:val="0"/>
          <w:sz w:val="24"/>
        </w:rPr>
        <w:t>，“建设项目生产工艺中有废水产生，但作为回用水利用，不外排到外环境的，按三级B评价”；</w:t>
      </w:r>
    </w:p>
    <w:p w14:paraId="6C3E1053">
      <w:pPr>
        <w:spacing w:line="360" w:lineRule="auto"/>
        <w:ind w:firstLine="480"/>
        <w:jc w:val="left"/>
        <w:rPr>
          <w:color w:val="000000" w:themeColor="text1"/>
          <w:kern w:val="0"/>
          <w:sz w:val="24"/>
        </w:rPr>
      </w:pPr>
      <w:r>
        <w:rPr>
          <w:color w:val="000000" w:themeColor="text1"/>
          <w:kern w:val="0"/>
          <w:sz w:val="24"/>
        </w:rPr>
        <w:t>综上，本项目</w:t>
      </w:r>
      <w:r>
        <w:rPr>
          <w:color w:val="000000" w:themeColor="text1"/>
          <w:sz w:val="24"/>
        </w:rPr>
        <w:t>地表水环境评价等级设三级B，</w:t>
      </w:r>
      <w:r>
        <w:rPr>
          <w:color w:val="000000" w:themeColor="text1"/>
          <w:kern w:val="0"/>
          <w:sz w:val="24"/>
        </w:rPr>
        <w:t>重点是进行废水不外排的可行性进行分析及依托</w:t>
      </w:r>
      <w:r>
        <w:rPr>
          <w:color w:val="000000" w:themeColor="text1"/>
          <w:sz w:val="24"/>
        </w:rPr>
        <w:t>污水处理设施（隔油池+沉淀池）</w:t>
      </w:r>
      <w:r>
        <w:rPr>
          <w:color w:val="000000" w:themeColor="text1"/>
          <w:kern w:val="0"/>
          <w:sz w:val="24"/>
        </w:rPr>
        <w:t>环境可行性分析。</w:t>
      </w:r>
    </w:p>
    <w:p w14:paraId="5FC22EC5">
      <w:pPr>
        <w:spacing w:line="360" w:lineRule="auto"/>
        <w:ind w:firstLine="480"/>
        <w:jc w:val="left"/>
        <w:rPr>
          <w:b/>
          <w:color w:val="000000" w:themeColor="text1"/>
          <w:sz w:val="24"/>
        </w:rPr>
      </w:pPr>
      <w:r>
        <w:rPr>
          <w:b/>
          <w:color w:val="000000" w:themeColor="text1"/>
          <w:sz w:val="24"/>
        </w:rPr>
        <w:t>（3）地下水评价等级</w:t>
      </w:r>
    </w:p>
    <w:p w14:paraId="75EE0CFB">
      <w:pPr>
        <w:pStyle w:val="295"/>
        <w:ind w:firstLine="482"/>
        <w:rPr>
          <w:b/>
        </w:rPr>
      </w:pPr>
      <w:r>
        <w:rPr>
          <w:rFonts w:hint="eastAsia" w:ascii="宋体" w:hAnsi="宋体" w:cs="宋体"/>
          <w:b/>
        </w:rPr>
        <w:t>①</w:t>
      </w:r>
      <w:r>
        <w:rPr>
          <w:b/>
        </w:rPr>
        <w:t>建设项目分类</w:t>
      </w:r>
    </w:p>
    <w:p w14:paraId="7FAFBFCD">
      <w:pPr>
        <w:pStyle w:val="295"/>
        <w:ind w:firstLine="480"/>
        <w:rPr>
          <w:rFonts w:eastAsia="新宋体"/>
          <w:kern w:val="0"/>
          <w:szCs w:val="21"/>
        </w:rPr>
      </w:pPr>
      <w:r>
        <w:t>本项目为废塑料再生利用项目，对照《环境影响评价技术导则地下水环境》（HJ610-2016）中”附表A地下水环境影响评价行业分类表”可知，</w:t>
      </w:r>
      <w:r>
        <w:rPr>
          <w:rFonts w:eastAsia="新宋体"/>
          <w:kern w:val="0"/>
          <w:szCs w:val="21"/>
        </w:rPr>
        <w:t>属于</w:t>
      </w:r>
      <w:r>
        <w:rPr>
          <w:rFonts w:eastAsia="新宋体"/>
          <w:bCs/>
          <w:kern w:val="0"/>
          <w:szCs w:val="20"/>
        </w:rPr>
        <w:t>U城镇基础设施及房地产类别中第155项中废塑料再生利用项目，</w:t>
      </w:r>
      <w:r>
        <w:rPr>
          <w:rFonts w:eastAsia="新宋体"/>
          <w:kern w:val="0"/>
          <w:szCs w:val="21"/>
        </w:rPr>
        <w:t>地下水环境影响评价项目类别为</w:t>
      </w:r>
      <w:r>
        <w:rPr>
          <w:kern w:val="0"/>
          <w:szCs w:val="21"/>
        </w:rPr>
        <w:t>Ⅲ</w:t>
      </w:r>
      <w:r>
        <w:rPr>
          <w:rFonts w:eastAsia="新宋体"/>
          <w:kern w:val="0"/>
          <w:szCs w:val="21"/>
        </w:rPr>
        <w:t>类。</w:t>
      </w:r>
    </w:p>
    <w:p w14:paraId="6A906D92">
      <w:pPr>
        <w:pStyle w:val="295"/>
        <w:ind w:firstLine="482"/>
        <w:rPr>
          <w:rFonts w:eastAsia="新宋体"/>
          <w:b/>
          <w:kern w:val="0"/>
          <w:szCs w:val="21"/>
        </w:rPr>
      </w:pPr>
      <w:r>
        <w:rPr>
          <w:rFonts w:hint="eastAsia" w:ascii="宋体" w:hAnsi="宋体" w:cs="宋体"/>
          <w:b/>
          <w:kern w:val="0"/>
          <w:szCs w:val="21"/>
        </w:rPr>
        <w:t>②</w:t>
      </w:r>
      <w:r>
        <w:rPr>
          <w:rFonts w:eastAsia="新宋体"/>
          <w:b/>
          <w:kern w:val="0"/>
          <w:szCs w:val="21"/>
        </w:rPr>
        <w:t>地下水环境敏感性程度分级</w:t>
      </w:r>
    </w:p>
    <w:p w14:paraId="392C832B">
      <w:pPr>
        <w:pStyle w:val="295"/>
        <w:ind w:firstLine="480"/>
      </w:pPr>
      <w:r>
        <w:t>根据《环境影响评价技术导则地下水环境》HJ610-2016中，将建设项目的地下水环境敏感程度分为敏感、较敏感、不敏感三级，分级原则如下表1.5-3所示。</w:t>
      </w:r>
    </w:p>
    <w:p w14:paraId="6BE1A96A">
      <w:pPr>
        <w:pStyle w:val="295"/>
        <w:ind w:firstLine="480"/>
      </w:pPr>
    </w:p>
    <w:p w14:paraId="2382A375">
      <w:pPr>
        <w:autoSpaceDE w:val="0"/>
        <w:autoSpaceDN w:val="0"/>
        <w:jc w:val="center"/>
        <w:rPr>
          <w:b/>
          <w:sz w:val="24"/>
        </w:rPr>
      </w:pPr>
      <w:r>
        <w:rPr>
          <w:b/>
          <w:sz w:val="24"/>
        </w:rPr>
        <w:t>表1.5-3  地下水环境敏感程度分级表</w:t>
      </w:r>
    </w:p>
    <w:tbl>
      <w:tblPr>
        <w:tblStyle w:val="42"/>
        <w:tblW w:w="852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6055"/>
        <w:gridCol w:w="1372"/>
      </w:tblGrid>
      <w:tr w14:paraId="40D66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1" w:type="dxa"/>
            <w:vAlign w:val="center"/>
          </w:tcPr>
          <w:p w14:paraId="5AEFAA2D">
            <w:pPr>
              <w:jc w:val="center"/>
              <w:rPr>
                <w:rFonts w:eastAsia="新宋体"/>
                <w:kern w:val="0"/>
                <w:szCs w:val="21"/>
              </w:rPr>
            </w:pPr>
            <w:r>
              <w:rPr>
                <w:rFonts w:eastAsia="新宋体"/>
                <w:kern w:val="0"/>
                <w:szCs w:val="21"/>
              </w:rPr>
              <w:t>敏感程度</w:t>
            </w:r>
          </w:p>
        </w:tc>
        <w:tc>
          <w:tcPr>
            <w:tcW w:w="6055" w:type="dxa"/>
            <w:vAlign w:val="center"/>
          </w:tcPr>
          <w:p w14:paraId="755F7982">
            <w:pPr>
              <w:jc w:val="center"/>
              <w:rPr>
                <w:rFonts w:eastAsia="新宋体"/>
                <w:kern w:val="0"/>
                <w:szCs w:val="21"/>
              </w:rPr>
            </w:pPr>
            <w:r>
              <w:rPr>
                <w:rFonts w:eastAsia="新宋体"/>
                <w:kern w:val="0"/>
                <w:szCs w:val="21"/>
              </w:rPr>
              <w:t>地下水环境敏感特征</w:t>
            </w:r>
          </w:p>
        </w:tc>
        <w:tc>
          <w:tcPr>
            <w:tcW w:w="1372" w:type="dxa"/>
            <w:vAlign w:val="center"/>
          </w:tcPr>
          <w:p w14:paraId="2DE387BF">
            <w:pPr>
              <w:jc w:val="center"/>
              <w:rPr>
                <w:rFonts w:eastAsia="新宋体"/>
                <w:kern w:val="0"/>
                <w:szCs w:val="21"/>
              </w:rPr>
            </w:pPr>
            <w:r>
              <w:rPr>
                <w:rFonts w:eastAsia="新宋体"/>
                <w:kern w:val="0"/>
                <w:szCs w:val="21"/>
              </w:rPr>
              <w:t>本项目</w:t>
            </w:r>
          </w:p>
        </w:tc>
      </w:tr>
      <w:tr w14:paraId="7F4DC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1" w:type="dxa"/>
            <w:vAlign w:val="center"/>
          </w:tcPr>
          <w:p w14:paraId="028AB48F">
            <w:pPr>
              <w:jc w:val="center"/>
              <w:rPr>
                <w:rFonts w:eastAsia="新宋体"/>
                <w:kern w:val="0"/>
                <w:szCs w:val="21"/>
              </w:rPr>
            </w:pPr>
            <w:r>
              <w:rPr>
                <w:rFonts w:eastAsia="新宋体"/>
                <w:kern w:val="0"/>
                <w:szCs w:val="21"/>
              </w:rPr>
              <w:t>敏感</w:t>
            </w:r>
          </w:p>
        </w:tc>
        <w:tc>
          <w:tcPr>
            <w:tcW w:w="6055" w:type="dxa"/>
            <w:vAlign w:val="center"/>
          </w:tcPr>
          <w:p w14:paraId="06074B39">
            <w:pPr>
              <w:ind w:firstLine="420" w:firstLineChars="200"/>
              <w:jc w:val="center"/>
              <w:rPr>
                <w:rFonts w:eastAsia="新宋体"/>
                <w:kern w:val="0"/>
                <w:szCs w:val="21"/>
              </w:rPr>
            </w:pPr>
            <w:r>
              <w:rPr>
                <w:rFonts w:eastAsia="新宋体"/>
                <w:kern w:val="0"/>
                <w:szCs w:val="21"/>
              </w:rPr>
              <w:t>集中式饮用水水源地（包括已建成的在用、备用、应急水源，在建和规划的饮用水水源）准保护区；除集中式饮用水水源以外的国家或地方政府设定的与地下水环境相关的其它保护区，如热水、矿泉水、温泉等特殊地下水资源保护区。</w:t>
            </w:r>
          </w:p>
        </w:tc>
        <w:tc>
          <w:tcPr>
            <w:tcW w:w="1372" w:type="dxa"/>
            <w:vMerge w:val="restart"/>
            <w:vAlign w:val="center"/>
          </w:tcPr>
          <w:p w14:paraId="712BE4E7">
            <w:pPr>
              <w:pStyle w:val="298"/>
              <w:jc w:val="left"/>
              <w:rPr>
                <w:rFonts w:eastAsia="新宋体"/>
                <w:b/>
                <w:color w:val="auto"/>
                <w:szCs w:val="21"/>
              </w:rPr>
            </w:pPr>
            <w:r>
              <w:rPr>
                <w:color w:val="auto"/>
              </w:rPr>
              <w:t>项目区周围无集中式饮用水源地、与地下水相关的其他保护和环境敏感区，属于不敏感</w:t>
            </w:r>
          </w:p>
        </w:tc>
      </w:tr>
      <w:tr w14:paraId="541539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1" w:type="dxa"/>
            <w:vAlign w:val="center"/>
          </w:tcPr>
          <w:p w14:paraId="2514BDC6">
            <w:pPr>
              <w:jc w:val="center"/>
              <w:rPr>
                <w:rFonts w:eastAsia="新宋体"/>
                <w:kern w:val="0"/>
                <w:szCs w:val="21"/>
              </w:rPr>
            </w:pPr>
            <w:r>
              <w:rPr>
                <w:rFonts w:eastAsia="新宋体"/>
                <w:kern w:val="0"/>
                <w:szCs w:val="21"/>
              </w:rPr>
              <w:t>较敏感</w:t>
            </w:r>
          </w:p>
        </w:tc>
        <w:tc>
          <w:tcPr>
            <w:tcW w:w="6055" w:type="dxa"/>
            <w:vAlign w:val="center"/>
          </w:tcPr>
          <w:p w14:paraId="086104FC">
            <w:pPr>
              <w:ind w:firstLine="420" w:firstLineChars="200"/>
              <w:jc w:val="center"/>
              <w:rPr>
                <w:rFonts w:eastAsia="新宋体"/>
                <w:kern w:val="0"/>
                <w:szCs w:val="21"/>
              </w:rPr>
            </w:pPr>
            <w:r>
              <w:rPr>
                <w:rFonts w:eastAsia="新宋体"/>
                <w:szCs w:val="21"/>
              </w:rPr>
              <w:t>集中式饮用水水源地</w:t>
            </w:r>
            <w:r>
              <w:rPr>
                <w:szCs w:val="21"/>
              </w:rPr>
              <w:t>（</w:t>
            </w:r>
            <w:r>
              <w:rPr>
                <w:rFonts w:eastAsia="新宋体"/>
                <w:szCs w:val="21"/>
              </w:rPr>
              <w:t>包括已建成的在用、备用、应急水源地</w:t>
            </w:r>
            <w:r>
              <w:rPr>
                <w:szCs w:val="21"/>
              </w:rPr>
              <w:t>，</w:t>
            </w:r>
            <w:r>
              <w:rPr>
                <w:rFonts w:eastAsia="新宋体"/>
                <w:szCs w:val="21"/>
              </w:rPr>
              <w:t>在建和规划的饮用水水源）准保护区以外的补给径流区</w:t>
            </w:r>
            <w:r>
              <w:rPr>
                <w:szCs w:val="21"/>
              </w:rPr>
              <w:t>；未划定准保护区的集中工饮用水，其保护区以外的补给径流区；分散式饮用水水源地；</w:t>
            </w:r>
            <w:r>
              <w:rPr>
                <w:rFonts w:eastAsia="新宋体"/>
                <w:szCs w:val="21"/>
              </w:rPr>
              <w:t>特殊地下水资源</w:t>
            </w:r>
            <w:r>
              <w:rPr>
                <w:szCs w:val="21"/>
              </w:rPr>
              <w:t>（</w:t>
            </w:r>
            <w:r>
              <w:rPr>
                <w:rFonts w:eastAsia="新宋体"/>
                <w:szCs w:val="21"/>
              </w:rPr>
              <w:t>如矿泉水、温泉等</w:t>
            </w:r>
            <w:r>
              <w:rPr>
                <w:szCs w:val="21"/>
              </w:rPr>
              <w:t>）</w:t>
            </w:r>
            <w:r>
              <w:rPr>
                <w:rFonts w:eastAsia="新宋体"/>
                <w:szCs w:val="21"/>
              </w:rPr>
              <w:t>保护区以外的分布区等其它未列入上述敏感分级的环境敏感区。</w:t>
            </w:r>
          </w:p>
        </w:tc>
        <w:tc>
          <w:tcPr>
            <w:tcW w:w="1372" w:type="dxa"/>
            <w:vMerge w:val="continue"/>
            <w:vAlign w:val="center"/>
          </w:tcPr>
          <w:p w14:paraId="32FA4DD4">
            <w:pPr>
              <w:ind w:firstLine="420" w:firstLineChars="200"/>
              <w:jc w:val="center"/>
              <w:rPr>
                <w:rFonts w:eastAsia="新宋体"/>
                <w:kern w:val="0"/>
                <w:szCs w:val="21"/>
              </w:rPr>
            </w:pPr>
          </w:p>
        </w:tc>
      </w:tr>
      <w:tr w14:paraId="1DCDF7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01" w:type="dxa"/>
            <w:vAlign w:val="center"/>
          </w:tcPr>
          <w:p w14:paraId="775A72A3">
            <w:pPr>
              <w:jc w:val="center"/>
              <w:rPr>
                <w:rFonts w:eastAsia="新宋体"/>
                <w:kern w:val="0"/>
                <w:szCs w:val="21"/>
              </w:rPr>
            </w:pPr>
            <w:r>
              <w:rPr>
                <w:rFonts w:eastAsia="新宋体"/>
                <w:kern w:val="0"/>
                <w:szCs w:val="21"/>
              </w:rPr>
              <w:t>不敏感</w:t>
            </w:r>
          </w:p>
        </w:tc>
        <w:tc>
          <w:tcPr>
            <w:tcW w:w="6055" w:type="dxa"/>
            <w:vAlign w:val="center"/>
          </w:tcPr>
          <w:p w14:paraId="490889AC">
            <w:pPr>
              <w:ind w:firstLine="420" w:firstLineChars="200"/>
              <w:jc w:val="left"/>
              <w:rPr>
                <w:rFonts w:eastAsia="新宋体"/>
                <w:kern w:val="0"/>
                <w:szCs w:val="21"/>
              </w:rPr>
            </w:pPr>
            <w:r>
              <w:rPr>
                <w:rFonts w:eastAsia="新宋体"/>
                <w:kern w:val="0"/>
                <w:szCs w:val="21"/>
              </w:rPr>
              <w:t>上述地区之外的</w:t>
            </w:r>
            <w:r>
              <w:rPr>
                <w:rFonts w:hint="eastAsia" w:eastAsia="新宋体"/>
                <w:kern w:val="0"/>
                <w:szCs w:val="21"/>
                <w:lang w:eastAsia="zh-CN"/>
              </w:rPr>
              <w:t>其他地区</w:t>
            </w:r>
            <w:r>
              <w:rPr>
                <w:rFonts w:eastAsia="新宋体"/>
                <w:kern w:val="0"/>
                <w:szCs w:val="21"/>
              </w:rPr>
              <w:t>。</w:t>
            </w:r>
          </w:p>
        </w:tc>
        <w:tc>
          <w:tcPr>
            <w:tcW w:w="1372" w:type="dxa"/>
            <w:vMerge w:val="continue"/>
            <w:vAlign w:val="center"/>
          </w:tcPr>
          <w:p w14:paraId="122CB903">
            <w:pPr>
              <w:jc w:val="left"/>
              <w:rPr>
                <w:rFonts w:eastAsia="新宋体"/>
                <w:kern w:val="0"/>
                <w:szCs w:val="21"/>
              </w:rPr>
            </w:pPr>
          </w:p>
        </w:tc>
      </w:tr>
    </w:tbl>
    <w:p w14:paraId="5F8DD89F">
      <w:pPr>
        <w:pStyle w:val="295"/>
        <w:ind w:firstLine="482"/>
        <w:rPr>
          <w:b/>
        </w:rPr>
      </w:pPr>
      <w:r>
        <w:rPr>
          <w:rFonts w:hint="eastAsia" w:ascii="宋体" w:hAnsi="宋体" w:cs="宋体"/>
          <w:b/>
        </w:rPr>
        <w:t>③</w:t>
      </w:r>
      <w:r>
        <w:rPr>
          <w:b/>
        </w:rPr>
        <w:t>评价等级的判定</w:t>
      </w:r>
    </w:p>
    <w:p w14:paraId="2121DAFD">
      <w:pPr>
        <w:pStyle w:val="295"/>
        <w:ind w:firstLine="480"/>
        <w:rPr>
          <w:szCs w:val="20"/>
        </w:rPr>
      </w:pPr>
      <w:r>
        <w:rPr>
          <w:szCs w:val="20"/>
        </w:rPr>
        <w:t>根据HJ610-2016中关于地下水环境影响评价工作分级的依据，本项目地下水环境影响评价为三级评价。</w:t>
      </w:r>
    </w:p>
    <w:p w14:paraId="6E7D3B1C">
      <w:pPr>
        <w:jc w:val="center"/>
        <w:rPr>
          <w:rFonts w:eastAsia="新宋体"/>
          <w:b/>
          <w:bCs/>
          <w:szCs w:val="21"/>
        </w:rPr>
      </w:pPr>
      <w:r>
        <w:rPr>
          <w:rFonts w:eastAsia="新宋体"/>
          <w:b/>
          <w:bCs/>
          <w:szCs w:val="21"/>
        </w:rPr>
        <w:t>表1.5-4  地下水环境评价工作等级分级表</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2075"/>
        <w:gridCol w:w="1972"/>
        <w:gridCol w:w="1973"/>
      </w:tblGrid>
      <w:tr w14:paraId="36CE1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00" w:type="dxa"/>
          </w:tcPr>
          <w:p w14:paraId="4DDEA68E">
            <w:pPr>
              <w:snapToGrid w:val="0"/>
              <w:rPr>
                <w:rFonts w:eastAsia="新宋体"/>
                <w:kern w:val="0"/>
                <w:szCs w:val="21"/>
              </w:rPr>
            </w:pPr>
            <w:r>
              <w:pict>
                <v:line id="直接连接符 7620" o:spid="_x0000_s1196" o:spt="20" style="position:absolute;left:0pt;margin-left:-2.85pt;margin-top:0.85pt;height:27pt;width:132pt;z-index:2516602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">
                  <v:path arrowok="t"/>
                  <v:fill focussize="0,0"/>
                  <v:stroke/>
                  <v:imagedata o:title=""/>
                  <o:lock v:ext="edit"/>
                </v:line>
              </w:pict>
            </w:r>
            <w:r>
              <w:rPr>
                <w:rFonts w:eastAsia="新宋体"/>
                <w:kern w:val="0"/>
                <w:szCs w:val="21"/>
              </w:rPr>
              <w:t xml:space="preserve">             项目类别</w:t>
            </w:r>
          </w:p>
          <w:p w14:paraId="3E3B6F58">
            <w:pPr>
              <w:snapToGrid w:val="0"/>
              <w:rPr>
                <w:rFonts w:eastAsia="新宋体"/>
                <w:kern w:val="0"/>
                <w:szCs w:val="21"/>
              </w:rPr>
            </w:pPr>
            <w:r>
              <w:rPr>
                <w:rFonts w:eastAsia="新宋体"/>
                <w:kern w:val="0"/>
                <w:szCs w:val="21"/>
              </w:rPr>
              <w:t xml:space="preserve">环境敏感程度       </w:t>
            </w:r>
          </w:p>
        </w:tc>
        <w:tc>
          <w:tcPr>
            <w:tcW w:w="2075" w:type="dxa"/>
            <w:vAlign w:val="center"/>
          </w:tcPr>
          <w:p w14:paraId="4A6CF2B8">
            <w:pPr>
              <w:spacing w:line="360" w:lineRule="auto"/>
              <w:jc w:val="center"/>
              <w:rPr>
                <w:rFonts w:eastAsia="新宋体"/>
                <w:kern w:val="0"/>
                <w:szCs w:val="21"/>
              </w:rPr>
            </w:pPr>
            <w:r>
              <w:rPr>
                <w:kern w:val="0"/>
                <w:szCs w:val="21"/>
              </w:rPr>
              <w:t>Ⅰ</w:t>
            </w:r>
            <w:r>
              <w:rPr>
                <w:rFonts w:eastAsia="新宋体"/>
                <w:kern w:val="0"/>
                <w:szCs w:val="21"/>
              </w:rPr>
              <w:t>类项目</w:t>
            </w:r>
          </w:p>
        </w:tc>
        <w:tc>
          <w:tcPr>
            <w:tcW w:w="1972" w:type="dxa"/>
            <w:vAlign w:val="center"/>
          </w:tcPr>
          <w:p w14:paraId="76CB257C">
            <w:pPr>
              <w:spacing w:line="360" w:lineRule="auto"/>
              <w:jc w:val="center"/>
              <w:rPr>
                <w:rFonts w:eastAsia="新宋体"/>
                <w:kern w:val="0"/>
                <w:szCs w:val="21"/>
              </w:rPr>
            </w:pPr>
            <w:r>
              <w:rPr>
                <w:kern w:val="0"/>
                <w:szCs w:val="21"/>
              </w:rPr>
              <w:t>Ⅱ</w:t>
            </w:r>
            <w:r>
              <w:rPr>
                <w:rFonts w:eastAsia="新宋体"/>
                <w:kern w:val="0"/>
                <w:szCs w:val="21"/>
              </w:rPr>
              <w:t>类项目</w:t>
            </w:r>
          </w:p>
        </w:tc>
        <w:tc>
          <w:tcPr>
            <w:tcW w:w="1973" w:type="dxa"/>
            <w:vAlign w:val="center"/>
          </w:tcPr>
          <w:p w14:paraId="174F3421">
            <w:pPr>
              <w:spacing w:line="360" w:lineRule="auto"/>
              <w:jc w:val="center"/>
              <w:rPr>
                <w:rFonts w:eastAsia="新宋体"/>
                <w:kern w:val="0"/>
                <w:szCs w:val="21"/>
              </w:rPr>
            </w:pPr>
            <w:r>
              <w:rPr>
                <w:kern w:val="0"/>
                <w:szCs w:val="21"/>
              </w:rPr>
              <w:t>Ⅲ</w:t>
            </w:r>
            <w:r>
              <w:rPr>
                <w:rFonts w:eastAsia="新宋体"/>
                <w:kern w:val="0"/>
                <w:szCs w:val="21"/>
              </w:rPr>
              <w:t>类项目</w:t>
            </w:r>
          </w:p>
        </w:tc>
      </w:tr>
      <w:tr w14:paraId="13829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00" w:type="dxa"/>
            <w:vAlign w:val="center"/>
          </w:tcPr>
          <w:p w14:paraId="6DEFB1EB">
            <w:pPr>
              <w:jc w:val="center"/>
              <w:rPr>
                <w:rFonts w:eastAsia="新宋体"/>
                <w:kern w:val="0"/>
                <w:szCs w:val="21"/>
              </w:rPr>
            </w:pPr>
            <w:r>
              <w:rPr>
                <w:rFonts w:eastAsia="新宋体"/>
                <w:kern w:val="0"/>
                <w:szCs w:val="21"/>
              </w:rPr>
              <w:t>敏感</w:t>
            </w:r>
          </w:p>
        </w:tc>
        <w:tc>
          <w:tcPr>
            <w:tcW w:w="2075" w:type="dxa"/>
            <w:vAlign w:val="center"/>
          </w:tcPr>
          <w:p w14:paraId="73CA0A6D">
            <w:pPr>
              <w:jc w:val="center"/>
              <w:rPr>
                <w:rFonts w:eastAsia="新宋体"/>
                <w:kern w:val="0"/>
                <w:szCs w:val="21"/>
              </w:rPr>
            </w:pPr>
            <w:r>
              <w:rPr>
                <w:rFonts w:eastAsia="新宋体"/>
                <w:kern w:val="0"/>
                <w:szCs w:val="21"/>
              </w:rPr>
              <w:t>一</w:t>
            </w:r>
          </w:p>
        </w:tc>
        <w:tc>
          <w:tcPr>
            <w:tcW w:w="1972" w:type="dxa"/>
            <w:vAlign w:val="center"/>
          </w:tcPr>
          <w:p w14:paraId="21A86362">
            <w:pPr>
              <w:jc w:val="center"/>
              <w:rPr>
                <w:rFonts w:eastAsia="新宋体"/>
                <w:kern w:val="0"/>
                <w:szCs w:val="21"/>
              </w:rPr>
            </w:pPr>
            <w:r>
              <w:rPr>
                <w:rFonts w:eastAsia="新宋体"/>
                <w:kern w:val="0"/>
                <w:szCs w:val="21"/>
              </w:rPr>
              <w:t>一</w:t>
            </w:r>
          </w:p>
        </w:tc>
        <w:tc>
          <w:tcPr>
            <w:tcW w:w="1973" w:type="dxa"/>
            <w:vAlign w:val="center"/>
          </w:tcPr>
          <w:p w14:paraId="5E6BE1CA">
            <w:pPr>
              <w:jc w:val="center"/>
              <w:rPr>
                <w:rFonts w:eastAsia="新宋体"/>
                <w:kern w:val="0"/>
                <w:szCs w:val="21"/>
              </w:rPr>
            </w:pPr>
            <w:r>
              <w:rPr>
                <w:rFonts w:eastAsia="新宋体"/>
                <w:kern w:val="0"/>
                <w:szCs w:val="21"/>
              </w:rPr>
              <w:t>二</w:t>
            </w:r>
          </w:p>
        </w:tc>
      </w:tr>
      <w:tr w14:paraId="1121A7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00" w:type="dxa"/>
            <w:vAlign w:val="center"/>
          </w:tcPr>
          <w:p w14:paraId="2E296540">
            <w:pPr>
              <w:jc w:val="center"/>
              <w:rPr>
                <w:rFonts w:eastAsia="新宋体"/>
                <w:kern w:val="0"/>
                <w:szCs w:val="21"/>
              </w:rPr>
            </w:pPr>
            <w:r>
              <w:rPr>
                <w:rFonts w:eastAsia="新宋体"/>
                <w:kern w:val="0"/>
                <w:szCs w:val="21"/>
              </w:rPr>
              <w:t>较敏感</w:t>
            </w:r>
          </w:p>
        </w:tc>
        <w:tc>
          <w:tcPr>
            <w:tcW w:w="2075" w:type="dxa"/>
            <w:vAlign w:val="center"/>
          </w:tcPr>
          <w:p w14:paraId="4DFD0863">
            <w:pPr>
              <w:jc w:val="center"/>
              <w:rPr>
                <w:rFonts w:eastAsia="新宋体"/>
                <w:kern w:val="0"/>
                <w:szCs w:val="21"/>
              </w:rPr>
            </w:pPr>
            <w:r>
              <w:rPr>
                <w:rFonts w:eastAsia="新宋体"/>
                <w:kern w:val="0"/>
                <w:szCs w:val="21"/>
              </w:rPr>
              <w:t>一</w:t>
            </w:r>
          </w:p>
        </w:tc>
        <w:tc>
          <w:tcPr>
            <w:tcW w:w="1972" w:type="dxa"/>
            <w:vAlign w:val="center"/>
          </w:tcPr>
          <w:p w14:paraId="20ECFD7C">
            <w:pPr>
              <w:jc w:val="center"/>
              <w:rPr>
                <w:rFonts w:eastAsia="新宋体"/>
                <w:kern w:val="0"/>
                <w:szCs w:val="21"/>
              </w:rPr>
            </w:pPr>
            <w:r>
              <w:rPr>
                <w:rFonts w:eastAsia="新宋体"/>
                <w:kern w:val="0"/>
                <w:szCs w:val="21"/>
              </w:rPr>
              <w:t>二</w:t>
            </w:r>
          </w:p>
        </w:tc>
        <w:tc>
          <w:tcPr>
            <w:tcW w:w="1973" w:type="dxa"/>
            <w:vAlign w:val="center"/>
          </w:tcPr>
          <w:p w14:paraId="46DC477B">
            <w:pPr>
              <w:jc w:val="center"/>
              <w:rPr>
                <w:rFonts w:eastAsia="新宋体"/>
                <w:kern w:val="0"/>
                <w:szCs w:val="21"/>
              </w:rPr>
            </w:pPr>
            <w:r>
              <w:rPr>
                <w:rFonts w:eastAsia="新宋体"/>
                <w:kern w:val="0"/>
                <w:szCs w:val="21"/>
              </w:rPr>
              <w:t>三</w:t>
            </w:r>
          </w:p>
        </w:tc>
      </w:tr>
      <w:tr w14:paraId="1E9EF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00" w:type="dxa"/>
            <w:vAlign w:val="center"/>
          </w:tcPr>
          <w:p w14:paraId="6F4856F0">
            <w:pPr>
              <w:jc w:val="center"/>
              <w:rPr>
                <w:rFonts w:eastAsia="新宋体"/>
                <w:kern w:val="0"/>
                <w:szCs w:val="21"/>
              </w:rPr>
            </w:pPr>
            <w:r>
              <w:rPr>
                <w:rFonts w:eastAsia="新宋体"/>
                <w:kern w:val="0"/>
                <w:szCs w:val="21"/>
              </w:rPr>
              <w:t>不敏感</w:t>
            </w:r>
          </w:p>
        </w:tc>
        <w:tc>
          <w:tcPr>
            <w:tcW w:w="2075" w:type="dxa"/>
            <w:vAlign w:val="center"/>
          </w:tcPr>
          <w:p w14:paraId="5AE279EE">
            <w:pPr>
              <w:jc w:val="center"/>
              <w:rPr>
                <w:rFonts w:eastAsia="新宋体"/>
                <w:kern w:val="0"/>
                <w:szCs w:val="21"/>
              </w:rPr>
            </w:pPr>
            <w:r>
              <w:rPr>
                <w:rFonts w:eastAsia="新宋体"/>
                <w:kern w:val="0"/>
                <w:szCs w:val="21"/>
              </w:rPr>
              <w:t>二</w:t>
            </w:r>
          </w:p>
        </w:tc>
        <w:tc>
          <w:tcPr>
            <w:tcW w:w="1972" w:type="dxa"/>
            <w:vAlign w:val="center"/>
          </w:tcPr>
          <w:p w14:paraId="7BB91510">
            <w:pPr>
              <w:jc w:val="center"/>
              <w:rPr>
                <w:rFonts w:eastAsia="新宋体"/>
                <w:kern w:val="0"/>
                <w:szCs w:val="21"/>
              </w:rPr>
            </w:pPr>
            <w:r>
              <w:rPr>
                <w:rFonts w:eastAsia="新宋体"/>
                <w:kern w:val="0"/>
                <w:szCs w:val="21"/>
              </w:rPr>
              <w:t>三</w:t>
            </w:r>
          </w:p>
        </w:tc>
        <w:tc>
          <w:tcPr>
            <w:tcW w:w="1973" w:type="dxa"/>
            <w:vAlign w:val="center"/>
          </w:tcPr>
          <w:p w14:paraId="41252340">
            <w:pPr>
              <w:jc w:val="center"/>
              <w:rPr>
                <w:rFonts w:eastAsia="新宋体"/>
                <w:kern w:val="0"/>
                <w:szCs w:val="21"/>
              </w:rPr>
            </w:pPr>
            <w:r>
              <w:rPr>
                <w:rFonts w:eastAsia="新宋体"/>
                <w:kern w:val="0"/>
                <w:szCs w:val="21"/>
                <w:shd w:val="pct10" w:color="auto" w:fill="FFFFFF"/>
              </w:rPr>
              <w:t>三</w:t>
            </w:r>
          </w:p>
        </w:tc>
      </w:tr>
    </w:tbl>
    <w:p w14:paraId="41341EB5">
      <w:pPr>
        <w:spacing w:line="360" w:lineRule="auto"/>
        <w:ind w:firstLine="480"/>
        <w:jc w:val="left"/>
        <w:rPr>
          <w:b/>
          <w:color w:val="000000" w:themeColor="text1"/>
          <w:sz w:val="24"/>
        </w:rPr>
      </w:pPr>
      <w:r>
        <w:rPr>
          <w:b/>
          <w:color w:val="000000" w:themeColor="text1"/>
          <w:sz w:val="24"/>
        </w:rPr>
        <w:t>（4）声环境影响评价等级</w:t>
      </w:r>
    </w:p>
    <w:p w14:paraId="0AC7FF50">
      <w:pPr>
        <w:spacing w:line="360" w:lineRule="auto"/>
        <w:ind w:firstLine="480"/>
        <w:jc w:val="left"/>
        <w:rPr>
          <w:color w:val="000000" w:themeColor="text1"/>
          <w:sz w:val="24"/>
        </w:rPr>
      </w:pPr>
      <w:r>
        <w:rPr>
          <w:color w:val="000000" w:themeColor="text1"/>
          <w:sz w:val="24"/>
        </w:rPr>
        <w:t>根据HJ2.4－2009《环境影响评价技术导则  声环境》，”建设项目所处的声环境功能区为 GB 3096 规定的 1 类、2 类地区，或建设项目建设前后评价范围内敏感目标噪声级增高量达 3～5 dB(A)</w:t>
      </w:r>
      <w:r>
        <w:rPr>
          <w:color w:val="FF0000"/>
          <w:sz w:val="24"/>
        </w:rPr>
        <w:t xml:space="preserve"> [含5 dB(A)]</w:t>
      </w:r>
      <w:r>
        <w:rPr>
          <w:color w:val="000000" w:themeColor="text1"/>
          <w:sz w:val="24"/>
        </w:rPr>
        <w:t>，或受噪声影响人口数量增加较多时，按二级评价。”</w:t>
      </w:r>
    </w:p>
    <w:p w14:paraId="3D7D4359">
      <w:pPr>
        <w:spacing w:line="360" w:lineRule="auto"/>
        <w:ind w:firstLine="480"/>
        <w:jc w:val="left"/>
        <w:rPr>
          <w:color w:val="000000" w:themeColor="text1"/>
          <w:sz w:val="24"/>
        </w:rPr>
      </w:pPr>
      <w:r>
        <w:rPr>
          <w:color w:val="000000" w:themeColor="text1"/>
          <w:sz w:val="24"/>
        </w:rPr>
        <w:t>本项目位于</w:t>
      </w:r>
      <w:r>
        <w:rPr>
          <w:bCs/>
          <w:color w:val="000000" w:themeColor="text1"/>
          <w:sz w:val="24"/>
        </w:rPr>
        <w:t>云南省德宏州芒市遮放镇户拉村委会遮焕村民小组盛达泰硅业厂区内</w:t>
      </w:r>
      <w:r>
        <w:rPr>
          <w:color w:val="000000" w:themeColor="text1"/>
          <w:sz w:val="24"/>
        </w:rPr>
        <w:t>，</w:t>
      </w:r>
      <w:r>
        <w:rPr>
          <w:color w:val="FF0000"/>
          <w:sz w:val="24"/>
        </w:rPr>
        <w:t>为居住、商业、工业混杂区</w:t>
      </w:r>
      <w:r>
        <w:rPr>
          <w:color w:val="000000" w:themeColor="text1"/>
          <w:sz w:val="24"/>
        </w:rPr>
        <w:t>，属于</w:t>
      </w:r>
      <w:r>
        <w:rPr>
          <w:color w:val="FF0000"/>
          <w:sz w:val="24"/>
        </w:rPr>
        <w:t>2类声环境功能区</w:t>
      </w:r>
      <w:r>
        <w:rPr>
          <w:color w:val="000000" w:themeColor="text1"/>
          <w:sz w:val="24"/>
        </w:rPr>
        <w:t>；</w:t>
      </w:r>
    </w:p>
    <w:p w14:paraId="58F051B8">
      <w:pPr>
        <w:spacing w:line="360" w:lineRule="auto"/>
        <w:ind w:firstLine="480"/>
        <w:jc w:val="left"/>
        <w:rPr>
          <w:color w:val="000000" w:themeColor="text1"/>
          <w:sz w:val="24"/>
        </w:rPr>
      </w:pPr>
      <w:r>
        <w:rPr>
          <w:color w:val="000000" w:themeColor="text1"/>
          <w:sz w:val="24"/>
        </w:rPr>
        <w:t>距离项目区最近的保护目标为项目区西北侧820m的排鲁村，根据HJ2.4－2009《环境影响评价技术导则  声环境》，本次声环境影响评价的工作等级定为二级。</w:t>
      </w:r>
    </w:p>
    <w:p w14:paraId="04FB793D">
      <w:pPr>
        <w:spacing w:line="360" w:lineRule="auto"/>
        <w:ind w:firstLine="352" w:firstLineChars="147"/>
        <w:rPr>
          <w:b/>
          <w:color w:val="000000" w:themeColor="text1"/>
          <w:sz w:val="24"/>
        </w:rPr>
      </w:pPr>
      <w:r>
        <w:rPr>
          <w:b/>
          <w:color w:val="000000" w:themeColor="text1"/>
          <w:sz w:val="24"/>
        </w:rPr>
        <w:t>（5）生态环境影响评价</w:t>
      </w:r>
    </w:p>
    <w:p w14:paraId="4B7EFC67">
      <w:pPr>
        <w:pStyle w:val="166"/>
        <w:ind w:firstLine="480"/>
        <w:jc w:val="left"/>
        <w:rPr>
          <w:color w:val="000000" w:themeColor="text1"/>
        </w:rPr>
      </w:pPr>
      <w:r>
        <w:rPr>
          <w:color w:val="000000" w:themeColor="text1"/>
        </w:rPr>
        <w:t>项目选址位于云南省德宏州芒市遮放镇户拉村委会遮焕村民小组盛达泰硅业厂区内，占地面积0.013km</w:t>
      </w:r>
      <w:r>
        <w:rPr>
          <w:color w:val="000000" w:themeColor="text1"/>
          <w:vertAlign w:val="superscript"/>
        </w:rPr>
        <w:t>2</w:t>
      </w:r>
      <w:r>
        <w:rPr>
          <w:color w:val="000000" w:themeColor="text1"/>
        </w:rPr>
        <w:t>≤2km</w:t>
      </w:r>
      <w:r>
        <w:rPr>
          <w:color w:val="000000" w:themeColor="text1"/>
          <w:vertAlign w:val="superscript"/>
        </w:rPr>
        <w:t>2</w:t>
      </w:r>
      <w:r>
        <w:rPr>
          <w:color w:val="000000" w:themeColor="text1"/>
        </w:rPr>
        <w:t>。目前项目</w:t>
      </w:r>
      <w:r>
        <w:rPr>
          <w:rFonts w:eastAsiaTheme="minorEastAsia"/>
          <w:color w:val="000000" w:themeColor="text1"/>
        </w:rPr>
        <w:t>租用盛达泰硅业的土地，</w:t>
      </w:r>
      <w:r>
        <w:rPr>
          <w:color w:val="000000" w:themeColor="text1"/>
        </w:rPr>
        <w:t>评价区域内无野生动物分布，无珍稀动植物分布，项目建设影响区域的生态敏感性为一般区域，根据HJ19-2011《环境影响评价技术导则 生态影响》的有关规定，生态环境影响进行一般性分析。</w:t>
      </w:r>
    </w:p>
    <w:p w14:paraId="07B78954">
      <w:pPr>
        <w:spacing w:line="360" w:lineRule="auto"/>
        <w:ind w:firstLine="480"/>
        <w:rPr>
          <w:b/>
          <w:color w:val="000000" w:themeColor="text1"/>
          <w:sz w:val="24"/>
        </w:rPr>
      </w:pPr>
      <w:r>
        <w:rPr>
          <w:b/>
          <w:color w:val="000000" w:themeColor="text1"/>
          <w:sz w:val="24"/>
        </w:rPr>
        <w:t>（6）环境风险评价</w:t>
      </w:r>
    </w:p>
    <w:p w14:paraId="3FC1D58E">
      <w:pPr>
        <w:pStyle w:val="11"/>
        <w:adjustRightInd w:val="0"/>
        <w:snapToGrid w:val="0"/>
        <w:spacing w:line="360" w:lineRule="auto"/>
        <w:ind w:firstLine="480"/>
        <w:rPr>
          <w:color w:val="000000" w:themeColor="text1"/>
          <w:sz w:val="24"/>
        </w:rPr>
      </w:pPr>
      <w:bookmarkStart w:id="106" w:name="_Toc360004800"/>
      <w:bookmarkStart w:id="107" w:name="_Toc362393092"/>
      <w:r>
        <w:rPr>
          <w:color w:val="000000" w:themeColor="text1"/>
          <w:sz w:val="24"/>
        </w:rPr>
        <w:t>根据HJ/T169-2018《建设项目环境风险评价技术导则》，具体等级划分依据见表1.5-5。</w:t>
      </w:r>
    </w:p>
    <w:p w14:paraId="22345D38">
      <w:pPr>
        <w:adjustRightInd w:val="0"/>
        <w:snapToGrid w:val="0"/>
        <w:jc w:val="center"/>
        <w:rPr>
          <w:b/>
          <w:color w:val="000000" w:themeColor="text1"/>
          <w:sz w:val="24"/>
        </w:rPr>
      </w:pPr>
      <w:r>
        <w:rPr>
          <w:b/>
          <w:color w:val="000000" w:themeColor="text1"/>
          <w:sz w:val="24"/>
        </w:rPr>
        <w:t>表1.5-5  环境风险评价工作等级</w:t>
      </w:r>
    </w:p>
    <w:tbl>
      <w:tblPr>
        <w:tblStyle w:val="280"/>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58"/>
        <w:gridCol w:w="1468"/>
        <w:gridCol w:w="1689"/>
        <w:gridCol w:w="1689"/>
        <w:gridCol w:w="1908"/>
      </w:tblGrid>
      <w:tr w14:paraId="02449FA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937" w:type="pct"/>
            <w:vAlign w:val="center"/>
          </w:tcPr>
          <w:p w14:paraId="1B2EC542">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环境风险潜势</w:t>
            </w:r>
          </w:p>
        </w:tc>
        <w:tc>
          <w:tcPr>
            <w:tcW w:w="883" w:type="pct"/>
            <w:vAlign w:val="center"/>
          </w:tcPr>
          <w:p w14:paraId="7B3229C1">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Ⅳ、Ⅳ</w:t>
            </w:r>
          </w:p>
        </w:tc>
        <w:tc>
          <w:tcPr>
            <w:tcW w:w="1016" w:type="pct"/>
            <w:vAlign w:val="center"/>
          </w:tcPr>
          <w:p w14:paraId="24B7DCBE">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Ⅲ</w:t>
            </w:r>
          </w:p>
        </w:tc>
        <w:tc>
          <w:tcPr>
            <w:tcW w:w="1016" w:type="pct"/>
            <w:vAlign w:val="center"/>
          </w:tcPr>
          <w:p w14:paraId="126F8557">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Ⅱ</w:t>
            </w:r>
          </w:p>
        </w:tc>
        <w:tc>
          <w:tcPr>
            <w:tcW w:w="1148" w:type="pct"/>
            <w:vAlign w:val="center"/>
          </w:tcPr>
          <w:p w14:paraId="7F661093">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Ⅰ</w:t>
            </w:r>
          </w:p>
        </w:tc>
      </w:tr>
      <w:tr w14:paraId="009FECA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937" w:type="pct"/>
            <w:vAlign w:val="center"/>
          </w:tcPr>
          <w:p w14:paraId="5D1BC371">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评价工作等级</w:t>
            </w:r>
          </w:p>
        </w:tc>
        <w:tc>
          <w:tcPr>
            <w:tcW w:w="883" w:type="pct"/>
            <w:vAlign w:val="center"/>
          </w:tcPr>
          <w:p w14:paraId="0BD47686">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一</w:t>
            </w:r>
          </w:p>
        </w:tc>
        <w:tc>
          <w:tcPr>
            <w:tcW w:w="1016" w:type="pct"/>
            <w:vAlign w:val="center"/>
          </w:tcPr>
          <w:p w14:paraId="478A7BA3">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二</w:t>
            </w:r>
          </w:p>
        </w:tc>
        <w:tc>
          <w:tcPr>
            <w:tcW w:w="1016" w:type="pct"/>
            <w:vAlign w:val="center"/>
          </w:tcPr>
          <w:p w14:paraId="02C7FBA9">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三</w:t>
            </w:r>
          </w:p>
        </w:tc>
        <w:tc>
          <w:tcPr>
            <w:tcW w:w="1148" w:type="pct"/>
            <w:vAlign w:val="center"/>
          </w:tcPr>
          <w:p w14:paraId="2DDE311D">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简单分析</w:t>
            </w:r>
          </w:p>
        </w:tc>
      </w:tr>
      <w:tr w14:paraId="7EB9330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000" w:type="pct"/>
            <w:gridSpan w:val="5"/>
            <w:vAlign w:val="center"/>
          </w:tcPr>
          <w:p w14:paraId="670A7849">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a 是相对于详细评价工作内容而言，在描述危险物质、环境影响途径、环境危害后果、风险防范措施等方面给出定性的说明。见附录A。</w:t>
            </w:r>
          </w:p>
        </w:tc>
      </w:tr>
    </w:tbl>
    <w:p w14:paraId="6C8D6BD7">
      <w:pPr>
        <w:adjustRightInd w:val="0"/>
        <w:snapToGrid w:val="0"/>
        <w:spacing w:line="360" w:lineRule="auto"/>
        <w:ind w:firstLine="480" w:firstLineChars="200"/>
        <w:rPr>
          <w:color w:val="000000" w:themeColor="text1"/>
          <w:sz w:val="24"/>
        </w:rPr>
      </w:pPr>
      <w:r>
        <w:rPr>
          <w:b/>
          <w:color w:val="000000" w:themeColor="text1"/>
          <w:sz w:val="24"/>
        </w:rPr>
        <w:t>评价等级：</w:t>
      </w:r>
      <w:r>
        <w:rPr>
          <w:color w:val="000000" w:themeColor="text1"/>
          <w:sz w:val="24"/>
        </w:rPr>
        <w:t>本项目在生产过程中使用的主要原材料为废PE、PP塑料，产品为PE、PP再生颗粒</w:t>
      </w:r>
      <w:r>
        <w:rPr>
          <w:color w:val="FF0000"/>
          <w:sz w:val="24"/>
        </w:rPr>
        <w:t>及编织袋</w:t>
      </w:r>
      <w:r>
        <w:rPr>
          <w:color w:val="000000" w:themeColor="text1"/>
          <w:sz w:val="24"/>
        </w:rPr>
        <w:t>，未被列入</w:t>
      </w:r>
      <w:r>
        <w:rPr>
          <w:rFonts w:eastAsia="新宋体"/>
          <w:color w:val="000000" w:themeColor="text1"/>
          <w:sz w:val="24"/>
          <w:szCs w:val="21"/>
        </w:rPr>
        <w:t>HJ/T169-2018《建设项目环境风险评价技术导则》</w:t>
      </w:r>
      <w:r>
        <w:rPr>
          <w:color w:val="000000" w:themeColor="text1"/>
          <w:sz w:val="24"/>
        </w:rPr>
        <w:t>附录B，本项目不涉及危险物质，</w:t>
      </w:r>
      <w:r>
        <w:rPr>
          <w:i/>
          <w:color w:val="000000" w:themeColor="text1"/>
          <w:sz w:val="24"/>
        </w:rPr>
        <w:t>Q</w:t>
      </w:r>
      <w:r>
        <w:rPr>
          <w:color w:val="000000" w:themeColor="text1"/>
          <w:sz w:val="24"/>
        </w:rPr>
        <w:t>＜1，因此判定本项目环境风险潜势为I。因此，环境风险评价工作等级为简单分析。</w:t>
      </w:r>
    </w:p>
    <w:p w14:paraId="0B6670C0">
      <w:pPr>
        <w:spacing w:line="360" w:lineRule="auto"/>
        <w:ind w:firstLine="480"/>
        <w:rPr>
          <w:b/>
          <w:color w:val="000000" w:themeColor="text1"/>
          <w:sz w:val="24"/>
        </w:rPr>
      </w:pPr>
      <w:r>
        <w:rPr>
          <w:b/>
          <w:color w:val="000000" w:themeColor="text1"/>
          <w:sz w:val="24"/>
        </w:rPr>
        <w:t>（7）土壤环境影响评价等级</w:t>
      </w:r>
    </w:p>
    <w:p w14:paraId="5CC95F8F">
      <w:pPr>
        <w:adjustRightInd w:val="0"/>
        <w:snapToGrid w:val="0"/>
        <w:spacing w:line="360" w:lineRule="auto"/>
        <w:ind w:firstLine="480" w:firstLineChars="200"/>
        <w:rPr>
          <w:color w:val="000000" w:themeColor="text1"/>
          <w:sz w:val="24"/>
        </w:rPr>
      </w:pPr>
      <w:r>
        <w:rPr>
          <w:color w:val="000000" w:themeColor="text1"/>
          <w:sz w:val="24"/>
        </w:rPr>
        <w:t>项目为塑料造粒及编织袋生产项目，属于污染影响型。</w:t>
      </w:r>
    </w:p>
    <w:p w14:paraId="37A1ED4D">
      <w:pPr>
        <w:adjustRightInd w:val="0"/>
        <w:snapToGrid w:val="0"/>
        <w:spacing w:line="360" w:lineRule="auto"/>
        <w:ind w:firstLine="480" w:firstLineChars="200"/>
        <w:rPr>
          <w:color w:val="000000" w:themeColor="text1"/>
          <w:sz w:val="24"/>
        </w:rPr>
      </w:pPr>
      <w:r>
        <w:rPr>
          <w:color w:val="000000" w:themeColor="text1"/>
          <w:sz w:val="24"/>
        </w:rPr>
        <w:t>根据《环境影响评价技术导则 土壤环境（试行）》（HJ964-2018）， 将污染影响型建设项目占地规模分为大型（≥50hm</w:t>
      </w:r>
      <w:r>
        <w:rPr>
          <w:color w:val="000000" w:themeColor="text1"/>
          <w:sz w:val="24"/>
          <w:vertAlign w:val="superscript"/>
        </w:rPr>
        <w:t>2</w:t>
      </w:r>
      <w:r>
        <w:rPr>
          <w:color w:val="000000" w:themeColor="text1"/>
          <w:sz w:val="24"/>
        </w:rPr>
        <w:t>）、中型（5～50hm</w:t>
      </w:r>
      <w:r>
        <w:rPr>
          <w:color w:val="000000" w:themeColor="text1"/>
          <w:sz w:val="24"/>
          <w:vertAlign w:val="superscript"/>
        </w:rPr>
        <w:t>2</w:t>
      </w:r>
      <w:r>
        <w:rPr>
          <w:color w:val="000000" w:themeColor="text1"/>
          <w:sz w:val="24"/>
        </w:rPr>
        <w:t>）、小型（≤5hm</w:t>
      </w:r>
      <w:r>
        <w:rPr>
          <w:color w:val="000000" w:themeColor="text1"/>
          <w:sz w:val="24"/>
          <w:vertAlign w:val="superscript"/>
        </w:rPr>
        <w:t>2</w:t>
      </w:r>
      <w:r>
        <w:rPr>
          <w:color w:val="000000" w:themeColor="text1"/>
          <w:sz w:val="24"/>
        </w:rPr>
        <w:t>），建设项目占地均为永久占地。</w:t>
      </w:r>
    </w:p>
    <w:p w14:paraId="780D8B6B">
      <w:pPr>
        <w:adjustRightInd w:val="0"/>
        <w:snapToGrid w:val="0"/>
        <w:spacing w:line="360" w:lineRule="auto"/>
        <w:ind w:firstLine="480" w:firstLineChars="200"/>
        <w:rPr>
          <w:color w:val="000000" w:themeColor="text1"/>
          <w:sz w:val="24"/>
        </w:rPr>
      </w:pPr>
      <w:r>
        <w:rPr>
          <w:color w:val="000000" w:themeColor="text1"/>
          <w:sz w:val="24"/>
        </w:rPr>
        <w:t>建设项目所在地周边的土壤环境敏感程度分为敏感、较敏感、不敏感，判别依据见表1.5-6。</w:t>
      </w:r>
    </w:p>
    <w:p w14:paraId="0955CBB0">
      <w:pPr>
        <w:adjustRightInd w:val="0"/>
        <w:snapToGrid w:val="0"/>
        <w:jc w:val="center"/>
        <w:rPr>
          <w:b/>
          <w:color w:val="000000" w:themeColor="text1"/>
          <w:sz w:val="24"/>
        </w:rPr>
      </w:pPr>
      <w:r>
        <w:rPr>
          <w:b/>
          <w:color w:val="000000" w:themeColor="text1"/>
          <w:sz w:val="24"/>
        </w:rPr>
        <w:t>表 1.5-6</w:t>
      </w:r>
      <w:r>
        <w:rPr>
          <w:b/>
          <w:color w:val="000000" w:themeColor="text1"/>
          <w:sz w:val="24"/>
        </w:rPr>
        <w:tab/>
      </w:r>
      <w:r>
        <w:rPr>
          <w:b/>
          <w:color w:val="000000" w:themeColor="text1"/>
          <w:sz w:val="24"/>
        </w:rPr>
        <w:t>污染影响型敏感程度分级表</w:t>
      </w:r>
    </w:p>
    <w:tbl>
      <w:tblPr>
        <w:tblStyle w:val="280"/>
        <w:tblW w:w="0" w:type="auto"/>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74"/>
        <w:gridCol w:w="7448"/>
      </w:tblGrid>
      <w:tr w14:paraId="7B688681">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2" w:hRule="exact"/>
          <w:jc w:val="center"/>
        </w:trPr>
        <w:tc>
          <w:tcPr>
            <w:tcW w:w="1074" w:type="dxa"/>
            <w:vAlign w:val="center"/>
          </w:tcPr>
          <w:p w14:paraId="34907811">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敏感程度</w:t>
            </w:r>
          </w:p>
        </w:tc>
        <w:tc>
          <w:tcPr>
            <w:tcW w:w="7448" w:type="dxa"/>
            <w:vAlign w:val="center"/>
          </w:tcPr>
          <w:p w14:paraId="08F4C94A">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判别依据</w:t>
            </w:r>
          </w:p>
        </w:tc>
      </w:tr>
      <w:tr w14:paraId="39B4E3C4">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34" w:hRule="exact"/>
          <w:jc w:val="center"/>
        </w:trPr>
        <w:tc>
          <w:tcPr>
            <w:tcW w:w="1074" w:type="dxa"/>
            <w:vAlign w:val="center"/>
          </w:tcPr>
          <w:p w14:paraId="443773DE">
            <w:pPr>
              <w:adjustRightInd w:val="0"/>
              <w:snapToGrid w:val="0"/>
              <w:jc w:val="center"/>
              <w:rPr>
                <w:rFonts w:ascii="Times New Roman" w:hAnsi="Times New Roman" w:eastAsia="宋体" w:cs="Times New Roman"/>
                <w:color w:val="FF0000"/>
                <w:sz w:val="21"/>
                <w:szCs w:val="21"/>
                <w:lang w:eastAsia="zh-CN"/>
              </w:rPr>
            </w:pPr>
            <w:r>
              <w:rPr>
                <w:rFonts w:ascii="Times New Roman" w:hAnsi="Times New Roman" w:eastAsia="宋体" w:cs="Times New Roman"/>
                <w:color w:val="FF0000"/>
                <w:sz w:val="21"/>
                <w:szCs w:val="21"/>
                <w:lang w:eastAsia="zh-CN"/>
              </w:rPr>
              <w:t>敏感</w:t>
            </w:r>
          </w:p>
        </w:tc>
        <w:tc>
          <w:tcPr>
            <w:tcW w:w="7448" w:type="dxa"/>
            <w:vAlign w:val="center"/>
          </w:tcPr>
          <w:p w14:paraId="784E3D8E">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建设项目周边存在耕地、园地、牧草地、饮用水水源地或居民区、学校、医院、</w:t>
            </w:r>
          </w:p>
          <w:p w14:paraId="5845A22F">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疗养院、养老院等土壤环境敏感目标的</w:t>
            </w:r>
          </w:p>
        </w:tc>
      </w:tr>
      <w:tr w14:paraId="3001BEFB">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074" w:type="dxa"/>
            <w:vAlign w:val="center"/>
          </w:tcPr>
          <w:p w14:paraId="7639D34B">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较敏感</w:t>
            </w:r>
          </w:p>
        </w:tc>
        <w:tc>
          <w:tcPr>
            <w:tcW w:w="7448" w:type="dxa"/>
            <w:vAlign w:val="center"/>
          </w:tcPr>
          <w:p w14:paraId="7560DA4F">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建设项目周边存在其他土壤环境敏感目标的</w:t>
            </w:r>
          </w:p>
        </w:tc>
      </w:tr>
      <w:tr w14:paraId="607DAC5A">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2" w:hRule="exact"/>
          <w:jc w:val="center"/>
        </w:trPr>
        <w:tc>
          <w:tcPr>
            <w:tcW w:w="1074" w:type="dxa"/>
            <w:vAlign w:val="center"/>
          </w:tcPr>
          <w:p w14:paraId="041B30F3">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不敏感</w:t>
            </w:r>
          </w:p>
        </w:tc>
        <w:tc>
          <w:tcPr>
            <w:tcW w:w="7448" w:type="dxa"/>
            <w:vAlign w:val="center"/>
          </w:tcPr>
          <w:p w14:paraId="7511F5B0">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其他情况</w:t>
            </w:r>
          </w:p>
        </w:tc>
      </w:tr>
    </w:tbl>
    <w:p w14:paraId="04F4296A">
      <w:pPr>
        <w:adjustRightInd w:val="0"/>
        <w:snapToGrid w:val="0"/>
        <w:spacing w:line="360" w:lineRule="auto"/>
        <w:ind w:firstLine="480" w:firstLineChars="200"/>
      </w:pPr>
      <w:r>
        <w:rPr>
          <w:color w:val="000000" w:themeColor="text1"/>
          <w:sz w:val="24"/>
        </w:rPr>
        <w:t>根据土壤环境影响评价类别、占地规模与敏感程度划分评价工作等级，详见表 1.5-7。</w:t>
      </w:r>
    </w:p>
    <w:p w14:paraId="11FD77D6">
      <w:pPr>
        <w:adjustRightInd w:val="0"/>
        <w:snapToGrid w:val="0"/>
        <w:jc w:val="center"/>
        <w:rPr>
          <w:b/>
          <w:color w:val="000000" w:themeColor="text1"/>
          <w:sz w:val="24"/>
        </w:rPr>
      </w:pPr>
      <w:r>
        <w:rPr>
          <w:b/>
          <w:color w:val="000000" w:themeColor="text1"/>
          <w:sz w:val="24"/>
        </w:rPr>
        <w:t>表 1.5-7</w:t>
      </w:r>
      <w:r>
        <w:rPr>
          <w:b/>
          <w:color w:val="000000" w:themeColor="text1"/>
          <w:sz w:val="24"/>
        </w:rPr>
        <w:tab/>
      </w:r>
      <w:r>
        <w:rPr>
          <w:b/>
          <w:color w:val="000000" w:themeColor="text1"/>
          <w:sz w:val="24"/>
        </w:rPr>
        <w:t>污染影响型评价工作等级划分表</w:t>
      </w:r>
    </w:p>
    <w:tbl>
      <w:tblPr>
        <w:tblStyle w:val="280"/>
        <w:tblW w:w="8528"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358"/>
        <w:gridCol w:w="685"/>
        <w:gridCol w:w="685"/>
        <w:gridCol w:w="686"/>
        <w:gridCol w:w="686"/>
        <w:gridCol w:w="686"/>
        <w:gridCol w:w="686"/>
        <w:gridCol w:w="686"/>
        <w:gridCol w:w="686"/>
        <w:gridCol w:w="684"/>
      </w:tblGrid>
      <w:tr w14:paraId="1FE6C0D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jc w:val="center"/>
        </w:trPr>
        <w:tc>
          <w:tcPr>
            <w:tcW w:w="2358" w:type="dxa"/>
            <w:vMerge w:val="restart"/>
            <w:tcBorders>
              <w:left w:val="nil"/>
              <w:right w:val="single" w:color="000000" w:sz="4" w:space="0"/>
            </w:tcBorders>
          </w:tcPr>
          <w:p w14:paraId="118D0414">
            <w:pPr>
              <w:adjustRightInd w:val="0"/>
              <w:snapToGrid w:val="0"/>
              <w:jc w:val="right"/>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敏感程度</w:t>
            </w:r>
          </w:p>
          <w:p w14:paraId="57FBE36D">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评价工作等级</w:t>
            </w:r>
          </w:p>
          <w:p w14:paraId="0B199FF1">
            <w:pPr>
              <w:adjustRightInd w:val="0"/>
              <w:snapToGrid w:val="0"/>
              <w:jc w:val="left"/>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占地规模</w:t>
            </w:r>
          </w:p>
        </w:tc>
        <w:tc>
          <w:tcPr>
            <w:tcW w:w="2056" w:type="dxa"/>
            <w:gridSpan w:val="3"/>
            <w:tcBorders>
              <w:left w:val="single" w:color="000000" w:sz="4" w:space="0"/>
              <w:bottom w:val="single" w:color="000000" w:sz="4" w:space="0"/>
              <w:right w:val="single" w:color="000000" w:sz="4" w:space="0"/>
            </w:tcBorders>
          </w:tcPr>
          <w:p w14:paraId="0A52137A">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I 类</w:t>
            </w:r>
          </w:p>
        </w:tc>
        <w:tc>
          <w:tcPr>
            <w:tcW w:w="2058" w:type="dxa"/>
            <w:gridSpan w:val="3"/>
            <w:tcBorders>
              <w:left w:val="single" w:color="000000" w:sz="4" w:space="0"/>
              <w:bottom w:val="single" w:color="000000" w:sz="4" w:space="0"/>
              <w:right w:val="single" w:color="000000" w:sz="4" w:space="0"/>
            </w:tcBorders>
          </w:tcPr>
          <w:p w14:paraId="36C0B6F0">
            <w:pPr>
              <w:pStyle w:val="281"/>
              <w:jc w:val="center"/>
              <w:rPr>
                <w:rFonts w:ascii="Times New Roman" w:hAnsi="Times New Roman" w:cs="Times New Roman"/>
                <w:sz w:val="21"/>
                <w:szCs w:val="21"/>
              </w:rPr>
            </w:pPr>
            <w:r>
              <w:rPr>
                <w:rFonts w:ascii="Times New Roman" w:hAnsi="Times New Roman" w:eastAsia="Times New Roman" w:cs="Times New Roman"/>
                <w:sz w:val="21"/>
                <w:szCs w:val="21"/>
              </w:rPr>
              <w:t xml:space="preserve">II </w:t>
            </w:r>
            <w:r>
              <w:rPr>
                <w:rFonts w:ascii="Times New Roman" w:hAnsi="Times New Roman" w:cs="Times New Roman"/>
                <w:sz w:val="21"/>
                <w:szCs w:val="21"/>
              </w:rPr>
              <w:t>类</w:t>
            </w:r>
          </w:p>
        </w:tc>
        <w:tc>
          <w:tcPr>
            <w:tcW w:w="2056" w:type="dxa"/>
            <w:gridSpan w:val="3"/>
            <w:tcBorders>
              <w:left w:val="single" w:color="000000" w:sz="4" w:space="0"/>
              <w:bottom w:val="single" w:color="000000" w:sz="4" w:space="0"/>
              <w:right w:val="nil"/>
            </w:tcBorders>
          </w:tcPr>
          <w:p w14:paraId="2F496E34">
            <w:pPr>
              <w:pStyle w:val="281"/>
              <w:jc w:val="center"/>
              <w:rPr>
                <w:rFonts w:ascii="Times New Roman" w:hAnsi="Times New Roman" w:cs="Times New Roman"/>
                <w:sz w:val="21"/>
                <w:szCs w:val="21"/>
              </w:rPr>
            </w:pPr>
            <w:r>
              <w:rPr>
                <w:rFonts w:ascii="Times New Roman" w:hAnsi="Times New Roman" w:eastAsia="Times New Roman" w:cs="Times New Roman"/>
                <w:sz w:val="21"/>
                <w:szCs w:val="21"/>
              </w:rPr>
              <w:t xml:space="preserve">III </w:t>
            </w:r>
            <w:r>
              <w:rPr>
                <w:rFonts w:ascii="Times New Roman" w:hAnsi="Times New Roman" w:cs="Times New Roman"/>
                <w:sz w:val="21"/>
                <w:szCs w:val="21"/>
              </w:rPr>
              <w:t>类</w:t>
            </w:r>
          </w:p>
        </w:tc>
      </w:tr>
      <w:tr w14:paraId="3A42A52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jc w:val="center"/>
        </w:trPr>
        <w:tc>
          <w:tcPr>
            <w:tcW w:w="2358" w:type="dxa"/>
            <w:vMerge w:val="continue"/>
            <w:tcBorders>
              <w:left w:val="nil"/>
              <w:bottom w:val="single" w:color="000000" w:sz="4" w:space="0"/>
              <w:right w:val="single" w:color="000000" w:sz="4" w:space="0"/>
            </w:tcBorders>
          </w:tcPr>
          <w:p w14:paraId="09E54055">
            <w:pPr>
              <w:adjustRightInd w:val="0"/>
              <w:snapToGrid w:val="0"/>
              <w:jc w:val="center"/>
              <w:rPr>
                <w:rFonts w:ascii="Times New Roman" w:hAnsi="Times New Roman" w:eastAsia="宋体" w:cs="Times New Roman"/>
                <w:color w:val="000000" w:themeColor="text1"/>
                <w:sz w:val="21"/>
                <w:szCs w:val="21"/>
                <w:lang w:eastAsia="zh-CN"/>
              </w:rPr>
            </w:pPr>
          </w:p>
        </w:tc>
        <w:tc>
          <w:tcPr>
            <w:tcW w:w="685" w:type="dxa"/>
            <w:tcBorders>
              <w:top w:val="single" w:color="000000" w:sz="4" w:space="0"/>
              <w:left w:val="single" w:color="000000" w:sz="4" w:space="0"/>
              <w:bottom w:val="single" w:color="000000" w:sz="4" w:space="0"/>
              <w:right w:val="single" w:color="000000" w:sz="4" w:space="0"/>
            </w:tcBorders>
          </w:tcPr>
          <w:p w14:paraId="7FAD0338">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大</w:t>
            </w:r>
          </w:p>
        </w:tc>
        <w:tc>
          <w:tcPr>
            <w:tcW w:w="685" w:type="dxa"/>
            <w:tcBorders>
              <w:top w:val="single" w:color="000000" w:sz="4" w:space="0"/>
              <w:left w:val="single" w:color="000000" w:sz="4" w:space="0"/>
              <w:bottom w:val="single" w:color="000000" w:sz="4" w:space="0"/>
              <w:right w:val="single" w:color="000000" w:sz="4" w:space="0"/>
            </w:tcBorders>
          </w:tcPr>
          <w:p w14:paraId="240F5555">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中</w:t>
            </w:r>
          </w:p>
        </w:tc>
        <w:tc>
          <w:tcPr>
            <w:tcW w:w="686" w:type="dxa"/>
            <w:tcBorders>
              <w:top w:val="single" w:color="000000" w:sz="4" w:space="0"/>
              <w:left w:val="single" w:color="000000" w:sz="4" w:space="0"/>
              <w:bottom w:val="single" w:color="000000" w:sz="4" w:space="0"/>
              <w:right w:val="single" w:color="000000" w:sz="4" w:space="0"/>
            </w:tcBorders>
          </w:tcPr>
          <w:p w14:paraId="202439A3">
            <w:pPr>
              <w:pStyle w:val="281"/>
              <w:jc w:val="center"/>
              <w:rPr>
                <w:rFonts w:ascii="Times New Roman" w:hAnsi="Times New Roman" w:cs="Times New Roman"/>
                <w:sz w:val="21"/>
                <w:szCs w:val="21"/>
              </w:rPr>
            </w:pPr>
            <w:r>
              <w:rPr>
                <w:rFonts w:ascii="Times New Roman" w:hAnsi="Times New Roman" w:cs="Times New Roman"/>
                <w:w w:val="99"/>
                <w:sz w:val="21"/>
                <w:szCs w:val="21"/>
              </w:rPr>
              <w:t>小</w:t>
            </w:r>
          </w:p>
        </w:tc>
        <w:tc>
          <w:tcPr>
            <w:tcW w:w="686" w:type="dxa"/>
            <w:tcBorders>
              <w:top w:val="single" w:color="000000" w:sz="4" w:space="0"/>
              <w:left w:val="single" w:color="000000" w:sz="4" w:space="0"/>
              <w:bottom w:val="single" w:color="000000" w:sz="4" w:space="0"/>
              <w:right w:val="single" w:color="000000" w:sz="4" w:space="0"/>
            </w:tcBorders>
          </w:tcPr>
          <w:p w14:paraId="1FE200DA">
            <w:pPr>
              <w:pStyle w:val="281"/>
              <w:jc w:val="center"/>
              <w:rPr>
                <w:rFonts w:ascii="Times New Roman" w:hAnsi="Times New Roman" w:cs="Times New Roman"/>
                <w:sz w:val="21"/>
                <w:szCs w:val="21"/>
              </w:rPr>
            </w:pPr>
            <w:r>
              <w:rPr>
                <w:rFonts w:ascii="Times New Roman" w:hAnsi="Times New Roman" w:cs="Times New Roman"/>
                <w:w w:val="99"/>
                <w:sz w:val="21"/>
                <w:szCs w:val="21"/>
              </w:rPr>
              <w:t>大</w:t>
            </w:r>
          </w:p>
        </w:tc>
        <w:tc>
          <w:tcPr>
            <w:tcW w:w="686" w:type="dxa"/>
            <w:tcBorders>
              <w:top w:val="single" w:color="000000" w:sz="4" w:space="0"/>
              <w:left w:val="single" w:color="000000" w:sz="4" w:space="0"/>
              <w:bottom w:val="single" w:color="000000" w:sz="4" w:space="0"/>
              <w:right w:val="single" w:color="000000" w:sz="4" w:space="0"/>
            </w:tcBorders>
          </w:tcPr>
          <w:p w14:paraId="07CB3D3C">
            <w:pPr>
              <w:pStyle w:val="281"/>
              <w:jc w:val="center"/>
              <w:rPr>
                <w:rFonts w:ascii="Times New Roman" w:hAnsi="Times New Roman" w:cs="Times New Roman"/>
                <w:sz w:val="21"/>
                <w:szCs w:val="21"/>
              </w:rPr>
            </w:pPr>
            <w:r>
              <w:rPr>
                <w:rFonts w:ascii="Times New Roman" w:hAnsi="Times New Roman" w:cs="Times New Roman"/>
                <w:w w:val="99"/>
                <w:sz w:val="21"/>
                <w:szCs w:val="21"/>
              </w:rPr>
              <w:t>中</w:t>
            </w:r>
          </w:p>
        </w:tc>
        <w:tc>
          <w:tcPr>
            <w:tcW w:w="686" w:type="dxa"/>
            <w:tcBorders>
              <w:top w:val="single" w:color="000000" w:sz="4" w:space="0"/>
              <w:left w:val="single" w:color="000000" w:sz="4" w:space="0"/>
              <w:bottom w:val="single" w:color="000000" w:sz="4" w:space="0"/>
              <w:right w:val="single" w:color="000000" w:sz="4" w:space="0"/>
            </w:tcBorders>
          </w:tcPr>
          <w:p w14:paraId="38E24A7A">
            <w:pPr>
              <w:pStyle w:val="281"/>
              <w:jc w:val="center"/>
              <w:rPr>
                <w:rFonts w:ascii="Times New Roman" w:hAnsi="Times New Roman" w:cs="Times New Roman"/>
                <w:sz w:val="21"/>
                <w:szCs w:val="21"/>
              </w:rPr>
            </w:pPr>
            <w:r>
              <w:rPr>
                <w:rFonts w:ascii="Times New Roman" w:hAnsi="Times New Roman" w:cs="Times New Roman"/>
                <w:w w:val="99"/>
                <w:sz w:val="21"/>
                <w:szCs w:val="21"/>
              </w:rPr>
              <w:t>小</w:t>
            </w:r>
          </w:p>
        </w:tc>
        <w:tc>
          <w:tcPr>
            <w:tcW w:w="686" w:type="dxa"/>
            <w:tcBorders>
              <w:top w:val="single" w:color="000000" w:sz="4" w:space="0"/>
              <w:left w:val="single" w:color="000000" w:sz="4" w:space="0"/>
              <w:bottom w:val="single" w:color="000000" w:sz="4" w:space="0"/>
              <w:right w:val="single" w:color="000000" w:sz="4" w:space="0"/>
            </w:tcBorders>
          </w:tcPr>
          <w:p w14:paraId="3AD8D7F6">
            <w:pPr>
              <w:pStyle w:val="281"/>
              <w:jc w:val="center"/>
              <w:rPr>
                <w:rFonts w:ascii="Times New Roman" w:hAnsi="Times New Roman" w:cs="Times New Roman"/>
                <w:sz w:val="21"/>
                <w:szCs w:val="21"/>
              </w:rPr>
            </w:pPr>
            <w:r>
              <w:rPr>
                <w:rFonts w:ascii="Times New Roman" w:hAnsi="Times New Roman" w:cs="Times New Roman"/>
                <w:w w:val="99"/>
                <w:sz w:val="21"/>
                <w:szCs w:val="21"/>
              </w:rPr>
              <w:t>大</w:t>
            </w:r>
          </w:p>
        </w:tc>
        <w:tc>
          <w:tcPr>
            <w:tcW w:w="686" w:type="dxa"/>
            <w:tcBorders>
              <w:top w:val="single" w:color="000000" w:sz="4" w:space="0"/>
              <w:left w:val="single" w:color="000000" w:sz="4" w:space="0"/>
              <w:bottom w:val="single" w:color="000000" w:sz="4" w:space="0"/>
              <w:right w:val="single" w:color="000000" w:sz="4" w:space="0"/>
            </w:tcBorders>
          </w:tcPr>
          <w:p w14:paraId="44392B88">
            <w:pPr>
              <w:pStyle w:val="281"/>
              <w:jc w:val="center"/>
              <w:rPr>
                <w:rFonts w:ascii="Times New Roman" w:hAnsi="Times New Roman" w:cs="Times New Roman"/>
                <w:sz w:val="21"/>
                <w:szCs w:val="21"/>
              </w:rPr>
            </w:pPr>
            <w:r>
              <w:rPr>
                <w:rFonts w:ascii="Times New Roman" w:hAnsi="Times New Roman" w:cs="Times New Roman"/>
                <w:w w:val="99"/>
                <w:sz w:val="21"/>
                <w:szCs w:val="21"/>
              </w:rPr>
              <w:t>中</w:t>
            </w:r>
          </w:p>
        </w:tc>
        <w:tc>
          <w:tcPr>
            <w:tcW w:w="684" w:type="dxa"/>
            <w:tcBorders>
              <w:top w:val="single" w:color="000000" w:sz="4" w:space="0"/>
              <w:left w:val="single" w:color="000000" w:sz="4" w:space="0"/>
              <w:bottom w:val="single" w:color="000000" w:sz="4" w:space="0"/>
              <w:right w:val="nil"/>
            </w:tcBorders>
          </w:tcPr>
          <w:p w14:paraId="28A4BEE0">
            <w:pPr>
              <w:pStyle w:val="281"/>
              <w:jc w:val="center"/>
              <w:rPr>
                <w:rFonts w:ascii="Times New Roman" w:hAnsi="Times New Roman" w:cs="Times New Roman"/>
                <w:sz w:val="21"/>
                <w:szCs w:val="21"/>
              </w:rPr>
            </w:pPr>
            <w:r>
              <w:rPr>
                <w:rFonts w:ascii="Times New Roman" w:hAnsi="Times New Roman" w:cs="Times New Roman"/>
                <w:w w:val="99"/>
                <w:sz w:val="21"/>
                <w:szCs w:val="21"/>
              </w:rPr>
              <w:t>小</w:t>
            </w:r>
          </w:p>
        </w:tc>
      </w:tr>
      <w:tr w14:paraId="65D8818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jc w:val="center"/>
        </w:trPr>
        <w:tc>
          <w:tcPr>
            <w:tcW w:w="2358" w:type="dxa"/>
            <w:tcBorders>
              <w:top w:val="single" w:color="000000" w:sz="4" w:space="0"/>
              <w:left w:val="nil"/>
              <w:bottom w:val="single" w:color="000000" w:sz="4" w:space="0"/>
              <w:right w:val="single" w:color="000000" w:sz="4" w:space="0"/>
            </w:tcBorders>
          </w:tcPr>
          <w:p w14:paraId="13ED05A8">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敏感</w:t>
            </w:r>
          </w:p>
        </w:tc>
        <w:tc>
          <w:tcPr>
            <w:tcW w:w="685" w:type="dxa"/>
            <w:tcBorders>
              <w:top w:val="single" w:color="000000" w:sz="4" w:space="0"/>
              <w:left w:val="single" w:color="000000" w:sz="4" w:space="0"/>
              <w:bottom w:val="single" w:color="000000" w:sz="4" w:space="0"/>
              <w:right w:val="single" w:color="000000" w:sz="4" w:space="0"/>
            </w:tcBorders>
          </w:tcPr>
          <w:p w14:paraId="3A2EA365">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一级</w:t>
            </w:r>
          </w:p>
        </w:tc>
        <w:tc>
          <w:tcPr>
            <w:tcW w:w="685" w:type="dxa"/>
            <w:tcBorders>
              <w:top w:val="single" w:color="000000" w:sz="4" w:space="0"/>
              <w:left w:val="single" w:color="000000" w:sz="4" w:space="0"/>
              <w:bottom w:val="single" w:color="000000" w:sz="4" w:space="0"/>
              <w:right w:val="single" w:color="000000" w:sz="4" w:space="0"/>
            </w:tcBorders>
          </w:tcPr>
          <w:p w14:paraId="3F113D91">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一级</w:t>
            </w:r>
          </w:p>
        </w:tc>
        <w:tc>
          <w:tcPr>
            <w:tcW w:w="686" w:type="dxa"/>
            <w:tcBorders>
              <w:top w:val="single" w:color="000000" w:sz="4" w:space="0"/>
              <w:left w:val="single" w:color="000000" w:sz="4" w:space="0"/>
              <w:bottom w:val="single" w:color="000000" w:sz="4" w:space="0"/>
              <w:right w:val="single" w:color="000000" w:sz="4" w:space="0"/>
            </w:tcBorders>
          </w:tcPr>
          <w:p w14:paraId="33343D77">
            <w:pPr>
              <w:pStyle w:val="281"/>
              <w:jc w:val="center"/>
              <w:rPr>
                <w:rFonts w:ascii="Times New Roman" w:hAnsi="Times New Roman" w:cs="Times New Roman"/>
                <w:sz w:val="21"/>
                <w:szCs w:val="21"/>
              </w:rPr>
            </w:pPr>
            <w:r>
              <w:rPr>
                <w:rFonts w:ascii="Times New Roman" w:hAnsi="Times New Roman" w:cs="Times New Roman"/>
                <w:w w:val="95"/>
                <w:sz w:val="21"/>
                <w:szCs w:val="21"/>
              </w:rPr>
              <w:t>一级</w:t>
            </w:r>
          </w:p>
        </w:tc>
        <w:tc>
          <w:tcPr>
            <w:tcW w:w="686" w:type="dxa"/>
            <w:tcBorders>
              <w:top w:val="single" w:color="000000" w:sz="4" w:space="0"/>
              <w:left w:val="single" w:color="000000" w:sz="4" w:space="0"/>
              <w:bottom w:val="single" w:color="000000" w:sz="4" w:space="0"/>
              <w:right w:val="single" w:color="000000" w:sz="4" w:space="0"/>
            </w:tcBorders>
          </w:tcPr>
          <w:p w14:paraId="78340F83">
            <w:pPr>
              <w:pStyle w:val="281"/>
              <w:jc w:val="center"/>
              <w:rPr>
                <w:rFonts w:ascii="Times New Roman" w:hAnsi="Times New Roman" w:cs="Times New Roman"/>
                <w:sz w:val="21"/>
                <w:szCs w:val="21"/>
              </w:rPr>
            </w:pPr>
            <w:r>
              <w:rPr>
                <w:rFonts w:ascii="Times New Roman" w:hAnsi="Times New Roman" w:cs="Times New Roman"/>
                <w:w w:val="95"/>
                <w:sz w:val="21"/>
                <w:szCs w:val="21"/>
              </w:rPr>
              <w:t>二级</w:t>
            </w:r>
          </w:p>
        </w:tc>
        <w:tc>
          <w:tcPr>
            <w:tcW w:w="686" w:type="dxa"/>
            <w:tcBorders>
              <w:top w:val="single" w:color="000000" w:sz="4" w:space="0"/>
              <w:left w:val="single" w:color="000000" w:sz="4" w:space="0"/>
              <w:bottom w:val="single" w:color="000000" w:sz="4" w:space="0"/>
              <w:right w:val="single" w:color="000000" w:sz="4" w:space="0"/>
            </w:tcBorders>
          </w:tcPr>
          <w:p w14:paraId="696D9750">
            <w:pPr>
              <w:pStyle w:val="281"/>
              <w:jc w:val="center"/>
              <w:rPr>
                <w:rFonts w:ascii="Times New Roman" w:hAnsi="Times New Roman" w:cs="Times New Roman"/>
                <w:sz w:val="21"/>
                <w:szCs w:val="21"/>
              </w:rPr>
            </w:pPr>
            <w:r>
              <w:rPr>
                <w:rFonts w:ascii="Times New Roman" w:hAnsi="Times New Roman" w:cs="Times New Roman"/>
                <w:w w:val="95"/>
                <w:sz w:val="21"/>
                <w:szCs w:val="21"/>
              </w:rPr>
              <w:t>二级</w:t>
            </w:r>
          </w:p>
        </w:tc>
        <w:tc>
          <w:tcPr>
            <w:tcW w:w="686" w:type="dxa"/>
            <w:tcBorders>
              <w:top w:val="single" w:color="000000" w:sz="4" w:space="0"/>
              <w:left w:val="single" w:color="000000" w:sz="4" w:space="0"/>
              <w:bottom w:val="single" w:color="000000" w:sz="4" w:space="0"/>
              <w:right w:val="single" w:color="000000" w:sz="4" w:space="0"/>
            </w:tcBorders>
          </w:tcPr>
          <w:p w14:paraId="6FD30479">
            <w:pPr>
              <w:pStyle w:val="281"/>
              <w:jc w:val="center"/>
              <w:rPr>
                <w:rFonts w:ascii="Times New Roman" w:hAnsi="Times New Roman" w:cs="Times New Roman"/>
                <w:sz w:val="21"/>
                <w:szCs w:val="21"/>
              </w:rPr>
            </w:pPr>
            <w:r>
              <w:rPr>
                <w:rFonts w:ascii="Times New Roman" w:hAnsi="Times New Roman" w:cs="Times New Roman"/>
                <w:w w:val="95"/>
                <w:sz w:val="21"/>
                <w:szCs w:val="21"/>
              </w:rPr>
              <w:t>二级</w:t>
            </w:r>
          </w:p>
        </w:tc>
        <w:tc>
          <w:tcPr>
            <w:tcW w:w="686" w:type="dxa"/>
            <w:tcBorders>
              <w:top w:val="single" w:color="000000" w:sz="4" w:space="0"/>
              <w:left w:val="single" w:color="000000" w:sz="4" w:space="0"/>
              <w:bottom w:val="single" w:color="000000" w:sz="4" w:space="0"/>
              <w:right w:val="single" w:color="000000" w:sz="4" w:space="0"/>
            </w:tcBorders>
          </w:tcPr>
          <w:p w14:paraId="26927474">
            <w:pPr>
              <w:pStyle w:val="281"/>
              <w:jc w:val="center"/>
              <w:rPr>
                <w:rFonts w:ascii="Times New Roman" w:hAnsi="Times New Roman" w:cs="Times New Roman"/>
                <w:sz w:val="21"/>
                <w:szCs w:val="21"/>
              </w:rPr>
            </w:pPr>
            <w:r>
              <w:rPr>
                <w:rFonts w:ascii="Times New Roman" w:hAnsi="Times New Roman" w:cs="Times New Roman"/>
                <w:w w:val="95"/>
                <w:sz w:val="21"/>
                <w:szCs w:val="21"/>
              </w:rPr>
              <w:t>三级</w:t>
            </w:r>
          </w:p>
        </w:tc>
        <w:tc>
          <w:tcPr>
            <w:tcW w:w="686" w:type="dxa"/>
            <w:tcBorders>
              <w:top w:val="single" w:color="000000" w:sz="4" w:space="0"/>
              <w:left w:val="single" w:color="000000" w:sz="4" w:space="0"/>
              <w:bottom w:val="single" w:color="000000" w:sz="4" w:space="0"/>
              <w:right w:val="single" w:color="000000" w:sz="4" w:space="0"/>
            </w:tcBorders>
          </w:tcPr>
          <w:p w14:paraId="453FBD88">
            <w:pPr>
              <w:pStyle w:val="281"/>
              <w:jc w:val="center"/>
              <w:rPr>
                <w:rFonts w:ascii="Times New Roman" w:hAnsi="Times New Roman" w:cs="Times New Roman"/>
                <w:sz w:val="21"/>
                <w:szCs w:val="21"/>
              </w:rPr>
            </w:pPr>
            <w:r>
              <w:rPr>
                <w:rFonts w:ascii="Times New Roman" w:hAnsi="Times New Roman" w:cs="Times New Roman"/>
                <w:w w:val="95"/>
                <w:sz w:val="21"/>
                <w:szCs w:val="21"/>
              </w:rPr>
              <w:t>三级</w:t>
            </w:r>
          </w:p>
        </w:tc>
        <w:tc>
          <w:tcPr>
            <w:tcW w:w="684" w:type="dxa"/>
            <w:tcBorders>
              <w:top w:val="single" w:color="000000" w:sz="4" w:space="0"/>
              <w:left w:val="single" w:color="000000" w:sz="4" w:space="0"/>
              <w:bottom w:val="single" w:color="000000" w:sz="4" w:space="0"/>
              <w:right w:val="nil"/>
            </w:tcBorders>
          </w:tcPr>
          <w:p w14:paraId="5C73E275">
            <w:pPr>
              <w:pStyle w:val="281"/>
              <w:jc w:val="center"/>
              <w:rPr>
                <w:rFonts w:ascii="Times New Roman" w:hAnsi="Times New Roman" w:cs="Times New Roman"/>
                <w:sz w:val="21"/>
                <w:szCs w:val="21"/>
              </w:rPr>
            </w:pPr>
            <w:r>
              <w:rPr>
                <w:rFonts w:ascii="Times New Roman" w:hAnsi="Times New Roman" w:cs="Times New Roman"/>
                <w:w w:val="95"/>
                <w:sz w:val="21"/>
                <w:szCs w:val="21"/>
              </w:rPr>
              <w:t>三级</w:t>
            </w:r>
          </w:p>
        </w:tc>
      </w:tr>
      <w:tr w14:paraId="414383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jc w:val="center"/>
        </w:trPr>
        <w:tc>
          <w:tcPr>
            <w:tcW w:w="2358" w:type="dxa"/>
            <w:tcBorders>
              <w:top w:val="single" w:color="000000" w:sz="4" w:space="0"/>
              <w:left w:val="nil"/>
              <w:bottom w:val="single" w:color="000000" w:sz="4" w:space="0"/>
              <w:right w:val="single" w:color="000000" w:sz="4" w:space="0"/>
            </w:tcBorders>
          </w:tcPr>
          <w:p w14:paraId="7997BC74">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较敏感</w:t>
            </w:r>
          </w:p>
        </w:tc>
        <w:tc>
          <w:tcPr>
            <w:tcW w:w="685" w:type="dxa"/>
            <w:tcBorders>
              <w:top w:val="single" w:color="000000" w:sz="4" w:space="0"/>
              <w:left w:val="single" w:color="000000" w:sz="4" w:space="0"/>
              <w:bottom w:val="single" w:color="000000" w:sz="4" w:space="0"/>
              <w:right w:val="single" w:color="000000" w:sz="4" w:space="0"/>
            </w:tcBorders>
          </w:tcPr>
          <w:p w14:paraId="09B4D950">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一级</w:t>
            </w:r>
          </w:p>
        </w:tc>
        <w:tc>
          <w:tcPr>
            <w:tcW w:w="685" w:type="dxa"/>
            <w:tcBorders>
              <w:top w:val="single" w:color="000000" w:sz="4" w:space="0"/>
              <w:left w:val="single" w:color="000000" w:sz="4" w:space="0"/>
              <w:bottom w:val="single" w:color="000000" w:sz="4" w:space="0"/>
              <w:right w:val="single" w:color="000000" w:sz="4" w:space="0"/>
            </w:tcBorders>
          </w:tcPr>
          <w:p w14:paraId="0B2F084F">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一级</w:t>
            </w:r>
          </w:p>
        </w:tc>
        <w:tc>
          <w:tcPr>
            <w:tcW w:w="686" w:type="dxa"/>
            <w:tcBorders>
              <w:top w:val="single" w:color="000000" w:sz="4" w:space="0"/>
              <w:left w:val="single" w:color="000000" w:sz="4" w:space="0"/>
              <w:bottom w:val="single" w:color="000000" w:sz="4" w:space="0"/>
              <w:right w:val="single" w:color="000000" w:sz="4" w:space="0"/>
            </w:tcBorders>
          </w:tcPr>
          <w:p w14:paraId="49EBAB4F">
            <w:pPr>
              <w:pStyle w:val="281"/>
              <w:jc w:val="center"/>
              <w:rPr>
                <w:rFonts w:ascii="Times New Roman" w:hAnsi="Times New Roman" w:cs="Times New Roman"/>
                <w:sz w:val="21"/>
                <w:szCs w:val="21"/>
              </w:rPr>
            </w:pPr>
            <w:r>
              <w:rPr>
                <w:rFonts w:ascii="Times New Roman" w:hAnsi="Times New Roman" w:cs="Times New Roman"/>
                <w:w w:val="95"/>
                <w:sz w:val="21"/>
                <w:szCs w:val="21"/>
              </w:rPr>
              <w:t>二级</w:t>
            </w:r>
          </w:p>
        </w:tc>
        <w:tc>
          <w:tcPr>
            <w:tcW w:w="686" w:type="dxa"/>
            <w:tcBorders>
              <w:top w:val="single" w:color="000000" w:sz="4" w:space="0"/>
              <w:left w:val="single" w:color="000000" w:sz="4" w:space="0"/>
              <w:bottom w:val="single" w:color="000000" w:sz="4" w:space="0"/>
              <w:right w:val="single" w:color="000000" w:sz="4" w:space="0"/>
            </w:tcBorders>
          </w:tcPr>
          <w:p w14:paraId="57DEB8E3">
            <w:pPr>
              <w:pStyle w:val="281"/>
              <w:jc w:val="center"/>
              <w:rPr>
                <w:rFonts w:ascii="Times New Roman" w:hAnsi="Times New Roman" w:cs="Times New Roman"/>
                <w:sz w:val="21"/>
                <w:szCs w:val="21"/>
              </w:rPr>
            </w:pPr>
            <w:r>
              <w:rPr>
                <w:rFonts w:ascii="Times New Roman" w:hAnsi="Times New Roman" w:cs="Times New Roman"/>
                <w:w w:val="95"/>
                <w:sz w:val="21"/>
                <w:szCs w:val="21"/>
              </w:rPr>
              <w:t>二级</w:t>
            </w:r>
          </w:p>
        </w:tc>
        <w:tc>
          <w:tcPr>
            <w:tcW w:w="686" w:type="dxa"/>
            <w:tcBorders>
              <w:top w:val="single" w:color="000000" w:sz="4" w:space="0"/>
              <w:left w:val="single" w:color="000000" w:sz="4" w:space="0"/>
              <w:bottom w:val="single" w:color="000000" w:sz="4" w:space="0"/>
              <w:right w:val="single" w:color="000000" w:sz="4" w:space="0"/>
            </w:tcBorders>
          </w:tcPr>
          <w:p w14:paraId="3CD4C1A2">
            <w:pPr>
              <w:pStyle w:val="281"/>
              <w:jc w:val="center"/>
              <w:rPr>
                <w:rFonts w:ascii="Times New Roman" w:hAnsi="Times New Roman" w:cs="Times New Roman"/>
                <w:sz w:val="21"/>
                <w:szCs w:val="21"/>
              </w:rPr>
            </w:pPr>
            <w:r>
              <w:rPr>
                <w:rFonts w:ascii="Times New Roman" w:hAnsi="Times New Roman" w:cs="Times New Roman"/>
                <w:w w:val="95"/>
                <w:sz w:val="21"/>
                <w:szCs w:val="21"/>
              </w:rPr>
              <w:t>二级</w:t>
            </w:r>
          </w:p>
        </w:tc>
        <w:tc>
          <w:tcPr>
            <w:tcW w:w="686" w:type="dxa"/>
            <w:tcBorders>
              <w:top w:val="single" w:color="000000" w:sz="4" w:space="0"/>
              <w:left w:val="single" w:color="000000" w:sz="4" w:space="0"/>
              <w:bottom w:val="single" w:color="000000" w:sz="4" w:space="0"/>
              <w:right w:val="single" w:color="000000" w:sz="4" w:space="0"/>
            </w:tcBorders>
          </w:tcPr>
          <w:p w14:paraId="2AC4FD94">
            <w:pPr>
              <w:pStyle w:val="281"/>
              <w:jc w:val="center"/>
              <w:rPr>
                <w:rFonts w:ascii="Times New Roman" w:hAnsi="Times New Roman" w:cs="Times New Roman"/>
                <w:sz w:val="21"/>
                <w:szCs w:val="21"/>
              </w:rPr>
            </w:pPr>
            <w:r>
              <w:rPr>
                <w:rFonts w:ascii="Times New Roman" w:hAnsi="Times New Roman" w:cs="Times New Roman"/>
                <w:w w:val="95"/>
                <w:sz w:val="21"/>
                <w:szCs w:val="21"/>
              </w:rPr>
              <w:t>三级</w:t>
            </w:r>
          </w:p>
        </w:tc>
        <w:tc>
          <w:tcPr>
            <w:tcW w:w="686" w:type="dxa"/>
            <w:tcBorders>
              <w:top w:val="single" w:color="000000" w:sz="4" w:space="0"/>
              <w:left w:val="single" w:color="000000" w:sz="4" w:space="0"/>
              <w:bottom w:val="single" w:color="000000" w:sz="4" w:space="0"/>
              <w:right w:val="single" w:color="000000" w:sz="4" w:space="0"/>
            </w:tcBorders>
          </w:tcPr>
          <w:p w14:paraId="4A9EC25D">
            <w:pPr>
              <w:pStyle w:val="281"/>
              <w:jc w:val="center"/>
              <w:rPr>
                <w:rFonts w:ascii="Times New Roman" w:hAnsi="Times New Roman" w:cs="Times New Roman"/>
                <w:sz w:val="21"/>
                <w:szCs w:val="21"/>
              </w:rPr>
            </w:pPr>
            <w:r>
              <w:rPr>
                <w:rFonts w:ascii="Times New Roman" w:hAnsi="Times New Roman" w:cs="Times New Roman"/>
                <w:w w:val="95"/>
                <w:sz w:val="21"/>
                <w:szCs w:val="21"/>
              </w:rPr>
              <w:t>三级</w:t>
            </w:r>
          </w:p>
        </w:tc>
        <w:tc>
          <w:tcPr>
            <w:tcW w:w="686" w:type="dxa"/>
            <w:tcBorders>
              <w:top w:val="single" w:color="000000" w:sz="4" w:space="0"/>
              <w:left w:val="single" w:color="000000" w:sz="4" w:space="0"/>
              <w:bottom w:val="single" w:color="000000" w:sz="4" w:space="0"/>
              <w:right w:val="single" w:color="000000" w:sz="4" w:space="0"/>
            </w:tcBorders>
          </w:tcPr>
          <w:p w14:paraId="00ED29D2">
            <w:pPr>
              <w:pStyle w:val="281"/>
              <w:jc w:val="center"/>
              <w:rPr>
                <w:rFonts w:ascii="Times New Roman" w:hAnsi="Times New Roman" w:cs="Times New Roman"/>
                <w:sz w:val="21"/>
                <w:szCs w:val="21"/>
              </w:rPr>
            </w:pPr>
            <w:r>
              <w:rPr>
                <w:rFonts w:ascii="Times New Roman" w:hAnsi="Times New Roman" w:cs="Times New Roman"/>
                <w:w w:val="95"/>
                <w:sz w:val="21"/>
                <w:szCs w:val="21"/>
              </w:rPr>
              <w:t>三级</w:t>
            </w:r>
          </w:p>
        </w:tc>
        <w:tc>
          <w:tcPr>
            <w:tcW w:w="684" w:type="dxa"/>
            <w:tcBorders>
              <w:top w:val="single" w:color="000000" w:sz="4" w:space="0"/>
              <w:left w:val="single" w:color="000000" w:sz="4" w:space="0"/>
              <w:bottom w:val="single" w:color="000000" w:sz="4" w:space="0"/>
              <w:right w:val="nil"/>
            </w:tcBorders>
          </w:tcPr>
          <w:p w14:paraId="31509C3C">
            <w:pPr>
              <w:pStyle w:val="281"/>
              <w:jc w:val="center"/>
              <w:rPr>
                <w:rFonts w:ascii="Times New Roman" w:hAnsi="Times New Roman" w:cs="Times New Roman"/>
                <w:sz w:val="21"/>
                <w:szCs w:val="21"/>
              </w:rPr>
            </w:pPr>
            <w:r>
              <w:rPr>
                <w:rFonts w:ascii="Times New Roman" w:hAnsi="Times New Roman" w:cs="Times New Roman"/>
                <w:w w:val="99"/>
                <w:sz w:val="21"/>
                <w:szCs w:val="21"/>
              </w:rPr>
              <w:t>—</w:t>
            </w:r>
          </w:p>
        </w:tc>
      </w:tr>
      <w:tr w14:paraId="72A01C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jc w:val="center"/>
        </w:trPr>
        <w:tc>
          <w:tcPr>
            <w:tcW w:w="2358" w:type="dxa"/>
            <w:tcBorders>
              <w:top w:val="single" w:color="000000" w:sz="4" w:space="0"/>
              <w:left w:val="nil"/>
              <w:bottom w:val="single" w:color="000000" w:sz="4" w:space="0"/>
              <w:right w:val="single" w:color="000000" w:sz="4" w:space="0"/>
            </w:tcBorders>
          </w:tcPr>
          <w:p w14:paraId="1915E9AA">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不敏感</w:t>
            </w:r>
          </w:p>
        </w:tc>
        <w:tc>
          <w:tcPr>
            <w:tcW w:w="685" w:type="dxa"/>
            <w:tcBorders>
              <w:top w:val="single" w:color="000000" w:sz="4" w:space="0"/>
              <w:left w:val="single" w:color="000000" w:sz="4" w:space="0"/>
              <w:bottom w:val="single" w:color="000000" w:sz="4" w:space="0"/>
              <w:right w:val="single" w:color="000000" w:sz="4" w:space="0"/>
            </w:tcBorders>
          </w:tcPr>
          <w:p w14:paraId="6771D09F">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一级</w:t>
            </w:r>
          </w:p>
        </w:tc>
        <w:tc>
          <w:tcPr>
            <w:tcW w:w="685" w:type="dxa"/>
            <w:tcBorders>
              <w:top w:val="single" w:color="000000" w:sz="4" w:space="0"/>
              <w:left w:val="single" w:color="000000" w:sz="4" w:space="0"/>
              <w:bottom w:val="single" w:color="000000" w:sz="4" w:space="0"/>
              <w:right w:val="single" w:color="000000" w:sz="4" w:space="0"/>
            </w:tcBorders>
          </w:tcPr>
          <w:p w14:paraId="2221955D">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二级</w:t>
            </w:r>
          </w:p>
        </w:tc>
        <w:tc>
          <w:tcPr>
            <w:tcW w:w="686" w:type="dxa"/>
            <w:tcBorders>
              <w:top w:val="single" w:color="000000" w:sz="4" w:space="0"/>
              <w:left w:val="single" w:color="000000" w:sz="4" w:space="0"/>
              <w:bottom w:val="single" w:color="000000" w:sz="4" w:space="0"/>
              <w:right w:val="single" w:color="000000" w:sz="4" w:space="0"/>
            </w:tcBorders>
          </w:tcPr>
          <w:p w14:paraId="4C969112">
            <w:pPr>
              <w:pStyle w:val="281"/>
              <w:jc w:val="center"/>
              <w:rPr>
                <w:rFonts w:ascii="Times New Roman" w:hAnsi="Times New Roman" w:cs="Times New Roman"/>
                <w:sz w:val="21"/>
                <w:szCs w:val="21"/>
              </w:rPr>
            </w:pPr>
            <w:r>
              <w:rPr>
                <w:rFonts w:ascii="Times New Roman" w:hAnsi="Times New Roman" w:cs="Times New Roman"/>
                <w:w w:val="95"/>
                <w:sz w:val="21"/>
                <w:szCs w:val="21"/>
              </w:rPr>
              <w:t>二级</w:t>
            </w:r>
          </w:p>
        </w:tc>
        <w:tc>
          <w:tcPr>
            <w:tcW w:w="686" w:type="dxa"/>
            <w:tcBorders>
              <w:top w:val="single" w:color="000000" w:sz="4" w:space="0"/>
              <w:left w:val="single" w:color="000000" w:sz="4" w:space="0"/>
              <w:bottom w:val="single" w:color="000000" w:sz="4" w:space="0"/>
              <w:right w:val="single" w:color="000000" w:sz="4" w:space="0"/>
            </w:tcBorders>
          </w:tcPr>
          <w:p w14:paraId="6D914F35">
            <w:pPr>
              <w:pStyle w:val="281"/>
              <w:jc w:val="center"/>
              <w:rPr>
                <w:rFonts w:ascii="Times New Roman" w:hAnsi="Times New Roman" w:cs="Times New Roman"/>
                <w:sz w:val="21"/>
                <w:szCs w:val="21"/>
              </w:rPr>
            </w:pPr>
            <w:r>
              <w:rPr>
                <w:rFonts w:ascii="Times New Roman" w:hAnsi="Times New Roman" w:cs="Times New Roman"/>
                <w:w w:val="95"/>
                <w:sz w:val="21"/>
                <w:szCs w:val="21"/>
              </w:rPr>
              <w:t>二级</w:t>
            </w:r>
          </w:p>
        </w:tc>
        <w:tc>
          <w:tcPr>
            <w:tcW w:w="686" w:type="dxa"/>
            <w:tcBorders>
              <w:top w:val="single" w:color="000000" w:sz="4" w:space="0"/>
              <w:left w:val="single" w:color="000000" w:sz="4" w:space="0"/>
              <w:bottom w:val="single" w:color="000000" w:sz="4" w:space="0"/>
              <w:right w:val="single" w:color="000000" w:sz="4" w:space="0"/>
            </w:tcBorders>
          </w:tcPr>
          <w:p w14:paraId="2C2570A7">
            <w:pPr>
              <w:pStyle w:val="281"/>
              <w:jc w:val="center"/>
              <w:rPr>
                <w:rFonts w:ascii="Times New Roman" w:hAnsi="Times New Roman" w:cs="Times New Roman"/>
                <w:sz w:val="21"/>
                <w:szCs w:val="21"/>
              </w:rPr>
            </w:pPr>
            <w:r>
              <w:rPr>
                <w:rFonts w:ascii="Times New Roman" w:hAnsi="Times New Roman" w:cs="Times New Roman"/>
                <w:w w:val="95"/>
                <w:sz w:val="21"/>
                <w:szCs w:val="21"/>
              </w:rPr>
              <w:t>三级</w:t>
            </w:r>
          </w:p>
        </w:tc>
        <w:tc>
          <w:tcPr>
            <w:tcW w:w="686" w:type="dxa"/>
            <w:tcBorders>
              <w:top w:val="single" w:color="000000" w:sz="4" w:space="0"/>
              <w:left w:val="single" w:color="000000" w:sz="4" w:space="0"/>
              <w:bottom w:val="single" w:color="000000" w:sz="4" w:space="0"/>
              <w:right w:val="single" w:color="000000" w:sz="4" w:space="0"/>
            </w:tcBorders>
          </w:tcPr>
          <w:p w14:paraId="017F2050">
            <w:pPr>
              <w:pStyle w:val="281"/>
              <w:jc w:val="center"/>
              <w:rPr>
                <w:rFonts w:ascii="Times New Roman" w:hAnsi="Times New Roman" w:cs="Times New Roman"/>
                <w:sz w:val="21"/>
                <w:szCs w:val="21"/>
              </w:rPr>
            </w:pPr>
            <w:r>
              <w:rPr>
                <w:rFonts w:ascii="Times New Roman" w:hAnsi="Times New Roman" w:cs="Times New Roman"/>
                <w:w w:val="95"/>
                <w:sz w:val="21"/>
                <w:szCs w:val="21"/>
              </w:rPr>
              <w:t>三级</w:t>
            </w:r>
          </w:p>
        </w:tc>
        <w:tc>
          <w:tcPr>
            <w:tcW w:w="686" w:type="dxa"/>
            <w:tcBorders>
              <w:top w:val="single" w:color="000000" w:sz="4" w:space="0"/>
              <w:left w:val="single" w:color="000000" w:sz="4" w:space="0"/>
              <w:bottom w:val="single" w:color="000000" w:sz="4" w:space="0"/>
              <w:right w:val="single" w:color="000000" w:sz="4" w:space="0"/>
            </w:tcBorders>
          </w:tcPr>
          <w:p w14:paraId="2D815F16">
            <w:pPr>
              <w:pStyle w:val="281"/>
              <w:jc w:val="center"/>
              <w:rPr>
                <w:rFonts w:ascii="Times New Roman" w:hAnsi="Times New Roman" w:cs="Times New Roman"/>
                <w:sz w:val="21"/>
                <w:szCs w:val="21"/>
              </w:rPr>
            </w:pPr>
            <w:r>
              <w:rPr>
                <w:rFonts w:ascii="Times New Roman" w:hAnsi="Times New Roman" w:cs="Times New Roman"/>
                <w:w w:val="95"/>
                <w:sz w:val="21"/>
                <w:szCs w:val="21"/>
              </w:rPr>
              <w:t>三级</w:t>
            </w:r>
          </w:p>
        </w:tc>
        <w:tc>
          <w:tcPr>
            <w:tcW w:w="686" w:type="dxa"/>
            <w:tcBorders>
              <w:top w:val="single" w:color="000000" w:sz="4" w:space="0"/>
              <w:left w:val="single" w:color="000000" w:sz="4" w:space="0"/>
              <w:bottom w:val="single" w:color="000000" w:sz="4" w:space="0"/>
              <w:right w:val="single" w:color="000000" w:sz="4" w:space="0"/>
            </w:tcBorders>
          </w:tcPr>
          <w:p w14:paraId="49E95150">
            <w:pPr>
              <w:pStyle w:val="281"/>
              <w:jc w:val="center"/>
              <w:rPr>
                <w:rFonts w:ascii="Times New Roman" w:hAnsi="Times New Roman" w:cs="Times New Roman"/>
                <w:sz w:val="21"/>
                <w:szCs w:val="21"/>
              </w:rPr>
            </w:pPr>
            <w:r>
              <w:rPr>
                <w:rFonts w:ascii="Times New Roman" w:hAnsi="Times New Roman" w:cs="Times New Roman"/>
                <w:w w:val="99"/>
                <w:sz w:val="21"/>
                <w:szCs w:val="21"/>
              </w:rPr>
              <w:t>—</w:t>
            </w:r>
          </w:p>
        </w:tc>
        <w:tc>
          <w:tcPr>
            <w:tcW w:w="684" w:type="dxa"/>
            <w:tcBorders>
              <w:top w:val="single" w:color="000000" w:sz="4" w:space="0"/>
              <w:left w:val="single" w:color="000000" w:sz="4" w:space="0"/>
              <w:bottom w:val="single" w:color="000000" w:sz="4" w:space="0"/>
              <w:right w:val="nil"/>
            </w:tcBorders>
          </w:tcPr>
          <w:p w14:paraId="37FCFA6C">
            <w:pPr>
              <w:pStyle w:val="281"/>
              <w:jc w:val="center"/>
              <w:rPr>
                <w:rFonts w:ascii="Times New Roman" w:hAnsi="Times New Roman" w:cs="Times New Roman"/>
                <w:sz w:val="21"/>
                <w:szCs w:val="21"/>
              </w:rPr>
            </w:pPr>
            <w:r>
              <w:rPr>
                <w:rFonts w:ascii="Times New Roman" w:hAnsi="Times New Roman" w:cs="Times New Roman"/>
                <w:w w:val="99"/>
                <w:sz w:val="21"/>
                <w:szCs w:val="21"/>
              </w:rPr>
              <w:t>—</w:t>
            </w:r>
          </w:p>
        </w:tc>
      </w:tr>
      <w:tr w14:paraId="783CD6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jc w:val="center"/>
        </w:trPr>
        <w:tc>
          <w:tcPr>
            <w:tcW w:w="8528" w:type="dxa"/>
            <w:gridSpan w:val="10"/>
            <w:tcBorders>
              <w:top w:val="single" w:color="000000" w:sz="4" w:space="0"/>
              <w:left w:val="nil"/>
              <w:right w:val="nil"/>
            </w:tcBorders>
          </w:tcPr>
          <w:p w14:paraId="2FBD8F70">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注：”—”表示可不开展土壤环境影响评价工作。</w:t>
            </w:r>
          </w:p>
        </w:tc>
      </w:tr>
    </w:tbl>
    <w:p w14:paraId="4D040F50">
      <w:pPr>
        <w:adjustRightInd w:val="0"/>
        <w:snapToGrid w:val="0"/>
        <w:spacing w:line="360" w:lineRule="auto"/>
        <w:ind w:firstLine="480" w:firstLineChars="200"/>
        <w:rPr>
          <w:color w:val="000000" w:themeColor="text1"/>
          <w:sz w:val="24"/>
        </w:rPr>
      </w:pPr>
      <w:r>
        <w:rPr>
          <w:color w:val="000000" w:themeColor="text1"/>
          <w:sz w:val="24"/>
        </w:rPr>
        <w:t>根据《环境影响评价技术导则 土壤环境（试行）》（HJ964-2018），项目</w:t>
      </w:r>
      <w:r>
        <w:rPr>
          <w:rFonts w:hint="eastAsia"/>
          <w:color w:val="000000" w:themeColor="text1"/>
          <w:sz w:val="24"/>
          <w:lang w:eastAsia="zh-CN"/>
        </w:rPr>
        <w:t>为</w:t>
      </w:r>
      <w:r>
        <w:rPr>
          <w:color w:val="000000" w:themeColor="text1"/>
          <w:sz w:val="24"/>
        </w:rPr>
        <w:t>III类项目，总占地面积为1.33hm</w:t>
      </w:r>
      <w:r>
        <w:rPr>
          <w:color w:val="000000" w:themeColor="text1"/>
          <w:sz w:val="24"/>
          <w:vertAlign w:val="superscript"/>
        </w:rPr>
        <w:t>2</w:t>
      </w:r>
      <w:r>
        <w:rPr>
          <w:color w:val="000000" w:themeColor="text1"/>
          <w:sz w:val="24"/>
        </w:rPr>
        <w:t>，占地面积小于 5hm</w:t>
      </w:r>
      <w:r>
        <w:rPr>
          <w:color w:val="000000" w:themeColor="text1"/>
          <w:sz w:val="24"/>
          <w:vertAlign w:val="superscript"/>
        </w:rPr>
        <w:t>2</w:t>
      </w:r>
      <w:r>
        <w:rPr>
          <w:color w:val="000000" w:themeColor="text1"/>
          <w:sz w:val="24"/>
        </w:rPr>
        <w:t>，为小型；</w:t>
      </w:r>
    </w:p>
    <w:p w14:paraId="379D460F">
      <w:pPr>
        <w:adjustRightInd w:val="0"/>
        <w:snapToGrid w:val="0"/>
        <w:spacing w:line="360" w:lineRule="auto"/>
        <w:ind w:firstLine="480" w:firstLineChars="200"/>
        <w:rPr>
          <w:color w:val="000000" w:themeColor="text1"/>
          <w:sz w:val="24"/>
        </w:rPr>
      </w:pPr>
      <w:r>
        <w:rPr>
          <w:color w:val="000000" w:themeColor="text1"/>
          <w:sz w:val="24"/>
        </w:rPr>
        <w:t>根据表1.5-6及大气预测结果，本项目颗粒物及非甲烷总烃最大落地距离为152m，项目300m范围内周边无耕地、园地、牧草地、饮用水水源地或居民区、学校、医院；疗养院、养老院等土壤环境敏感目标；</w:t>
      </w:r>
    </w:p>
    <w:p w14:paraId="5119307A">
      <w:pPr>
        <w:adjustRightInd w:val="0"/>
        <w:snapToGrid w:val="0"/>
        <w:spacing w:line="360" w:lineRule="auto"/>
        <w:ind w:firstLine="480" w:firstLineChars="200"/>
        <w:rPr>
          <w:color w:val="000000" w:themeColor="text1"/>
          <w:sz w:val="24"/>
        </w:rPr>
      </w:pPr>
      <w:r>
        <w:rPr>
          <w:color w:val="000000" w:themeColor="text1"/>
          <w:sz w:val="24"/>
        </w:rPr>
        <w:t>综上，项目土壤敏感程度为不敏感。结合表 1.5-7，项目土壤环境评价等级设置为不开展土壤环境影响评价工作。</w:t>
      </w:r>
    </w:p>
    <w:p w14:paraId="20CA2868">
      <w:pPr>
        <w:pStyle w:val="105"/>
        <w:rPr>
          <w:rFonts w:cs="Times New Roman"/>
          <w:color w:val="000000" w:themeColor="text1"/>
        </w:rPr>
      </w:pPr>
      <w:r>
        <w:rPr>
          <w:rFonts w:cs="Times New Roman"/>
          <w:color w:val="000000" w:themeColor="text1"/>
        </w:rPr>
        <w:t>1.5.2评价重点</w:t>
      </w:r>
      <w:bookmarkEnd w:id="106"/>
      <w:bookmarkEnd w:id="107"/>
    </w:p>
    <w:p w14:paraId="53B2DA48">
      <w:pPr>
        <w:spacing w:line="360" w:lineRule="auto"/>
        <w:ind w:firstLine="480" w:firstLineChars="200"/>
        <w:jc w:val="left"/>
        <w:rPr>
          <w:rFonts w:eastAsiaTheme="minorEastAsia"/>
          <w:color w:val="000000" w:themeColor="text1"/>
          <w:kern w:val="0"/>
          <w:sz w:val="24"/>
          <w:szCs w:val="22"/>
        </w:rPr>
      </w:pPr>
      <w:r>
        <w:rPr>
          <w:rFonts w:eastAsiaTheme="minorEastAsia"/>
          <w:color w:val="000000" w:themeColor="text1"/>
          <w:kern w:val="0"/>
          <w:sz w:val="24"/>
          <w:szCs w:val="22"/>
        </w:rPr>
        <w:t>本次评价主要工作重点为：</w:t>
      </w:r>
    </w:p>
    <w:p w14:paraId="6898C638">
      <w:pPr>
        <w:spacing w:line="360" w:lineRule="auto"/>
        <w:ind w:firstLine="480" w:firstLineChars="200"/>
        <w:jc w:val="left"/>
        <w:rPr>
          <w:rFonts w:eastAsiaTheme="minorEastAsia"/>
          <w:color w:val="000000" w:themeColor="text1"/>
          <w:kern w:val="0"/>
          <w:sz w:val="24"/>
          <w:szCs w:val="22"/>
        </w:rPr>
      </w:pPr>
      <w:r>
        <w:rPr>
          <w:rFonts w:eastAsiaTheme="minorEastAsia"/>
          <w:color w:val="000000" w:themeColor="text1"/>
          <w:kern w:val="0"/>
          <w:sz w:val="24"/>
          <w:szCs w:val="22"/>
        </w:rPr>
        <w:t>（1）分析项目建设与行业准入及产业政策的符合性；</w:t>
      </w:r>
    </w:p>
    <w:p w14:paraId="3EDFE26C">
      <w:pPr>
        <w:spacing w:line="360" w:lineRule="auto"/>
        <w:ind w:firstLine="480" w:firstLineChars="200"/>
        <w:jc w:val="left"/>
        <w:rPr>
          <w:rFonts w:eastAsiaTheme="minorEastAsia"/>
          <w:color w:val="000000" w:themeColor="text1"/>
          <w:kern w:val="0"/>
          <w:sz w:val="24"/>
          <w:szCs w:val="22"/>
        </w:rPr>
      </w:pPr>
      <w:r>
        <w:rPr>
          <w:rFonts w:eastAsiaTheme="minorEastAsia"/>
          <w:color w:val="000000" w:themeColor="text1"/>
          <w:kern w:val="0"/>
          <w:sz w:val="24"/>
          <w:szCs w:val="22"/>
        </w:rPr>
        <w:t>（2）对拟建项目进行工程分析，确定产污节点和污染源源强；</w:t>
      </w:r>
    </w:p>
    <w:p w14:paraId="27850065">
      <w:pPr>
        <w:spacing w:line="360" w:lineRule="auto"/>
        <w:ind w:firstLine="480" w:firstLineChars="200"/>
        <w:jc w:val="left"/>
        <w:rPr>
          <w:rFonts w:eastAsiaTheme="minorEastAsia"/>
          <w:color w:val="000000" w:themeColor="text1"/>
          <w:kern w:val="0"/>
          <w:sz w:val="24"/>
          <w:szCs w:val="22"/>
        </w:rPr>
      </w:pPr>
      <w:r>
        <w:rPr>
          <w:rFonts w:eastAsiaTheme="minorEastAsia"/>
          <w:color w:val="000000" w:themeColor="text1"/>
          <w:kern w:val="0"/>
          <w:sz w:val="24"/>
          <w:szCs w:val="22"/>
        </w:rPr>
        <w:t>（3）评价项目排放的污染物对周围环境的影响是否处于可接受水平；</w:t>
      </w:r>
    </w:p>
    <w:p w14:paraId="584B0D53">
      <w:pPr>
        <w:spacing w:line="360" w:lineRule="auto"/>
        <w:ind w:firstLine="480" w:firstLineChars="200"/>
        <w:jc w:val="left"/>
        <w:rPr>
          <w:rFonts w:eastAsiaTheme="minorEastAsia"/>
          <w:color w:val="000000" w:themeColor="text1"/>
          <w:kern w:val="0"/>
          <w:sz w:val="24"/>
          <w:szCs w:val="22"/>
        </w:rPr>
      </w:pPr>
      <w:r>
        <w:rPr>
          <w:rFonts w:eastAsiaTheme="minorEastAsia"/>
          <w:color w:val="000000" w:themeColor="text1"/>
          <w:kern w:val="0"/>
          <w:sz w:val="24"/>
          <w:szCs w:val="22"/>
        </w:rPr>
        <w:t>（4）论证污染防治措施的技术可行性和经济合理性。</w:t>
      </w:r>
    </w:p>
    <w:p w14:paraId="7CC0EB7E">
      <w:pPr>
        <w:pStyle w:val="4"/>
        <w:rPr>
          <w:rFonts w:ascii="Times New Roman" w:hAnsi="Times New Roman"/>
          <w:color w:val="000000" w:themeColor="text1"/>
        </w:rPr>
      </w:pPr>
      <w:bookmarkStart w:id="108" w:name="_Toc28117680"/>
      <w:r>
        <w:rPr>
          <w:rFonts w:ascii="Times New Roman" w:hAnsi="Times New Roman"/>
          <w:color w:val="000000" w:themeColor="text1"/>
        </w:rPr>
        <w:t>1.6评价范围和评价时段</w:t>
      </w:r>
      <w:bookmarkEnd w:id="108"/>
    </w:p>
    <w:p w14:paraId="00AEB540">
      <w:pPr>
        <w:pStyle w:val="105"/>
        <w:rPr>
          <w:rFonts w:cs="Times New Roman"/>
          <w:color w:val="000000" w:themeColor="text1"/>
        </w:rPr>
      </w:pPr>
      <w:bookmarkStart w:id="109" w:name="_Toc362393094"/>
      <w:r>
        <w:rPr>
          <w:rFonts w:cs="Times New Roman"/>
          <w:color w:val="000000" w:themeColor="text1"/>
        </w:rPr>
        <w:t>1.6.1评价范围</w:t>
      </w:r>
      <w:bookmarkEnd w:id="109"/>
    </w:p>
    <w:p w14:paraId="53D1D1AD">
      <w:pPr>
        <w:spacing w:line="360" w:lineRule="auto"/>
        <w:ind w:firstLine="480" w:firstLineChars="200"/>
        <w:rPr>
          <w:b/>
          <w:color w:val="000000" w:themeColor="text1"/>
          <w:sz w:val="24"/>
        </w:rPr>
      </w:pPr>
      <w:r>
        <w:rPr>
          <w:b/>
          <w:color w:val="000000" w:themeColor="text1"/>
          <w:sz w:val="24"/>
        </w:rPr>
        <w:t>1、大气环境影响评价范围</w:t>
      </w:r>
    </w:p>
    <w:p w14:paraId="6F38CA1F">
      <w:pPr>
        <w:spacing w:line="360" w:lineRule="auto"/>
        <w:ind w:firstLine="480" w:firstLineChars="200"/>
        <w:jc w:val="left"/>
        <w:rPr>
          <w:color w:val="FF0000"/>
          <w:sz w:val="24"/>
        </w:rPr>
      </w:pPr>
      <w:r>
        <w:rPr>
          <w:color w:val="FF0000"/>
          <w:sz w:val="24"/>
        </w:rPr>
        <w:t>本项目大气评价等级为二级，根据《环境影响评价的技术导则-大气环境》(HJ2.2-2018)，二级评价项目大气环境影响评价范围边长取 5 km。</w:t>
      </w:r>
    </w:p>
    <w:p w14:paraId="698F2EB0">
      <w:pPr>
        <w:spacing w:line="360" w:lineRule="auto"/>
        <w:ind w:firstLine="480" w:firstLineChars="200"/>
        <w:rPr>
          <w:color w:val="FF0000"/>
          <w:sz w:val="24"/>
        </w:rPr>
      </w:pPr>
      <w:r>
        <w:rPr>
          <w:color w:val="FF0000"/>
          <w:sz w:val="24"/>
        </w:rPr>
        <w:t>综上，本评价大气环境影响评价范围拟定为以项目区边界外延，边长为5km 的矩形范围。</w:t>
      </w:r>
    </w:p>
    <w:p w14:paraId="0D750A16">
      <w:pPr>
        <w:spacing w:line="360" w:lineRule="auto"/>
        <w:ind w:firstLine="480" w:firstLineChars="200"/>
        <w:rPr>
          <w:b/>
          <w:color w:val="000000" w:themeColor="text1"/>
          <w:sz w:val="24"/>
        </w:rPr>
      </w:pPr>
      <w:r>
        <w:rPr>
          <w:b/>
          <w:color w:val="000000" w:themeColor="text1"/>
          <w:sz w:val="24"/>
        </w:rPr>
        <w:t>2、地表水环境影响评价范围</w:t>
      </w:r>
    </w:p>
    <w:p w14:paraId="69C5206A">
      <w:pPr>
        <w:spacing w:line="360" w:lineRule="auto"/>
        <w:ind w:firstLine="480" w:firstLineChars="200"/>
        <w:rPr>
          <w:color w:val="000000" w:themeColor="text1"/>
          <w:sz w:val="24"/>
        </w:rPr>
      </w:pPr>
      <w:r>
        <w:rPr>
          <w:color w:val="000000" w:themeColor="text1"/>
          <w:sz w:val="24"/>
        </w:rPr>
        <w:t>项目废水不外排，因此本评价主要对生产废水依托污水处理设施（隔油池+沉淀池）处理后回用不外排可行性进行分析。</w:t>
      </w:r>
    </w:p>
    <w:p w14:paraId="5152F92D">
      <w:pPr>
        <w:spacing w:line="360" w:lineRule="auto"/>
        <w:ind w:firstLine="480" w:firstLineChars="200"/>
        <w:rPr>
          <w:b/>
          <w:color w:val="000000" w:themeColor="text1"/>
          <w:sz w:val="24"/>
        </w:rPr>
      </w:pPr>
      <w:r>
        <w:rPr>
          <w:b/>
          <w:color w:val="000000" w:themeColor="text1"/>
          <w:sz w:val="24"/>
        </w:rPr>
        <w:t>3、地下水环境影响评价范围</w:t>
      </w:r>
    </w:p>
    <w:p w14:paraId="434CDC2D">
      <w:pPr>
        <w:spacing w:line="360" w:lineRule="auto"/>
        <w:ind w:firstLine="480" w:firstLineChars="200"/>
        <w:jc w:val="left"/>
        <w:rPr>
          <w:sz w:val="24"/>
          <w:lang w:bidi="en-US"/>
        </w:rPr>
      </w:pPr>
      <w:r>
        <w:rPr>
          <w:sz w:val="24"/>
          <w:lang w:bidi="en-US"/>
        </w:rPr>
        <w:t>根据《环境影响评价技术导则 地下水环境》（HJ610-2016），地下水评价范围应包括与建设项目相关地下水环境保护目标，以能说明地下水环境现状，反映评价区地下水基本流场特征，满足地下水环境影响预测和评价为基本原则。评价范围可采用公式计算法、查表法和自定义法确定。</w:t>
      </w:r>
    </w:p>
    <w:p w14:paraId="6719A7DD">
      <w:pPr>
        <w:spacing w:line="360" w:lineRule="auto"/>
        <w:ind w:firstLine="480" w:firstLineChars="200"/>
        <w:jc w:val="left"/>
        <w:rPr>
          <w:color w:val="FF0000"/>
          <w:lang w:bidi="en-US"/>
        </w:rPr>
      </w:pPr>
      <w:r>
        <w:rPr>
          <w:color w:val="FF0000"/>
          <w:sz w:val="24"/>
          <w:lang w:bidi="en-US"/>
        </w:rPr>
        <w:t>本次评价范围采用自定义法进行确定，根据项目的排污特点及项目所在地水文地质条件评价范围为：</w:t>
      </w:r>
    </w:p>
    <w:p w14:paraId="674F064E">
      <w:pPr>
        <w:spacing w:line="360" w:lineRule="auto"/>
        <w:ind w:firstLine="480" w:firstLineChars="200"/>
        <w:jc w:val="left"/>
        <w:rPr>
          <w:color w:val="FF0000"/>
          <w:lang w:bidi="en-US"/>
        </w:rPr>
      </w:pPr>
      <w:r>
        <w:rPr>
          <w:color w:val="FF0000"/>
          <w:sz w:val="24"/>
          <w:lang w:bidi="en-US"/>
        </w:rPr>
        <w:t>北侧以芒市大河为界，南侧、西侧以山脊为界，东侧以低洼箐沟为界，详见附图6。</w:t>
      </w:r>
    </w:p>
    <w:p w14:paraId="6AA0D21A">
      <w:pPr>
        <w:spacing w:line="360" w:lineRule="auto"/>
        <w:ind w:firstLine="480" w:firstLineChars="200"/>
        <w:rPr>
          <w:b/>
          <w:color w:val="000000" w:themeColor="text1"/>
          <w:sz w:val="24"/>
        </w:rPr>
      </w:pPr>
      <w:r>
        <w:rPr>
          <w:b/>
          <w:color w:val="000000" w:themeColor="text1"/>
          <w:sz w:val="24"/>
        </w:rPr>
        <w:t>4、声环境影响评价范围</w:t>
      </w:r>
    </w:p>
    <w:p w14:paraId="4652CFF4">
      <w:pPr>
        <w:spacing w:line="360" w:lineRule="auto"/>
        <w:ind w:firstLine="480" w:firstLineChars="200"/>
        <w:rPr>
          <w:color w:val="000000" w:themeColor="text1"/>
          <w:sz w:val="24"/>
        </w:rPr>
      </w:pPr>
      <w:r>
        <w:rPr>
          <w:color w:val="000000" w:themeColor="text1"/>
          <w:sz w:val="24"/>
        </w:rPr>
        <w:t>本评价声环境评价等级为二级，根据HJ2.4-2009《环境影响评价技术导则－声环境》，结合项目的主要噪声源分布和周边声环境敏感点情况，声环境影响评价范围拟定为厂界外延</w:t>
      </w:r>
      <w:r>
        <w:rPr>
          <w:color w:val="FF0000"/>
          <w:sz w:val="24"/>
        </w:rPr>
        <w:t>200m范围。</w:t>
      </w:r>
    </w:p>
    <w:p w14:paraId="09C4369B">
      <w:pPr>
        <w:spacing w:line="360" w:lineRule="auto"/>
        <w:ind w:firstLine="480" w:firstLineChars="200"/>
        <w:rPr>
          <w:b/>
          <w:color w:val="000000" w:themeColor="text1"/>
          <w:sz w:val="24"/>
        </w:rPr>
      </w:pPr>
      <w:r>
        <w:rPr>
          <w:b/>
          <w:color w:val="000000" w:themeColor="text1"/>
          <w:sz w:val="24"/>
        </w:rPr>
        <w:t>5、生态环境影响评价范围</w:t>
      </w:r>
    </w:p>
    <w:p w14:paraId="3C2AEC97">
      <w:pPr>
        <w:spacing w:line="360" w:lineRule="auto"/>
        <w:ind w:firstLine="480" w:firstLineChars="200"/>
        <w:rPr>
          <w:color w:val="000000" w:themeColor="text1"/>
          <w:sz w:val="24"/>
        </w:rPr>
      </w:pPr>
      <w:r>
        <w:rPr>
          <w:color w:val="000000" w:themeColor="text1"/>
          <w:sz w:val="24"/>
        </w:rPr>
        <w:t>项目选址位于云南省德宏州芒市遮放镇户拉村委会遮焕村民小组盛达泰硅业厂区内，生态环境影响评价工作等级为三级，生态环境影响评价范围拟定为厂界外延</w:t>
      </w:r>
      <w:r>
        <w:rPr>
          <w:color w:val="FF0000"/>
          <w:sz w:val="24"/>
        </w:rPr>
        <w:t>200m范围。</w:t>
      </w:r>
    </w:p>
    <w:p w14:paraId="6F91F9A7">
      <w:pPr>
        <w:spacing w:line="360" w:lineRule="auto"/>
        <w:ind w:firstLine="480" w:firstLineChars="200"/>
        <w:rPr>
          <w:b/>
          <w:color w:val="000000" w:themeColor="text1"/>
          <w:sz w:val="24"/>
        </w:rPr>
      </w:pPr>
      <w:r>
        <w:rPr>
          <w:b/>
          <w:color w:val="000000" w:themeColor="text1"/>
          <w:sz w:val="24"/>
        </w:rPr>
        <w:t>6、环境风险评价范围</w:t>
      </w:r>
    </w:p>
    <w:p w14:paraId="1AF24AC0">
      <w:pPr>
        <w:adjustRightInd w:val="0"/>
        <w:snapToGrid w:val="0"/>
        <w:spacing w:line="360" w:lineRule="auto"/>
        <w:ind w:firstLine="480" w:firstLineChars="200"/>
        <w:rPr>
          <w:color w:val="000000" w:themeColor="text1"/>
          <w:sz w:val="24"/>
        </w:rPr>
      </w:pPr>
      <w:r>
        <w:rPr>
          <w:color w:val="000000" w:themeColor="text1"/>
          <w:sz w:val="24"/>
        </w:rPr>
        <w:t>根据《建设项目环境风险评价技术导则》（HJ/T169-2018），本项目环境风险评价工作等级为简单分析，不设评价范围；按照风险评价技术导则进行风险识别、源项分析和对事故影响进行简要分析，提出防范、减缓和应急措施。</w:t>
      </w:r>
    </w:p>
    <w:p w14:paraId="3AD7A064">
      <w:pPr>
        <w:pStyle w:val="105"/>
        <w:rPr>
          <w:rFonts w:cs="Times New Roman"/>
          <w:color w:val="000000" w:themeColor="text1"/>
        </w:rPr>
      </w:pPr>
      <w:bookmarkStart w:id="110" w:name="_Toc362393095"/>
      <w:r>
        <w:rPr>
          <w:rFonts w:cs="Times New Roman"/>
          <w:color w:val="000000" w:themeColor="text1"/>
        </w:rPr>
        <w:t>1.6.2评价时段</w:t>
      </w:r>
      <w:bookmarkEnd w:id="110"/>
    </w:p>
    <w:p w14:paraId="0AE1D189">
      <w:pPr>
        <w:pStyle w:val="57"/>
        <w:ind w:firstLine="480"/>
        <w:rPr>
          <w:color w:val="000000" w:themeColor="text1"/>
          <w:szCs w:val="24"/>
        </w:rPr>
      </w:pPr>
      <w:r>
        <w:rPr>
          <w:color w:val="000000" w:themeColor="text1"/>
          <w:szCs w:val="24"/>
        </w:rPr>
        <w:t>本项目评价时段分为施工期及运营期，评价时段重点为运营期。</w:t>
      </w:r>
    </w:p>
    <w:bookmarkEnd w:id="99"/>
    <w:bookmarkEnd w:id="100"/>
    <w:bookmarkEnd w:id="101"/>
    <w:bookmarkEnd w:id="102"/>
    <w:bookmarkEnd w:id="103"/>
    <w:bookmarkEnd w:id="104"/>
    <w:bookmarkEnd w:id="105"/>
    <w:p w14:paraId="1A9F9E90">
      <w:pPr>
        <w:pStyle w:val="4"/>
        <w:rPr>
          <w:rFonts w:ascii="Times New Roman" w:hAnsi="Times New Roman"/>
          <w:color w:val="000000" w:themeColor="text1"/>
        </w:rPr>
      </w:pPr>
      <w:bookmarkStart w:id="111" w:name="_Toc28117681"/>
      <w:r>
        <w:rPr>
          <w:rFonts w:ascii="Times New Roman" w:hAnsi="Times New Roman"/>
          <w:color w:val="000000" w:themeColor="text1"/>
        </w:rPr>
        <w:t>1.7环境保护目标</w:t>
      </w:r>
      <w:bookmarkEnd w:id="111"/>
    </w:p>
    <w:p w14:paraId="635BDC2D">
      <w:pPr>
        <w:spacing w:line="500" w:lineRule="exact"/>
        <w:ind w:firstLine="480" w:firstLineChars="200"/>
        <w:jc w:val="left"/>
        <w:rPr>
          <w:color w:val="000000" w:themeColor="text1"/>
          <w:sz w:val="24"/>
        </w:rPr>
      </w:pPr>
      <w:r>
        <w:rPr>
          <w:color w:val="000000" w:themeColor="text1"/>
          <w:sz w:val="24"/>
        </w:rPr>
        <w:t>主要的环境保护目标为区域周边的居住区等敏感目标，执行GB3095-2012《环境空气质量标准》二级标准，声评价范围内无保护目标。</w:t>
      </w:r>
    </w:p>
    <w:p w14:paraId="2E60D973">
      <w:pPr>
        <w:tabs>
          <w:tab w:val="left" w:pos="8160"/>
        </w:tabs>
        <w:spacing w:line="500" w:lineRule="exact"/>
        <w:ind w:firstLine="480" w:firstLineChars="200"/>
        <w:jc w:val="left"/>
        <w:rPr>
          <w:color w:val="000000" w:themeColor="text1"/>
          <w:sz w:val="24"/>
        </w:rPr>
      </w:pPr>
      <w:r>
        <w:rPr>
          <w:color w:val="000000" w:themeColor="text1"/>
          <w:sz w:val="24"/>
        </w:rPr>
        <w:t>环境保护目标分布见图1，表1.7-1。</w:t>
      </w:r>
    </w:p>
    <w:p w14:paraId="2AD43B49">
      <w:pPr>
        <w:tabs>
          <w:tab w:val="left" w:pos="8160"/>
        </w:tabs>
        <w:jc w:val="center"/>
        <w:rPr>
          <w:b/>
          <w:color w:val="FF0000"/>
          <w:sz w:val="24"/>
        </w:rPr>
      </w:pPr>
      <w:r>
        <w:rPr>
          <w:b/>
          <w:color w:val="FF0000"/>
          <w:sz w:val="24"/>
        </w:rPr>
        <w:t>表1.7-1   大气、地表水环境保护目标一览表</w:t>
      </w:r>
    </w:p>
    <w:tbl>
      <w:tblPr>
        <w:tblStyle w:val="42"/>
        <w:tblW w:w="0" w:type="auto"/>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053"/>
        <w:gridCol w:w="1340"/>
        <w:gridCol w:w="1193"/>
        <w:gridCol w:w="968"/>
        <w:gridCol w:w="850"/>
        <w:gridCol w:w="1134"/>
        <w:gridCol w:w="1474"/>
      </w:tblGrid>
      <w:tr w14:paraId="2FDC0DB8">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4" w:type="dxa"/>
            <w:vMerge w:val="restart"/>
            <w:vAlign w:val="center"/>
          </w:tcPr>
          <w:p w14:paraId="2D14F172">
            <w:pPr>
              <w:jc w:val="center"/>
              <w:rPr>
                <w:rFonts w:eastAsiaTheme="minorEastAsia"/>
                <w:b/>
                <w:color w:val="000000" w:themeColor="text1"/>
                <w:szCs w:val="22"/>
                <w:lang w:val="zh-CN"/>
              </w:rPr>
            </w:pPr>
            <w:r>
              <w:rPr>
                <w:rFonts w:eastAsiaTheme="minorEastAsia"/>
                <w:b/>
                <w:color w:val="000000" w:themeColor="text1"/>
                <w:szCs w:val="22"/>
                <w:lang w:val="zh-CN"/>
              </w:rPr>
              <w:t>环境要素</w:t>
            </w:r>
          </w:p>
        </w:tc>
        <w:tc>
          <w:tcPr>
            <w:tcW w:w="1053" w:type="dxa"/>
            <w:vMerge w:val="restart"/>
            <w:shd w:val="clear" w:color="auto" w:fill="auto"/>
            <w:vAlign w:val="center"/>
          </w:tcPr>
          <w:p w14:paraId="7DF444AF">
            <w:pPr>
              <w:jc w:val="center"/>
              <w:rPr>
                <w:rFonts w:eastAsiaTheme="minorEastAsia"/>
                <w:b/>
                <w:color w:val="000000" w:themeColor="text1"/>
                <w:szCs w:val="22"/>
                <w:lang w:val="zh-CN"/>
              </w:rPr>
            </w:pPr>
            <w:r>
              <w:rPr>
                <w:rFonts w:eastAsiaTheme="minorEastAsia"/>
                <w:b/>
                <w:color w:val="000000" w:themeColor="text1"/>
                <w:szCs w:val="22"/>
                <w:lang w:val="zh-CN"/>
              </w:rPr>
              <w:t>保护目标</w:t>
            </w:r>
          </w:p>
        </w:tc>
        <w:tc>
          <w:tcPr>
            <w:tcW w:w="2533" w:type="dxa"/>
            <w:gridSpan w:val="2"/>
            <w:tcBorders>
              <w:bottom w:val="single" w:color="auto" w:sz="4" w:space="0"/>
            </w:tcBorders>
            <w:vAlign w:val="center"/>
          </w:tcPr>
          <w:p w14:paraId="482F19A4">
            <w:pPr>
              <w:jc w:val="center"/>
              <w:rPr>
                <w:rFonts w:eastAsiaTheme="minorEastAsia"/>
                <w:b/>
                <w:color w:val="000000" w:themeColor="text1"/>
                <w:szCs w:val="22"/>
                <w:lang w:val="zh-CN"/>
              </w:rPr>
            </w:pPr>
            <w:r>
              <w:rPr>
                <w:rFonts w:eastAsiaTheme="minorEastAsia"/>
                <w:b/>
                <w:color w:val="000000" w:themeColor="text1"/>
                <w:szCs w:val="22"/>
                <w:lang w:val="zh-CN"/>
              </w:rPr>
              <w:t>坐标</w:t>
            </w:r>
          </w:p>
        </w:tc>
        <w:tc>
          <w:tcPr>
            <w:tcW w:w="968" w:type="dxa"/>
            <w:vMerge w:val="restart"/>
            <w:shd w:val="clear" w:color="auto" w:fill="auto"/>
            <w:vAlign w:val="center"/>
          </w:tcPr>
          <w:p w14:paraId="58CDFA36">
            <w:pPr>
              <w:jc w:val="center"/>
              <w:rPr>
                <w:rFonts w:eastAsiaTheme="minorEastAsia"/>
                <w:b/>
                <w:color w:val="000000" w:themeColor="text1"/>
                <w:szCs w:val="22"/>
                <w:lang w:val="zh-CN"/>
              </w:rPr>
            </w:pPr>
            <w:r>
              <w:rPr>
                <w:rFonts w:eastAsiaTheme="minorEastAsia"/>
                <w:b/>
                <w:color w:val="000000" w:themeColor="text1"/>
                <w:szCs w:val="22"/>
                <w:lang w:val="zh-CN"/>
              </w:rPr>
              <w:t>方位</w:t>
            </w:r>
          </w:p>
        </w:tc>
        <w:tc>
          <w:tcPr>
            <w:tcW w:w="850" w:type="dxa"/>
            <w:vMerge w:val="restart"/>
            <w:shd w:val="clear" w:color="auto" w:fill="auto"/>
            <w:vAlign w:val="center"/>
          </w:tcPr>
          <w:p w14:paraId="277A71FB">
            <w:pPr>
              <w:jc w:val="center"/>
              <w:rPr>
                <w:rFonts w:eastAsiaTheme="minorEastAsia"/>
                <w:b/>
                <w:color w:val="000000" w:themeColor="text1"/>
                <w:szCs w:val="22"/>
                <w:lang w:val="zh-CN"/>
              </w:rPr>
            </w:pPr>
            <w:r>
              <w:rPr>
                <w:rFonts w:eastAsiaTheme="minorEastAsia"/>
                <w:b/>
                <w:color w:val="000000" w:themeColor="text1"/>
                <w:szCs w:val="22"/>
                <w:lang w:val="zh-CN"/>
              </w:rPr>
              <w:t>距离m</w:t>
            </w:r>
          </w:p>
        </w:tc>
        <w:tc>
          <w:tcPr>
            <w:tcW w:w="1134" w:type="dxa"/>
            <w:vMerge w:val="restart"/>
            <w:vAlign w:val="center"/>
          </w:tcPr>
          <w:p w14:paraId="747C731B">
            <w:pPr>
              <w:jc w:val="center"/>
              <w:rPr>
                <w:rFonts w:eastAsiaTheme="minorEastAsia"/>
                <w:color w:val="000000" w:themeColor="text1"/>
                <w:szCs w:val="22"/>
                <w:lang w:val="zh-CN"/>
              </w:rPr>
            </w:pPr>
            <w:r>
              <w:rPr>
                <w:b/>
                <w:color w:val="000000" w:themeColor="text1"/>
                <w:szCs w:val="21"/>
              </w:rPr>
              <w:t>基本特征</w:t>
            </w:r>
          </w:p>
        </w:tc>
        <w:tc>
          <w:tcPr>
            <w:tcW w:w="1474" w:type="dxa"/>
            <w:vMerge w:val="restart"/>
            <w:vAlign w:val="center"/>
          </w:tcPr>
          <w:p w14:paraId="5B9F67C1">
            <w:pPr>
              <w:jc w:val="center"/>
              <w:rPr>
                <w:rFonts w:eastAsiaTheme="minorEastAsia"/>
                <w:color w:val="000000" w:themeColor="text1"/>
                <w:szCs w:val="22"/>
                <w:lang w:val="zh-CN"/>
              </w:rPr>
            </w:pPr>
            <w:r>
              <w:rPr>
                <w:b/>
                <w:color w:val="000000" w:themeColor="text1"/>
                <w:szCs w:val="21"/>
              </w:rPr>
              <w:t>执行环境标准</w:t>
            </w:r>
          </w:p>
        </w:tc>
      </w:tr>
      <w:tr w14:paraId="0060E3BB">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34" w:type="dxa"/>
            <w:vMerge w:val="continue"/>
            <w:vAlign w:val="center"/>
          </w:tcPr>
          <w:p w14:paraId="15568C36">
            <w:pPr>
              <w:jc w:val="center"/>
              <w:rPr>
                <w:rFonts w:eastAsiaTheme="minorEastAsia"/>
                <w:b/>
                <w:color w:val="000000" w:themeColor="text1"/>
                <w:szCs w:val="22"/>
                <w:lang w:val="zh-CN"/>
              </w:rPr>
            </w:pPr>
          </w:p>
        </w:tc>
        <w:tc>
          <w:tcPr>
            <w:tcW w:w="1053" w:type="dxa"/>
            <w:vMerge w:val="continue"/>
            <w:shd w:val="clear" w:color="auto" w:fill="auto"/>
            <w:vAlign w:val="center"/>
          </w:tcPr>
          <w:p w14:paraId="33C1F92E">
            <w:pPr>
              <w:jc w:val="center"/>
              <w:rPr>
                <w:rFonts w:eastAsiaTheme="minorEastAsia"/>
                <w:b/>
                <w:color w:val="000000" w:themeColor="text1"/>
                <w:szCs w:val="22"/>
                <w:lang w:val="zh-CN"/>
              </w:rPr>
            </w:pPr>
          </w:p>
        </w:tc>
        <w:tc>
          <w:tcPr>
            <w:tcW w:w="1340" w:type="dxa"/>
            <w:tcBorders>
              <w:top w:val="single" w:color="auto" w:sz="4" w:space="0"/>
            </w:tcBorders>
            <w:vAlign w:val="center"/>
          </w:tcPr>
          <w:p w14:paraId="3E491496">
            <w:pPr>
              <w:jc w:val="center"/>
              <w:rPr>
                <w:rFonts w:eastAsiaTheme="minorEastAsia"/>
                <w:b/>
                <w:color w:val="000000" w:themeColor="text1"/>
                <w:szCs w:val="22"/>
                <w:lang w:val="zh-CN"/>
              </w:rPr>
            </w:pPr>
            <w:r>
              <w:rPr>
                <w:rFonts w:eastAsiaTheme="minorEastAsia"/>
                <w:b/>
                <w:color w:val="000000" w:themeColor="text1"/>
                <w:szCs w:val="22"/>
                <w:lang w:val="zh-CN"/>
              </w:rPr>
              <w:t>经度</w:t>
            </w:r>
          </w:p>
        </w:tc>
        <w:tc>
          <w:tcPr>
            <w:tcW w:w="1193" w:type="dxa"/>
            <w:tcBorders>
              <w:top w:val="single" w:color="auto" w:sz="4" w:space="0"/>
            </w:tcBorders>
            <w:vAlign w:val="center"/>
          </w:tcPr>
          <w:p w14:paraId="7DC31E65">
            <w:pPr>
              <w:jc w:val="center"/>
              <w:rPr>
                <w:rFonts w:eastAsiaTheme="minorEastAsia"/>
                <w:b/>
                <w:color w:val="FF0000"/>
                <w:szCs w:val="22"/>
                <w:lang w:val="zh-CN"/>
              </w:rPr>
            </w:pPr>
            <w:r>
              <w:rPr>
                <w:rFonts w:eastAsiaTheme="minorEastAsia"/>
                <w:b/>
                <w:color w:val="FF0000"/>
                <w:szCs w:val="22"/>
                <w:lang w:val="zh-CN"/>
              </w:rPr>
              <w:t>纬度</w:t>
            </w:r>
          </w:p>
        </w:tc>
        <w:tc>
          <w:tcPr>
            <w:tcW w:w="968" w:type="dxa"/>
            <w:vMerge w:val="continue"/>
            <w:shd w:val="clear" w:color="auto" w:fill="auto"/>
            <w:vAlign w:val="center"/>
          </w:tcPr>
          <w:p w14:paraId="220C45FB">
            <w:pPr>
              <w:jc w:val="center"/>
              <w:rPr>
                <w:rFonts w:eastAsiaTheme="minorEastAsia"/>
                <w:b/>
                <w:color w:val="000000" w:themeColor="text1"/>
                <w:szCs w:val="22"/>
                <w:lang w:val="zh-CN"/>
              </w:rPr>
            </w:pPr>
          </w:p>
        </w:tc>
        <w:tc>
          <w:tcPr>
            <w:tcW w:w="850" w:type="dxa"/>
            <w:vMerge w:val="continue"/>
            <w:shd w:val="clear" w:color="auto" w:fill="auto"/>
            <w:vAlign w:val="center"/>
          </w:tcPr>
          <w:p w14:paraId="16A80EFC">
            <w:pPr>
              <w:jc w:val="center"/>
              <w:rPr>
                <w:rFonts w:eastAsiaTheme="minorEastAsia"/>
                <w:b/>
                <w:color w:val="000000" w:themeColor="text1"/>
                <w:szCs w:val="22"/>
                <w:lang w:val="zh-CN"/>
              </w:rPr>
            </w:pPr>
          </w:p>
        </w:tc>
        <w:tc>
          <w:tcPr>
            <w:tcW w:w="1134" w:type="dxa"/>
            <w:vMerge w:val="continue"/>
            <w:vAlign w:val="center"/>
          </w:tcPr>
          <w:p w14:paraId="18763EAB">
            <w:pPr>
              <w:jc w:val="center"/>
              <w:rPr>
                <w:b/>
                <w:color w:val="000000" w:themeColor="text1"/>
                <w:szCs w:val="21"/>
              </w:rPr>
            </w:pPr>
          </w:p>
        </w:tc>
        <w:tc>
          <w:tcPr>
            <w:tcW w:w="1474" w:type="dxa"/>
            <w:vMerge w:val="continue"/>
            <w:vAlign w:val="center"/>
          </w:tcPr>
          <w:p w14:paraId="15A7D8CE">
            <w:pPr>
              <w:jc w:val="center"/>
              <w:rPr>
                <w:b/>
                <w:color w:val="000000" w:themeColor="text1"/>
                <w:szCs w:val="21"/>
              </w:rPr>
            </w:pPr>
          </w:p>
        </w:tc>
      </w:tr>
      <w:tr w14:paraId="008BD08F">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dxa"/>
            <w:vMerge w:val="restart"/>
            <w:vAlign w:val="center"/>
          </w:tcPr>
          <w:p w14:paraId="7196BD71">
            <w:pPr>
              <w:jc w:val="center"/>
              <w:rPr>
                <w:rFonts w:eastAsiaTheme="minorEastAsia"/>
                <w:b/>
                <w:color w:val="000000" w:themeColor="text1"/>
                <w:szCs w:val="22"/>
                <w:lang w:val="zh-CN"/>
              </w:rPr>
            </w:pPr>
            <w:r>
              <w:rPr>
                <w:rFonts w:eastAsiaTheme="minorEastAsia"/>
                <w:b/>
                <w:color w:val="000000" w:themeColor="text1"/>
                <w:szCs w:val="22"/>
                <w:lang w:val="zh-CN"/>
              </w:rPr>
              <w:t>大气环境</w:t>
            </w:r>
          </w:p>
        </w:tc>
        <w:tc>
          <w:tcPr>
            <w:tcW w:w="1053" w:type="dxa"/>
            <w:shd w:val="clear" w:color="auto" w:fill="auto"/>
            <w:vAlign w:val="center"/>
          </w:tcPr>
          <w:p w14:paraId="2782C18D">
            <w:pPr>
              <w:autoSpaceDE w:val="0"/>
              <w:autoSpaceDN w:val="0"/>
              <w:adjustRightInd w:val="0"/>
              <w:jc w:val="center"/>
              <w:rPr>
                <w:bCs/>
                <w:color w:val="000000" w:themeColor="text1"/>
                <w:spacing w:val="-2"/>
                <w:kern w:val="0"/>
                <w:szCs w:val="21"/>
                <w:lang w:bidi="ar"/>
              </w:rPr>
            </w:pPr>
            <w:r>
              <w:rPr>
                <w:bCs/>
                <w:color w:val="000000" w:themeColor="text1"/>
                <w:spacing w:val="-2"/>
                <w:kern w:val="0"/>
                <w:szCs w:val="21"/>
                <w:lang w:bidi="ar"/>
              </w:rPr>
              <w:t>排鲁村</w:t>
            </w:r>
          </w:p>
        </w:tc>
        <w:tc>
          <w:tcPr>
            <w:tcW w:w="1340" w:type="dxa"/>
            <w:vAlign w:val="center"/>
          </w:tcPr>
          <w:p w14:paraId="0B4FD023">
            <w:pPr>
              <w:widowControl/>
              <w:jc w:val="center"/>
              <w:rPr>
                <w:rFonts w:eastAsiaTheme="minorEastAsia"/>
                <w:color w:val="000000" w:themeColor="text1"/>
                <w:kern w:val="0"/>
                <w:szCs w:val="21"/>
              </w:rPr>
            </w:pPr>
            <w:r>
              <w:rPr>
                <w:rFonts w:eastAsiaTheme="minorEastAsia"/>
                <w:color w:val="000000" w:themeColor="text1"/>
                <w:kern w:val="0"/>
                <w:szCs w:val="21"/>
              </w:rPr>
              <w:t>98.171872°</w:t>
            </w:r>
          </w:p>
        </w:tc>
        <w:tc>
          <w:tcPr>
            <w:tcW w:w="1193" w:type="dxa"/>
            <w:vAlign w:val="center"/>
          </w:tcPr>
          <w:p w14:paraId="0935D6C4">
            <w:pPr>
              <w:widowControl/>
              <w:jc w:val="center"/>
              <w:rPr>
                <w:rFonts w:eastAsiaTheme="minorEastAsia"/>
                <w:color w:val="000000" w:themeColor="text1"/>
                <w:kern w:val="0"/>
                <w:szCs w:val="21"/>
              </w:rPr>
            </w:pPr>
            <w:r>
              <w:rPr>
                <w:rFonts w:eastAsiaTheme="minorEastAsia"/>
                <w:color w:val="000000" w:themeColor="text1"/>
                <w:kern w:val="0"/>
                <w:szCs w:val="21"/>
              </w:rPr>
              <w:t>24.180727°</w:t>
            </w:r>
          </w:p>
        </w:tc>
        <w:tc>
          <w:tcPr>
            <w:tcW w:w="968" w:type="dxa"/>
            <w:shd w:val="clear" w:color="auto" w:fill="auto"/>
            <w:vAlign w:val="center"/>
          </w:tcPr>
          <w:p w14:paraId="2A155E2F">
            <w:pPr>
              <w:autoSpaceDE w:val="0"/>
              <w:autoSpaceDN w:val="0"/>
              <w:adjustRightInd w:val="0"/>
              <w:jc w:val="center"/>
              <w:rPr>
                <w:bCs/>
                <w:color w:val="000000" w:themeColor="text1"/>
                <w:spacing w:val="-2"/>
                <w:kern w:val="0"/>
                <w:szCs w:val="21"/>
                <w:lang w:bidi="ar"/>
              </w:rPr>
            </w:pPr>
            <w:r>
              <w:rPr>
                <w:bCs/>
                <w:color w:val="000000" w:themeColor="text1"/>
                <w:spacing w:val="-2"/>
                <w:kern w:val="0"/>
                <w:szCs w:val="21"/>
                <w:lang w:bidi="ar"/>
              </w:rPr>
              <w:t>西北侧</w:t>
            </w:r>
          </w:p>
        </w:tc>
        <w:tc>
          <w:tcPr>
            <w:tcW w:w="850" w:type="dxa"/>
            <w:shd w:val="clear" w:color="auto" w:fill="auto"/>
            <w:vAlign w:val="center"/>
          </w:tcPr>
          <w:p w14:paraId="3C9CE6EA">
            <w:pPr>
              <w:autoSpaceDE w:val="0"/>
              <w:autoSpaceDN w:val="0"/>
              <w:adjustRightInd w:val="0"/>
              <w:jc w:val="center"/>
              <w:rPr>
                <w:rFonts w:eastAsia="黑体"/>
                <w:bCs/>
                <w:color w:val="000000" w:themeColor="text1"/>
                <w:spacing w:val="-2"/>
                <w:kern w:val="0"/>
                <w:szCs w:val="21"/>
                <w:lang w:bidi="ar"/>
              </w:rPr>
            </w:pPr>
            <w:r>
              <w:rPr>
                <w:rFonts w:eastAsia="黑体"/>
                <w:bCs/>
                <w:color w:val="000000" w:themeColor="text1"/>
                <w:spacing w:val="-2"/>
                <w:kern w:val="0"/>
                <w:szCs w:val="21"/>
                <w:lang w:bidi="ar"/>
              </w:rPr>
              <w:t>820</w:t>
            </w:r>
          </w:p>
        </w:tc>
        <w:tc>
          <w:tcPr>
            <w:tcW w:w="1134" w:type="dxa"/>
            <w:vAlign w:val="center"/>
          </w:tcPr>
          <w:p w14:paraId="469B2E0D">
            <w:pPr>
              <w:jc w:val="center"/>
              <w:rPr>
                <w:color w:val="000000" w:themeColor="text1"/>
                <w:szCs w:val="22"/>
              </w:rPr>
            </w:pPr>
            <w:r>
              <w:rPr>
                <w:color w:val="000000" w:themeColor="text1"/>
                <w:szCs w:val="22"/>
              </w:rPr>
              <w:t>120户</w:t>
            </w:r>
          </w:p>
        </w:tc>
        <w:tc>
          <w:tcPr>
            <w:tcW w:w="1474" w:type="dxa"/>
            <w:vMerge w:val="restart"/>
            <w:vAlign w:val="center"/>
          </w:tcPr>
          <w:p w14:paraId="13739246">
            <w:pPr>
              <w:widowControl/>
              <w:jc w:val="center"/>
              <w:rPr>
                <w:color w:val="000000" w:themeColor="text1"/>
                <w:szCs w:val="21"/>
              </w:rPr>
            </w:pPr>
            <w:r>
              <w:rPr>
                <w:color w:val="000000" w:themeColor="text1"/>
                <w:szCs w:val="21"/>
              </w:rPr>
              <w:t>GB3095-2012</w:t>
            </w:r>
          </w:p>
          <w:p w14:paraId="03F36399">
            <w:pPr>
              <w:widowControl/>
              <w:jc w:val="center"/>
              <w:rPr>
                <w:rFonts w:eastAsiaTheme="minorEastAsia"/>
                <w:color w:val="000000" w:themeColor="text1"/>
                <w:kern w:val="0"/>
                <w:szCs w:val="21"/>
              </w:rPr>
            </w:pPr>
            <w:r>
              <w:rPr>
                <w:color w:val="000000" w:themeColor="text1"/>
                <w:szCs w:val="21"/>
              </w:rPr>
              <w:t>《环境空气质量标准》二级</w:t>
            </w:r>
          </w:p>
        </w:tc>
      </w:tr>
      <w:tr w14:paraId="4AC72906">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dxa"/>
            <w:vMerge w:val="continue"/>
            <w:vAlign w:val="center"/>
          </w:tcPr>
          <w:p w14:paraId="73C2E38D">
            <w:pPr>
              <w:jc w:val="center"/>
              <w:rPr>
                <w:rFonts w:eastAsiaTheme="minorEastAsia"/>
                <w:b/>
                <w:color w:val="000000" w:themeColor="text1"/>
                <w:szCs w:val="22"/>
                <w:lang w:val="zh-CN"/>
              </w:rPr>
            </w:pPr>
          </w:p>
        </w:tc>
        <w:tc>
          <w:tcPr>
            <w:tcW w:w="1053" w:type="dxa"/>
            <w:shd w:val="clear" w:color="auto" w:fill="auto"/>
            <w:vAlign w:val="center"/>
          </w:tcPr>
          <w:p w14:paraId="320DF12D">
            <w:pPr>
              <w:autoSpaceDE w:val="0"/>
              <w:autoSpaceDN w:val="0"/>
              <w:adjustRightInd w:val="0"/>
              <w:jc w:val="center"/>
              <w:rPr>
                <w:bCs/>
                <w:color w:val="000000" w:themeColor="text1"/>
                <w:spacing w:val="-2"/>
                <w:kern w:val="0"/>
                <w:szCs w:val="21"/>
                <w:lang w:bidi="ar"/>
              </w:rPr>
            </w:pPr>
            <w:r>
              <w:rPr>
                <w:bCs/>
                <w:color w:val="000000" w:themeColor="text1"/>
                <w:spacing w:val="-2"/>
                <w:kern w:val="0"/>
                <w:szCs w:val="21"/>
                <w:lang w:bidi="ar"/>
              </w:rPr>
              <w:t>遮焕村</w:t>
            </w:r>
          </w:p>
        </w:tc>
        <w:tc>
          <w:tcPr>
            <w:tcW w:w="1340" w:type="dxa"/>
            <w:vAlign w:val="center"/>
          </w:tcPr>
          <w:p w14:paraId="2D77F76A">
            <w:pPr>
              <w:widowControl/>
              <w:jc w:val="center"/>
              <w:rPr>
                <w:rFonts w:eastAsiaTheme="minorEastAsia"/>
                <w:color w:val="000000" w:themeColor="text1"/>
                <w:kern w:val="0"/>
                <w:szCs w:val="21"/>
              </w:rPr>
            </w:pPr>
            <w:r>
              <w:rPr>
                <w:rFonts w:eastAsiaTheme="minorEastAsia"/>
                <w:color w:val="000000" w:themeColor="text1"/>
                <w:kern w:val="0"/>
                <w:szCs w:val="21"/>
              </w:rPr>
              <w:t>98.190591°</w:t>
            </w:r>
          </w:p>
        </w:tc>
        <w:tc>
          <w:tcPr>
            <w:tcW w:w="1193" w:type="dxa"/>
            <w:vAlign w:val="center"/>
          </w:tcPr>
          <w:p w14:paraId="1EEAE35E">
            <w:pPr>
              <w:widowControl/>
              <w:jc w:val="center"/>
              <w:rPr>
                <w:rFonts w:eastAsiaTheme="minorEastAsia"/>
                <w:color w:val="000000" w:themeColor="text1"/>
                <w:kern w:val="0"/>
                <w:szCs w:val="21"/>
              </w:rPr>
            </w:pPr>
            <w:r>
              <w:rPr>
                <w:rFonts w:eastAsiaTheme="minorEastAsia"/>
                <w:color w:val="000000" w:themeColor="text1"/>
                <w:kern w:val="0"/>
                <w:szCs w:val="21"/>
              </w:rPr>
              <w:t>24.186109°</w:t>
            </w:r>
          </w:p>
        </w:tc>
        <w:tc>
          <w:tcPr>
            <w:tcW w:w="968" w:type="dxa"/>
            <w:shd w:val="clear" w:color="auto" w:fill="auto"/>
            <w:vAlign w:val="center"/>
          </w:tcPr>
          <w:p w14:paraId="735C369D">
            <w:pPr>
              <w:autoSpaceDE w:val="0"/>
              <w:autoSpaceDN w:val="0"/>
              <w:adjustRightInd w:val="0"/>
              <w:jc w:val="center"/>
              <w:rPr>
                <w:bCs/>
                <w:color w:val="000000" w:themeColor="text1"/>
                <w:spacing w:val="-2"/>
                <w:kern w:val="0"/>
                <w:szCs w:val="21"/>
                <w:lang w:bidi="ar"/>
              </w:rPr>
            </w:pPr>
            <w:r>
              <w:rPr>
                <w:bCs/>
                <w:color w:val="000000" w:themeColor="text1"/>
                <w:spacing w:val="-2"/>
                <w:kern w:val="0"/>
                <w:szCs w:val="21"/>
                <w:lang w:bidi="ar"/>
              </w:rPr>
              <w:t>西北侧</w:t>
            </w:r>
          </w:p>
        </w:tc>
        <w:tc>
          <w:tcPr>
            <w:tcW w:w="850" w:type="dxa"/>
            <w:shd w:val="clear" w:color="auto" w:fill="auto"/>
            <w:vAlign w:val="center"/>
          </w:tcPr>
          <w:p w14:paraId="2689C7FC">
            <w:pPr>
              <w:autoSpaceDE w:val="0"/>
              <w:autoSpaceDN w:val="0"/>
              <w:adjustRightInd w:val="0"/>
              <w:jc w:val="center"/>
              <w:rPr>
                <w:rFonts w:eastAsia="黑体"/>
                <w:bCs/>
                <w:color w:val="000000" w:themeColor="text1"/>
                <w:spacing w:val="-2"/>
                <w:kern w:val="0"/>
                <w:szCs w:val="21"/>
                <w:lang w:bidi="ar"/>
              </w:rPr>
            </w:pPr>
            <w:r>
              <w:rPr>
                <w:rFonts w:eastAsia="黑体"/>
                <w:bCs/>
                <w:color w:val="000000" w:themeColor="text1"/>
                <w:spacing w:val="-2"/>
                <w:kern w:val="0"/>
                <w:szCs w:val="21"/>
                <w:lang w:bidi="ar"/>
              </w:rPr>
              <w:t>790</w:t>
            </w:r>
          </w:p>
        </w:tc>
        <w:tc>
          <w:tcPr>
            <w:tcW w:w="1134" w:type="dxa"/>
            <w:vAlign w:val="center"/>
          </w:tcPr>
          <w:p w14:paraId="03F8784C">
            <w:pPr>
              <w:jc w:val="center"/>
              <w:rPr>
                <w:color w:val="000000" w:themeColor="text1"/>
                <w:szCs w:val="22"/>
              </w:rPr>
            </w:pPr>
            <w:r>
              <w:rPr>
                <w:color w:val="000000" w:themeColor="text1"/>
                <w:szCs w:val="22"/>
              </w:rPr>
              <w:t>127户</w:t>
            </w:r>
          </w:p>
        </w:tc>
        <w:tc>
          <w:tcPr>
            <w:tcW w:w="1474" w:type="dxa"/>
            <w:vMerge w:val="continue"/>
            <w:vAlign w:val="center"/>
          </w:tcPr>
          <w:p w14:paraId="1960CC74">
            <w:pPr>
              <w:widowControl/>
              <w:jc w:val="center"/>
              <w:rPr>
                <w:rFonts w:eastAsiaTheme="minorEastAsia"/>
                <w:color w:val="000000" w:themeColor="text1"/>
                <w:kern w:val="0"/>
                <w:szCs w:val="21"/>
              </w:rPr>
            </w:pPr>
          </w:p>
        </w:tc>
      </w:tr>
      <w:tr w14:paraId="77AEF5AB">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dxa"/>
            <w:vMerge w:val="continue"/>
            <w:vAlign w:val="center"/>
          </w:tcPr>
          <w:p w14:paraId="11B11DFB">
            <w:pPr>
              <w:jc w:val="center"/>
              <w:rPr>
                <w:rFonts w:eastAsiaTheme="minorEastAsia"/>
                <w:b/>
                <w:color w:val="000000" w:themeColor="text1"/>
                <w:szCs w:val="22"/>
                <w:lang w:val="zh-CN"/>
              </w:rPr>
            </w:pPr>
          </w:p>
        </w:tc>
        <w:tc>
          <w:tcPr>
            <w:tcW w:w="1053" w:type="dxa"/>
            <w:shd w:val="clear" w:color="auto" w:fill="auto"/>
            <w:vAlign w:val="center"/>
          </w:tcPr>
          <w:p w14:paraId="5FB9CB2A">
            <w:pPr>
              <w:autoSpaceDE w:val="0"/>
              <w:autoSpaceDN w:val="0"/>
              <w:adjustRightInd w:val="0"/>
              <w:jc w:val="center"/>
              <w:rPr>
                <w:bCs/>
                <w:color w:val="000000" w:themeColor="text1"/>
                <w:spacing w:val="-2"/>
                <w:kern w:val="0"/>
                <w:szCs w:val="21"/>
              </w:rPr>
            </w:pPr>
            <w:r>
              <w:rPr>
                <w:bCs/>
                <w:color w:val="000000" w:themeColor="text1"/>
                <w:spacing w:val="-2"/>
                <w:kern w:val="0"/>
                <w:szCs w:val="21"/>
              </w:rPr>
              <w:t>户拉村</w:t>
            </w:r>
          </w:p>
        </w:tc>
        <w:tc>
          <w:tcPr>
            <w:tcW w:w="1340" w:type="dxa"/>
            <w:vAlign w:val="center"/>
          </w:tcPr>
          <w:p w14:paraId="39398C5A">
            <w:pPr>
              <w:widowControl/>
              <w:jc w:val="center"/>
              <w:rPr>
                <w:rFonts w:eastAsiaTheme="minorEastAsia"/>
                <w:color w:val="000000" w:themeColor="text1"/>
                <w:kern w:val="0"/>
                <w:szCs w:val="21"/>
              </w:rPr>
            </w:pPr>
            <w:r>
              <w:rPr>
                <w:rFonts w:eastAsiaTheme="minorEastAsia"/>
                <w:color w:val="000000" w:themeColor="text1"/>
                <w:kern w:val="0"/>
                <w:szCs w:val="21"/>
              </w:rPr>
              <w:t>98.181468°</w:t>
            </w:r>
          </w:p>
        </w:tc>
        <w:tc>
          <w:tcPr>
            <w:tcW w:w="1193" w:type="dxa"/>
            <w:vAlign w:val="center"/>
          </w:tcPr>
          <w:p w14:paraId="652474E7">
            <w:pPr>
              <w:widowControl/>
              <w:jc w:val="center"/>
              <w:rPr>
                <w:rFonts w:eastAsiaTheme="minorEastAsia"/>
                <w:color w:val="000000" w:themeColor="text1"/>
                <w:kern w:val="0"/>
                <w:szCs w:val="21"/>
              </w:rPr>
            </w:pPr>
            <w:r>
              <w:rPr>
                <w:rFonts w:eastAsiaTheme="minorEastAsia"/>
                <w:color w:val="000000" w:themeColor="text1"/>
                <w:kern w:val="0"/>
                <w:szCs w:val="21"/>
              </w:rPr>
              <w:t>24.193085°</w:t>
            </w:r>
          </w:p>
        </w:tc>
        <w:tc>
          <w:tcPr>
            <w:tcW w:w="968" w:type="dxa"/>
            <w:shd w:val="clear" w:color="auto" w:fill="auto"/>
            <w:vAlign w:val="center"/>
          </w:tcPr>
          <w:p w14:paraId="35300B72">
            <w:pPr>
              <w:autoSpaceDE w:val="0"/>
              <w:autoSpaceDN w:val="0"/>
              <w:adjustRightInd w:val="0"/>
              <w:jc w:val="center"/>
              <w:rPr>
                <w:bCs/>
                <w:color w:val="000000" w:themeColor="text1"/>
                <w:spacing w:val="-2"/>
                <w:kern w:val="0"/>
                <w:szCs w:val="21"/>
              </w:rPr>
            </w:pPr>
            <w:r>
              <w:rPr>
                <w:bCs/>
                <w:color w:val="000000" w:themeColor="text1"/>
                <w:spacing w:val="-2"/>
                <w:kern w:val="0"/>
                <w:szCs w:val="21"/>
                <w:lang w:bidi="ar"/>
              </w:rPr>
              <w:t>东北侧</w:t>
            </w:r>
          </w:p>
        </w:tc>
        <w:tc>
          <w:tcPr>
            <w:tcW w:w="850" w:type="dxa"/>
            <w:shd w:val="clear" w:color="auto" w:fill="auto"/>
            <w:vAlign w:val="center"/>
          </w:tcPr>
          <w:p w14:paraId="39A04350">
            <w:pPr>
              <w:autoSpaceDE w:val="0"/>
              <w:autoSpaceDN w:val="0"/>
              <w:adjustRightInd w:val="0"/>
              <w:jc w:val="center"/>
              <w:rPr>
                <w:rFonts w:eastAsia="黑体"/>
                <w:bCs/>
                <w:color w:val="000000" w:themeColor="text1"/>
                <w:spacing w:val="-2"/>
                <w:kern w:val="0"/>
                <w:szCs w:val="21"/>
              </w:rPr>
            </w:pPr>
            <w:r>
              <w:rPr>
                <w:rFonts w:eastAsia="黑体"/>
                <w:bCs/>
                <w:color w:val="000000" w:themeColor="text1"/>
                <w:spacing w:val="-2"/>
                <w:kern w:val="0"/>
                <w:szCs w:val="21"/>
              </w:rPr>
              <w:t>950</w:t>
            </w:r>
          </w:p>
        </w:tc>
        <w:tc>
          <w:tcPr>
            <w:tcW w:w="1134" w:type="dxa"/>
            <w:vAlign w:val="center"/>
          </w:tcPr>
          <w:p w14:paraId="271A3BED">
            <w:pPr>
              <w:jc w:val="center"/>
              <w:rPr>
                <w:color w:val="000000" w:themeColor="text1"/>
                <w:szCs w:val="22"/>
              </w:rPr>
            </w:pPr>
            <w:r>
              <w:rPr>
                <w:color w:val="000000" w:themeColor="text1"/>
                <w:szCs w:val="22"/>
              </w:rPr>
              <w:t>179户</w:t>
            </w:r>
          </w:p>
        </w:tc>
        <w:tc>
          <w:tcPr>
            <w:tcW w:w="1474" w:type="dxa"/>
            <w:vMerge w:val="continue"/>
            <w:vAlign w:val="center"/>
          </w:tcPr>
          <w:p w14:paraId="74B174FA">
            <w:pPr>
              <w:widowControl/>
              <w:jc w:val="center"/>
              <w:rPr>
                <w:rFonts w:eastAsiaTheme="minorEastAsia"/>
                <w:color w:val="000000" w:themeColor="text1"/>
                <w:kern w:val="0"/>
                <w:szCs w:val="21"/>
              </w:rPr>
            </w:pPr>
          </w:p>
        </w:tc>
      </w:tr>
      <w:tr w14:paraId="5B6395C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dxa"/>
            <w:vMerge w:val="continue"/>
            <w:vAlign w:val="center"/>
          </w:tcPr>
          <w:p w14:paraId="4A90195E">
            <w:pPr>
              <w:jc w:val="center"/>
              <w:rPr>
                <w:rFonts w:eastAsiaTheme="minorEastAsia"/>
                <w:b/>
                <w:color w:val="000000" w:themeColor="text1"/>
                <w:szCs w:val="22"/>
                <w:lang w:val="zh-CN"/>
              </w:rPr>
            </w:pPr>
          </w:p>
        </w:tc>
        <w:tc>
          <w:tcPr>
            <w:tcW w:w="1053" w:type="dxa"/>
            <w:shd w:val="clear" w:color="auto" w:fill="auto"/>
            <w:vAlign w:val="center"/>
          </w:tcPr>
          <w:p w14:paraId="35769F29">
            <w:pPr>
              <w:autoSpaceDE w:val="0"/>
              <w:autoSpaceDN w:val="0"/>
              <w:adjustRightInd w:val="0"/>
              <w:jc w:val="center"/>
              <w:rPr>
                <w:bCs/>
                <w:color w:val="000000" w:themeColor="text1"/>
                <w:spacing w:val="-2"/>
                <w:kern w:val="0"/>
                <w:szCs w:val="21"/>
              </w:rPr>
            </w:pPr>
            <w:r>
              <w:rPr>
                <w:bCs/>
                <w:color w:val="000000" w:themeColor="text1"/>
                <w:spacing w:val="-2"/>
                <w:kern w:val="0"/>
                <w:szCs w:val="21"/>
              </w:rPr>
              <w:t>广撒村</w:t>
            </w:r>
          </w:p>
        </w:tc>
        <w:tc>
          <w:tcPr>
            <w:tcW w:w="1340" w:type="dxa"/>
            <w:vAlign w:val="center"/>
          </w:tcPr>
          <w:p w14:paraId="6B7120C8">
            <w:pPr>
              <w:widowControl/>
              <w:jc w:val="center"/>
              <w:rPr>
                <w:rFonts w:eastAsiaTheme="minorEastAsia"/>
                <w:color w:val="000000" w:themeColor="text1"/>
                <w:kern w:val="0"/>
                <w:szCs w:val="21"/>
              </w:rPr>
            </w:pPr>
            <w:r>
              <w:rPr>
                <w:rFonts w:eastAsiaTheme="minorEastAsia"/>
                <w:color w:val="000000" w:themeColor="text1"/>
                <w:kern w:val="0"/>
                <w:szCs w:val="21"/>
              </w:rPr>
              <w:t>98.158344°</w:t>
            </w:r>
          </w:p>
        </w:tc>
        <w:tc>
          <w:tcPr>
            <w:tcW w:w="1193" w:type="dxa"/>
            <w:vAlign w:val="center"/>
          </w:tcPr>
          <w:p w14:paraId="419C12A8">
            <w:pPr>
              <w:widowControl/>
              <w:jc w:val="center"/>
              <w:rPr>
                <w:rFonts w:eastAsiaTheme="minorEastAsia"/>
                <w:color w:val="000000" w:themeColor="text1"/>
                <w:kern w:val="0"/>
                <w:szCs w:val="21"/>
              </w:rPr>
            </w:pPr>
            <w:r>
              <w:rPr>
                <w:rFonts w:eastAsiaTheme="minorEastAsia"/>
                <w:color w:val="000000" w:themeColor="text1"/>
                <w:kern w:val="0"/>
                <w:szCs w:val="21"/>
              </w:rPr>
              <w:t>24.165693°</w:t>
            </w:r>
          </w:p>
        </w:tc>
        <w:tc>
          <w:tcPr>
            <w:tcW w:w="968" w:type="dxa"/>
            <w:shd w:val="clear" w:color="auto" w:fill="auto"/>
            <w:vAlign w:val="center"/>
          </w:tcPr>
          <w:p w14:paraId="77059E54">
            <w:pPr>
              <w:autoSpaceDE w:val="0"/>
              <w:autoSpaceDN w:val="0"/>
              <w:adjustRightInd w:val="0"/>
              <w:jc w:val="center"/>
              <w:rPr>
                <w:bCs/>
                <w:color w:val="000000" w:themeColor="text1"/>
                <w:spacing w:val="-2"/>
                <w:kern w:val="0"/>
                <w:szCs w:val="21"/>
              </w:rPr>
            </w:pPr>
            <w:r>
              <w:rPr>
                <w:bCs/>
                <w:color w:val="000000" w:themeColor="text1"/>
                <w:spacing w:val="-2"/>
                <w:kern w:val="0"/>
                <w:szCs w:val="21"/>
                <w:lang w:bidi="ar"/>
              </w:rPr>
              <w:t>西南侧</w:t>
            </w:r>
          </w:p>
        </w:tc>
        <w:tc>
          <w:tcPr>
            <w:tcW w:w="850" w:type="dxa"/>
            <w:shd w:val="clear" w:color="auto" w:fill="auto"/>
            <w:vAlign w:val="center"/>
          </w:tcPr>
          <w:p w14:paraId="26EDE158">
            <w:pPr>
              <w:autoSpaceDE w:val="0"/>
              <w:autoSpaceDN w:val="0"/>
              <w:adjustRightInd w:val="0"/>
              <w:jc w:val="center"/>
              <w:rPr>
                <w:rFonts w:eastAsia="黑体"/>
                <w:bCs/>
                <w:color w:val="000000" w:themeColor="text1"/>
                <w:spacing w:val="-2"/>
                <w:kern w:val="0"/>
                <w:szCs w:val="21"/>
              </w:rPr>
            </w:pPr>
            <w:r>
              <w:rPr>
                <w:rFonts w:eastAsia="黑体"/>
                <w:bCs/>
                <w:color w:val="000000" w:themeColor="text1"/>
                <w:spacing w:val="-2"/>
                <w:kern w:val="0"/>
                <w:szCs w:val="21"/>
              </w:rPr>
              <w:t>2310</w:t>
            </w:r>
          </w:p>
        </w:tc>
        <w:tc>
          <w:tcPr>
            <w:tcW w:w="1134" w:type="dxa"/>
            <w:vAlign w:val="center"/>
          </w:tcPr>
          <w:p w14:paraId="7C5A6841">
            <w:pPr>
              <w:jc w:val="center"/>
              <w:rPr>
                <w:color w:val="000000" w:themeColor="text1"/>
                <w:szCs w:val="22"/>
              </w:rPr>
            </w:pPr>
            <w:r>
              <w:rPr>
                <w:color w:val="000000" w:themeColor="text1"/>
                <w:szCs w:val="22"/>
              </w:rPr>
              <w:t>70户</w:t>
            </w:r>
          </w:p>
        </w:tc>
        <w:tc>
          <w:tcPr>
            <w:tcW w:w="1474" w:type="dxa"/>
            <w:vMerge w:val="continue"/>
            <w:vAlign w:val="center"/>
          </w:tcPr>
          <w:p w14:paraId="22B4346A">
            <w:pPr>
              <w:widowControl/>
              <w:jc w:val="center"/>
              <w:rPr>
                <w:rFonts w:eastAsiaTheme="minorEastAsia"/>
                <w:color w:val="000000" w:themeColor="text1"/>
                <w:kern w:val="0"/>
                <w:szCs w:val="21"/>
              </w:rPr>
            </w:pPr>
          </w:p>
        </w:tc>
      </w:tr>
      <w:tr w14:paraId="47535EBE">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dxa"/>
            <w:vMerge w:val="continue"/>
            <w:vAlign w:val="center"/>
          </w:tcPr>
          <w:p w14:paraId="4B7BBAEA">
            <w:pPr>
              <w:jc w:val="center"/>
              <w:rPr>
                <w:rFonts w:eastAsiaTheme="minorEastAsia"/>
                <w:b/>
                <w:color w:val="000000" w:themeColor="text1"/>
                <w:szCs w:val="22"/>
                <w:lang w:val="zh-CN"/>
              </w:rPr>
            </w:pPr>
          </w:p>
        </w:tc>
        <w:tc>
          <w:tcPr>
            <w:tcW w:w="1053" w:type="dxa"/>
            <w:shd w:val="clear" w:color="auto" w:fill="auto"/>
            <w:vAlign w:val="center"/>
          </w:tcPr>
          <w:p w14:paraId="40062F0A">
            <w:pPr>
              <w:autoSpaceDE w:val="0"/>
              <w:autoSpaceDN w:val="0"/>
              <w:adjustRightInd w:val="0"/>
              <w:jc w:val="center"/>
              <w:rPr>
                <w:bCs/>
                <w:color w:val="000000" w:themeColor="text1"/>
                <w:spacing w:val="-2"/>
                <w:kern w:val="0"/>
                <w:szCs w:val="21"/>
              </w:rPr>
            </w:pPr>
            <w:r>
              <w:rPr>
                <w:bCs/>
                <w:color w:val="000000" w:themeColor="text1"/>
                <w:spacing w:val="-2"/>
                <w:kern w:val="0"/>
                <w:szCs w:val="21"/>
              </w:rPr>
              <w:t>营盘村</w:t>
            </w:r>
          </w:p>
        </w:tc>
        <w:tc>
          <w:tcPr>
            <w:tcW w:w="1340" w:type="dxa"/>
            <w:vAlign w:val="center"/>
          </w:tcPr>
          <w:p w14:paraId="09495565">
            <w:pPr>
              <w:widowControl/>
              <w:jc w:val="center"/>
              <w:rPr>
                <w:rFonts w:eastAsiaTheme="minorEastAsia"/>
                <w:color w:val="000000" w:themeColor="text1"/>
                <w:kern w:val="0"/>
                <w:szCs w:val="21"/>
              </w:rPr>
            </w:pPr>
            <w:r>
              <w:rPr>
                <w:rFonts w:eastAsiaTheme="minorEastAsia"/>
                <w:color w:val="000000" w:themeColor="text1"/>
                <w:kern w:val="0"/>
                <w:szCs w:val="21"/>
              </w:rPr>
              <w:t>98.166500°</w:t>
            </w:r>
          </w:p>
        </w:tc>
        <w:tc>
          <w:tcPr>
            <w:tcW w:w="1193" w:type="dxa"/>
            <w:vAlign w:val="center"/>
          </w:tcPr>
          <w:p w14:paraId="2E6EF196">
            <w:pPr>
              <w:widowControl/>
              <w:jc w:val="center"/>
              <w:rPr>
                <w:rFonts w:eastAsiaTheme="minorEastAsia"/>
                <w:color w:val="000000" w:themeColor="text1"/>
                <w:kern w:val="0"/>
                <w:szCs w:val="21"/>
              </w:rPr>
            </w:pPr>
            <w:r>
              <w:rPr>
                <w:rFonts w:eastAsiaTheme="minorEastAsia"/>
                <w:color w:val="000000" w:themeColor="text1"/>
                <w:kern w:val="0"/>
                <w:szCs w:val="21"/>
              </w:rPr>
              <w:t>24.152936°</w:t>
            </w:r>
          </w:p>
        </w:tc>
        <w:tc>
          <w:tcPr>
            <w:tcW w:w="968" w:type="dxa"/>
            <w:shd w:val="clear" w:color="auto" w:fill="auto"/>
            <w:vAlign w:val="center"/>
          </w:tcPr>
          <w:p w14:paraId="1DD4E4C3">
            <w:pPr>
              <w:autoSpaceDE w:val="0"/>
              <w:autoSpaceDN w:val="0"/>
              <w:adjustRightInd w:val="0"/>
              <w:jc w:val="center"/>
              <w:rPr>
                <w:bCs/>
                <w:color w:val="000000" w:themeColor="text1"/>
                <w:spacing w:val="-2"/>
                <w:kern w:val="0"/>
                <w:szCs w:val="21"/>
              </w:rPr>
            </w:pPr>
            <w:r>
              <w:rPr>
                <w:bCs/>
                <w:color w:val="000000" w:themeColor="text1"/>
                <w:spacing w:val="-2"/>
                <w:kern w:val="0"/>
                <w:szCs w:val="21"/>
              </w:rPr>
              <w:t>南侧</w:t>
            </w:r>
          </w:p>
        </w:tc>
        <w:tc>
          <w:tcPr>
            <w:tcW w:w="850" w:type="dxa"/>
            <w:shd w:val="clear" w:color="auto" w:fill="auto"/>
            <w:vAlign w:val="center"/>
          </w:tcPr>
          <w:p w14:paraId="442E38AE">
            <w:pPr>
              <w:autoSpaceDE w:val="0"/>
              <w:autoSpaceDN w:val="0"/>
              <w:adjustRightInd w:val="0"/>
              <w:jc w:val="center"/>
              <w:rPr>
                <w:rFonts w:eastAsia="黑体"/>
                <w:bCs/>
                <w:color w:val="000000" w:themeColor="text1"/>
                <w:spacing w:val="-2"/>
                <w:kern w:val="0"/>
                <w:szCs w:val="21"/>
              </w:rPr>
            </w:pPr>
            <w:r>
              <w:rPr>
                <w:rFonts w:eastAsia="黑体"/>
                <w:bCs/>
                <w:color w:val="000000" w:themeColor="text1"/>
                <w:spacing w:val="-2"/>
                <w:kern w:val="0"/>
                <w:szCs w:val="21"/>
              </w:rPr>
              <w:t>3120</w:t>
            </w:r>
          </w:p>
        </w:tc>
        <w:tc>
          <w:tcPr>
            <w:tcW w:w="1134" w:type="dxa"/>
            <w:vAlign w:val="center"/>
          </w:tcPr>
          <w:p w14:paraId="481DD919">
            <w:pPr>
              <w:widowControl/>
              <w:jc w:val="center"/>
              <w:rPr>
                <w:rFonts w:eastAsiaTheme="minorEastAsia"/>
                <w:color w:val="000000" w:themeColor="text1"/>
                <w:kern w:val="0"/>
                <w:szCs w:val="21"/>
                <w:lang w:val="zh-CN"/>
              </w:rPr>
            </w:pPr>
            <w:r>
              <w:rPr>
                <w:rFonts w:eastAsiaTheme="minorEastAsia"/>
                <w:color w:val="000000" w:themeColor="text1"/>
                <w:kern w:val="0"/>
                <w:szCs w:val="21"/>
              </w:rPr>
              <w:t>72户</w:t>
            </w:r>
          </w:p>
        </w:tc>
        <w:tc>
          <w:tcPr>
            <w:tcW w:w="1474" w:type="dxa"/>
            <w:vMerge w:val="continue"/>
            <w:vAlign w:val="center"/>
          </w:tcPr>
          <w:p w14:paraId="702AF759">
            <w:pPr>
              <w:widowControl/>
              <w:jc w:val="center"/>
              <w:rPr>
                <w:rFonts w:eastAsiaTheme="minorEastAsia"/>
                <w:color w:val="000000" w:themeColor="text1"/>
                <w:kern w:val="0"/>
                <w:szCs w:val="21"/>
                <w:lang w:val="zh-CN"/>
              </w:rPr>
            </w:pPr>
          </w:p>
        </w:tc>
      </w:tr>
      <w:tr w14:paraId="123F7EFB">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dxa"/>
            <w:vMerge w:val="continue"/>
            <w:vAlign w:val="center"/>
          </w:tcPr>
          <w:p w14:paraId="049679CA">
            <w:pPr>
              <w:jc w:val="center"/>
              <w:rPr>
                <w:rFonts w:eastAsiaTheme="minorEastAsia"/>
                <w:b/>
                <w:color w:val="000000" w:themeColor="text1"/>
                <w:szCs w:val="22"/>
                <w:lang w:val="zh-CN"/>
              </w:rPr>
            </w:pPr>
          </w:p>
        </w:tc>
        <w:tc>
          <w:tcPr>
            <w:tcW w:w="1053" w:type="dxa"/>
            <w:shd w:val="clear" w:color="auto" w:fill="auto"/>
            <w:vAlign w:val="center"/>
          </w:tcPr>
          <w:p w14:paraId="5BC72E55">
            <w:pPr>
              <w:autoSpaceDE w:val="0"/>
              <w:autoSpaceDN w:val="0"/>
              <w:adjustRightInd w:val="0"/>
              <w:jc w:val="center"/>
              <w:rPr>
                <w:bCs/>
                <w:color w:val="000000" w:themeColor="text1"/>
                <w:spacing w:val="-2"/>
                <w:kern w:val="0"/>
                <w:szCs w:val="21"/>
              </w:rPr>
            </w:pPr>
            <w:r>
              <w:rPr>
                <w:bCs/>
                <w:color w:val="000000" w:themeColor="text1"/>
                <w:spacing w:val="-2"/>
                <w:kern w:val="0"/>
                <w:szCs w:val="21"/>
              </w:rPr>
              <w:t>帕峦村</w:t>
            </w:r>
          </w:p>
        </w:tc>
        <w:tc>
          <w:tcPr>
            <w:tcW w:w="1340" w:type="dxa"/>
            <w:vAlign w:val="center"/>
          </w:tcPr>
          <w:p w14:paraId="5079FCC1">
            <w:pPr>
              <w:widowControl/>
              <w:jc w:val="center"/>
              <w:rPr>
                <w:rFonts w:eastAsiaTheme="minorEastAsia"/>
                <w:color w:val="000000" w:themeColor="text1"/>
                <w:kern w:val="0"/>
                <w:szCs w:val="21"/>
              </w:rPr>
            </w:pPr>
            <w:r>
              <w:rPr>
                <w:rFonts w:eastAsiaTheme="minorEastAsia"/>
                <w:color w:val="000000" w:themeColor="text1"/>
                <w:kern w:val="0"/>
                <w:szCs w:val="21"/>
              </w:rPr>
              <w:t>98.146066°</w:t>
            </w:r>
          </w:p>
        </w:tc>
        <w:tc>
          <w:tcPr>
            <w:tcW w:w="1193" w:type="dxa"/>
            <w:vAlign w:val="center"/>
          </w:tcPr>
          <w:p w14:paraId="7F23517F">
            <w:pPr>
              <w:widowControl/>
              <w:jc w:val="center"/>
              <w:rPr>
                <w:rFonts w:eastAsiaTheme="minorEastAsia"/>
                <w:color w:val="000000" w:themeColor="text1"/>
                <w:kern w:val="0"/>
                <w:szCs w:val="21"/>
              </w:rPr>
            </w:pPr>
            <w:r>
              <w:rPr>
                <w:rFonts w:eastAsiaTheme="minorEastAsia"/>
                <w:color w:val="000000" w:themeColor="text1"/>
                <w:kern w:val="0"/>
                <w:szCs w:val="21"/>
              </w:rPr>
              <w:t>24.171867°</w:t>
            </w:r>
          </w:p>
        </w:tc>
        <w:tc>
          <w:tcPr>
            <w:tcW w:w="968" w:type="dxa"/>
            <w:shd w:val="clear" w:color="auto" w:fill="auto"/>
            <w:vAlign w:val="center"/>
          </w:tcPr>
          <w:p w14:paraId="3830265D">
            <w:pPr>
              <w:autoSpaceDE w:val="0"/>
              <w:autoSpaceDN w:val="0"/>
              <w:adjustRightInd w:val="0"/>
              <w:jc w:val="center"/>
              <w:rPr>
                <w:bCs/>
                <w:color w:val="000000" w:themeColor="text1"/>
                <w:spacing w:val="-2"/>
                <w:kern w:val="0"/>
                <w:szCs w:val="21"/>
              </w:rPr>
            </w:pPr>
            <w:r>
              <w:rPr>
                <w:bCs/>
                <w:color w:val="000000" w:themeColor="text1"/>
                <w:spacing w:val="-2"/>
                <w:kern w:val="0"/>
                <w:szCs w:val="21"/>
                <w:lang w:bidi="ar"/>
              </w:rPr>
              <w:t>西南侧</w:t>
            </w:r>
          </w:p>
        </w:tc>
        <w:tc>
          <w:tcPr>
            <w:tcW w:w="850" w:type="dxa"/>
            <w:shd w:val="clear" w:color="auto" w:fill="auto"/>
            <w:vAlign w:val="center"/>
          </w:tcPr>
          <w:p w14:paraId="4A9E897C">
            <w:pPr>
              <w:autoSpaceDE w:val="0"/>
              <w:autoSpaceDN w:val="0"/>
              <w:adjustRightInd w:val="0"/>
              <w:jc w:val="center"/>
              <w:rPr>
                <w:rFonts w:eastAsia="黑体"/>
                <w:bCs/>
                <w:color w:val="000000" w:themeColor="text1"/>
                <w:spacing w:val="-2"/>
                <w:kern w:val="0"/>
                <w:szCs w:val="21"/>
              </w:rPr>
            </w:pPr>
            <w:r>
              <w:rPr>
                <w:rFonts w:eastAsia="黑体"/>
                <w:bCs/>
                <w:color w:val="000000" w:themeColor="text1"/>
                <w:spacing w:val="-2"/>
                <w:kern w:val="0"/>
                <w:szCs w:val="21"/>
              </w:rPr>
              <w:t>3195</w:t>
            </w:r>
          </w:p>
        </w:tc>
        <w:tc>
          <w:tcPr>
            <w:tcW w:w="1134" w:type="dxa"/>
            <w:vAlign w:val="center"/>
          </w:tcPr>
          <w:p w14:paraId="570AF367">
            <w:pPr>
              <w:widowControl/>
              <w:jc w:val="center"/>
              <w:rPr>
                <w:rFonts w:eastAsiaTheme="minorEastAsia"/>
                <w:color w:val="000000" w:themeColor="text1"/>
                <w:kern w:val="0"/>
                <w:szCs w:val="21"/>
                <w:lang w:val="zh-CN"/>
              </w:rPr>
            </w:pPr>
            <w:r>
              <w:rPr>
                <w:rFonts w:eastAsiaTheme="minorEastAsia"/>
                <w:color w:val="000000" w:themeColor="text1"/>
                <w:kern w:val="0"/>
                <w:szCs w:val="21"/>
                <w:lang w:val="zh-CN"/>
              </w:rPr>
              <w:t>46户</w:t>
            </w:r>
          </w:p>
        </w:tc>
        <w:tc>
          <w:tcPr>
            <w:tcW w:w="1474" w:type="dxa"/>
            <w:vMerge w:val="continue"/>
            <w:vAlign w:val="center"/>
          </w:tcPr>
          <w:p w14:paraId="55EFE691">
            <w:pPr>
              <w:widowControl/>
              <w:jc w:val="center"/>
              <w:rPr>
                <w:rFonts w:eastAsiaTheme="minorEastAsia"/>
                <w:color w:val="000000" w:themeColor="text1"/>
                <w:kern w:val="0"/>
                <w:szCs w:val="21"/>
                <w:lang w:val="zh-CN"/>
              </w:rPr>
            </w:pPr>
          </w:p>
        </w:tc>
      </w:tr>
      <w:tr w14:paraId="3DD78B9A">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dxa"/>
            <w:vMerge w:val="restart"/>
            <w:vAlign w:val="center"/>
          </w:tcPr>
          <w:p w14:paraId="607CB9E2">
            <w:pPr>
              <w:jc w:val="center"/>
              <w:rPr>
                <w:rFonts w:eastAsiaTheme="minorEastAsia"/>
                <w:b/>
                <w:color w:val="000000" w:themeColor="text1"/>
                <w:szCs w:val="22"/>
                <w:lang w:val="zh-CN"/>
              </w:rPr>
            </w:pPr>
            <w:r>
              <w:rPr>
                <w:rFonts w:eastAsiaTheme="minorEastAsia"/>
                <w:b/>
                <w:color w:val="000000" w:themeColor="text1"/>
                <w:szCs w:val="22"/>
                <w:lang w:val="zh-CN"/>
              </w:rPr>
              <w:t>地表水</w:t>
            </w:r>
          </w:p>
        </w:tc>
        <w:tc>
          <w:tcPr>
            <w:tcW w:w="1053" w:type="dxa"/>
            <w:shd w:val="clear" w:color="auto" w:fill="auto"/>
            <w:vAlign w:val="center"/>
          </w:tcPr>
          <w:p w14:paraId="355EAFAB">
            <w:pPr>
              <w:widowControl/>
              <w:jc w:val="center"/>
              <w:rPr>
                <w:rFonts w:eastAsiaTheme="minorEastAsia"/>
                <w:color w:val="000000" w:themeColor="text1"/>
                <w:szCs w:val="22"/>
                <w:lang w:val="zh-CN"/>
              </w:rPr>
            </w:pPr>
            <w:r>
              <w:rPr>
                <w:rFonts w:eastAsiaTheme="minorEastAsia"/>
                <w:color w:val="000000" w:themeColor="text1"/>
                <w:kern w:val="0"/>
                <w:szCs w:val="21"/>
              </w:rPr>
              <w:t>芒市大河</w:t>
            </w:r>
          </w:p>
        </w:tc>
        <w:tc>
          <w:tcPr>
            <w:tcW w:w="1340" w:type="dxa"/>
            <w:vAlign w:val="center"/>
          </w:tcPr>
          <w:p w14:paraId="35A5D53F">
            <w:pPr>
              <w:widowControl/>
              <w:jc w:val="center"/>
              <w:rPr>
                <w:rFonts w:eastAsiaTheme="minorEastAsia"/>
                <w:color w:val="000000" w:themeColor="text1"/>
                <w:kern w:val="0"/>
                <w:szCs w:val="21"/>
              </w:rPr>
            </w:pPr>
            <w:r>
              <w:rPr>
                <w:rFonts w:eastAsiaTheme="minorEastAsia"/>
                <w:color w:val="000000" w:themeColor="text1"/>
                <w:kern w:val="0"/>
                <w:szCs w:val="21"/>
              </w:rPr>
              <w:t>/</w:t>
            </w:r>
          </w:p>
        </w:tc>
        <w:tc>
          <w:tcPr>
            <w:tcW w:w="1193" w:type="dxa"/>
            <w:vAlign w:val="center"/>
          </w:tcPr>
          <w:p w14:paraId="7BA7F025">
            <w:pPr>
              <w:widowControl/>
              <w:jc w:val="center"/>
              <w:rPr>
                <w:rFonts w:eastAsiaTheme="minorEastAsia"/>
                <w:color w:val="000000" w:themeColor="text1"/>
                <w:kern w:val="0"/>
                <w:szCs w:val="21"/>
              </w:rPr>
            </w:pPr>
            <w:r>
              <w:rPr>
                <w:rFonts w:eastAsiaTheme="minorEastAsia"/>
                <w:color w:val="000000" w:themeColor="text1"/>
                <w:kern w:val="0"/>
                <w:szCs w:val="21"/>
              </w:rPr>
              <w:t>/</w:t>
            </w:r>
          </w:p>
        </w:tc>
        <w:tc>
          <w:tcPr>
            <w:tcW w:w="968" w:type="dxa"/>
            <w:shd w:val="clear" w:color="auto" w:fill="auto"/>
            <w:vAlign w:val="center"/>
          </w:tcPr>
          <w:p w14:paraId="531888E2">
            <w:pPr>
              <w:widowControl/>
              <w:jc w:val="center"/>
              <w:rPr>
                <w:rFonts w:eastAsiaTheme="minorEastAsia"/>
                <w:color w:val="000000" w:themeColor="text1"/>
                <w:szCs w:val="22"/>
                <w:lang w:val="zh-CN"/>
              </w:rPr>
            </w:pPr>
            <w:r>
              <w:rPr>
                <w:rFonts w:eastAsiaTheme="minorEastAsia"/>
                <w:color w:val="000000" w:themeColor="text1"/>
                <w:kern w:val="0"/>
                <w:szCs w:val="21"/>
              </w:rPr>
              <w:t>西侧</w:t>
            </w:r>
          </w:p>
        </w:tc>
        <w:tc>
          <w:tcPr>
            <w:tcW w:w="850" w:type="dxa"/>
            <w:shd w:val="clear" w:color="auto" w:fill="auto"/>
            <w:vAlign w:val="center"/>
          </w:tcPr>
          <w:p w14:paraId="0C022BD8">
            <w:pPr>
              <w:widowControl/>
              <w:jc w:val="center"/>
              <w:rPr>
                <w:rFonts w:eastAsiaTheme="minorEastAsia"/>
                <w:color w:val="000000" w:themeColor="text1"/>
                <w:szCs w:val="22"/>
                <w:lang w:val="zh-CN"/>
              </w:rPr>
            </w:pPr>
            <w:r>
              <w:rPr>
                <w:rFonts w:eastAsiaTheme="minorEastAsia"/>
                <w:color w:val="000000" w:themeColor="text1"/>
                <w:kern w:val="0"/>
                <w:szCs w:val="21"/>
              </w:rPr>
              <w:t>2100</w:t>
            </w:r>
          </w:p>
        </w:tc>
        <w:tc>
          <w:tcPr>
            <w:tcW w:w="1134" w:type="dxa"/>
            <w:vMerge w:val="restart"/>
            <w:vAlign w:val="center"/>
          </w:tcPr>
          <w:p w14:paraId="0A4574EB">
            <w:pPr>
              <w:widowControl/>
              <w:jc w:val="center"/>
              <w:rPr>
                <w:rFonts w:eastAsiaTheme="minorEastAsia"/>
                <w:color w:val="000000" w:themeColor="text1"/>
                <w:kern w:val="0"/>
                <w:szCs w:val="21"/>
              </w:rPr>
            </w:pPr>
            <w:r>
              <w:rPr>
                <w:rFonts w:eastAsiaTheme="minorEastAsia"/>
                <w:color w:val="000000" w:themeColor="text1"/>
                <w:kern w:val="0"/>
                <w:szCs w:val="21"/>
              </w:rPr>
              <w:t>满足III类</w:t>
            </w:r>
          </w:p>
        </w:tc>
        <w:tc>
          <w:tcPr>
            <w:tcW w:w="1474" w:type="dxa"/>
            <w:vMerge w:val="restart"/>
            <w:vAlign w:val="center"/>
          </w:tcPr>
          <w:p w14:paraId="3BC3EF13">
            <w:pPr>
              <w:jc w:val="center"/>
              <w:rPr>
                <w:rFonts w:eastAsiaTheme="minorEastAsia"/>
                <w:color w:val="000000" w:themeColor="text1"/>
                <w:kern w:val="0"/>
                <w:szCs w:val="21"/>
              </w:rPr>
            </w:pPr>
            <w:r>
              <w:rPr>
                <w:color w:val="000000" w:themeColor="text1"/>
                <w:szCs w:val="21"/>
              </w:rPr>
              <w:t>GB3838-2002《地表水环境质量标准》3类</w:t>
            </w:r>
          </w:p>
        </w:tc>
      </w:tr>
      <w:tr w14:paraId="7EFCAC56">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dxa"/>
            <w:vMerge w:val="continue"/>
            <w:vAlign w:val="center"/>
          </w:tcPr>
          <w:p w14:paraId="21C5D806">
            <w:pPr>
              <w:jc w:val="center"/>
              <w:rPr>
                <w:rFonts w:eastAsiaTheme="minorEastAsia"/>
                <w:b/>
                <w:color w:val="000000" w:themeColor="text1"/>
                <w:szCs w:val="22"/>
                <w:lang w:val="zh-CN"/>
              </w:rPr>
            </w:pPr>
          </w:p>
        </w:tc>
        <w:tc>
          <w:tcPr>
            <w:tcW w:w="1053" w:type="dxa"/>
            <w:shd w:val="clear" w:color="auto" w:fill="auto"/>
            <w:vAlign w:val="center"/>
          </w:tcPr>
          <w:p w14:paraId="7494F8DF">
            <w:pPr>
              <w:widowControl/>
              <w:jc w:val="center"/>
              <w:rPr>
                <w:rFonts w:eastAsiaTheme="minorEastAsia"/>
                <w:color w:val="000000" w:themeColor="text1"/>
                <w:kern w:val="0"/>
                <w:szCs w:val="21"/>
              </w:rPr>
            </w:pPr>
            <w:r>
              <w:rPr>
                <w:rFonts w:eastAsiaTheme="minorEastAsia"/>
                <w:color w:val="000000" w:themeColor="text1"/>
                <w:kern w:val="0"/>
                <w:szCs w:val="21"/>
              </w:rPr>
              <w:t>排鲁水库</w:t>
            </w:r>
          </w:p>
        </w:tc>
        <w:tc>
          <w:tcPr>
            <w:tcW w:w="1340" w:type="dxa"/>
            <w:vAlign w:val="center"/>
          </w:tcPr>
          <w:p w14:paraId="359D67F2">
            <w:pPr>
              <w:widowControl/>
              <w:jc w:val="center"/>
              <w:rPr>
                <w:rFonts w:eastAsiaTheme="minorEastAsia"/>
                <w:color w:val="000000" w:themeColor="text1"/>
                <w:kern w:val="0"/>
                <w:szCs w:val="21"/>
              </w:rPr>
            </w:pPr>
            <w:r>
              <w:rPr>
                <w:rFonts w:eastAsiaTheme="minorEastAsia"/>
                <w:color w:val="000000" w:themeColor="text1"/>
                <w:kern w:val="0"/>
                <w:szCs w:val="21"/>
              </w:rPr>
              <w:t>/</w:t>
            </w:r>
          </w:p>
        </w:tc>
        <w:tc>
          <w:tcPr>
            <w:tcW w:w="1193" w:type="dxa"/>
            <w:vAlign w:val="center"/>
          </w:tcPr>
          <w:p w14:paraId="7662E66D">
            <w:pPr>
              <w:widowControl/>
              <w:jc w:val="center"/>
              <w:rPr>
                <w:rFonts w:eastAsiaTheme="minorEastAsia"/>
                <w:color w:val="000000" w:themeColor="text1"/>
                <w:kern w:val="0"/>
                <w:szCs w:val="21"/>
              </w:rPr>
            </w:pPr>
            <w:r>
              <w:rPr>
                <w:rFonts w:eastAsiaTheme="minorEastAsia"/>
                <w:color w:val="000000" w:themeColor="text1"/>
                <w:kern w:val="0"/>
                <w:szCs w:val="21"/>
              </w:rPr>
              <w:t>/</w:t>
            </w:r>
          </w:p>
        </w:tc>
        <w:tc>
          <w:tcPr>
            <w:tcW w:w="968" w:type="dxa"/>
            <w:shd w:val="clear" w:color="auto" w:fill="auto"/>
            <w:vAlign w:val="center"/>
          </w:tcPr>
          <w:p w14:paraId="1422B799">
            <w:pPr>
              <w:widowControl/>
              <w:jc w:val="center"/>
              <w:rPr>
                <w:rFonts w:eastAsiaTheme="minorEastAsia"/>
                <w:color w:val="000000" w:themeColor="text1"/>
                <w:kern w:val="0"/>
                <w:szCs w:val="21"/>
              </w:rPr>
            </w:pPr>
            <w:r>
              <w:rPr>
                <w:rFonts w:eastAsiaTheme="minorEastAsia"/>
                <w:color w:val="000000" w:themeColor="text1"/>
                <w:kern w:val="0"/>
                <w:szCs w:val="21"/>
              </w:rPr>
              <w:t>西南侧</w:t>
            </w:r>
          </w:p>
        </w:tc>
        <w:tc>
          <w:tcPr>
            <w:tcW w:w="850" w:type="dxa"/>
            <w:shd w:val="clear" w:color="auto" w:fill="auto"/>
            <w:vAlign w:val="center"/>
          </w:tcPr>
          <w:p w14:paraId="1C227DD9">
            <w:pPr>
              <w:widowControl/>
              <w:jc w:val="center"/>
              <w:rPr>
                <w:rFonts w:eastAsiaTheme="minorEastAsia"/>
                <w:color w:val="000000" w:themeColor="text1"/>
                <w:kern w:val="0"/>
                <w:szCs w:val="21"/>
              </w:rPr>
            </w:pPr>
            <w:r>
              <w:rPr>
                <w:rFonts w:eastAsiaTheme="minorEastAsia"/>
                <w:color w:val="000000" w:themeColor="text1"/>
                <w:kern w:val="0"/>
                <w:szCs w:val="21"/>
              </w:rPr>
              <w:t>650</w:t>
            </w:r>
          </w:p>
        </w:tc>
        <w:tc>
          <w:tcPr>
            <w:tcW w:w="1134" w:type="dxa"/>
            <w:vMerge w:val="continue"/>
            <w:vAlign w:val="center"/>
          </w:tcPr>
          <w:p w14:paraId="05D549B6">
            <w:pPr>
              <w:widowControl/>
              <w:jc w:val="center"/>
              <w:rPr>
                <w:rFonts w:eastAsiaTheme="minorEastAsia"/>
                <w:color w:val="000000" w:themeColor="text1"/>
                <w:kern w:val="0"/>
                <w:szCs w:val="21"/>
              </w:rPr>
            </w:pPr>
          </w:p>
        </w:tc>
        <w:tc>
          <w:tcPr>
            <w:tcW w:w="1474" w:type="dxa"/>
            <w:vMerge w:val="continue"/>
            <w:vAlign w:val="center"/>
          </w:tcPr>
          <w:p w14:paraId="1B508CD0">
            <w:pPr>
              <w:jc w:val="center"/>
              <w:rPr>
                <w:color w:val="000000" w:themeColor="text1"/>
                <w:szCs w:val="21"/>
              </w:rPr>
            </w:pPr>
          </w:p>
        </w:tc>
      </w:tr>
      <w:tr w14:paraId="6E1E185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dxa"/>
            <w:vMerge w:val="continue"/>
            <w:vAlign w:val="center"/>
          </w:tcPr>
          <w:p w14:paraId="7B519367">
            <w:pPr>
              <w:jc w:val="center"/>
              <w:rPr>
                <w:rFonts w:eastAsiaTheme="minorEastAsia"/>
                <w:b/>
                <w:color w:val="000000" w:themeColor="text1"/>
                <w:szCs w:val="22"/>
                <w:lang w:val="zh-CN"/>
              </w:rPr>
            </w:pPr>
          </w:p>
        </w:tc>
        <w:tc>
          <w:tcPr>
            <w:tcW w:w="1053" w:type="dxa"/>
            <w:shd w:val="clear" w:color="auto" w:fill="auto"/>
            <w:vAlign w:val="center"/>
          </w:tcPr>
          <w:p w14:paraId="44D10338">
            <w:pPr>
              <w:widowControl/>
              <w:jc w:val="center"/>
              <w:rPr>
                <w:rFonts w:eastAsiaTheme="minorEastAsia"/>
                <w:color w:val="000000" w:themeColor="text1"/>
                <w:kern w:val="0"/>
                <w:szCs w:val="21"/>
              </w:rPr>
            </w:pPr>
            <w:r>
              <w:rPr>
                <w:rFonts w:eastAsiaTheme="minorEastAsia"/>
                <w:color w:val="000000" w:themeColor="text1"/>
                <w:kern w:val="0"/>
                <w:szCs w:val="21"/>
              </w:rPr>
              <w:t>水塘</w:t>
            </w:r>
          </w:p>
        </w:tc>
        <w:tc>
          <w:tcPr>
            <w:tcW w:w="1340" w:type="dxa"/>
            <w:vAlign w:val="center"/>
          </w:tcPr>
          <w:p w14:paraId="1B570BEB">
            <w:pPr>
              <w:widowControl/>
              <w:jc w:val="center"/>
              <w:rPr>
                <w:rFonts w:eastAsiaTheme="minorEastAsia"/>
                <w:color w:val="000000" w:themeColor="text1"/>
                <w:kern w:val="0"/>
                <w:szCs w:val="21"/>
              </w:rPr>
            </w:pPr>
            <w:r>
              <w:rPr>
                <w:rFonts w:eastAsiaTheme="minorEastAsia"/>
                <w:color w:val="000000" w:themeColor="text1"/>
                <w:kern w:val="0"/>
                <w:szCs w:val="21"/>
              </w:rPr>
              <w:t>/</w:t>
            </w:r>
          </w:p>
        </w:tc>
        <w:tc>
          <w:tcPr>
            <w:tcW w:w="1193" w:type="dxa"/>
            <w:vAlign w:val="center"/>
          </w:tcPr>
          <w:p w14:paraId="783F71E6">
            <w:pPr>
              <w:widowControl/>
              <w:jc w:val="center"/>
              <w:rPr>
                <w:rFonts w:eastAsiaTheme="minorEastAsia"/>
                <w:color w:val="000000" w:themeColor="text1"/>
                <w:kern w:val="0"/>
                <w:szCs w:val="21"/>
              </w:rPr>
            </w:pPr>
            <w:r>
              <w:rPr>
                <w:rFonts w:eastAsiaTheme="minorEastAsia"/>
                <w:color w:val="000000" w:themeColor="text1"/>
                <w:kern w:val="0"/>
                <w:szCs w:val="21"/>
              </w:rPr>
              <w:t>/</w:t>
            </w:r>
          </w:p>
        </w:tc>
        <w:tc>
          <w:tcPr>
            <w:tcW w:w="968" w:type="dxa"/>
            <w:shd w:val="clear" w:color="auto" w:fill="auto"/>
            <w:vAlign w:val="center"/>
          </w:tcPr>
          <w:p w14:paraId="04078379">
            <w:pPr>
              <w:widowControl/>
              <w:jc w:val="center"/>
              <w:rPr>
                <w:rFonts w:eastAsiaTheme="minorEastAsia"/>
                <w:color w:val="000000" w:themeColor="text1"/>
                <w:kern w:val="0"/>
                <w:szCs w:val="21"/>
              </w:rPr>
            </w:pPr>
            <w:r>
              <w:rPr>
                <w:rFonts w:eastAsiaTheme="minorEastAsia"/>
                <w:color w:val="000000" w:themeColor="text1"/>
                <w:kern w:val="0"/>
                <w:szCs w:val="21"/>
              </w:rPr>
              <w:t>西南侧</w:t>
            </w:r>
          </w:p>
        </w:tc>
        <w:tc>
          <w:tcPr>
            <w:tcW w:w="850" w:type="dxa"/>
            <w:shd w:val="clear" w:color="auto" w:fill="auto"/>
            <w:vAlign w:val="center"/>
          </w:tcPr>
          <w:p w14:paraId="7B63FE22">
            <w:pPr>
              <w:widowControl/>
              <w:jc w:val="center"/>
              <w:rPr>
                <w:rFonts w:eastAsiaTheme="minorEastAsia"/>
                <w:color w:val="000000" w:themeColor="text1"/>
                <w:kern w:val="0"/>
                <w:szCs w:val="21"/>
              </w:rPr>
            </w:pPr>
            <w:r>
              <w:rPr>
                <w:rFonts w:eastAsiaTheme="minorEastAsia"/>
                <w:color w:val="000000" w:themeColor="text1"/>
                <w:kern w:val="0"/>
                <w:szCs w:val="21"/>
              </w:rPr>
              <w:t>532</w:t>
            </w:r>
          </w:p>
        </w:tc>
        <w:tc>
          <w:tcPr>
            <w:tcW w:w="1134" w:type="dxa"/>
            <w:vMerge w:val="continue"/>
            <w:vAlign w:val="center"/>
          </w:tcPr>
          <w:p w14:paraId="37F56B60">
            <w:pPr>
              <w:widowControl/>
              <w:jc w:val="center"/>
              <w:rPr>
                <w:rFonts w:eastAsiaTheme="minorEastAsia"/>
                <w:color w:val="000000" w:themeColor="text1"/>
                <w:kern w:val="0"/>
                <w:szCs w:val="21"/>
              </w:rPr>
            </w:pPr>
          </w:p>
        </w:tc>
        <w:tc>
          <w:tcPr>
            <w:tcW w:w="1474" w:type="dxa"/>
            <w:vMerge w:val="continue"/>
            <w:vAlign w:val="center"/>
          </w:tcPr>
          <w:p w14:paraId="73F12553">
            <w:pPr>
              <w:jc w:val="center"/>
              <w:rPr>
                <w:color w:val="000000" w:themeColor="text1"/>
                <w:szCs w:val="21"/>
              </w:rPr>
            </w:pPr>
          </w:p>
        </w:tc>
      </w:tr>
      <w:tr w14:paraId="5BCB540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dxa"/>
            <w:vAlign w:val="center"/>
          </w:tcPr>
          <w:p w14:paraId="573FE8B4">
            <w:pPr>
              <w:jc w:val="center"/>
              <w:rPr>
                <w:rFonts w:eastAsiaTheme="minorEastAsia"/>
                <w:b/>
                <w:color w:val="000000" w:themeColor="text1"/>
                <w:szCs w:val="22"/>
                <w:lang w:val="zh-CN"/>
              </w:rPr>
            </w:pPr>
            <w:r>
              <w:rPr>
                <w:rFonts w:eastAsiaTheme="minorEastAsia"/>
                <w:b/>
                <w:color w:val="000000" w:themeColor="text1"/>
                <w:szCs w:val="22"/>
                <w:lang w:val="zh-CN"/>
              </w:rPr>
              <w:t>地下水</w:t>
            </w:r>
          </w:p>
        </w:tc>
        <w:tc>
          <w:tcPr>
            <w:tcW w:w="6538" w:type="dxa"/>
            <w:gridSpan w:val="6"/>
            <w:vAlign w:val="center"/>
          </w:tcPr>
          <w:p w14:paraId="7F662C44">
            <w:pPr>
              <w:widowControl/>
              <w:jc w:val="center"/>
              <w:rPr>
                <w:rFonts w:eastAsiaTheme="minorEastAsia"/>
                <w:color w:val="000000" w:themeColor="text1"/>
                <w:kern w:val="0"/>
                <w:szCs w:val="21"/>
              </w:rPr>
            </w:pPr>
            <w:r>
              <w:rPr>
                <w:rFonts w:eastAsiaTheme="minorEastAsia"/>
                <w:color w:val="000000" w:themeColor="text1"/>
                <w:kern w:val="0"/>
                <w:szCs w:val="21"/>
              </w:rPr>
              <w:t>区域地下水（</w:t>
            </w:r>
            <w:r>
              <w:rPr>
                <w:rFonts w:eastAsiaTheme="minorEastAsia"/>
                <w:color w:val="FF0000"/>
                <w:kern w:val="0"/>
                <w:szCs w:val="21"/>
                <w:lang w:bidi="en-US"/>
              </w:rPr>
              <w:t>北侧以芒市大河为界，南侧、西侧以山脊为界，东侧以低洼箐沟为界，</w:t>
            </w:r>
            <w:r>
              <w:rPr>
                <w:rFonts w:eastAsiaTheme="minorEastAsia"/>
                <w:color w:val="000000" w:themeColor="text1"/>
                <w:kern w:val="0"/>
                <w:szCs w:val="21"/>
                <w:lang w:bidi="en-US"/>
              </w:rPr>
              <w:t>详见附图6</w:t>
            </w:r>
            <w:r>
              <w:rPr>
                <w:rFonts w:eastAsiaTheme="minorEastAsia"/>
                <w:color w:val="000000" w:themeColor="text1"/>
                <w:kern w:val="0"/>
                <w:szCs w:val="21"/>
              </w:rPr>
              <w:t>），</w:t>
            </w:r>
            <w:r>
              <w:rPr>
                <w:rFonts w:eastAsiaTheme="minorEastAsia"/>
                <w:bCs/>
                <w:color w:val="000000" w:themeColor="text1"/>
                <w:kern w:val="0"/>
                <w:szCs w:val="21"/>
              </w:rPr>
              <w:t>户拉村</w:t>
            </w:r>
            <w:r>
              <w:rPr>
                <w:rFonts w:eastAsiaTheme="minorEastAsia"/>
                <w:color w:val="000000" w:themeColor="text1"/>
                <w:kern w:val="0"/>
                <w:szCs w:val="21"/>
              </w:rPr>
              <w:t xml:space="preserve"> 1#水井、</w:t>
            </w:r>
            <w:r>
              <w:rPr>
                <w:rFonts w:eastAsiaTheme="minorEastAsia"/>
                <w:bCs/>
                <w:color w:val="000000" w:themeColor="text1"/>
                <w:kern w:val="0"/>
                <w:szCs w:val="21"/>
              </w:rPr>
              <w:t>排鲁村</w:t>
            </w:r>
            <w:r>
              <w:rPr>
                <w:rFonts w:eastAsiaTheme="minorEastAsia"/>
                <w:color w:val="000000" w:themeColor="text1"/>
                <w:kern w:val="0"/>
                <w:szCs w:val="21"/>
              </w:rPr>
              <w:t xml:space="preserve"> 2#水井、芒市晨明塑料加工项目东南侧泉点 3#水井。</w:t>
            </w:r>
          </w:p>
        </w:tc>
        <w:tc>
          <w:tcPr>
            <w:tcW w:w="1474" w:type="dxa"/>
            <w:vAlign w:val="center"/>
          </w:tcPr>
          <w:p w14:paraId="33D7945C">
            <w:pPr>
              <w:widowControl/>
              <w:jc w:val="center"/>
              <w:rPr>
                <w:rFonts w:eastAsiaTheme="minorEastAsia"/>
                <w:color w:val="000000" w:themeColor="text1"/>
                <w:kern w:val="0"/>
                <w:szCs w:val="21"/>
              </w:rPr>
            </w:pPr>
            <w:r>
              <w:rPr>
                <w:color w:val="000000" w:themeColor="text1"/>
              </w:rPr>
              <w:t>《地下水质量标准》（GB/T14848-2017）中Ⅲ类标准</w:t>
            </w:r>
          </w:p>
        </w:tc>
      </w:tr>
      <w:tr w14:paraId="6E01C1A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dxa"/>
            <w:vAlign w:val="center"/>
          </w:tcPr>
          <w:p w14:paraId="34843572">
            <w:pPr>
              <w:jc w:val="center"/>
              <w:rPr>
                <w:rFonts w:eastAsiaTheme="minorEastAsia"/>
                <w:b/>
                <w:color w:val="FF0000"/>
                <w:szCs w:val="22"/>
                <w:lang w:val="zh-CN"/>
              </w:rPr>
            </w:pPr>
            <w:r>
              <w:rPr>
                <w:rFonts w:eastAsiaTheme="minorEastAsia"/>
                <w:b/>
                <w:color w:val="FF0000"/>
                <w:szCs w:val="22"/>
                <w:lang w:val="zh-CN"/>
              </w:rPr>
              <w:t>生态</w:t>
            </w:r>
          </w:p>
        </w:tc>
        <w:tc>
          <w:tcPr>
            <w:tcW w:w="6538" w:type="dxa"/>
            <w:gridSpan w:val="6"/>
            <w:vAlign w:val="center"/>
          </w:tcPr>
          <w:p w14:paraId="7AE9A754">
            <w:pPr>
              <w:widowControl/>
              <w:jc w:val="center"/>
              <w:rPr>
                <w:rFonts w:eastAsiaTheme="minorEastAsia"/>
                <w:color w:val="FF0000"/>
                <w:kern w:val="0"/>
                <w:szCs w:val="21"/>
              </w:rPr>
            </w:pPr>
            <w:r>
              <w:rPr>
                <w:rFonts w:eastAsiaTheme="minorEastAsia"/>
                <w:color w:val="FF0000"/>
                <w:kern w:val="0"/>
                <w:szCs w:val="21"/>
              </w:rPr>
              <w:t>厂界外延200m 范围</w:t>
            </w:r>
          </w:p>
        </w:tc>
        <w:tc>
          <w:tcPr>
            <w:tcW w:w="1474" w:type="dxa"/>
            <w:vAlign w:val="center"/>
          </w:tcPr>
          <w:p w14:paraId="48910A5C">
            <w:pPr>
              <w:widowControl/>
              <w:jc w:val="center"/>
              <w:rPr>
                <w:color w:val="000000" w:themeColor="text1"/>
              </w:rPr>
            </w:pPr>
            <w:r>
              <w:rPr>
                <w:color w:val="000000" w:themeColor="text1"/>
              </w:rPr>
              <w:t>/</w:t>
            </w:r>
          </w:p>
        </w:tc>
      </w:tr>
    </w:tbl>
    <w:p w14:paraId="0B2934F0">
      <w:pPr>
        <w:tabs>
          <w:tab w:val="left" w:pos="8160"/>
        </w:tabs>
        <w:jc w:val="center"/>
        <w:rPr>
          <w:b/>
          <w:color w:val="000000" w:themeColor="text1"/>
          <w:sz w:val="24"/>
        </w:rPr>
      </w:pPr>
    </w:p>
    <w:p w14:paraId="5EEC0033">
      <w:pPr>
        <w:pStyle w:val="4"/>
        <w:rPr>
          <w:rFonts w:ascii="Times New Roman" w:hAnsi="Times New Roman"/>
          <w:color w:val="000000" w:themeColor="text1"/>
        </w:rPr>
      </w:pPr>
      <w:bookmarkStart w:id="112" w:name="_Toc290295726"/>
      <w:bookmarkStart w:id="113" w:name="_Toc28117682"/>
      <w:bookmarkStart w:id="114" w:name="_Toc280621028"/>
      <w:bookmarkStart w:id="115" w:name="_Toc226540127"/>
      <w:bookmarkStart w:id="116" w:name="_Toc226540396"/>
      <w:bookmarkStart w:id="117" w:name="_Toc230393135"/>
      <w:bookmarkStart w:id="118" w:name="_Toc226861727"/>
      <w:r>
        <w:rPr>
          <w:rFonts w:ascii="Times New Roman" w:hAnsi="Times New Roman"/>
          <w:color w:val="000000" w:themeColor="text1"/>
        </w:rPr>
        <w:t>1.8评价工作程序</w:t>
      </w:r>
      <w:bookmarkEnd w:id="112"/>
      <w:bookmarkEnd w:id="113"/>
      <w:bookmarkEnd w:id="114"/>
    </w:p>
    <w:bookmarkEnd w:id="115"/>
    <w:bookmarkEnd w:id="116"/>
    <w:bookmarkEnd w:id="117"/>
    <w:bookmarkEnd w:id="118"/>
    <w:p w14:paraId="6B1DE947">
      <w:pPr>
        <w:rPr>
          <w:color w:val="000000" w:themeColor="text1"/>
          <w:sz w:val="24"/>
        </w:rPr>
      </w:pPr>
      <w:r>
        <w:rPr>
          <w:color w:val="000000" w:themeColor="text1"/>
          <w:sz w:val="24"/>
        </w:rPr>
        <w:t xml:space="preserve">   评价工作程序见图1.8-1。</w:t>
      </w:r>
    </w:p>
    <w:p w14:paraId="7C8C71F5">
      <w:pPr>
        <w:jc w:val="center"/>
        <w:rPr>
          <w:b/>
          <w:color w:val="000000" w:themeColor="text1"/>
          <w:sz w:val="24"/>
        </w:rPr>
      </w:pPr>
      <w:r>
        <w:rPr>
          <w:color w:val="000000" w:themeColor="text1"/>
        </w:rPr>
        <w:drawing>
          <wp:inline distT="0" distB="0" distL="0" distR="0">
            <wp:extent cx="5571490" cy="5382260"/>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cstate="print"/>
                    <a:stretch>
                      <a:fillRect/>
                    </a:stretch>
                  </pic:blipFill>
                  <pic:spPr>
                    <a:xfrm>
                      <a:off x="0" y="0"/>
                      <a:ext cx="5572837" cy="5383850"/>
                    </a:xfrm>
                    <a:prstGeom prst="rect">
                      <a:avLst/>
                    </a:prstGeom>
                  </pic:spPr>
                </pic:pic>
              </a:graphicData>
            </a:graphic>
          </wp:inline>
        </w:drawing>
      </w:r>
      <w:r>
        <w:rPr>
          <w:b/>
          <w:color w:val="000000" w:themeColor="text1"/>
          <w:sz w:val="24"/>
        </w:rPr>
        <w:t>图1.8-1  环评工作程序图</w:t>
      </w:r>
    </w:p>
    <w:p w14:paraId="01BEFA59">
      <w:pPr>
        <w:spacing w:line="360" w:lineRule="auto"/>
        <w:rPr>
          <w:b/>
          <w:color w:val="000000" w:themeColor="text1"/>
          <w:sz w:val="32"/>
          <w:szCs w:val="32"/>
        </w:rPr>
        <w:sectPr>
          <w:headerReference r:id="rId9" w:type="default"/>
          <w:footerReference r:id="rId10" w:type="default"/>
          <w:pgSz w:w="11906" w:h="16838"/>
          <w:pgMar w:top="1304" w:right="1797" w:bottom="1304" w:left="1797" w:header="851" w:footer="992" w:gutter="0"/>
          <w:cols w:space="425" w:num="1"/>
          <w:docGrid w:type="linesAndChars" w:linePitch="312" w:charSpace="0"/>
        </w:sectPr>
      </w:pPr>
    </w:p>
    <w:p w14:paraId="3D2DEAA2">
      <w:pPr>
        <w:pStyle w:val="3"/>
        <w:rPr>
          <w:color w:val="000000" w:themeColor="text1"/>
        </w:rPr>
      </w:pPr>
      <w:bookmarkStart w:id="119" w:name="_Toc280621031"/>
      <w:bookmarkStart w:id="120" w:name="_Toc290295732"/>
      <w:r>
        <w:rPr>
          <w:color w:val="000000" w:themeColor="text1"/>
        </w:rPr>
        <w:br w:type="page"/>
      </w:r>
      <w:bookmarkStart w:id="121" w:name="_Toc28117683"/>
      <w:r>
        <w:rPr>
          <w:color w:val="000000" w:themeColor="text1"/>
        </w:rPr>
        <w:t>2拟建项目概况</w:t>
      </w:r>
      <w:bookmarkEnd w:id="121"/>
    </w:p>
    <w:p w14:paraId="716C5CC9">
      <w:pPr>
        <w:pStyle w:val="4"/>
        <w:rPr>
          <w:rFonts w:ascii="Times New Roman" w:hAnsi="Times New Roman"/>
          <w:color w:val="000000" w:themeColor="text1"/>
        </w:rPr>
      </w:pPr>
      <w:bookmarkStart w:id="122" w:name="_Toc28117684"/>
      <w:r>
        <w:rPr>
          <w:rFonts w:ascii="Times New Roman" w:hAnsi="Times New Roman"/>
          <w:color w:val="000000" w:themeColor="text1"/>
        </w:rPr>
        <w:t>2.1拟建项目基本情况</w:t>
      </w:r>
      <w:bookmarkEnd w:id="119"/>
      <w:bookmarkEnd w:id="120"/>
      <w:bookmarkEnd w:id="122"/>
    </w:p>
    <w:p w14:paraId="3275E456">
      <w:pPr>
        <w:spacing w:line="360" w:lineRule="auto"/>
        <w:ind w:firstLine="480" w:firstLineChars="200"/>
        <w:rPr>
          <w:color w:val="000000" w:themeColor="text1"/>
          <w:sz w:val="24"/>
        </w:rPr>
      </w:pPr>
      <w:r>
        <w:rPr>
          <w:b/>
          <w:color w:val="000000" w:themeColor="text1"/>
          <w:sz w:val="24"/>
        </w:rPr>
        <w:t>1、项目名称：</w:t>
      </w:r>
      <w:r>
        <w:rPr>
          <w:color w:val="000000" w:themeColor="text1"/>
          <w:sz w:val="24"/>
        </w:rPr>
        <w:t>芒市鑫广塑料加工项目</w:t>
      </w:r>
    </w:p>
    <w:p w14:paraId="254FB399">
      <w:pPr>
        <w:spacing w:line="360" w:lineRule="auto"/>
        <w:ind w:firstLine="480" w:firstLineChars="200"/>
        <w:rPr>
          <w:color w:val="000000" w:themeColor="text1"/>
          <w:sz w:val="24"/>
        </w:rPr>
      </w:pPr>
      <w:r>
        <w:rPr>
          <w:b/>
          <w:color w:val="000000" w:themeColor="text1"/>
          <w:sz w:val="24"/>
        </w:rPr>
        <w:t>2、建设单位</w:t>
      </w:r>
      <w:r>
        <w:rPr>
          <w:color w:val="000000" w:themeColor="text1"/>
          <w:sz w:val="24"/>
        </w:rPr>
        <w:t>：芒市遮放镇鑫广塑料制品加工厂</w:t>
      </w:r>
    </w:p>
    <w:p w14:paraId="2918F1D4">
      <w:pPr>
        <w:spacing w:line="360" w:lineRule="auto"/>
        <w:ind w:firstLine="480" w:firstLineChars="200"/>
        <w:rPr>
          <w:color w:val="000000" w:themeColor="text1"/>
          <w:sz w:val="24"/>
        </w:rPr>
      </w:pPr>
      <w:r>
        <w:rPr>
          <w:b/>
          <w:color w:val="000000" w:themeColor="text1"/>
          <w:sz w:val="24"/>
        </w:rPr>
        <w:t>3、建设地点：</w:t>
      </w:r>
      <w:r>
        <w:rPr>
          <w:color w:val="000000" w:themeColor="text1"/>
          <w:sz w:val="24"/>
        </w:rPr>
        <w:t>云南省德宏州芒市遮放镇户拉村委会遮焕村民小组盛达泰硅业厂区内；</w:t>
      </w:r>
    </w:p>
    <w:p w14:paraId="312CD785">
      <w:pPr>
        <w:spacing w:line="360" w:lineRule="auto"/>
        <w:ind w:firstLine="480" w:firstLineChars="200"/>
        <w:rPr>
          <w:color w:val="000000" w:themeColor="text1"/>
          <w:sz w:val="24"/>
        </w:rPr>
      </w:pPr>
      <w:r>
        <w:rPr>
          <w:b/>
          <w:color w:val="000000" w:themeColor="text1"/>
          <w:sz w:val="24"/>
        </w:rPr>
        <w:t>4、建设性质：</w:t>
      </w:r>
      <w:r>
        <w:rPr>
          <w:color w:val="000000" w:themeColor="text1"/>
          <w:sz w:val="24"/>
        </w:rPr>
        <w:t>新建；</w:t>
      </w:r>
    </w:p>
    <w:p w14:paraId="768BF487">
      <w:pPr>
        <w:spacing w:line="360" w:lineRule="auto"/>
        <w:ind w:firstLine="480" w:firstLineChars="200"/>
        <w:rPr>
          <w:bCs/>
          <w:color w:val="000000" w:themeColor="text1"/>
          <w:sz w:val="24"/>
        </w:rPr>
      </w:pPr>
      <w:r>
        <w:rPr>
          <w:b/>
          <w:color w:val="000000" w:themeColor="text1"/>
          <w:sz w:val="24"/>
        </w:rPr>
        <w:t>5、工程内容：</w:t>
      </w:r>
      <w:r>
        <w:rPr>
          <w:bCs/>
          <w:color w:val="000000" w:themeColor="text1"/>
          <w:sz w:val="24"/>
        </w:rPr>
        <w:t>总用地面积13亩（13333m</w:t>
      </w:r>
      <w:r>
        <w:rPr>
          <w:bCs/>
          <w:color w:val="000000" w:themeColor="text1"/>
          <w:sz w:val="24"/>
          <w:vertAlign w:val="superscript"/>
        </w:rPr>
        <w:t>2</w:t>
      </w:r>
      <w:r>
        <w:rPr>
          <w:bCs/>
          <w:color w:val="000000" w:themeColor="text1"/>
          <w:sz w:val="24"/>
        </w:rPr>
        <w:t>），本次用地面积为8000m</w:t>
      </w:r>
      <w:r>
        <w:rPr>
          <w:bCs/>
          <w:color w:val="000000" w:themeColor="text1"/>
          <w:sz w:val="24"/>
          <w:vertAlign w:val="superscript"/>
        </w:rPr>
        <w:t>2</w:t>
      </w:r>
      <w:r>
        <w:rPr>
          <w:bCs/>
          <w:color w:val="000000" w:themeColor="text1"/>
          <w:sz w:val="24"/>
        </w:rPr>
        <w:t>（原为硅厂原料仓库，现废弃），预留用地为5333m</w:t>
      </w:r>
      <w:r>
        <w:rPr>
          <w:bCs/>
          <w:color w:val="000000" w:themeColor="text1"/>
          <w:sz w:val="24"/>
          <w:vertAlign w:val="superscript"/>
        </w:rPr>
        <w:t>2</w:t>
      </w:r>
      <w:r>
        <w:rPr>
          <w:bCs/>
          <w:color w:val="000000" w:themeColor="text1"/>
          <w:sz w:val="24"/>
        </w:rPr>
        <w:t>（原为混凝土搅拌站，早已废弃）</w:t>
      </w:r>
      <w:r>
        <w:rPr>
          <w:color w:val="000000" w:themeColor="text1"/>
          <w:sz w:val="24"/>
        </w:rPr>
        <w:t>，总建筑面积4000m</w:t>
      </w:r>
      <w:r>
        <w:rPr>
          <w:color w:val="000000" w:themeColor="text1"/>
          <w:sz w:val="24"/>
          <w:vertAlign w:val="superscript"/>
        </w:rPr>
        <w:t>2</w:t>
      </w:r>
      <w:r>
        <w:rPr>
          <w:color w:val="000000" w:themeColor="text1"/>
          <w:sz w:val="24"/>
        </w:rPr>
        <w:t>，</w:t>
      </w:r>
      <w:r>
        <w:rPr>
          <w:bCs/>
          <w:color w:val="000000" w:themeColor="text1"/>
          <w:sz w:val="24"/>
        </w:rPr>
        <w:t>本项目直接对现有硅厂1栋厂房进行改造、装修、安装设备即可（房屋不涉及拆除），同时新建1栋1F宿舍及1栋1F办公楼；</w:t>
      </w:r>
    </w:p>
    <w:p w14:paraId="1A85C60E">
      <w:pPr>
        <w:pStyle w:val="289"/>
        <w:spacing w:line="360" w:lineRule="auto"/>
        <w:ind w:left="51" w:right="51" w:firstLine="480" w:firstLineChars="200"/>
        <w:rPr>
          <w:bCs/>
          <w:color w:val="FF0000"/>
          <w:sz w:val="24"/>
        </w:rPr>
      </w:pPr>
      <w:r>
        <w:rPr>
          <w:bCs/>
          <w:color w:val="FF0000"/>
          <w:sz w:val="24"/>
        </w:rPr>
        <w:t>建成后，形成2条废塑料造粒生产线、1条编织袋生产线及相应配套设施，年生产塑料颗粒5000t，编织袋3000t，采用工艺为热熔挤压再生利用，将回收的废旧塑料经过分类、清洗、破碎、热熔挤压加工成型造粒及生产编织袋。</w:t>
      </w:r>
    </w:p>
    <w:p w14:paraId="3AAE682A">
      <w:pPr>
        <w:tabs>
          <w:tab w:val="left" w:pos="1936"/>
        </w:tabs>
        <w:spacing w:line="360" w:lineRule="auto"/>
        <w:ind w:firstLine="560" w:firstLineChars="200"/>
        <w:rPr>
          <w:color w:val="000000" w:themeColor="text1"/>
          <w:sz w:val="24"/>
        </w:rPr>
      </w:pPr>
      <w:r>
        <w:rPr>
          <w:bCs/>
          <w:color w:val="000000" w:themeColor="text1"/>
          <w:spacing w:val="20"/>
          <w:kern w:val="0"/>
          <w:sz w:val="24"/>
          <w:szCs w:val="28"/>
        </w:rPr>
        <w:t>截止2019年11月现场踏勘，项目区</w:t>
      </w:r>
      <w:r>
        <w:rPr>
          <w:color w:val="000000" w:themeColor="text1"/>
          <w:sz w:val="24"/>
        </w:rPr>
        <w:t>尚未开工建设。</w:t>
      </w:r>
    </w:p>
    <w:p w14:paraId="1A218007">
      <w:pPr>
        <w:pStyle w:val="289"/>
        <w:spacing w:line="360" w:lineRule="auto"/>
        <w:ind w:left="51" w:right="51" w:firstLine="480" w:firstLineChars="200"/>
        <w:jc w:val="left"/>
        <w:rPr>
          <w:color w:val="000000" w:themeColor="text1"/>
          <w:sz w:val="24"/>
        </w:rPr>
      </w:pPr>
      <w:r>
        <w:rPr>
          <w:b/>
          <w:color w:val="000000" w:themeColor="text1"/>
          <w:sz w:val="24"/>
        </w:rPr>
        <w:t>6、项目投资额：</w:t>
      </w:r>
      <w:r>
        <w:rPr>
          <w:color w:val="000000" w:themeColor="text1"/>
          <w:sz w:val="24"/>
        </w:rPr>
        <w:t>总投资200万元，其中环保投资68.71万元，占比34.36%。</w:t>
      </w:r>
    </w:p>
    <w:p w14:paraId="1FE9D7F6">
      <w:pPr>
        <w:pStyle w:val="4"/>
        <w:rPr>
          <w:rFonts w:ascii="Times New Roman" w:hAnsi="Times New Roman"/>
          <w:color w:val="000000" w:themeColor="text1"/>
        </w:rPr>
      </w:pPr>
      <w:bookmarkStart w:id="123" w:name="_Toc28117685"/>
      <w:r>
        <w:rPr>
          <w:rFonts w:ascii="Times New Roman" w:hAnsi="Times New Roman"/>
          <w:color w:val="000000" w:themeColor="text1"/>
        </w:rPr>
        <w:t>2.2项目建设规模和建设内容</w:t>
      </w:r>
      <w:bookmarkEnd w:id="123"/>
    </w:p>
    <w:p w14:paraId="544CAA8B">
      <w:pPr>
        <w:spacing w:line="360" w:lineRule="auto"/>
        <w:ind w:firstLine="480" w:firstLineChars="200"/>
        <w:rPr>
          <w:b/>
          <w:color w:val="000000" w:themeColor="text1"/>
          <w:sz w:val="24"/>
        </w:rPr>
      </w:pPr>
      <w:r>
        <w:rPr>
          <w:b/>
          <w:color w:val="000000" w:themeColor="text1"/>
          <w:sz w:val="24"/>
        </w:rPr>
        <w:t>1、建设内容</w:t>
      </w:r>
    </w:p>
    <w:p w14:paraId="56C261F9">
      <w:pPr>
        <w:spacing w:line="360" w:lineRule="auto"/>
        <w:ind w:firstLine="480" w:firstLineChars="200"/>
        <w:rPr>
          <w:color w:val="000000" w:themeColor="text1"/>
          <w:sz w:val="24"/>
        </w:rPr>
      </w:pPr>
      <w:r>
        <w:rPr>
          <w:color w:val="000000" w:themeColor="text1"/>
          <w:sz w:val="24"/>
        </w:rPr>
        <w:t>详见附图2总平面布置图。</w:t>
      </w:r>
    </w:p>
    <w:p w14:paraId="43A52AA5">
      <w:pPr>
        <w:jc w:val="center"/>
        <w:rPr>
          <w:b/>
          <w:color w:val="000000" w:themeColor="text1"/>
          <w:sz w:val="24"/>
        </w:rPr>
      </w:pPr>
      <w:r>
        <w:rPr>
          <w:b/>
          <w:color w:val="000000" w:themeColor="text1"/>
          <w:sz w:val="24"/>
        </w:rPr>
        <w:t>表2.2-1 拟建项目建设内容一览表</w:t>
      </w:r>
    </w:p>
    <w:tbl>
      <w:tblPr>
        <w:tblStyle w:val="42"/>
        <w:tblW w:w="5000"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53"/>
        <w:gridCol w:w="631"/>
        <w:gridCol w:w="1670"/>
        <w:gridCol w:w="5468"/>
      </w:tblGrid>
      <w:tr w14:paraId="09127845">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blHeader/>
          <w:jc w:val="center"/>
        </w:trPr>
        <w:tc>
          <w:tcPr>
            <w:tcW w:w="442" w:type="pct"/>
            <w:vAlign w:val="center"/>
          </w:tcPr>
          <w:p w14:paraId="7DF76D39">
            <w:pPr>
              <w:jc w:val="center"/>
              <w:rPr>
                <w:b/>
                <w:color w:val="000000" w:themeColor="text1"/>
                <w:szCs w:val="21"/>
              </w:rPr>
            </w:pPr>
            <w:r>
              <w:rPr>
                <w:b/>
                <w:color w:val="000000" w:themeColor="text1"/>
                <w:szCs w:val="21"/>
              </w:rPr>
              <w:t>工程组成</w:t>
            </w:r>
          </w:p>
        </w:tc>
        <w:tc>
          <w:tcPr>
            <w:tcW w:w="1350" w:type="pct"/>
            <w:gridSpan w:val="2"/>
            <w:vAlign w:val="center"/>
          </w:tcPr>
          <w:p w14:paraId="6AB47224">
            <w:pPr>
              <w:jc w:val="center"/>
              <w:rPr>
                <w:b/>
                <w:color w:val="000000" w:themeColor="text1"/>
                <w:szCs w:val="21"/>
              </w:rPr>
            </w:pPr>
            <w:r>
              <w:rPr>
                <w:b/>
                <w:color w:val="000000" w:themeColor="text1"/>
                <w:szCs w:val="21"/>
              </w:rPr>
              <w:t>工程名称</w:t>
            </w:r>
          </w:p>
        </w:tc>
        <w:tc>
          <w:tcPr>
            <w:tcW w:w="3208" w:type="pct"/>
            <w:vAlign w:val="center"/>
          </w:tcPr>
          <w:p w14:paraId="50A0A30A">
            <w:pPr>
              <w:jc w:val="center"/>
              <w:rPr>
                <w:b/>
                <w:color w:val="000000" w:themeColor="text1"/>
                <w:szCs w:val="21"/>
              </w:rPr>
            </w:pPr>
            <w:r>
              <w:rPr>
                <w:b/>
                <w:color w:val="000000" w:themeColor="text1"/>
                <w:szCs w:val="21"/>
              </w:rPr>
              <w:t>主要建设内容</w:t>
            </w:r>
          </w:p>
        </w:tc>
      </w:tr>
      <w:tr w14:paraId="3BD992EE">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2" w:type="pct"/>
            <w:vMerge w:val="restart"/>
            <w:vAlign w:val="center"/>
          </w:tcPr>
          <w:p w14:paraId="38812445">
            <w:pPr>
              <w:jc w:val="center"/>
              <w:rPr>
                <w:b/>
                <w:color w:val="000000" w:themeColor="text1"/>
                <w:szCs w:val="21"/>
              </w:rPr>
            </w:pPr>
            <w:r>
              <w:rPr>
                <w:b/>
                <w:color w:val="000000" w:themeColor="text1"/>
                <w:szCs w:val="21"/>
              </w:rPr>
              <w:t>主体</w:t>
            </w:r>
          </w:p>
          <w:p w14:paraId="4BD62225">
            <w:pPr>
              <w:jc w:val="center"/>
              <w:rPr>
                <w:b/>
                <w:color w:val="000000" w:themeColor="text1"/>
                <w:szCs w:val="21"/>
              </w:rPr>
            </w:pPr>
            <w:r>
              <w:rPr>
                <w:b/>
                <w:color w:val="000000" w:themeColor="text1"/>
                <w:szCs w:val="21"/>
              </w:rPr>
              <w:t>工程</w:t>
            </w:r>
          </w:p>
        </w:tc>
        <w:tc>
          <w:tcPr>
            <w:tcW w:w="370" w:type="pct"/>
            <w:vMerge w:val="restart"/>
            <w:vAlign w:val="center"/>
          </w:tcPr>
          <w:p w14:paraId="6A36C8FC">
            <w:pPr>
              <w:jc w:val="center"/>
              <w:rPr>
                <w:b/>
                <w:color w:val="000000" w:themeColor="text1"/>
                <w:szCs w:val="21"/>
              </w:rPr>
            </w:pPr>
            <w:r>
              <w:rPr>
                <w:b/>
                <w:color w:val="000000" w:themeColor="text1"/>
                <w:szCs w:val="21"/>
              </w:rPr>
              <w:t>生产区</w:t>
            </w:r>
          </w:p>
        </w:tc>
        <w:tc>
          <w:tcPr>
            <w:tcW w:w="980" w:type="pct"/>
            <w:vMerge w:val="restart"/>
            <w:vAlign w:val="center"/>
          </w:tcPr>
          <w:p w14:paraId="66F19D36">
            <w:pPr>
              <w:jc w:val="center"/>
              <w:rPr>
                <w:b/>
                <w:color w:val="000000" w:themeColor="text1"/>
                <w:szCs w:val="21"/>
              </w:rPr>
            </w:pPr>
            <w:r>
              <w:rPr>
                <w:b/>
                <w:bCs/>
                <w:color w:val="000000" w:themeColor="text1"/>
                <w:szCs w:val="21"/>
              </w:rPr>
              <w:t>塑料造粒生产区</w:t>
            </w:r>
          </w:p>
        </w:tc>
        <w:tc>
          <w:tcPr>
            <w:tcW w:w="3208" w:type="pct"/>
            <w:vAlign w:val="center"/>
          </w:tcPr>
          <w:p w14:paraId="11C4C2D3">
            <w:pPr>
              <w:ind w:firstLine="420" w:firstLineChars="200"/>
              <w:jc w:val="left"/>
              <w:rPr>
                <w:color w:val="FF0000"/>
                <w:szCs w:val="21"/>
              </w:rPr>
            </w:pPr>
            <w:r>
              <w:rPr>
                <w:color w:val="FF0000"/>
                <w:szCs w:val="21"/>
              </w:rPr>
              <w:t>1号生产线，位于项目区生产厂房东侧，1F ，位于1#生产厂房内，用于塑料破碎、清洗、再生造粒生产，设置一条生产线，层高8m。</w:t>
            </w:r>
          </w:p>
        </w:tc>
      </w:tr>
      <w:tr w14:paraId="1E765C0B">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2" w:type="pct"/>
            <w:vMerge w:val="continue"/>
            <w:vAlign w:val="center"/>
          </w:tcPr>
          <w:p w14:paraId="251883F5">
            <w:pPr>
              <w:jc w:val="center"/>
              <w:rPr>
                <w:b/>
                <w:color w:val="000000" w:themeColor="text1"/>
                <w:szCs w:val="21"/>
              </w:rPr>
            </w:pPr>
          </w:p>
        </w:tc>
        <w:tc>
          <w:tcPr>
            <w:tcW w:w="370" w:type="pct"/>
            <w:vMerge w:val="continue"/>
            <w:vAlign w:val="center"/>
          </w:tcPr>
          <w:p w14:paraId="5514CD83">
            <w:pPr>
              <w:jc w:val="center"/>
              <w:rPr>
                <w:b/>
                <w:color w:val="000000" w:themeColor="text1"/>
                <w:szCs w:val="21"/>
              </w:rPr>
            </w:pPr>
          </w:p>
        </w:tc>
        <w:tc>
          <w:tcPr>
            <w:tcW w:w="980" w:type="pct"/>
            <w:vMerge w:val="continue"/>
            <w:vAlign w:val="center"/>
          </w:tcPr>
          <w:p w14:paraId="2E94B335">
            <w:pPr>
              <w:jc w:val="center"/>
              <w:rPr>
                <w:b/>
                <w:bCs/>
                <w:color w:val="000000" w:themeColor="text1"/>
                <w:szCs w:val="21"/>
              </w:rPr>
            </w:pPr>
          </w:p>
        </w:tc>
        <w:tc>
          <w:tcPr>
            <w:tcW w:w="3208" w:type="pct"/>
            <w:vAlign w:val="center"/>
          </w:tcPr>
          <w:p w14:paraId="3B231EDF">
            <w:pPr>
              <w:ind w:firstLine="420" w:firstLineChars="200"/>
              <w:jc w:val="left"/>
              <w:rPr>
                <w:color w:val="FF0000"/>
                <w:szCs w:val="21"/>
              </w:rPr>
            </w:pPr>
            <w:r>
              <w:rPr>
                <w:color w:val="FF0000"/>
                <w:szCs w:val="21"/>
              </w:rPr>
              <w:t>2号生产线，位于2#生产厂房中间，用于塑料破碎、清洗、再生造粒生产，设置一条生产线。</w:t>
            </w:r>
          </w:p>
        </w:tc>
      </w:tr>
      <w:tr w14:paraId="0A35D068">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2" w:type="pct"/>
            <w:vMerge w:val="continue"/>
            <w:vAlign w:val="center"/>
          </w:tcPr>
          <w:p w14:paraId="59B65101">
            <w:pPr>
              <w:jc w:val="center"/>
              <w:rPr>
                <w:b/>
                <w:color w:val="000000" w:themeColor="text1"/>
                <w:szCs w:val="21"/>
              </w:rPr>
            </w:pPr>
          </w:p>
        </w:tc>
        <w:tc>
          <w:tcPr>
            <w:tcW w:w="370" w:type="pct"/>
            <w:vMerge w:val="continue"/>
            <w:vAlign w:val="center"/>
          </w:tcPr>
          <w:p w14:paraId="72978188">
            <w:pPr>
              <w:jc w:val="center"/>
              <w:rPr>
                <w:b/>
                <w:color w:val="000000" w:themeColor="text1"/>
                <w:szCs w:val="21"/>
              </w:rPr>
            </w:pPr>
          </w:p>
        </w:tc>
        <w:tc>
          <w:tcPr>
            <w:tcW w:w="980" w:type="pct"/>
            <w:vAlign w:val="center"/>
          </w:tcPr>
          <w:p w14:paraId="026E17BF">
            <w:pPr>
              <w:jc w:val="center"/>
              <w:rPr>
                <w:b/>
                <w:color w:val="000000" w:themeColor="text1"/>
                <w:szCs w:val="21"/>
              </w:rPr>
            </w:pPr>
            <w:r>
              <w:rPr>
                <w:b/>
                <w:color w:val="000000" w:themeColor="text1"/>
                <w:szCs w:val="21"/>
              </w:rPr>
              <w:t>编织袋生产区</w:t>
            </w:r>
          </w:p>
        </w:tc>
        <w:tc>
          <w:tcPr>
            <w:tcW w:w="3208" w:type="pct"/>
            <w:vAlign w:val="center"/>
          </w:tcPr>
          <w:p w14:paraId="64DEBBCE">
            <w:pPr>
              <w:ind w:firstLine="420" w:firstLineChars="200"/>
              <w:jc w:val="left"/>
              <w:rPr>
                <w:b/>
                <w:color w:val="000000" w:themeColor="text1"/>
                <w:szCs w:val="21"/>
              </w:rPr>
            </w:pPr>
            <w:r>
              <w:rPr>
                <w:color w:val="000000" w:themeColor="text1"/>
                <w:szCs w:val="21"/>
              </w:rPr>
              <w:t>位于项目区生产厂房西侧，1F ，用于编织袋生产，设置一条编织袋生产线（设置2台</w:t>
            </w:r>
            <w:r>
              <w:rPr>
                <w:color w:val="000000" w:themeColor="text1"/>
              </w:rPr>
              <w:t>平模拉丝机组、2台收卷机、40台圆织机、8台切缝一体机</w:t>
            </w:r>
            <w:r>
              <w:rPr>
                <w:color w:val="000000" w:themeColor="text1"/>
                <w:szCs w:val="21"/>
              </w:rPr>
              <w:t>），层高8m，年生产</w:t>
            </w:r>
            <w:r>
              <w:rPr>
                <w:bCs/>
                <w:color w:val="000000" w:themeColor="text1"/>
                <w:szCs w:val="21"/>
              </w:rPr>
              <w:t>编织袋3000吨</w:t>
            </w:r>
            <w:r>
              <w:rPr>
                <w:color w:val="000000" w:themeColor="text1"/>
                <w:szCs w:val="21"/>
              </w:rPr>
              <w:t>。</w:t>
            </w:r>
          </w:p>
        </w:tc>
      </w:tr>
      <w:tr w14:paraId="492B5009">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2" w:type="pct"/>
            <w:vMerge w:val="continue"/>
            <w:vAlign w:val="center"/>
          </w:tcPr>
          <w:p w14:paraId="5AE17059">
            <w:pPr>
              <w:jc w:val="center"/>
              <w:rPr>
                <w:b/>
                <w:color w:val="000000" w:themeColor="text1"/>
                <w:szCs w:val="21"/>
              </w:rPr>
            </w:pPr>
          </w:p>
        </w:tc>
        <w:tc>
          <w:tcPr>
            <w:tcW w:w="1350" w:type="pct"/>
            <w:gridSpan w:val="2"/>
            <w:vAlign w:val="center"/>
          </w:tcPr>
          <w:p w14:paraId="10060AB5">
            <w:pPr>
              <w:jc w:val="center"/>
              <w:rPr>
                <w:b/>
                <w:color w:val="000000" w:themeColor="text1"/>
                <w:kern w:val="0"/>
                <w:szCs w:val="21"/>
              </w:rPr>
            </w:pPr>
            <w:r>
              <w:rPr>
                <w:b/>
                <w:color w:val="000000" w:themeColor="text1"/>
                <w:szCs w:val="21"/>
              </w:rPr>
              <w:t>原料及成品仓库</w:t>
            </w:r>
          </w:p>
        </w:tc>
        <w:tc>
          <w:tcPr>
            <w:tcW w:w="3208" w:type="pct"/>
            <w:vAlign w:val="center"/>
          </w:tcPr>
          <w:p w14:paraId="1793C29A">
            <w:pPr>
              <w:ind w:firstLine="420" w:firstLineChars="200"/>
              <w:jc w:val="left"/>
              <w:rPr>
                <w:color w:val="000000" w:themeColor="text1"/>
                <w:szCs w:val="21"/>
              </w:rPr>
            </w:pPr>
            <w:r>
              <w:rPr>
                <w:color w:val="000000" w:themeColor="text1"/>
                <w:szCs w:val="21"/>
              </w:rPr>
              <w:t>位于项目区生产厂房中间， 1F，主要用于原料及成品存放。</w:t>
            </w:r>
          </w:p>
        </w:tc>
      </w:tr>
      <w:tr w14:paraId="200C86C8">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2" w:type="pct"/>
            <w:vMerge w:val="continue"/>
            <w:vAlign w:val="center"/>
          </w:tcPr>
          <w:p w14:paraId="2C1E5593">
            <w:pPr>
              <w:jc w:val="center"/>
              <w:rPr>
                <w:b/>
                <w:color w:val="000000" w:themeColor="text1"/>
                <w:szCs w:val="21"/>
              </w:rPr>
            </w:pPr>
          </w:p>
        </w:tc>
        <w:tc>
          <w:tcPr>
            <w:tcW w:w="1350" w:type="pct"/>
            <w:gridSpan w:val="2"/>
            <w:vAlign w:val="center"/>
          </w:tcPr>
          <w:p w14:paraId="7B280E19">
            <w:pPr>
              <w:jc w:val="center"/>
              <w:rPr>
                <w:b/>
                <w:color w:val="000000" w:themeColor="text1"/>
                <w:szCs w:val="21"/>
              </w:rPr>
            </w:pPr>
            <w:r>
              <w:rPr>
                <w:b/>
                <w:color w:val="000000" w:themeColor="text1"/>
                <w:szCs w:val="21"/>
              </w:rPr>
              <w:t>宿舍</w:t>
            </w:r>
          </w:p>
        </w:tc>
        <w:tc>
          <w:tcPr>
            <w:tcW w:w="3208" w:type="pct"/>
            <w:vAlign w:val="center"/>
          </w:tcPr>
          <w:p w14:paraId="3FE4238B">
            <w:pPr>
              <w:ind w:firstLine="420" w:firstLineChars="200"/>
              <w:jc w:val="left"/>
              <w:rPr>
                <w:color w:val="000000" w:themeColor="text1"/>
                <w:szCs w:val="21"/>
              </w:rPr>
            </w:pPr>
            <w:r>
              <w:rPr>
                <w:color w:val="000000" w:themeColor="text1"/>
                <w:szCs w:val="21"/>
              </w:rPr>
              <w:t>位于项目区南侧，建筑面积170m</w:t>
            </w:r>
            <w:r>
              <w:rPr>
                <w:color w:val="000000" w:themeColor="text1"/>
                <w:szCs w:val="21"/>
                <w:vertAlign w:val="superscript"/>
              </w:rPr>
              <w:t>2</w:t>
            </w:r>
            <w:r>
              <w:rPr>
                <w:color w:val="000000" w:themeColor="text1"/>
                <w:szCs w:val="21"/>
              </w:rPr>
              <w:t>，1栋1F，作为员工住宿。</w:t>
            </w:r>
          </w:p>
        </w:tc>
      </w:tr>
      <w:tr w14:paraId="138F1D57">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8" w:hRule="atLeast"/>
          <w:jc w:val="center"/>
        </w:trPr>
        <w:tc>
          <w:tcPr>
            <w:tcW w:w="442" w:type="pct"/>
            <w:vMerge w:val="continue"/>
            <w:vAlign w:val="center"/>
          </w:tcPr>
          <w:p w14:paraId="1A644798">
            <w:pPr>
              <w:jc w:val="center"/>
              <w:rPr>
                <w:b/>
                <w:color w:val="000000" w:themeColor="text1"/>
                <w:szCs w:val="21"/>
              </w:rPr>
            </w:pPr>
          </w:p>
        </w:tc>
        <w:tc>
          <w:tcPr>
            <w:tcW w:w="1350" w:type="pct"/>
            <w:gridSpan w:val="2"/>
            <w:vAlign w:val="center"/>
          </w:tcPr>
          <w:p w14:paraId="46C48D49">
            <w:pPr>
              <w:jc w:val="center"/>
              <w:rPr>
                <w:b/>
                <w:color w:val="000000" w:themeColor="text1"/>
                <w:szCs w:val="21"/>
              </w:rPr>
            </w:pPr>
            <w:r>
              <w:rPr>
                <w:b/>
                <w:color w:val="000000" w:themeColor="text1"/>
                <w:szCs w:val="21"/>
              </w:rPr>
              <w:t>办公区</w:t>
            </w:r>
          </w:p>
        </w:tc>
        <w:tc>
          <w:tcPr>
            <w:tcW w:w="3208" w:type="pct"/>
            <w:vAlign w:val="center"/>
          </w:tcPr>
          <w:p w14:paraId="72422FFF">
            <w:pPr>
              <w:ind w:firstLine="420" w:firstLineChars="200"/>
              <w:jc w:val="left"/>
              <w:rPr>
                <w:color w:val="000000" w:themeColor="text1"/>
                <w:szCs w:val="21"/>
              </w:rPr>
            </w:pPr>
            <w:r>
              <w:rPr>
                <w:color w:val="000000" w:themeColor="text1"/>
                <w:szCs w:val="21"/>
              </w:rPr>
              <w:t>位于项目区东侧，建筑面积217m</w:t>
            </w:r>
            <w:r>
              <w:rPr>
                <w:color w:val="000000" w:themeColor="text1"/>
                <w:szCs w:val="21"/>
                <w:vertAlign w:val="superscript"/>
              </w:rPr>
              <w:t>2</w:t>
            </w:r>
            <w:r>
              <w:rPr>
                <w:color w:val="000000" w:themeColor="text1"/>
                <w:szCs w:val="21"/>
              </w:rPr>
              <w:t>，1栋1F，作为办公。</w:t>
            </w:r>
          </w:p>
        </w:tc>
      </w:tr>
      <w:tr w14:paraId="3AA5999C">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2" w:type="pct"/>
            <w:vMerge w:val="continue"/>
            <w:vAlign w:val="center"/>
          </w:tcPr>
          <w:p w14:paraId="6CE8912E">
            <w:pPr>
              <w:jc w:val="center"/>
              <w:rPr>
                <w:b/>
                <w:color w:val="000000" w:themeColor="text1"/>
                <w:szCs w:val="21"/>
              </w:rPr>
            </w:pPr>
          </w:p>
        </w:tc>
        <w:tc>
          <w:tcPr>
            <w:tcW w:w="1350" w:type="pct"/>
            <w:gridSpan w:val="2"/>
            <w:vAlign w:val="center"/>
          </w:tcPr>
          <w:p w14:paraId="2C31638F">
            <w:pPr>
              <w:jc w:val="center"/>
              <w:rPr>
                <w:b/>
                <w:color w:val="000000" w:themeColor="text1"/>
                <w:szCs w:val="21"/>
              </w:rPr>
            </w:pPr>
            <w:r>
              <w:rPr>
                <w:b/>
                <w:color w:val="000000" w:themeColor="text1"/>
                <w:szCs w:val="21"/>
              </w:rPr>
              <w:t>食堂</w:t>
            </w:r>
          </w:p>
        </w:tc>
        <w:tc>
          <w:tcPr>
            <w:tcW w:w="3208" w:type="pct"/>
            <w:vAlign w:val="center"/>
          </w:tcPr>
          <w:p w14:paraId="297852AD">
            <w:pPr>
              <w:ind w:firstLine="420" w:firstLineChars="200"/>
              <w:jc w:val="left"/>
              <w:rPr>
                <w:color w:val="000000" w:themeColor="text1"/>
                <w:szCs w:val="21"/>
              </w:rPr>
            </w:pPr>
            <w:r>
              <w:rPr>
                <w:color w:val="000000" w:themeColor="text1"/>
                <w:szCs w:val="21"/>
              </w:rPr>
              <w:t>位于项目区北侧，建筑面积20m</w:t>
            </w:r>
            <w:r>
              <w:rPr>
                <w:color w:val="000000" w:themeColor="text1"/>
                <w:szCs w:val="21"/>
                <w:vertAlign w:val="superscript"/>
              </w:rPr>
              <w:t>2</w:t>
            </w:r>
            <w:r>
              <w:rPr>
                <w:color w:val="000000" w:themeColor="text1"/>
                <w:szCs w:val="21"/>
              </w:rPr>
              <w:t>，1栋1F，作为员工食堂。</w:t>
            </w:r>
          </w:p>
        </w:tc>
      </w:tr>
      <w:tr w14:paraId="09A828FE">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2" w:type="pct"/>
            <w:vMerge w:val="continue"/>
            <w:vAlign w:val="center"/>
          </w:tcPr>
          <w:p w14:paraId="45EC8CD8">
            <w:pPr>
              <w:jc w:val="center"/>
              <w:rPr>
                <w:b/>
                <w:color w:val="000000" w:themeColor="text1"/>
                <w:szCs w:val="21"/>
              </w:rPr>
            </w:pPr>
          </w:p>
        </w:tc>
        <w:tc>
          <w:tcPr>
            <w:tcW w:w="1350" w:type="pct"/>
            <w:gridSpan w:val="2"/>
            <w:vAlign w:val="center"/>
          </w:tcPr>
          <w:p w14:paraId="0B2FD278">
            <w:pPr>
              <w:jc w:val="center"/>
              <w:rPr>
                <w:b/>
                <w:color w:val="000000" w:themeColor="text1"/>
                <w:szCs w:val="21"/>
              </w:rPr>
            </w:pPr>
            <w:r>
              <w:rPr>
                <w:b/>
                <w:color w:val="000000" w:themeColor="text1"/>
                <w:szCs w:val="21"/>
              </w:rPr>
              <w:t>卫生间</w:t>
            </w:r>
          </w:p>
        </w:tc>
        <w:tc>
          <w:tcPr>
            <w:tcW w:w="3208" w:type="pct"/>
            <w:vAlign w:val="center"/>
          </w:tcPr>
          <w:p w14:paraId="2F441344">
            <w:pPr>
              <w:ind w:firstLine="420" w:firstLineChars="200"/>
              <w:jc w:val="left"/>
              <w:rPr>
                <w:color w:val="000000" w:themeColor="text1"/>
                <w:szCs w:val="21"/>
              </w:rPr>
            </w:pPr>
            <w:r>
              <w:rPr>
                <w:color w:val="000000" w:themeColor="text1"/>
                <w:szCs w:val="21"/>
              </w:rPr>
              <w:t>位于项目区北侧，建筑面积15m</w:t>
            </w:r>
            <w:r>
              <w:rPr>
                <w:color w:val="000000" w:themeColor="text1"/>
                <w:szCs w:val="21"/>
                <w:vertAlign w:val="superscript"/>
              </w:rPr>
              <w:t>2</w:t>
            </w:r>
            <w:r>
              <w:rPr>
                <w:color w:val="000000" w:themeColor="text1"/>
                <w:szCs w:val="21"/>
              </w:rPr>
              <w:t>，1栋1F。</w:t>
            </w:r>
          </w:p>
        </w:tc>
      </w:tr>
      <w:tr w14:paraId="29D7F3ED">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2" w:type="pct"/>
            <w:vMerge w:val="restart"/>
            <w:vAlign w:val="center"/>
          </w:tcPr>
          <w:p w14:paraId="70E4491F">
            <w:pPr>
              <w:jc w:val="center"/>
              <w:rPr>
                <w:b/>
                <w:color w:val="000000" w:themeColor="text1"/>
                <w:szCs w:val="21"/>
              </w:rPr>
            </w:pPr>
            <w:r>
              <w:rPr>
                <w:b/>
                <w:color w:val="000000" w:themeColor="text1"/>
                <w:szCs w:val="21"/>
              </w:rPr>
              <w:t>公用</w:t>
            </w:r>
          </w:p>
          <w:p w14:paraId="4335945A">
            <w:pPr>
              <w:jc w:val="center"/>
              <w:rPr>
                <w:b/>
                <w:color w:val="000000" w:themeColor="text1"/>
                <w:szCs w:val="21"/>
              </w:rPr>
            </w:pPr>
            <w:r>
              <w:rPr>
                <w:b/>
                <w:color w:val="000000" w:themeColor="text1"/>
                <w:szCs w:val="21"/>
              </w:rPr>
              <w:t>工程</w:t>
            </w:r>
          </w:p>
        </w:tc>
        <w:tc>
          <w:tcPr>
            <w:tcW w:w="1350" w:type="pct"/>
            <w:gridSpan w:val="2"/>
            <w:vAlign w:val="center"/>
          </w:tcPr>
          <w:p w14:paraId="65BDB21E">
            <w:pPr>
              <w:pStyle w:val="55"/>
              <w:ind w:left="422" w:hanging="422"/>
              <w:rPr>
                <w:b/>
                <w:color w:val="000000" w:themeColor="text1"/>
                <w:sz w:val="21"/>
              </w:rPr>
            </w:pPr>
            <w:r>
              <w:rPr>
                <w:b/>
                <w:color w:val="000000" w:themeColor="text1"/>
                <w:sz w:val="21"/>
              </w:rPr>
              <w:t>供水</w:t>
            </w:r>
          </w:p>
        </w:tc>
        <w:tc>
          <w:tcPr>
            <w:tcW w:w="3208" w:type="pct"/>
            <w:vAlign w:val="center"/>
          </w:tcPr>
          <w:p w14:paraId="435FF75A">
            <w:pPr>
              <w:pStyle w:val="289"/>
              <w:ind w:left="51" w:right="51" w:firstLine="420" w:firstLineChars="200"/>
              <w:jc w:val="left"/>
              <w:rPr>
                <w:color w:val="000000" w:themeColor="text1"/>
                <w:szCs w:val="21"/>
              </w:rPr>
            </w:pPr>
            <w:r>
              <w:rPr>
                <w:color w:val="000000" w:themeColor="text1"/>
                <w:szCs w:val="21"/>
              </w:rPr>
              <w:t>由盛达泰硅业已建的供水系统供给（高位水池、山箐水）；</w:t>
            </w:r>
          </w:p>
        </w:tc>
      </w:tr>
      <w:tr w14:paraId="2D96BB4E">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2" w:type="pct"/>
            <w:vMerge w:val="continue"/>
            <w:vAlign w:val="center"/>
          </w:tcPr>
          <w:p w14:paraId="3E9D46C5">
            <w:pPr>
              <w:jc w:val="center"/>
              <w:rPr>
                <w:b/>
                <w:color w:val="000000" w:themeColor="text1"/>
                <w:szCs w:val="21"/>
              </w:rPr>
            </w:pPr>
          </w:p>
        </w:tc>
        <w:tc>
          <w:tcPr>
            <w:tcW w:w="1350" w:type="pct"/>
            <w:gridSpan w:val="2"/>
            <w:vAlign w:val="center"/>
          </w:tcPr>
          <w:p w14:paraId="68947C9E">
            <w:pPr>
              <w:pStyle w:val="55"/>
              <w:ind w:left="422" w:hanging="422"/>
              <w:rPr>
                <w:b/>
                <w:color w:val="000000" w:themeColor="text1"/>
                <w:sz w:val="21"/>
              </w:rPr>
            </w:pPr>
            <w:r>
              <w:rPr>
                <w:b/>
                <w:color w:val="000000" w:themeColor="text1"/>
                <w:sz w:val="21"/>
              </w:rPr>
              <w:t>排水</w:t>
            </w:r>
          </w:p>
        </w:tc>
        <w:tc>
          <w:tcPr>
            <w:tcW w:w="3208" w:type="pct"/>
            <w:vAlign w:val="center"/>
          </w:tcPr>
          <w:p w14:paraId="4F826614">
            <w:pPr>
              <w:pStyle w:val="289"/>
              <w:ind w:left="51" w:right="51" w:firstLine="420" w:firstLineChars="200"/>
              <w:jc w:val="left"/>
              <w:rPr>
                <w:color w:val="000000" w:themeColor="text1"/>
                <w:szCs w:val="21"/>
              </w:rPr>
            </w:pPr>
            <w:r>
              <w:rPr>
                <w:color w:val="000000" w:themeColor="text1"/>
                <w:szCs w:val="21"/>
              </w:rPr>
              <w:t>项目实行雨污分流。</w:t>
            </w:r>
          </w:p>
          <w:p w14:paraId="6B087D78">
            <w:pPr>
              <w:pStyle w:val="289"/>
              <w:ind w:left="51" w:right="51" w:firstLine="420" w:firstLineChars="200"/>
              <w:jc w:val="left"/>
              <w:rPr>
                <w:b/>
                <w:color w:val="000000" w:themeColor="text1"/>
                <w:szCs w:val="21"/>
              </w:rPr>
            </w:pPr>
            <w:r>
              <w:rPr>
                <w:color w:val="000000" w:themeColor="text1"/>
                <w:szCs w:val="21"/>
              </w:rPr>
              <w:t>一个雨水收集池（3m</w:t>
            </w:r>
            <w:r>
              <w:rPr>
                <w:color w:val="000000" w:themeColor="text1"/>
                <w:szCs w:val="21"/>
                <w:vertAlign w:val="superscript"/>
              </w:rPr>
              <w:t>3</w:t>
            </w:r>
            <w:r>
              <w:rPr>
                <w:color w:val="000000" w:themeColor="text1"/>
                <w:szCs w:val="21"/>
              </w:rPr>
              <w:t>）。</w:t>
            </w:r>
          </w:p>
        </w:tc>
      </w:tr>
      <w:tr w14:paraId="2481D17A">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2" w:type="pct"/>
            <w:vMerge w:val="continue"/>
            <w:vAlign w:val="center"/>
          </w:tcPr>
          <w:p w14:paraId="18A15A57">
            <w:pPr>
              <w:jc w:val="center"/>
              <w:rPr>
                <w:b/>
                <w:color w:val="000000" w:themeColor="text1"/>
                <w:szCs w:val="21"/>
              </w:rPr>
            </w:pPr>
          </w:p>
        </w:tc>
        <w:tc>
          <w:tcPr>
            <w:tcW w:w="1350" w:type="pct"/>
            <w:gridSpan w:val="2"/>
            <w:vAlign w:val="center"/>
          </w:tcPr>
          <w:p w14:paraId="25B03F5D">
            <w:pPr>
              <w:pStyle w:val="55"/>
              <w:ind w:left="422" w:hanging="422"/>
              <w:rPr>
                <w:b/>
                <w:color w:val="000000" w:themeColor="text1"/>
                <w:sz w:val="21"/>
              </w:rPr>
            </w:pPr>
            <w:r>
              <w:rPr>
                <w:b/>
                <w:color w:val="000000" w:themeColor="text1"/>
                <w:sz w:val="21"/>
              </w:rPr>
              <w:t>供电</w:t>
            </w:r>
          </w:p>
        </w:tc>
        <w:tc>
          <w:tcPr>
            <w:tcW w:w="3208" w:type="pct"/>
            <w:vAlign w:val="center"/>
          </w:tcPr>
          <w:p w14:paraId="7E13D91D">
            <w:pPr>
              <w:pStyle w:val="289"/>
              <w:ind w:left="51" w:right="51" w:firstLine="420" w:firstLineChars="200"/>
              <w:jc w:val="left"/>
              <w:rPr>
                <w:color w:val="000000" w:themeColor="text1"/>
                <w:szCs w:val="21"/>
              </w:rPr>
            </w:pPr>
            <w:r>
              <w:rPr>
                <w:color w:val="000000" w:themeColor="text1"/>
                <w:szCs w:val="21"/>
              </w:rPr>
              <w:t>市政供电电网供应。</w:t>
            </w:r>
          </w:p>
        </w:tc>
      </w:tr>
      <w:tr w14:paraId="5CEC0FE7">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2" w:type="pct"/>
            <w:vMerge w:val="restart"/>
            <w:vAlign w:val="center"/>
          </w:tcPr>
          <w:p w14:paraId="0D6E32AE">
            <w:pPr>
              <w:jc w:val="center"/>
              <w:rPr>
                <w:b/>
                <w:color w:val="000000" w:themeColor="text1"/>
                <w:szCs w:val="21"/>
              </w:rPr>
            </w:pPr>
            <w:r>
              <w:rPr>
                <w:b/>
                <w:color w:val="000000" w:themeColor="text1"/>
                <w:szCs w:val="21"/>
              </w:rPr>
              <w:t>环保工程</w:t>
            </w:r>
          </w:p>
        </w:tc>
        <w:tc>
          <w:tcPr>
            <w:tcW w:w="1350" w:type="pct"/>
            <w:gridSpan w:val="2"/>
            <w:vAlign w:val="center"/>
          </w:tcPr>
          <w:p w14:paraId="4DE4F630">
            <w:pPr>
              <w:pStyle w:val="55"/>
              <w:ind w:left="422" w:hanging="422"/>
              <w:rPr>
                <w:b/>
                <w:color w:val="000000" w:themeColor="text1"/>
                <w:sz w:val="21"/>
              </w:rPr>
            </w:pPr>
            <w:r>
              <w:rPr>
                <w:b/>
                <w:color w:val="000000" w:themeColor="text1"/>
                <w:sz w:val="21"/>
              </w:rPr>
              <w:t>废气</w:t>
            </w:r>
          </w:p>
        </w:tc>
        <w:tc>
          <w:tcPr>
            <w:tcW w:w="3208" w:type="pct"/>
            <w:vAlign w:val="center"/>
          </w:tcPr>
          <w:p w14:paraId="483F6A0D">
            <w:pPr>
              <w:ind w:firstLine="420" w:firstLineChars="200"/>
              <w:jc w:val="left"/>
              <w:rPr>
                <w:b/>
                <w:color w:val="000000" w:themeColor="text1"/>
                <w:szCs w:val="21"/>
              </w:rPr>
            </w:pPr>
            <w:r>
              <w:rPr>
                <w:b/>
                <w:color w:val="000000" w:themeColor="text1"/>
                <w:szCs w:val="21"/>
              </w:rPr>
              <w:t>1、生产废气</w:t>
            </w:r>
          </w:p>
          <w:p w14:paraId="74FD6AD5">
            <w:pPr>
              <w:ind w:firstLine="420" w:firstLineChars="200"/>
              <w:jc w:val="left"/>
              <w:rPr>
                <w:b/>
                <w:color w:val="000000" w:themeColor="text1"/>
                <w:szCs w:val="21"/>
              </w:rPr>
            </w:pPr>
            <w:r>
              <w:rPr>
                <w:b/>
                <w:color w:val="000000" w:themeColor="text1"/>
                <w:szCs w:val="21"/>
              </w:rPr>
              <w:t>（1）造粒工序废气</w:t>
            </w:r>
          </w:p>
          <w:p w14:paraId="404951C0">
            <w:pPr>
              <w:ind w:firstLine="420" w:firstLineChars="200"/>
              <w:jc w:val="left"/>
              <w:rPr>
                <w:bCs/>
                <w:color w:val="000000" w:themeColor="text1"/>
                <w:szCs w:val="21"/>
              </w:rPr>
            </w:pPr>
            <w:r>
              <w:rPr>
                <w:color w:val="000000" w:themeColor="text1"/>
                <w:szCs w:val="21"/>
              </w:rPr>
              <w:t>造粒工序热熔挤出废气（颗粒物、非甲烷总烃），</w:t>
            </w:r>
            <w:r>
              <w:rPr>
                <w:bCs/>
                <w:color w:val="000000" w:themeColor="text1"/>
                <w:szCs w:val="21"/>
              </w:rPr>
              <w:t>拟在两条生产线塑料挤出机上方设置集气罩（每套风量为8000m</w:t>
            </w:r>
            <w:r>
              <w:rPr>
                <w:bCs/>
                <w:color w:val="000000" w:themeColor="text1"/>
                <w:szCs w:val="21"/>
                <w:vertAlign w:val="superscript"/>
              </w:rPr>
              <w:t>3</w:t>
            </w:r>
            <w:r>
              <w:rPr>
                <w:bCs/>
                <w:color w:val="000000" w:themeColor="text1"/>
                <w:szCs w:val="21"/>
              </w:rPr>
              <w:t>/h，集气效率90%），将颗粒物及非甲烷总烃引至过滤棉+UV光化学催化装置处理达标后（颗粒物处置效率95%，非甲烷总烃处置效率85%），通过管道引至15m的排气筒排放。</w:t>
            </w:r>
          </w:p>
          <w:p w14:paraId="06237E0A">
            <w:pPr>
              <w:ind w:firstLine="420" w:firstLineChars="200"/>
              <w:jc w:val="left"/>
              <w:rPr>
                <w:b/>
                <w:bCs/>
                <w:color w:val="000000" w:themeColor="text1"/>
                <w:szCs w:val="21"/>
              </w:rPr>
            </w:pPr>
            <w:r>
              <w:rPr>
                <w:b/>
                <w:bCs/>
                <w:color w:val="000000" w:themeColor="text1"/>
                <w:szCs w:val="21"/>
              </w:rPr>
              <w:t>（2）塑料编织袋废气</w:t>
            </w:r>
          </w:p>
          <w:p w14:paraId="065BA911">
            <w:pPr>
              <w:ind w:firstLine="420" w:firstLineChars="200"/>
              <w:jc w:val="left"/>
              <w:rPr>
                <w:bCs/>
                <w:color w:val="000000" w:themeColor="text1"/>
                <w:szCs w:val="21"/>
              </w:rPr>
            </w:pPr>
            <w:r>
              <w:rPr>
                <w:bCs/>
                <w:color w:val="000000" w:themeColor="text1"/>
                <w:szCs w:val="21"/>
              </w:rPr>
              <w:t>本项目生产过程中拉丝融化工序</w:t>
            </w:r>
            <w:r>
              <w:rPr>
                <w:color w:val="000000" w:themeColor="text1"/>
                <w:szCs w:val="21"/>
              </w:rPr>
              <w:t>废气（颗粒物、非甲烷总烃），</w:t>
            </w:r>
            <w:r>
              <w:rPr>
                <w:bCs/>
                <w:color w:val="000000" w:themeColor="text1"/>
                <w:szCs w:val="21"/>
              </w:rPr>
              <w:t>拟在拉丝机上方设置集气罩（风量为5000m</w:t>
            </w:r>
            <w:r>
              <w:rPr>
                <w:bCs/>
                <w:color w:val="000000" w:themeColor="text1"/>
                <w:szCs w:val="21"/>
                <w:vertAlign w:val="superscript"/>
              </w:rPr>
              <w:t>3</w:t>
            </w:r>
            <w:r>
              <w:rPr>
                <w:bCs/>
                <w:color w:val="000000" w:themeColor="text1"/>
                <w:szCs w:val="21"/>
              </w:rPr>
              <w:t>/h，集气效率90%），将非甲烷总烃引至过滤棉+UV光化学催化装置处理达标后（颗粒物处置效率95%，非甲烷总烃处置效率85%），通过管道引至15m的排气筒排放。</w:t>
            </w:r>
          </w:p>
          <w:p w14:paraId="37BC52BD">
            <w:pPr>
              <w:ind w:firstLine="420" w:firstLineChars="200"/>
              <w:jc w:val="left"/>
              <w:rPr>
                <w:b/>
                <w:color w:val="000000" w:themeColor="text1"/>
                <w:szCs w:val="21"/>
              </w:rPr>
            </w:pPr>
            <w:r>
              <w:rPr>
                <w:b/>
                <w:color w:val="000000" w:themeColor="text1"/>
                <w:szCs w:val="21"/>
              </w:rPr>
              <w:t>2、食堂油烟</w:t>
            </w:r>
          </w:p>
          <w:p w14:paraId="5F33ECE9">
            <w:pPr>
              <w:ind w:firstLine="420" w:firstLineChars="200"/>
              <w:jc w:val="left"/>
              <w:rPr>
                <w:color w:val="000000" w:themeColor="text1"/>
                <w:szCs w:val="21"/>
              </w:rPr>
            </w:pPr>
            <w:r>
              <w:rPr>
                <w:color w:val="000000" w:themeColor="text1"/>
                <w:szCs w:val="21"/>
              </w:rPr>
              <w:t>建设小型油烟净化装置（净化效率60%）。</w:t>
            </w:r>
          </w:p>
        </w:tc>
      </w:tr>
      <w:tr w14:paraId="5F5094F8">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2" w:type="pct"/>
            <w:vMerge w:val="continue"/>
            <w:vAlign w:val="center"/>
          </w:tcPr>
          <w:p w14:paraId="02D0CD26">
            <w:pPr>
              <w:jc w:val="center"/>
              <w:rPr>
                <w:b/>
                <w:color w:val="000000" w:themeColor="text1"/>
                <w:szCs w:val="21"/>
              </w:rPr>
            </w:pPr>
          </w:p>
        </w:tc>
        <w:tc>
          <w:tcPr>
            <w:tcW w:w="1350" w:type="pct"/>
            <w:gridSpan w:val="2"/>
            <w:vAlign w:val="center"/>
          </w:tcPr>
          <w:p w14:paraId="2B00AB98">
            <w:pPr>
              <w:pStyle w:val="55"/>
              <w:ind w:left="422" w:hanging="422"/>
              <w:rPr>
                <w:b/>
                <w:color w:val="000000" w:themeColor="text1"/>
                <w:sz w:val="21"/>
              </w:rPr>
            </w:pPr>
            <w:r>
              <w:rPr>
                <w:b/>
                <w:color w:val="000000" w:themeColor="text1"/>
                <w:sz w:val="21"/>
              </w:rPr>
              <w:t>废水</w:t>
            </w:r>
          </w:p>
        </w:tc>
        <w:tc>
          <w:tcPr>
            <w:tcW w:w="3208" w:type="pct"/>
            <w:vAlign w:val="center"/>
          </w:tcPr>
          <w:p w14:paraId="0CD6041A">
            <w:pPr>
              <w:pStyle w:val="289"/>
              <w:ind w:left="51" w:right="51" w:firstLine="420" w:firstLineChars="200"/>
              <w:jc w:val="left"/>
              <w:rPr>
                <w:b/>
                <w:color w:val="000000" w:themeColor="text1"/>
                <w:szCs w:val="21"/>
              </w:rPr>
            </w:pPr>
            <w:r>
              <w:rPr>
                <w:b/>
                <w:color w:val="000000" w:themeColor="text1"/>
                <w:szCs w:val="21"/>
              </w:rPr>
              <w:t>（1）雨水</w:t>
            </w:r>
          </w:p>
          <w:p w14:paraId="17B7BB45">
            <w:pPr>
              <w:pStyle w:val="289"/>
              <w:ind w:left="51" w:right="51" w:firstLine="420" w:firstLineChars="200"/>
              <w:jc w:val="left"/>
              <w:rPr>
                <w:color w:val="000000" w:themeColor="text1"/>
                <w:szCs w:val="21"/>
              </w:rPr>
            </w:pPr>
            <w:r>
              <w:rPr>
                <w:color w:val="000000" w:themeColor="text1"/>
                <w:szCs w:val="21"/>
              </w:rPr>
              <w:t>项目实行雨污分流；</w:t>
            </w:r>
            <w:r>
              <w:rPr>
                <w:color w:val="000000" w:themeColor="text1"/>
              </w:rPr>
              <w:t>一个雨水收集池（3m</w:t>
            </w:r>
            <w:r>
              <w:rPr>
                <w:color w:val="000000" w:themeColor="text1"/>
                <w:vertAlign w:val="superscript"/>
              </w:rPr>
              <w:t>3</w:t>
            </w:r>
            <w:r>
              <w:rPr>
                <w:color w:val="000000" w:themeColor="text1"/>
              </w:rPr>
              <w:t>）；建设</w:t>
            </w:r>
            <w:r>
              <w:rPr>
                <w:color w:val="000000" w:themeColor="text1"/>
                <w:szCs w:val="21"/>
              </w:rPr>
              <w:t>具有防雨、防风、防渗等功能的厂房或加盖雨棚的原料、生产仓库</w:t>
            </w:r>
          </w:p>
          <w:p w14:paraId="16A89D1C">
            <w:pPr>
              <w:pStyle w:val="289"/>
              <w:ind w:left="51" w:right="51" w:firstLine="420" w:firstLineChars="200"/>
              <w:jc w:val="left"/>
              <w:rPr>
                <w:b/>
                <w:color w:val="000000" w:themeColor="text1"/>
                <w:szCs w:val="21"/>
              </w:rPr>
            </w:pPr>
            <w:r>
              <w:rPr>
                <w:b/>
                <w:color w:val="000000" w:themeColor="text1"/>
                <w:szCs w:val="21"/>
              </w:rPr>
              <w:t>（2）生活废水处置措施</w:t>
            </w:r>
          </w:p>
          <w:p w14:paraId="088DAE26">
            <w:pPr>
              <w:pStyle w:val="59"/>
              <w:spacing w:line="240" w:lineRule="auto"/>
              <w:ind w:firstLine="420" w:firstLineChars="200"/>
              <w:jc w:val="both"/>
              <w:rPr>
                <w:bCs/>
                <w:color w:val="000000" w:themeColor="text1"/>
                <w:sz w:val="21"/>
                <w:szCs w:val="21"/>
              </w:rPr>
            </w:pPr>
            <w:r>
              <w:rPr>
                <w:bCs/>
                <w:color w:val="000000" w:themeColor="text1"/>
                <w:sz w:val="21"/>
                <w:szCs w:val="21"/>
              </w:rPr>
              <w:t>厨房废水经1个隔油池（0.2m</w:t>
            </w:r>
            <w:r>
              <w:rPr>
                <w:bCs/>
                <w:color w:val="000000" w:themeColor="text1"/>
                <w:sz w:val="21"/>
                <w:szCs w:val="21"/>
                <w:vertAlign w:val="superscript"/>
              </w:rPr>
              <w:t>3</w:t>
            </w:r>
            <w:r>
              <w:rPr>
                <w:bCs/>
                <w:color w:val="000000" w:themeColor="text1"/>
                <w:sz w:val="21"/>
                <w:szCs w:val="21"/>
              </w:rPr>
              <w:t>）处理后，与其它生活废水排入化粪池（26m</w:t>
            </w:r>
            <w:r>
              <w:rPr>
                <w:bCs/>
                <w:color w:val="000000" w:themeColor="text1"/>
                <w:sz w:val="21"/>
                <w:szCs w:val="21"/>
                <w:vertAlign w:val="superscript"/>
              </w:rPr>
              <w:t>3</w:t>
            </w:r>
            <w:r>
              <w:rPr>
                <w:bCs/>
                <w:color w:val="000000" w:themeColor="text1"/>
                <w:sz w:val="21"/>
                <w:szCs w:val="21"/>
              </w:rPr>
              <w:t>）处理，定期委托周边村民清运，用于农作物施肥。</w:t>
            </w:r>
          </w:p>
          <w:p w14:paraId="7EA1C523">
            <w:pPr>
              <w:pStyle w:val="289"/>
              <w:ind w:left="51" w:right="51" w:firstLine="420" w:firstLineChars="200"/>
              <w:jc w:val="left"/>
              <w:rPr>
                <w:b/>
                <w:color w:val="000000" w:themeColor="text1"/>
                <w:szCs w:val="21"/>
              </w:rPr>
            </w:pPr>
            <w:r>
              <w:rPr>
                <w:b/>
                <w:color w:val="000000" w:themeColor="text1"/>
                <w:szCs w:val="21"/>
              </w:rPr>
              <w:t>（3）生产废水</w:t>
            </w:r>
          </w:p>
          <w:p w14:paraId="0653C7FC">
            <w:pPr>
              <w:pStyle w:val="289"/>
              <w:ind w:left="51" w:right="51" w:firstLine="420" w:firstLineChars="200"/>
              <w:jc w:val="left"/>
              <w:rPr>
                <w:color w:val="000000" w:themeColor="text1"/>
                <w:szCs w:val="21"/>
              </w:rPr>
            </w:pPr>
            <w:r>
              <w:rPr>
                <w:bCs/>
                <w:color w:val="000000" w:themeColor="text1"/>
                <w:szCs w:val="21"/>
              </w:rPr>
              <w:t>生产废水中清洗、破碎废水通过自建污水处理设施（1个2m</w:t>
            </w:r>
            <w:r>
              <w:rPr>
                <w:bCs/>
                <w:color w:val="000000" w:themeColor="text1"/>
                <w:szCs w:val="21"/>
                <w:vertAlign w:val="superscript"/>
              </w:rPr>
              <w:t>3</w:t>
            </w:r>
            <w:r>
              <w:rPr>
                <w:bCs/>
                <w:color w:val="000000" w:themeColor="text1"/>
                <w:szCs w:val="21"/>
              </w:rPr>
              <w:t>隔油池+1000m</w:t>
            </w:r>
            <w:r>
              <w:rPr>
                <w:bCs/>
                <w:color w:val="000000" w:themeColor="text1"/>
                <w:szCs w:val="21"/>
                <w:vertAlign w:val="superscript"/>
              </w:rPr>
              <w:t>3</w:t>
            </w:r>
            <w:r>
              <w:rPr>
                <w:bCs/>
                <w:color w:val="000000" w:themeColor="text1"/>
                <w:szCs w:val="21"/>
              </w:rPr>
              <w:t>沉淀池）处理达</w:t>
            </w:r>
            <w:r>
              <w:rPr>
                <w:color w:val="000000" w:themeColor="text1"/>
                <w:szCs w:val="21"/>
              </w:rPr>
              <w:t>《城市污水再生利用 工业用水水质标准》（GB/T19923-2005）洗涤用水水质标准</w:t>
            </w:r>
            <w:r>
              <w:rPr>
                <w:bCs/>
                <w:color w:val="000000" w:themeColor="text1"/>
                <w:szCs w:val="21"/>
              </w:rPr>
              <w:t>后，回用于生产，不外排</w:t>
            </w:r>
            <w:r>
              <w:rPr>
                <w:color w:val="000000" w:themeColor="text1"/>
                <w:szCs w:val="21"/>
              </w:rPr>
              <w:t>。</w:t>
            </w:r>
          </w:p>
        </w:tc>
      </w:tr>
      <w:tr w14:paraId="7BDF5604">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2" w:type="pct"/>
            <w:vMerge w:val="continue"/>
            <w:vAlign w:val="center"/>
          </w:tcPr>
          <w:p w14:paraId="5F0BFFCA">
            <w:pPr>
              <w:jc w:val="center"/>
              <w:rPr>
                <w:b/>
                <w:color w:val="000000" w:themeColor="text1"/>
                <w:szCs w:val="21"/>
              </w:rPr>
            </w:pPr>
          </w:p>
        </w:tc>
        <w:tc>
          <w:tcPr>
            <w:tcW w:w="1350" w:type="pct"/>
            <w:gridSpan w:val="2"/>
            <w:vAlign w:val="center"/>
          </w:tcPr>
          <w:p w14:paraId="591D28F2">
            <w:pPr>
              <w:pStyle w:val="55"/>
              <w:ind w:left="422" w:hanging="422"/>
              <w:rPr>
                <w:b/>
                <w:color w:val="000000" w:themeColor="text1"/>
                <w:sz w:val="21"/>
              </w:rPr>
            </w:pPr>
            <w:r>
              <w:rPr>
                <w:b/>
                <w:color w:val="000000" w:themeColor="text1"/>
                <w:sz w:val="21"/>
              </w:rPr>
              <w:t>固废</w:t>
            </w:r>
          </w:p>
        </w:tc>
        <w:tc>
          <w:tcPr>
            <w:tcW w:w="3208" w:type="pct"/>
            <w:vAlign w:val="center"/>
          </w:tcPr>
          <w:p w14:paraId="7230DB9D">
            <w:pPr>
              <w:pStyle w:val="289"/>
              <w:ind w:left="51" w:right="51" w:firstLine="420" w:firstLineChars="200"/>
              <w:jc w:val="left"/>
              <w:rPr>
                <w:b/>
                <w:color w:val="000000" w:themeColor="text1"/>
                <w:szCs w:val="21"/>
              </w:rPr>
            </w:pPr>
            <w:r>
              <w:rPr>
                <w:b/>
                <w:color w:val="000000" w:themeColor="text1"/>
                <w:szCs w:val="21"/>
              </w:rPr>
              <w:t>（1）一般工业固体废物</w:t>
            </w:r>
          </w:p>
          <w:p w14:paraId="3DA67D9B">
            <w:pPr>
              <w:pStyle w:val="289"/>
              <w:ind w:left="51" w:right="51" w:firstLine="420" w:firstLineChars="200"/>
              <w:jc w:val="left"/>
              <w:rPr>
                <w:color w:val="000000" w:themeColor="text1"/>
                <w:szCs w:val="21"/>
              </w:rPr>
            </w:pPr>
            <w:r>
              <w:rPr>
                <w:color w:val="000000" w:themeColor="text1"/>
                <w:szCs w:val="21"/>
              </w:rPr>
              <w:t>项目区原料仓库北侧设置一般固废堆放间（占地15m</w:t>
            </w:r>
            <w:r>
              <w:rPr>
                <w:color w:val="000000" w:themeColor="text1"/>
                <w:szCs w:val="21"/>
                <w:vertAlign w:val="superscript"/>
              </w:rPr>
              <w:t>2</w:t>
            </w:r>
            <w:r>
              <w:rPr>
                <w:color w:val="000000" w:themeColor="text1"/>
                <w:szCs w:val="21"/>
              </w:rPr>
              <w:t>）。</w:t>
            </w:r>
          </w:p>
          <w:p w14:paraId="33B68CB6">
            <w:pPr>
              <w:pStyle w:val="289"/>
              <w:ind w:left="51" w:right="51" w:firstLine="420" w:firstLineChars="200"/>
              <w:jc w:val="left"/>
              <w:rPr>
                <w:b/>
                <w:color w:val="000000" w:themeColor="text1"/>
                <w:szCs w:val="21"/>
              </w:rPr>
            </w:pPr>
            <w:r>
              <w:rPr>
                <w:b/>
                <w:color w:val="000000" w:themeColor="text1"/>
                <w:szCs w:val="21"/>
              </w:rPr>
              <w:t>（2）生活垃圾</w:t>
            </w:r>
          </w:p>
          <w:p w14:paraId="552E9DB2">
            <w:pPr>
              <w:pStyle w:val="289"/>
              <w:ind w:left="51" w:right="51" w:firstLine="420" w:firstLineChars="200"/>
              <w:jc w:val="left"/>
              <w:rPr>
                <w:color w:val="000000" w:themeColor="text1"/>
                <w:szCs w:val="21"/>
              </w:rPr>
            </w:pPr>
            <w:r>
              <w:rPr>
                <w:color w:val="000000" w:themeColor="text1"/>
                <w:szCs w:val="21"/>
              </w:rPr>
              <w:t>设置垃圾桶，经分类收集后运至最近村庄垃圾收集点。</w:t>
            </w:r>
          </w:p>
          <w:p w14:paraId="72050322">
            <w:pPr>
              <w:pStyle w:val="289"/>
              <w:ind w:left="51" w:right="51" w:firstLine="420" w:firstLineChars="200"/>
              <w:jc w:val="left"/>
              <w:rPr>
                <w:b/>
                <w:color w:val="000000" w:themeColor="text1"/>
                <w:szCs w:val="21"/>
              </w:rPr>
            </w:pPr>
            <w:r>
              <w:rPr>
                <w:b/>
                <w:color w:val="000000" w:themeColor="text1"/>
                <w:szCs w:val="21"/>
              </w:rPr>
              <w:t>（3）危险废物存储间</w:t>
            </w:r>
          </w:p>
          <w:p w14:paraId="35F70A7D">
            <w:pPr>
              <w:pStyle w:val="296"/>
              <w:spacing w:line="240" w:lineRule="auto"/>
              <w:ind w:firstLine="420"/>
              <w:rPr>
                <w:rFonts w:cs="Times New Roman"/>
                <w:color w:val="000000" w:themeColor="text1"/>
                <w:sz w:val="21"/>
                <w:szCs w:val="21"/>
              </w:rPr>
            </w:pPr>
            <w:r>
              <w:rPr>
                <w:rFonts w:cs="Times New Roman"/>
                <w:color w:val="000000" w:themeColor="text1"/>
                <w:sz w:val="21"/>
                <w:szCs w:val="21"/>
              </w:rPr>
              <w:t>项目区仓库北侧设置危险废物存储间（占地5m</w:t>
            </w:r>
            <w:r>
              <w:rPr>
                <w:rFonts w:cs="Times New Roman"/>
                <w:color w:val="000000" w:themeColor="text1"/>
                <w:sz w:val="21"/>
                <w:szCs w:val="21"/>
                <w:vertAlign w:val="superscript"/>
              </w:rPr>
              <w:t>2</w:t>
            </w:r>
            <w:r>
              <w:rPr>
                <w:rFonts w:cs="Times New Roman"/>
                <w:color w:val="000000" w:themeColor="text1"/>
                <w:sz w:val="21"/>
                <w:szCs w:val="21"/>
              </w:rPr>
              <w:t>）。</w:t>
            </w:r>
          </w:p>
        </w:tc>
      </w:tr>
      <w:tr w14:paraId="221D2FB3">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2" w:type="pct"/>
            <w:vMerge w:val="continue"/>
            <w:vAlign w:val="center"/>
          </w:tcPr>
          <w:p w14:paraId="45BAE33C">
            <w:pPr>
              <w:jc w:val="center"/>
              <w:rPr>
                <w:b/>
                <w:color w:val="000000" w:themeColor="text1"/>
                <w:szCs w:val="21"/>
              </w:rPr>
            </w:pPr>
          </w:p>
        </w:tc>
        <w:tc>
          <w:tcPr>
            <w:tcW w:w="1350" w:type="pct"/>
            <w:gridSpan w:val="2"/>
            <w:vAlign w:val="center"/>
          </w:tcPr>
          <w:p w14:paraId="3C4FCCFB">
            <w:pPr>
              <w:pStyle w:val="55"/>
              <w:ind w:left="422" w:hanging="422"/>
              <w:rPr>
                <w:b/>
                <w:color w:val="000000" w:themeColor="text1"/>
                <w:sz w:val="21"/>
              </w:rPr>
            </w:pPr>
            <w:r>
              <w:rPr>
                <w:b/>
                <w:color w:val="000000" w:themeColor="text1"/>
                <w:sz w:val="21"/>
              </w:rPr>
              <w:t>噪声</w:t>
            </w:r>
          </w:p>
        </w:tc>
        <w:tc>
          <w:tcPr>
            <w:tcW w:w="3208" w:type="pct"/>
            <w:vAlign w:val="center"/>
          </w:tcPr>
          <w:p w14:paraId="76774DA5">
            <w:pPr>
              <w:pStyle w:val="289"/>
              <w:ind w:left="51" w:right="51" w:firstLine="420" w:firstLineChars="200"/>
              <w:jc w:val="left"/>
              <w:rPr>
                <w:color w:val="000000" w:themeColor="text1"/>
                <w:szCs w:val="21"/>
              </w:rPr>
            </w:pPr>
            <w:r>
              <w:rPr>
                <w:color w:val="000000" w:themeColor="text1"/>
                <w:szCs w:val="21"/>
              </w:rPr>
              <w:t>房屋隔声、设备减振。</w:t>
            </w:r>
          </w:p>
        </w:tc>
      </w:tr>
      <w:tr w14:paraId="3529152F">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42" w:type="pct"/>
            <w:vMerge w:val="continue"/>
            <w:vAlign w:val="center"/>
          </w:tcPr>
          <w:p w14:paraId="34111114">
            <w:pPr>
              <w:jc w:val="center"/>
              <w:rPr>
                <w:b/>
                <w:color w:val="000000" w:themeColor="text1"/>
                <w:szCs w:val="21"/>
              </w:rPr>
            </w:pPr>
          </w:p>
        </w:tc>
        <w:tc>
          <w:tcPr>
            <w:tcW w:w="1350" w:type="pct"/>
            <w:gridSpan w:val="2"/>
            <w:vAlign w:val="center"/>
          </w:tcPr>
          <w:p w14:paraId="61E6660A">
            <w:pPr>
              <w:pStyle w:val="55"/>
              <w:ind w:left="422" w:hanging="422"/>
              <w:rPr>
                <w:b/>
                <w:color w:val="000000" w:themeColor="text1"/>
                <w:sz w:val="21"/>
              </w:rPr>
            </w:pPr>
            <w:r>
              <w:rPr>
                <w:b/>
                <w:color w:val="000000" w:themeColor="text1"/>
                <w:sz w:val="21"/>
              </w:rPr>
              <w:t>地下水</w:t>
            </w:r>
          </w:p>
        </w:tc>
        <w:tc>
          <w:tcPr>
            <w:tcW w:w="3208" w:type="pct"/>
            <w:vAlign w:val="center"/>
          </w:tcPr>
          <w:p w14:paraId="4059F050">
            <w:pPr>
              <w:ind w:firstLine="420" w:firstLineChars="200"/>
              <w:jc w:val="left"/>
              <w:rPr>
                <w:color w:val="000000" w:themeColor="text1"/>
                <w:szCs w:val="21"/>
              </w:rPr>
            </w:pPr>
            <w:r>
              <w:rPr>
                <w:color w:val="000000" w:themeColor="text1"/>
                <w:szCs w:val="21"/>
              </w:rPr>
              <w:t>1、源头控制措施</w:t>
            </w:r>
          </w:p>
          <w:p w14:paraId="5E4FE2E0">
            <w:pPr>
              <w:ind w:firstLine="420" w:firstLineChars="200"/>
              <w:jc w:val="left"/>
              <w:rPr>
                <w:color w:val="000000" w:themeColor="text1"/>
                <w:szCs w:val="21"/>
              </w:rPr>
            </w:pPr>
            <w:r>
              <w:rPr>
                <w:color w:val="000000" w:themeColor="text1"/>
                <w:szCs w:val="21"/>
              </w:rPr>
              <w:t>加强对生产废水、生活污水处理与处置的管理。</w:t>
            </w:r>
          </w:p>
          <w:p w14:paraId="01ACEFD8">
            <w:pPr>
              <w:widowControl/>
              <w:adjustRightInd w:val="0"/>
              <w:snapToGrid w:val="0"/>
              <w:ind w:firstLine="420" w:firstLineChars="200"/>
              <w:rPr>
                <w:color w:val="000000" w:themeColor="text1"/>
                <w:szCs w:val="21"/>
              </w:rPr>
            </w:pPr>
            <w:r>
              <w:rPr>
                <w:color w:val="000000" w:themeColor="text1"/>
                <w:szCs w:val="21"/>
              </w:rPr>
              <w:t>2、分区防控措施</w:t>
            </w:r>
          </w:p>
          <w:p w14:paraId="0375ED28">
            <w:pPr>
              <w:widowControl/>
              <w:adjustRightInd w:val="0"/>
              <w:snapToGrid w:val="0"/>
              <w:ind w:firstLine="420" w:firstLineChars="200"/>
              <w:rPr>
                <w:color w:val="000000" w:themeColor="text1"/>
                <w:szCs w:val="21"/>
              </w:rPr>
            </w:pPr>
            <w:r>
              <w:rPr>
                <w:color w:val="000000" w:themeColor="text1"/>
                <w:szCs w:val="21"/>
              </w:rPr>
              <w:t>根据《环境影响评价技术导则 地下水环境》（HJ610-2016），将项目区分为重点防渗区、一般防渗区和简单防渗区。</w:t>
            </w:r>
          </w:p>
          <w:p w14:paraId="3BFDE95A">
            <w:pPr>
              <w:pStyle w:val="296"/>
              <w:spacing w:line="240" w:lineRule="auto"/>
              <w:ind w:firstLine="420"/>
              <w:rPr>
                <w:rFonts w:cs="Times New Roman"/>
                <w:color w:val="000000" w:themeColor="text1"/>
                <w:sz w:val="21"/>
                <w:szCs w:val="21"/>
              </w:rPr>
            </w:pPr>
            <w:r>
              <w:rPr>
                <w:rFonts w:cs="Times New Roman"/>
                <w:color w:val="000000" w:themeColor="text1"/>
                <w:sz w:val="21"/>
                <w:szCs w:val="21"/>
              </w:rPr>
              <w:t>重点防渗区：主要为危废间，基础采用6m厚压实粘土防渗，上面再用混凝土进行硬化。防渗性能应等效于厚度≥6m，渗透系数K≤1.0×10</w:t>
            </w:r>
            <w:r>
              <w:rPr>
                <w:rFonts w:cs="Times New Roman"/>
                <w:color w:val="000000" w:themeColor="text1"/>
                <w:sz w:val="21"/>
                <w:szCs w:val="21"/>
                <w:vertAlign w:val="superscript"/>
              </w:rPr>
              <w:t>-7</w:t>
            </w:r>
            <w:r>
              <w:rPr>
                <w:rFonts w:cs="Times New Roman"/>
                <w:color w:val="000000" w:themeColor="text1"/>
                <w:sz w:val="21"/>
                <w:szCs w:val="21"/>
              </w:rPr>
              <w:t>cm/s的黏土层的防渗性能。</w:t>
            </w:r>
          </w:p>
          <w:p w14:paraId="3FA51429">
            <w:pPr>
              <w:pStyle w:val="295"/>
              <w:spacing w:line="240" w:lineRule="auto"/>
              <w:ind w:firstLine="420"/>
              <w:rPr>
                <w:color w:val="000000" w:themeColor="text1"/>
                <w:sz w:val="21"/>
                <w:szCs w:val="21"/>
              </w:rPr>
            </w:pPr>
            <w:r>
              <w:rPr>
                <w:color w:val="000000" w:themeColor="text1"/>
                <w:sz w:val="21"/>
                <w:szCs w:val="21"/>
              </w:rPr>
              <w:t>一般防渗区：污水处理设施（隔油池+沉淀池）、原料仓库、破碎清洗生产区、造粒生产区等，基础采用1.5cm厚压实粘土防渗，上面再用混凝土进行硬化，防渗性能应等效于厚度≥1.5m，渗透系数K≤1.0×10</w:t>
            </w:r>
            <w:r>
              <w:rPr>
                <w:color w:val="000000" w:themeColor="text1"/>
                <w:sz w:val="21"/>
                <w:szCs w:val="21"/>
                <w:vertAlign w:val="superscript"/>
              </w:rPr>
              <w:t>-7</w:t>
            </w:r>
            <w:r>
              <w:rPr>
                <w:color w:val="000000" w:themeColor="text1"/>
                <w:sz w:val="21"/>
                <w:szCs w:val="21"/>
              </w:rPr>
              <w:t>cm/s的黏土层的防渗性能。</w:t>
            </w:r>
          </w:p>
          <w:p w14:paraId="318C6F83">
            <w:pPr>
              <w:pStyle w:val="15"/>
              <w:adjustRightInd w:val="0"/>
              <w:snapToGrid w:val="0"/>
              <w:ind w:firstLine="420" w:firstLineChars="200"/>
              <w:rPr>
                <w:color w:val="000000" w:themeColor="text1"/>
                <w:szCs w:val="21"/>
              </w:rPr>
            </w:pPr>
            <w:r>
              <w:rPr>
                <w:color w:val="000000" w:themeColor="text1"/>
                <w:szCs w:val="21"/>
              </w:rPr>
              <w:t>简单防渗区：住宿及办公区、厨房等，采用混凝土硬化。</w:t>
            </w:r>
          </w:p>
          <w:p w14:paraId="1260DB19">
            <w:pPr>
              <w:ind w:firstLine="420" w:firstLineChars="200"/>
              <w:jc w:val="left"/>
              <w:rPr>
                <w:color w:val="000000" w:themeColor="text1"/>
                <w:szCs w:val="21"/>
              </w:rPr>
            </w:pPr>
            <w:r>
              <w:rPr>
                <w:color w:val="000000" w:themeColor="text1"/>
                <w:szCs w:val="21"/>
              </w:rPr>
              <w:t>3、建立地下水环境跟踪监测制度</w:t>
            </w:r>
          </w:p>
          <w:p w14:paraId="0F8F82D2">
            <w:pPr>
              <w:ind w:firstLine="420" w:firstLineChars="200"/>
              <w:jc w:val="left"/>
              <w:rPr>
                <w:color w:val="000000" w:themeColor="text1"/>
                <w:szCs w:val="21"/>
              </w:rPr>
            </w:pPr>
            <w:r>
              <w:rPr>
                <w:color w:val="000000" w:themeColor="text1"/>
                <w:szCs w:val="21"/>
              </w:rPr>
              <w:t>本项目在项目区下游5m处设置1个污染源监测井，监测因子：pH、CODcr、BOD</w:t>
            </w:r>
            <w:r>
              <w:rPr>
                <w:color w:val="000000" w:themeColor="text1"/>
                <w:szCs w:val="21"/>
                <w:vertAlign w:val="subscript"/>
              </w:rPr>
              <w:t>5</w:t>
            </w:r>
            <w:r>
              <w:rPr>
                <w:color w:val="000000" w:themeColor="text1"/>
                <w:szCs w:val="21"/>
              </w:rPr>
              <w:t>、氨氮，建立地下水环境跟踪监测制度。</w:t>
            </w:r>
          </w:p>
        </w:tc>
      </w:tr>
    </w:tbl>
    <w:p w14:paraId="4FB4D566">
      <w:pPr>
        <w:jc w:val="center"/>
        <w:rPr>
          <w:b/>
          <w:color w:val="000000" w:themeColor="text1"/>
          <w:sz w:val="24"/>
        </w:rPr>
      </w:pPr>
    </w:p>
    <w:p w14:paraId="49927E12">
      <w:pPr>
        <w:rPr>
          <w:b/>
          <w:color w:val="000000" w:themeColor="text1"/>
          <w:sz w:val="24"/>
        </w:rPr>
      </w:pPr>
      <w:r>
        <w:rPr>
          <w:b/>
          <w:color w:val="000000" w:themeColor="text1"/>
          <w:sz w:val="24"/>
        </w:rPr>
        <w:t>2、建设项目主要经济技术指标</w:t>
      </w:r>
    </w:p>
    <w:p w14:paraId="74CB93AF">
      <w:pPr>
        <w:jc w:val="center"/>
        <w:rPr>
          <w:b/>
          <w:color w:val="000000" w:themeColor="text1"/>
          <w:sz w:val="24"/>
        </w:rPr>
      </w:pPr>
      <w:r>
        <w:rPr>
          <w:b/>
          <w:color w:val="000000" w:themeColor="text1"/>
          <w:sz w:val="24"/>
        </w:rPr>
        <w:t>表2.2-2 拟建项目主要经济技术指标</w:t>
      </w:r>
    </w:p>
    <w:tbl>
      <w:tblPr>
        <w:tblStyle w:val="42"/>
        <w:tblW w:w="5000" w:type="pct"/>
        <w:tblInd w:w="0" w:type="dxa"/>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816"/>
        <w:gridCol w:w="2127"/>
        <w:gridCol w:w="2695"/>
        <w:gridCol w:w="2884"/>
      </w:tblGrid>
      <w:tr w14:paraId="7CDD5635">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727" w:type="pct"/>
            <w:gridSpan w:val="2"/>
            <w:shd w:val="clear" w:color="auto" w:fill="auto"/>
            <w:vAlign w:val="center"/>
          </w:tcPr>
          <w:p w14:paraId="442ED0F8">
            <w:pPr>
              <w:widowControl/>
              <w:jc w:val="center"/>
              <w:rPr>
                <w:b/>
                <w:bCs/>
                <w:color w:val="000000" w:themeColor="text1"/>
                <w:kern w:val="0"/>
                <w:szCs w:val="21"/>
              </w:rPr>
            </w:pPr>
            <w:r>
              <w:rPr>
                <w:b/>
                <w:bCs/>
                <w:color w:val="000000" w:themeColor="text1"/>
                <w:kern w:val="0"/>
                <w:szCs w:val="21"/>
              </w:rPr>
              <w:t>项目</w:t>
            </w:r>
          </w:p>
        </w:tc>
        <w:tc>
          <w:tcPr>
            <w:tcW w:w="1581" w:type="pct"/>
            <w:shd w:val="clear" w:color="auto" w:fill="auto"/>
            <w:vAlign w:val="center"/>
          </w:tcPr>
          <w:p w14:paraId="435157D9">
            <w:pPr>
              <w:widowControl/>
              <w:jc w:val="center"/>
              <w:rPr>
                <w:b/>
                <w:bCs/>
                <w:color w:val="000000" w:themeColor="text1"/>
                <w:kern w:val="0"/>
                <w:szCs w:val="21"/>
              </w:rPr>
            </w:pPr>
            <w:r>
              <w:rPr>
                <w:b/>
                <w:bCs/>
                <w:color w:val="000000" w:themeColor="text1"/>
                <w:kern w:val="0"/>
                <w:szCs w:val="21"/>
              </w:rPr>
              <w:t>单位</w:t>
            </w:r>
          </w:p>
        </w:tc>
        <w:tc>
          <w:tcPr>
            <w:tcW w:w="1692" w:type="pct"/>
            <w:shd w:val="clear" w:color="auto" w:fill="auto"/>
            <w:vAlign w:val="center"/>
          </w:tcPr>
          <w:p w14:paraId="0D9FD9CF">
            <w:pPr>
              <w:widowControl/>
              <w:jc w:val="center"/>
              <w:rPr>
                <w:b/>
                <w:bCs/>
                <w:color w:val="000000" w:themeColor="text1"/>
                <w:kern w:val="0"/>
                <w:szCs w:val="21"/>
              </w:rPr>
            </w:pPr>
            <w:r>
              <w:rPr>
                <w:b/>
                <w:bCs/>
                <w:color w:val="000000" w:themeColor="text1"/>
                <w:kern w:val="0"/>
                <w:szCs w:val="21"/>
              </w:rPr>
              <w:t>指标</w:t>
            </w:r>
          </w:p>
        </w:tc>
      </w:tr>
      <w:tr w14:paraId="698BC48C">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727" w:type="pct"/>
            <w:gridSpan w:val="2"/>
            <w:shd w:val="clear" w:color="auto" w:fill="auto"/>
            <w:vAlign w:val="center"/>
          </w:tcPr>
          <w:p w14:paraId="44379BE2">
            <w:pPr>
              <w:widowControl/>
              <w:jc w:val="center"/>
              <w:rPr>
                <w:color w:val="000000" w:themeColor="text1"/>
                <w:kern w:val="0"/>
                <w:szCs w:val="21"/>
              </w:rPr>
            </w:pPr>
            <w:r>
              <w:rPr>
                <w:color w:val="000000" w:themeColor="text1"/>
                <w:kern w:val="0"/>
                <w:szCs w:val="21"/>
              </w:rPr>
              <w:t>总规划占地面积</w:t>
            </w:r>
          </w:p>
        </w:tc>
        <w:tc>
          <w:tcPr>
            <w:tcW w:w="1581" w:type="pct"/>
            <w:shd w:val="clear" w:color="auto" w:fill="auto"/>
            <w:vAlign w:val="center"/>
          </w:tcPr>
          <w:p w14:paraId="1D9A7F78">
            <w:pPr>
              <w:widowControl/>
              <w:jc w:val="center"/>
              <w:rPr>
                <w:color w:val="000000" w:themeColor="text1"/>
                <w:kern w:val="0"/>
                <w:szCs w:val="21"/>
              </w:rPr>
            </w:pPr>
            <w:r>
              <w:rPr>
                <w:color w:val="000000" w:themeColor="text1"/>
                <w:kern w:val="0"/>
                <w:szCs w:val="21"/>
              </w:rPr>
              <w:t>m</w:t>
            </w:r>
            <w:r>
              <w:rPr>
                <w:color w:val="000000" w:themeColor="text1"/>
                <w:kern w:val="0"/>
                <w:szCs w:val="21"/>
                <w:vertAlign w:val="superscript"/>
              </w:rPr>
              <w:t>2</w:t>
            </w:r>
          </w:p>
        </w:tc>
        <w:tc>
          <w:tcPr>
            <w:tcW w:w="1692" w:type="pct"/>
            <w:shd w:val="clear" w:color="auto" w:fill="auto"/>
            <w:vAlign w:val="center"/>
          </w:tcPr>
          <w:p w14:paraId="6F14FB8F">
            <w:pPr>
              <w:widowControl/>
              <w:jc w:val="center"/>
              <w:rPr>
                <w:color w:val="000000" w:themeColor="text1"/>
                <w:kern w:val="0"/>
                <w:szCs w:val="21"/>
              </w:rPr>
            </w:pPr>
            <w:r>
              <w:rPr>
                <w:color w:val="000000" w:themeColor="text1"/>
                <w:kern w:val="0"/>
                <w:szCs w:val="21"/>
              </w:rPr>
              <w:t>13333</w:t>
            </w:r>
          </w:p>
        </w:tc>
      </w:tr>
      <w:tr w14:paraId="6454D0B6">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727" w:type="pct"/>
            <w:gridSpan w:val="2"/>
            <w:shd w:val="clear" w:color="auto" w:fill="auto"/>
            <w:vAlign w:val="center"/>
          </w:tcPr>
          <w:p w14:paraId="797957C6">
            <w:pPr>
              <w:widowControl/>
              <w:jc w:val="center"/>
              <w:rPr>
                <w:color w:val="000000" w:themeColor="text1"/>
                <w:kern w:val="0"/>
                <w:szCs w:val="21"/>
              </w:rPr>
            </w:pPr>
            <w:r>
              <w:rPr>
                <w:color w:val="000000" w:themeColor="text1"/>
                <w:kern w:val="0"/>
                <w:szCs w:val="21"/>
              </w:rPr>
              <w:t>预留用地</w:t>
            </w:r>
          </w:p>
        </w:tc>
        <w:tc>
          <w:tcPr>
            <w:tcW w:w="1581" w:type="pct"/>
            <w:shd w:val="clear" w:color="auto" w:fill="auto"/>
            <w:vAlign w:val="center"/>
          </w:tcPr>
          <w:p w14:paraId="06034E9D">
            <w:pPr>
              <w:widowControl/>
              <w:jc w:val="center"/>
              <w:rPr>
                <w:color w:val="000000" w:themeColor="text1"/>
                <w:kern w:val="0"/>
                <w:szCs w:val="21"/>
              </w:rPr>
            </w:pPr>
            <w:r>
              <w:rPr>
                <w:color w:val="000000" w:themeColor="text1"/>
                <w:kern w:val="0"/>
                <w:szCs w:val="21"/>
              </w:rPr>
              <w:t>m</w:t>
            </w:r>
            <w:r>
              <w:rPr>
                <w:color w:val="000000" w:themeColor="text1"/>
                <w:kern w:val="0"/>
                <w:szCs w:val="21"/>
                <w:vertAlign w:val="superscript"/>
              </w:rPr>
              <w:t>2</w:t>
            </w:r>
          </w:p>
        </w:tc>
        <w:tc>
          <w:tcPr>
            <w:tcW w:w="1692" w:type="pct"/>
            <w:shd w:val="clear" w:color="auto" w:fill="auto"/>
            <w:vAlign w:val="center"/>
          </w:tcPr>
          <w:p w14:paraId="49C4A666">
            <w:pPr>
              <w:widowControl/>
              <w:jc w:val="center"/>
              <w:rPr>
                <w:color w:val="000000" w:themeColor="text1"/>
                <w:kern w:val="0"/>
                <w:szCs w:val="21"/>
              </w:rPr>
            </w:pPr>
            <w:r>
              <w:rPr>
                <w:color w:val="000000" w:themeColor="text1"/>
                <w:kern w:val="0"/>
                <w:szCs w:val="21"/>
              </w:rPr>
              <w:t>5333</w:t>
            </w:r>
          </w:p>
        </w:tc>
      </w:tr>
      <w:tr w14:paraId="01894E29">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727" w:type="pct"/>
            <w:gridSpan w:val="2"/>
            <w:shd w:val="clear" w:color="auto" w:fill="auto"/>
            <w:vAlign w:val="center"/>
          </w:tcPr>
          <w:p w14:paraId="6A1B995A">
            <w:pPr>
              <w:widowControl/>
              <w:jc w:val="center"/>
              <w:rPr>
                <w:color w:val="000000" w:themeColor="text1"/>
                <w:kern w:val="0"/>
                <w:szCs w:val="21"/>
              </w:rPr>
            </w:pPr>
            <w:r>
              <w:rPr>
                <w:color w:val="000000" w:themeColor="text1"/>
                <w:kern w:val="0"/>
                <w:szCs w:val="21"/>
              </w:rPr>
              <w:t>本项目用地面积</w:t>
            </w:r>
          </w:p>
        </w:tc>
        <w:tc>
          <w:tcPr>
            <w:tcW w:w="1581" w:type="pct"/>
            <w:shd w:val="clear" w:color="auto" w:fill="auto"/>
            <w:vAlign w:val="center"/>
          </w:tcPr>
          <w:p w14:paraId="09C67CB2">
            <w:pPr>
              <w:widowControl/>
              <w:jc w:val="center"/>
              <w:rPr>
                <w:color w:val="000000" w:themeColor="text1"/>
                <w:kern w:val="0"/>
                <w:szCs w:val="21"/>
              </w:rPr>
            </w:pPr>
            <w:r>
              <w:rPr>
                <w:color w:val="000000" w:themeColor="text1"/>
                <w:kern w:val="0"/>
                <w:szCs w:val="21"/>
              </w:rPr>
              <w:t>m</w:t>
            </w:r>
            <w:r>
              <w:rPr>
                <w:color w:val="000000" w:themeColor="text1"/>
                <w:kern w:val="0"/>
                <w:szCs w:val="21"/>
                <w:vertAlign w:val="superscript"/>
              </w:rPr>
              <w:t>2</w:t>
            </w:r>
          </w:p>
        </w:tc>
        <w:tc>
          <w:tcPr>
            <w:tcW w:w="1692" w:type="pct"/>
            <w:shd w:val="clear" w:color="auto" w:fill="auto"/>
            <w:vAlign w:val="center"/>
          </w:tcPr>
          <w:p w14:paraId="04362253">
            <w:pPr>
              <w:widowControl/>
              <w:jc w:val="center"/>
              <w:rPr>
                <w:color w:val="000000" w:themeColor="text1"/>
                <w:kern w:val="0"/>
                <w:szCs w:val="21"/>
              </w:rPr>
            </w:pPr>
            <w:r>
              <w:rPr>
                <w:color w:val="000000" w:themeColor="text1"/>
                <w:kern w:val="0"/>
                <w:szCs w:val="21"/>
              </w:rPr>
              <w:t>8000</w:t>
            </w:r>
          </w:p>
        </w:tc>
      </w:tr>
      <w:tr w14:paraId="158F78B0">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727" w:type="pct"/>
            <w:gridSpan w:val="2"/>
            <w:shd w:val="clear" w:color="auto" w:fill="auto"/>
            <w:vAlign w:val="center"/>
          </w:tcPr>
          <w:p w14:paraId="7A44CFF0">
            <w:pPr>
              <w:widowControl/>
              <w:jc w:val="center"/>
              <w:rPr>
                <w:color w:val="000000" w:themeColor="text1"/>
                <w:kern w:val="0"/>
                <w:szCs w:val="21"/>
              </w:rPr>
            </w:pPr>
            <w:r>
              <w:rPr>
                <w:color w:val="000000" w:themeColor="text1"/>
                <w:kern w:val="0"/>
                <w:szCs w:val="21"/>
              </w:rPr>
              <w:t>建筑面积</w:t>
            </w:r>
          </w:p>
        </w:tc>
        <w:tc>
          <w:tcPr>
            <w:tcW w:w="1581" w:type="pct"/>
            <w:shd w:val="clear" w:color="auto" w:fill="auto"/>
            <w:vAlign w:val="center"/>
          </w:tcPr>
          <w:p w14:paraId="1269183E">
            <w:pPr>
              <w:widowControl/>
              <w:jc w:val="center"/>
              <w:rPr>
                <w:color w:val="000000" w:themeColor="text1"/>
                <w:kern w:val="0"/>
                <w:szCs w:val="21"/>
              </w:rPr>
            </w:pPr>
            <w:r>
              <w:rPr>
                <w:color w:val="000000" w:themeColor="text1"/>
                <w:kern w:val="0"/>
                <w:szCs w:val="21"/>
              </w:rPr>
              <w:t>m</w:t>
            </w:r>
            <w:r>
              <w:rPr>
                <w:color w:val="000000" w:themeColor="text1"/>
                <w:kern w:val="0"/>
                <w:szCs w:val="21"/>
                <w:vertAlign w:val="superscript"/>
              </w:rPr>
              <w:t>2</w:t>
            </w:r>
          </w:p>
        </w:tc>
        <w:tc>
          <w:tcPr>
            <w:tcW w:w="1692" w:type="pct"/>
            <w:shd w:val="clear" w:color="auto" w:fill="auto"/>
            <w:vAlign w:val="center"/>
          </w:tcPr>
          <w:p w14:paraId="198E49DF">
            <w:pPr>
              <w:widowControl/>
              <w:jc w:val="center"/>
              <w:rPr>
                <w:color w:val="000000" w:themeColor="text1"/>
                <w:kern w:val="0"/>
                <w:szCs w:val="21"/>
              </w:rPr>
            </w:pPr>
            <w:r>
              <w:rPr>
                <w:color w:val="000000" w:themeColor="text1"/>
                <w:kern w:val="0"/>
                <w:szCs w:val="21"/>
              </w:rPr>
              <w:t>4000</w:t>
            </w:r>
          </w:p>
        </w:tc>
      </w:tr>
      <w:tr w14:paraId="5B890D43">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9" w:type="pct"/>
            <w:vMerge w:val="restart"/>
            <w:shd w:val="clear" w:color="auto" w:fill="auto"/>
            <w:vAlign w:val="center"/>
          </w:tcPr>
          <w:p w14:paraId="464AC0F3">
            <w:pPr>
              <w:widowControl/>
              <w:jc w:val="center"/>
              <w:rPr>
                <w:color w:val="000000" w:themeColor="text1"/>
                <w:kern w:val="0"/>
                <w:szCs w:val="21"/>
              </w:rPr>
            </w:pPr>
            <w:r>
              <w:rPr>
                <w:color w:val="000000" w:themeColor="text1"/>
                <w:kern w:val="0"/>
                <w:szCs w:val="21"/>
              </w:rPr>
              <w:t>其中</w:t>
            </w:r>
          </w:p>
        </w:tc>
        <w:tc>
          <w:tcPr>
            <w:tcW w:w="1248" w:type="pct"/>
            <w:shd w:val="clear" w:color="auto" w:fill="auto"/>
            <w:vAlign w:val="center"/>
          </w:tcPr>
          <w:p w14:paraId="6048605F">
            <w:pPr>
              <w:widowControl/>
              <w:jc w:val="center"/>
              <w:rPr>
                <w:color w:val="000000" w:themeColor="text1"/>
                <w:kern w:val="0"/>
                <w:szCs w:val="21"/>
              </w:rPr>
            </w:pPr>
            <w:r>
              <w:rPr>
                <w:color w:val="000000" w:themeColor="text1"/>
                <w:kern w:val="0"/>
                <w:szCs w:val="21"/>
              </w:rPr>
              <w:t>生产区</w:t>
            </w:r>
          </w:p>
        </w:tc>
        <w:tc>
          <w:tcPr>
            <w:tcW w:w="1581" w:type="pct"/>
            <w:shd w:val="clear" w:color="auto" w:fill="auto"/>
            <w:vAlign w:val="center"/>
          </w:tcPr>
          <w:p w14:paraId="34D8EB37">
            <w:pPr>
              <w:widowControl/>
              <w:jc w:val="center"/>
              <w:rPr>
                <w:color w:val="000000" w:themeColor="text1"/>
                <w:kern w:val="0"/>
                <w:szCs w:val="21"/>
              </w:rPr>
            </w:pPr>
            <w:r>
              <w:rPr>
                <w:color w:val="000000" w:themeColor="text1"/>
                <w:kern w:val="0"/>
                <w:szCs w:val="21"/>
              </w:rPr>
              <w:t>m</w:t>
            </w:r>
            <w:r>
              <w:rPr>
                <w:color w:val="000000" w:themeColor="text1"/>
                <w:kern w:val="0"/>
                <w:szCs w:val="21"/>
                <w:vertAlign w:val="superscript"/>
              </w:rPr>
              <w:t>2</w:t>
            </w:r>
          </w:p>
        </w:tc>
        <w:tc>
          <w:tcPr>
            <w:tcW w:w="1692" w:type="pct"/>
            <w:shd w:val="clear" w:color="auto" w:fill="auto"/>
            <w:vAlign w:val="center"/>
          </w:tcPr>
          <w:p w14:paraId="58FC2A8C">
            <w:pPr>
              <w:widowControl/>
              <w:jc w:val="center"/>
              <w:rPr>
                <w:color w:val="000000" w:themeColor="text1"/>
                <w:kern w:val="0"/>
                <w:szCs w:val="21"/>
              </w:rPr>
            </w:pPr>
            <w:r>
              <w:rPr>
                <w:color w:val="000000" w:themeColor="text1"/>
                <w:kern w:val="0"/>
                <w:szCs w:val="21"/>
              </w:rPr>
              <w:t>3500</w:t>
            </w:r>
          </w:p>
        </w:tc>
      </w:tr>
      <w:tr w14:paraId="34AB9352">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9" w:type="pct"/>
            <w:vMerge w:val="continue"/>
            <w:shd w:val="clear" w:color="auto" w:fill="auto"/>
            <w:vAlign w:val="center"/>
          </w:tcPr>
          <w:p w14:paraId="2C1D0139">
            <w:pPr>
              <w:widowControl/>
              <w:jc w:val="center"/>
              <w:rPr>
                <w:color w:val="000000" w:themeColor="text1"/>
                <w:kern w:val="0"/>
                <w:szCs w:val="21"/>
              </w:rPr>
            </w:pPr>
          </w:p>
        </w:tc>
        <w:tc>
          <w:tcPr>
            <w:tcW w:w="1248" w:type="pct"/>
            <w:shd w:val="clear" w:color="auto" w:fill="auto"/>
            <w:vAlign w:val="center"/>
          </w:tcPr>
          <w:p w14:paraId="02194823">
            <w:pPr>
              <w:widowControl/>
              <w:jc w:val="center"/>
              <w:rPr>
                <w:color w:val="000000" w:themeColor="text1"/>
                <w:kern w:val="0"/>
                <w:szCs w:val="21"/>
              </w:rPr>
            </w:pPr>
            <w:r>
              <w:rPr>
                <w:color w:val="000000" w:themeColor="text1"/>
                <w:kern w:val="0"/>
                <w:szCs w:val="21"/>
              </w:rPr>
              <w:t>住宿区</w:t>
            </w:r>
          </w:p>
        </w:tc>
        <w:tc>
          <w:tcPr>
            <w:tcW w:w="1581" w:type="pct"/>
            <w:shd w:val="clear" w:color="auto" w:fill="auto"/>
            <w:vAlign w:val="center"/>
          </w:tcPr>
          <w:p w14:paraId="1A9136A9">
            <w:pPr>
              <w:widowControl/>
              <w:jc w:val="center"/>
              <w:rPr>
                <w:color w:val="000000" w:themeColor="text1"/>
                <w:kern w:val="0"/>
                <w:szCs w:val="21"/>
              </w:rPr>
            </w:pPr>
            <w:r>
              <w:rPr>
                <w:color w:val="000000" w:themeColor="text1"/>
                <w:kern w:val="0"/>
                <w:szCs w:val="21"/>
              </w:rPr>
              <w:t>m</w:t>
            </w:r>
            <w:r>
              <w:rPr>
                <w:color w:val="000000" w:themeColor="text1"/>
                <w:kern w:val="0"/>
                <w:szCs w:val="21"/>
                <w:vertAlign w:val="superscript"/>
              </w:rPr>
              <w:t>2</w:t>
            </w:r>
          </w:p>
        </w:tc>
        <w:tc>
          <w:tcPr>
            <w:tcW w:w="1692" w:type="pct"/>
            <w:shd w:val="clear" w:color="auto" w:fill="auto"/>
            <w:vAlign w:val="center"/>
          </w:tcPr>
          <w:p w14:paraId="21F900FE">
            <w:pPr>
              <w:widowControl/>
              <w:jc w:val="center"/>
              <w:rPr>
                <w:color w:val="000000" w:themeColor="text1"/>
                <w:kern w:val="0"/>
                <w:szCs w:val="21"/>
              </w:rPr>
            </w:pPr>
            <w:r>
              <w:rPr>
                <w:color w:val="000000" w:themeColor="text1"/>
                <w:kern w:val="0"/>
                <w:szCs w:val="21"/>
              </w:rPr>
              <w:t>170</w:t>
            </w:r>
          </w:p>
        </w:tc>
      </w:tr>
      <w:tr w14:paraId="30DAEE5A">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9" w:type="pct"/>
            <w:vMerge w:val="continue"/>
            <w:vAlign w:val="center"/>
          </w:tcPr>
          <w:p w14:paraId="6341A87B">
            <w:pPr>
              <w:widowControl/>
              <w:jc w:val="left"/>
              <w:rPr>
                <w:color w:val="000000" w:themeColor="text1"/>
                <w:kern w:val="0"/>
                <w:szCs w:val="21"/>
              </w:rPr>
            </w:pPr>
          </w:p>
        </w:tc>
        <w:tc>
          <w:tcPr>
            <w:tcW w:w="1248" w:type="pct"/>
            <w:shd w:val="clear" w:color="auto" w:fill="auto"/>
            <w:vAlign w:val="center"/>
          </w:tcPr>
          <w:p w14:paraId="534DB96D">
            <w:pPr>
              <w:widowControl/>
              <w:jc w:val="center"/>
              <w:rPr>
                <w:color w:val="000000" w:themeColor="text1"/>
                <w:kern w:val="0"/>
                <w:szCs w:val="21"/>
              </w:rPr>
            </w:pPr>
            <w:r>
              <w:rPr>
                <w:color w:val="000000" w:themeColor="text1"/>
                <w:kern w:val="0"/>
                <w:szCs w:val="21"/>
              </w:rPr>
              <w:t>办公区</w:t>
            </w:r>
          </w:p>
        </w:tc>
        <w:tc>
          <w:tcPr>
            <w:tcW w:w="1581" w:type="pct"/>
            <w:shd w:val="clear" w:color="auto" w:fill="auto"/>
            <w:vAlign w:val="center"/>
          </w:tcPr>
          <w:p w14:paraId="21E489BA">
            <w:pPr>
              <w:widowControl/>
              <w:jc w:val="center"/>
              <w:rPr>
                <w:color w:val="000000" w:themeColor="text1"/>
                <w:kern w:val="0"/>
                <w:szCs w:val="21"/>
              </w:rPr>
            </w:pPr>
            <w:r>
              <w:rPr>
                <w:color w:val="000000" w:themeColor="text1"/>
                <w:kern w:val="0"/>
                <w:szCs w:val="21"/>
              </w:rPr>
              <w:t>m</w:t>
            </w:r>
            <w:r>
              <w:rPr>
                <w:color w:val="000000" w:themeColor="text1"/>
                <w:kern w:val="0"/>
                <w:szCs w:val="21"/>
                <w:vertAlign w:val="superscript"/>
              </w:rPr>
              <w:t>2</w:t>
            </w:r>
          </w:p>
        </w:tc>
        <w:tc>
          <w:tcPr>
            <w:tcW w:w="1692" w:type="pct"/>
            <w:shd w:val="clear" w:color="auto" w:fill="auto"/>
            <w:vAlign w:val="center"/>
          </w:tcPr>
          <w:p w14:paraId="5DC3AD71">
            <w:pPr>
              <w:widowControl/>
              <w:jc w:val="center"/>
              <w:rPr>
                <w:color w:val="000000" w:themeColor="text1"/>
                <w:kern w:val="0"/>
                <w:szCs w:val="21"/>
              </w:rPr>
            </w:pPr>
            <w:r>
              <w:rPr>
                <w:color w:val="000000" w:themeColor="text1"/>
                <w:kern w:val="0"/>
                <w:szCs w:val="21"/>
              </w:rPr>
              <w:t>295</w:t>
            </w:r>
          </w:p>
        </w:tc>
      </w:tr>
      <w:tr w14:paraId="4BEC9214">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9" w:type="pct"/>
            <w:vMerge w:val="continue"/>
            <w:vAlign w:val="center"/>
          </w:tcPr>
          <w:p w14:paraId="7CE7C185">
            <w:pPr>
              <w:widowControl/>
              <w:jc w:val="left"/>
              <w:rPr>
                <w:color w:val="000000" w:themeColor="text1"/>
                <w:kern w:val="0"/>
                <w:szCs w:val="21"/>
              </w:rPr>
            </w:pPr>
          </w:p>
        </w:tc>
        <w:tc>
          <w:tcPr>
            <w:tcW w:w="1248" w:type="pct"/>
            <w:shd w:val="clear" w:color="auto" w:fill="auto"/>
            <w:vAlign w:val="center"/>
          </w:tcPr>
          <w:p w14:paraId="32525C02">
            <w:pPr>
              <w:widowControl/>
              <w:jc w:val="center"/>
              <w:rPr>
                <w:color w:val="000000" w:themeColor="text1"/>
                <w:kern w:val="0"/>
                <w:szCs w:val="21"/>
              </w:rPr>
            </w:pPr>
            <w:r>
              <w:rPr>
                <w:color w:val="000000" w:themeColor="text1"/>
                <w:kern w:val="0"/>
                <w:szCs w:val="21"/>
              </w:rPr>
              <w:t>食堂</w:t>
            </w:r>
          </w:p>
        </w:tc>
        <w:tc>
          <w:tcPr>
            <w:tcW w:w="1581" w:type="pct"/>
            <w:shd w:val="clear" w:color="auto" w:fill="auto"/>
            <w:vAlign w:val="center"/>
          </w:tcPr>
          <w:p w14:paraId="5D2A1B84">
            <w:pPr>
              <w:widowControl/>
              <w:jc w:val="center"/>
              <w:rPr>
                <w:color w:val="000000" w:themeColor="text1"/>
                <w:kern w:val="0"/>
                <w:szCs w:val="21"/>
              </w:rPr>
            </w:pPr>
            <w:r>
              <w:rPr>
                <w:color w:val="000000" w:themeColor="text1"/>
                <w:kern w:val="0"/>
                <w:szCs w:val="21"/>
              </w:rPr>
              <w:t>m</w:t>
            </w:r>
            <w:r>
              <w:rPr>
                <w:color w:val="000000" w:themeColor="text1"/>
                <w:kern w:val="0"/>
                <w:szCs w:val="21"/>
                <w:vertAlign w:val="superscript"/>
              </w:rPr>
              <w:t>2</w:t>
            </w:r>
          </w:p>
        </w:tc>
        <w:tc>
          <w:tcPr>
            <w:tcW w:w="1692" w:type="pct"/>
            <w:shd w:val="clear" w:color="auto" w:fill="auto"/>
            <w:vAlign w:val="center"/>
          </w:tcPr>
          <w:p w14:paraId="219E8F85">
            <w:pPr>
              <w:widowControl/>
              <w:jc w:val="center"/>
              <w:rPr>
                <w:color w:val="000000" w:themeColor="text1"/>
                <w:kern w:val="0"/>
                <w:szCs w:val="21"/>
              </w:rPr>
            </w:pPr>
            <w:r>
              <w:rPr>
                <w:color w:val="000000" w:themeColor="text1"/>
                <w:kern w:val="0"/>
                <w:szCs w:val="21"/>
              </w:rPr>
              <w:t>20</w:t>
            </w:r>
          </w:p>
        </w:tc>
      </w:tr>
      <w:tr w14:paraId="6BFDD685">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79" w:type="pct"/>
            <w:vMerge w:val="continue"/>
            <w:vAlign w:val="center"/>
          </w:tcPr>
          <w:p w14:paraId="3A33B024">
            <w:pPr>
              <w:widowControl/>
              <w:jc w:val="left"/>
              <w:rPr>
                <w:color w:val="000000" w:themeColor="text1"/>
                <w:kern w:val="0"/>
                <w:szCs w:val="21"/>
              </w:rPr>
            </w:pPr>
          </w:p>
        </w:tc>
        <w:tc>
          <w:tcPr>
            <w:tcW w:w="1248" w:type="pct"/>
            <w:shd w:val="clear" w:color="auto" w:fill="auto"/>
            <w:vAlign w:val="center"/>
          </w:tcPr>
          <w:p w14:paraId="62282FEE">
            <w:pPr>
              <w:widowControl/>
              <w:jc w:val="center"/>
              <w:rPr>
                <w:color w:val="000000" w:themeColor="text1"/>
                <w:kern w:val="0"/>
                <w:szCs w:val="21"/>
              </w:rPr>
            </w:pPr>
            <w:r>
              <w:rPr>
                <w:color w:val="000000" w:themeColor="text1"/>
                <w:kern w:val="0"/>
                <w:szCs w:val="21"/>
              </w:rPr>
              <w:t>卫生间</w:t>
            </w:r>
          </w:p>
        </w:tc>
        <w:tc>
          <w:tcPr>
            <w:tcW w:w="1581" w:type="pct"/>
            <w:shd w:val="clear" w:color="auto" w:fill="auto"/>
            <w:vAlign w:val="center"/>
          </w:tcPr>
          <w:p w14:paraId="4EC26784">
            <w:pPr>
              <w:widowControl/>
              <w:jc w:val="center"/>
              <w:rPr>
                <w:color w:val="000000" w:themeColor="text1"/>
                <w:kern w:val="0"/>
                <w:szCs w:val="21"/>
              </w:rPr>
            </w:pPr>
            <w:r>
              <w:rPr>
                <w:color w:val="000000" w:themeColor="text1"/>
                <w:kern w:val="0"/>
                <w:szCs w:val="21"/>
              </w:rPr>
              <w:t>m</w:t>
            </w:r>
            <w:r>
              <w:rPr>
                <w:color w:val="000000" w:themeColor="text1"/>
                <w:kern w:val="0"/>
                <w:szCs w:val="21"/>
                <w:vertAlign w:val="superscript"/>
              </w:rPr>
              <w:t>2</w:t>
            </w:r>
          </w:p>
        </w:tc>
        <w:tc>
          <w:tcPr>
            <w:tcW w:w="1692" w:type="pct"/>
            <w:shd w:val="clear" w:color="auto" w:fill="auto"/>
            <w:vAlign w:val="center"/>
          </w:tcPr>
          <w:p w14:paraId="4B35DC28">
            <w:pPr>
              <w:widowControl/>
              <w:jc w:val="center"/>
              <w:rPr>
                <w:color w:val="000000" w:themeColor="text1"/>
                <w:kern w:val="0"/>
                <w:szCs w:val="21"/>
              </w:rPr>
            </w:pPr>
            <w:r>
              <w:rPr>
                <w:color w:val="000000" w:themeColor="text1"/>
                <w:kern w:val="0"/>
                <w:szCs w:val="21"/>
              </w:rPr>
              <w:t>15</w:t>
            </w:r>
          </w:p>
        </w:tc>
      </w:tr>
      <w:tr w14:paraId="24A30FB4">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727" w:type="pct"/>
            <w:gridSpan w:val="2"/>
            <w:shd w:val="clear" w:color="auto" w:fill="auto"/>
            <w:vAlign w:val="center"/>
          </w:tcPr>
          <w:p w14:paraId="230BC4D2">
            <w:pPr>
              <w:widowControl/>
              <w:jc w:val="center"/>
              <w:rPr>
                <w:color w:val="000000" w:themeColor="text1"/>
                <w:kern w:val="0"/>
                <w:szCs w:val="21"/>
              </w:rPr>
            </w:pPr>
            <w:r>
              <w:rPr>
                <w:color w:val="000000" w:themeColor="text1"/>
                <w:kern w:val="0"/>
                <w:szCs w:val="21"/>
              </w:rPr>
              <w:t>其它（过道、硬地等）</w:t>
            </w:r>
          </w:p>
        </w:tc>
        <w:tc>
          <w:tcPr>
            <w:tcW w:w="1581" w:type="pct"/>
            <w:shd w:val="clear" w:color="auto" w:fill="auto"/>
            <w:vAlign w:val="center"/>
          </w:tcPr>
          <w:p w14:paraId="40A0071A">
            <w:pPr>
              <w:widowControl/>
              <w:jc w:val="center"/>
              <w:rPr>
                <w:color w:val="000000" w:themeColor="text1"/>
                <w:kern w:val="0"/>
                <w:szCs w:val="21"/>
              </w:rPr>
            </w:pPr>
            <w:r>
              <w:rPr>
                <w:color w:val="000000" w:themeColor="text1"/>
                <w:kern w:val="0"/>
                <w:szCs w:val="21"/>
              </w:rPr>
              <w:t>m</w:t>
            </w:r>
            <w:r>
              <w:rPr>
                <w:color w:val="000000" w:themeColor="text1"/>
                <w:kern w:val="0"/>
                <w:szCs w:val="21"/>
                <w:vertAlign w:val="superscript"/>
              </w:rPr>
              <w:t>2</w:t>
            </w:r>
          </w:p>
        </w:tc>
        <w:tc>
          <w:tcPr>
            <w:tcW w:w="1692" w:type="pct"/>
            <w:shd w:val="clear" w:color="auto" w:fill="auto"/>
            <w:vAlign w:val="center"/>
          </w:tcPr>
          <w:p w14:paraId="1097D1EF">
            <w:pPr>
              <w:widowControl/>
              <w:jc w:val="center"/>
              <w:rPr>
                <w:color w:val="000000" w:themeColor="text1"/>
                <w:kern w:val="0"/>
                <w:szCs w:val="21"/>
              </w:rPr>
            </w:pPr>
            <w:r>
              <w:rPr>
                <w:color w:val="000000" w:themeColor="text1"/>
                <w:kern w:val="0"/>
                <w:szCs w:val="21"/>
              </w:rPr>
              <w:t>4000</w:t>
            </w:r>
          </w:p>
        </w:tc>
      </w:tr>
    </w:tbl>
    <w:p w14:paraId="5AB93526">
      <w:pPr>
        <w:rPr>
          <w:color w:val="000000" w:themeColor="text1"/>
        </w:rPr>
      </w:pPr>
      <w:bookmarkStart w:id="124" w:name="_Toc362393125"/>
    </w:p>
    <w:p w14:paraId="2DF83541">
      <w:pPr>
        <w:pStyle w:val="4"/>
        <w:rPr>
          <w:rFonts w:ascii="Times New Roman" w:hAnsi="Times New Roman"/>
          <w:color w:val="000000" w:themeColor="text1"/>
        </w:rPr>
      </w:pPr>
      <w:bookmarkStart w:id="125" w:name="_Toc28117686"/>
      <w:r>
        <w:rPr>
          <w:rFonts w:ascii="Times New Roman" w:hAnsi="Times New Roman"/>
          <w:color w:val="000000" w:themeColor="text1"/>
        </w:rPr>
        <w:t>2.3拟建项目产品方案</w:t>
      </w:r>
      <w:bookmarkEnd w:id="124"/>
      <w:bookmarkEnd w:id="125"/>
    </w:p>
    <w:p w14:paraId="569D9054">
      <w:pPr>
        <w:jc w:val="center"/>
        <w:rPr>
          <w:b/>
          <w:bCs/>
          <w:color w:val="000000" w:themeColor="text1"/>
          <w:sz w:val="24"/>
        </w:rPr>
      </w:pPr>
      <w:r>
        <w:rPr>
          <w:b/>
          <w:bCs/>
          <w:color w:val="000000" w:themeColor="text1"/>
          <w:sz w:val="24"/>
        </w:rPr>
        <w:t xml:space="preserve">表2.3-1  </w:t>
      </w:r>
      <w:r>
        <w:rPr>
          <w:b/>
          <w:color w:val="000000" w:themeColor="text1"/>
          <w:sz w:val="24"/>
        </w:rPr>
        <w:t>拟建</w:t>
      </w:r>
      <w:r>
        <w:rPr>
          <w:b/>
          <w:bCs/>
          <w:color w:val="000000" w:themeColor="text1"/>
          <w:sz w:val="24"/>
        </w:rPr>
        <w:t>项目产品方案</w:t>
      </w:r>
    </w:p>
    <w:tbl>
      <w:tblPr>
        <w:tblStyle w:val="42"/>
        <w:tblW w:w="475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27"/>
        <w:gridCol w:w="829"/>
        <w:gridCol w:w="4643"/>
      </w:tblGrid>
      <w:tr w14:paraId="5273D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2" w:type="pct"/>
            <w:vAlign w:val="center"/>
          </w:tcPr>
          <w:p w14:paraId="284D6367">
            <w:pPr>
              <w:pStyle w:val="291"/>
              <w:adjustRightInd w:val="0"/>
              <w:snapToGrid w:val="0"/>
              <w:spacing w:line="240" w:lineRule="auto"/>
              <w:ind w:firstLine="0"/>
              <w:jc w:val="center"/>
              <w:rPr>
                <w:rFonts w:eastAsia="新宋体"/>
                <w:color w:val="000000" w:themeColor="text1"/>
                <w:sz w:val="21"/>
                <w:szCs w:val="21"/>
              </w:rPr>
            </w:pPr>
            <w:r>
              <w:rPr>
                <w:rFonts w:eastAsia="新宋体"/>
                <w:color w:val="000000" w:themeColor="text1"/>
                <w:sz w:val="21"/>
                <w:szCs w:val="21"/>
              </w:rPr>
              <w:t>产品名称</w:t>
            </w:r>
          </w:p>
        </w:tc>
        <w:tc>
          <w:tcPr>
            <w:tcW w:w="512" w:type="pct"/>
            <w:vAlign w:val="center"/>
          </w:tcPr>
          <w:p w14:paraId="5BBB5876">
            <w:pPr>
              <w:pStyle w:val="291"/>
              <w:adjustRightInd w:val="0"/>
              <w:snapToGrid w:val="0"/>
              <w:spacing w:line="240" w:lineRule="auto"/>
              <w:ind w:firstLine="0"/>
              <w:jc w:val="center"/>
              <w:rPr>
                <w:rFonts w:eastAsia="新宋体"/>
                <w:color w:val="000000" w:themeColor="text1"/>
                <w:sz w:val="21"/>
                <w:szCs w:val="21"/>
              </w:rPr>
            </w:pPr>
            <w:r>
              <w:rPr>
                <w:rFonts w:eastAsia="新宋体"/>
                <w:color w:val="000000" w:themeColor="text1"/>
                <w:sz w:val="21"/>
                <w:szCs w:val="21"/>
              </w:rPr>
              <w:t>单位</w:t>
            </w:r>
          </w:p>
        </w:tc>
        <w:tc>
          <w:tcPr>
            <w:tcW w:w="2866" w:type="pct"/>
            <w:vAlign w:val="center"/>
          </w:tcPr>
          <w:p w14:paraId="0B907842">
            <w:pPr>
              <w:pStyle w:val="291"/>
              <w:adjustRightInd w:val="0"/>
              <w:snapToGrid w:val="0"/>
              <w:spacing w:line="240" w:lineRule="auto"/>
              <w:ind w:firstLine="0"/>
              <w:jc w:val="center"/>
              <w:rPr>
                <w:rFonts w:eastAsia="新宋体"/>
                <w:color w:val="000000" w:themeColor="text1"/>
                <w:sz w:val="21"/>
                <w:szCs w:val="21"/>
              </w:rPr>
            </w:pPr>
            <w:r>
              <w:rPr>
                <w:rFonts w:eastAsia="新宋体"/>
                <w:color w:val="000000" w:themeColor="text1"/>
                <w:sz w:val="21"/>
                <w:szCs w:val="21"/>
              </w:rPr>
              <w:t>数量</w:t>
            </w:r>
          </w:p>
        </w:tc>
      </w:tr>
      <w:tr w14:paraId="7B633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2" w:type="pct"/>
            <w:vAlign w:val="center"/>
          </w:tcPr>
          <w:p w14:paraId="650B3C78">
            <w:pPr>
              <w:jc w:val="center"/>
              <w:rPr>
                <w:color w:val="000000" w:themeColor="text1"/>
              </w:rPr>
            </w:pPr>
            <w:r>
              <w:rPr>
                <w:color w:val="000000" w:themeColor="text1"/>
              </w:rPr>
              <w:t>再生塑料颗粒（PE、PP）</w:t>
            </w:r>
          </w:p>
        </w:tc>
        <w:tc>
          <w:tcPr>
            <w:tcW w:w="512" w:type="pct"/>
            <w:vAlign w:val="center"/>
          </w:tcPr>
          <w:p w14:paraId="156E9BDF">
            <w:pPr>
              <w:jc w:val="center"/>
              <w:rPr>
                <w:color w:val="000000" w:themeColor="text1"/>
              </w:rPr>
            </w:pPr>
            <w:r>
              <w:rPr>
                <w:color w:val="000000" w:themeColor="text1"/>
              </w:rPr>
              <w:t>吨</w:t>
            </w:r>
          </w:p>
        </w:tc>
        <w:tc>
          <w:tcPr>
            <w:tcW w:w="2866" w:type="pct"/>
            <w:vAlign w:val="center"/>
          </w:tcPr>
          <w:p w14:paraId="4F55FEA0">
            <w:pPr>
              <w:jc w:val="center"/>
              <w:rPr>
                <w:color w:val="000000" w:themeColor="text1"/>
              </w:rPr>
            </w:pPr>
            <w:r>
              <w:rPr>
                <w:color w:val="000000" w:themeColor="text1"/>
              </w:rPr>
              <w:t>5000</w:t>
            </w:r>
          </w:p>
        </w:tc>
      </w:tr>
      <w:tr w14:paraId="74CDA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2" w:type="pct"/>
            <w:vAlign w:val="center"/>
          </w:tcPr>
          <w:p w14:paraId="4397B7AD">
            <w:pPr>
              <w:jc w:val="center"/>
              <w:rPr>
                <w:color w:val="000000" w:themeColor="text1"/>
              </w:rPr>
            </w:pPr>
            <w:r>
              <w:rPr>
                <w:color w:val="000000" w:themeColor="text1"/>
              </w:rPr>
              <w:t>塑料编织袋</w:t>
            </w:r>
          </w:p>
        </w:tc>
        <w:tc>
          <w:tcPr>
            <w:tcW w:w="512" w:type="pct"/>
            <w:vAlign w:val="center"/>
          </w:tcPr>
          <w:p w14:paraId="313C194B">
            <w:pPr>
              <w:jc w:val="center"/>
              <w:rPr>
                <w:color w:val="000000" w:themeColor="text1"/>
              </w:rPr>
            </w:pPr>
            <w:r>
              <w:rPr>
                <w:color w:val="000000" w:themeColor="text1"/>
              </w:rPr>
              <w:t>吨</w:t>
            </w:r>
          </w:p>
        </w:tc>
        <w:tc>
          <w:tcPr>
            <w:tcW w:w="2866" w:type="pct"/>
            <w:vAlign w:val="center"/>
          </w:tcPr>
          <w:p w14:paraId="1F6CDEA0">
            <w:pPr>
              <w:jc w:val="center"/>
              <w:rPr>
                <w:color w:val="000000" w:themeColor="text1"/>
              </w:rPr>
            </w:pPr>
            <w:r>
              <w:rPr>
                <w:color w:val="000000" w:themeColor="text1"/>
              </w:rPr>
              <w:t>3000（规格：100cm×110cm、</w:t>
            </w:r>
            <w:r>
              <w:rPr>
                <w:szCs w:val="30"/>
              </w:rPr>
              <w:t>100cm×120cm等</w:t>
            </w:r>
            <w:r>
              <w:rPr>
                <w:color w:val="000000" w:themeColor="text1"/>
              </w:rPr>
              <w:t>）</w:t>
            </w:r>
          </w:p>
        </w:tc>
      </w:tr>
    </w:tbl>
    <w:p w14:paraId="2CC8CF81">
      <w:pPr>
        <w:pStyle w:val="289"/>
        <w:spacing w:line="360" w:lineRule="auto"/>
        <w:ind w:left="51" w:right="51" w:firstLine="480" w:firstLineChars="200"/>
        <w:rPr>
          <w:bCs/>
          <w:color w:val="000000" w:themeColor="text1"/>
          <w:sz w:val="24"/>
        </w:rPr>
      </w:pPr>
      <w:r>
        <w:rPr>
          <w:bCs/>
          <w:color w:val="000000" w:themeColor="text1"/>
          <w:sz w:val="24"/>
        </w:rPr>
        <w:t>到目前为止，再生塑料颗粒既没有企业标准，也没有国家、国际标准。</w:t>
      </w:r>
    </w:p>
    <w:p w14:paraId="6EE08472">
      <w:pPr>
        <w:pStyle w:val="289"/>
        <w:spacing w:line="360" w:lineRule="auto"/>
        <w:ind w:left="51" w:right="51" w:firstLine="480" w:firstLineChars="200"/>
        <w:rPr>
          <w:b/>
          <w:bCs/>
          <w:color w:val="000000" w:themeColor="text1"/>
          <w:sz w:val="24"/>
        </w:rPr>
      </w:pPr>
      <w:r>
        <w:rPr>
          <w:b/>
          <w:bCs/>
          <w:color w:val="000000" w:themeColor="text1"/>
          <w:sz w:val="24"/>
        </w:rPr>
        <w:t>产品去向：</w:t>
      </w:r>
      <w:r>
        <w:rPr>
          <w:bCs/>
          <w:color w:val="000000" w:themeColor="text1"/>
          <w:sz w:val="24"/>
        </w:rPr>
        <w:t>塑料颗粒产品主要用于生产雨伞、塑料玩具、模型、电动车塑料零件，不用于制作直接接触食品的包装、制品或材料，如食品包装袋、矿泉水瓶等，建设单位在项目运行过程中加强产品销售渠道管理，严格控制产品的去向，保证产品的去向符合国家有关要求。</w:t>
      </w:r>
      <w:r>
        <w:rPr>
          <w:b/>
          <w:bCs/>
          <w:color w:val="000000" w:themeColor="text1"/>
          <w:sz w:val="24"/>
        </w:rPr>
        <w:t xml:space="preserve"> </w:t>
      </w:r>
    </w:p>
    <w:p w14:paraId="48C6AC8D">
      <w:pPr>
        <w:pStyle w:val="4"/>
        <w:ind w:firstLine="150" w:firstLineChars="50"/>
        <w:rPr>
          <w:rFonts w:ascii="Times New Roman" w:hAnsi="Times New Roman"/>
          <w:color w:val="000000" w:themeColor="text1"/>
        </w:rPr>
      </w:pPr>
      <w:bookmarkStart w:id="126" w:name="_Toc28117687"/>
      <w:r>
        <w:rPr>
          <w:rFonts w:ascii="Times New Roman" w:hAnsi="Times New Roman"/>
          <w:color w:val="000000" w:themeColor="text1"/>
        </w:rPr>
        <w:t>2.4项目主要生产设备及装置</w:t>
      </w:r>
      <w:bookmarkEnd w:id="126"/>
    </w:p>
    <w:p w14:paraId="50051014">
      <w:pPr>
        <w:jc w:val="center"/>
        <w:rPr>
          <w:b/>
          <w:bCs/>
          <w:color w:val="000000" w:themeColor="text1"/>
          <w:sz w:val="24"/>
        </w:rPr>
      </w:pPr>
      <w:r>
        <w:rPr>
          <w:b/>
          <w:bCs/>
          <w:color w:val="000000" w:themeColor="text1"/>
          <w:sz w:val="24"/>
        </w:rPr>
        <w:t xml:space="preserve">表2.4-1  </w:t>
      </w:r>
      <w:r>
        <w:rPr>
          <w:b/>
          <w:color w:val="000000" w:themeColor="text1"/>
          <w:sz w:val="24"/>
        </w:rPr>
        <w:t>拟建</w:t>
      </w:r>
      <w:r>
        <w:rPr>
          <w:b/>
          <w:bCs/>
          <w:color w:val="000000" w:themeColor="text1"/>
          <w:sz w:val="24"/>
        </w:rPr>
        <w:t>主要生产设备及装置</w:t>
      </w:r>
    </w:p>
    <w:tbl>
      <w:tblPr>
        <w:tblStyle w:val="42"/>
        <w:tblW w:w="87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483"/>
        <w:gridCol w:w="1109"/>
        <w:gridCol w:w="2173"/>
        <w:gridCol w:w="2259"/>
      </w:tblGrid>
      <w:tr w14:paraId="05B55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2DF4A851">
            <w:pPr>
              <w:widowControl/>
              <w:jc w:val="center"/>
              <w:rPr>
                <w:color w:val="000000" w:themeColor="text1"/>
                <w:kern w:val="0"/>
                <w:szCs w:val="21"/>
              </w:rPr>
            </w:pPr>
            <w:r>
              <w:rPr>
                <w:color w:val="000000" w:themeColor="text1"/>
                <w:kern w:val="0"/>
                <w:szCs w:val="21"/>
              </w:rPr>
              <w:t>序号</w:t>
            </w:r>
          </w:p>
        </w:tc>
        <w:tc>
          <w:tcPr>
            <w:tcW w:w="2483" w:type="dxa"/>
            <w:vAlign w:val="center"/>
          </w:tcPr>
          <w:p w14:paraId="71ABCB09">
            <w:pPr>
              <w:widowControl/>
              <w:jc w:val="center"/>
              <w:rPr>
                <w:color w:val="000000" w:themeColor="text1"/>
                <w:kern w:val="0"/>
                <w:szCs w:val="21"/>
              </w:rPr>
            </w:pPr>
            <w:r>
              <w:rPr>
                <w:color w:val="000000" w:themeColor="text1"/>
                <w:kern w:val="0"/>
                <w:szCs w:val="21"/>
              </w:rPr>
              <w:t>设备名称</w:t>
            </w:r>
          </w:p>
        </w:tc>
        <w:tc>
          <w:tcPr>
            <w:tcW w:w="1109" w:type="dxa"/>
            <w:vAlign w:val="center"/>
          </w:tcPr>
          <w:p w14:paraId="60AC619B">
            <w:pPr>
              <w:widowControl/>
              <w:jc w:val="center"/>
              <w:rPr>
                <w:color w:val="000000" w:themeColor="text1"/>
                <w:kern w:val="0"/>
                <w:szCs w:val="21"/>
              </w:rPr>
            </w:pPr>
            <w:r>
              <w:rPr>
                <w:color w:val="000000" w:themeColor="text1"/>
                <w:kern w:val="0"/>
                <w:szCs w:val="21"/>
              </w:rPr>
              <w:t>数量</w:t>
            </w:r>
          </w:p>
        </w:tc>
        <w:tc>
          <w:tcPr>
            <w:tcW w:w="2173" w:type="dxa"/>
            <w:vAlign w:val="center"/>
          </w:tcPr>
          <w:p w14:paraId="791734EE">
            <w:pPr>
              <w:widowControl/>
              <w:jc w:val="center"/>
              <w:rPr>
                <w:color w:val="000000" w:themeColor="text1"/>
                <w:kern w:val="0"/>
                <w:szCs w:val="21"/>
              </w:rPr>
            </w:pPr>
            <w:r>
              <w:rPr>
                <w:color w:val="000000" w:themeColor="text1"/>
                <w:kern w:val="0"/>
                <w:szCs w:val="21"/>
              </w:rPr>
              <w:t>规格型号</w:t>
            </w:r>
          </w:p>
        </w:tc>
        <w:tc>
          <w:tcPr>
            <w:tcW w:w="2259" w:type="dxa"/>
            <w:vAlign w:val="center"/>
          </w:tcPr>
          <w:p w14:paraId="41778051">
            <w:pPr>
              <w:widowControl/>
              <w:jc w:val="center"/>
              <w:rPr>
                <w:color w:val="000000" w:themeColor="text1"/>
                <w:kern w:val="0"/>
                <w:szCs w:val="21"/>
              </w:rPr>
            </w:pPr>
            <w:r>
              <w:rPr>
                <w:color w:val="000000" w:themeColor="text1"/>
                <w:kern w:val="0"/>
                <w:szCs w:val="21"/>
              </w:rPr>
              <w:t>备注</w:t>
            </w:r>
          </w:p>
        </w:tc>
      </w:tr>
      <w:tr w14:paraId="07026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7177176C">
            <w:pPr>
              <w:widowControl/>
              <w:jc w:val="center"/>
              <w:rPr>
                <w:color w:val="000000" w:themeColor="text1"/>
                <w:kern w:val="0"/>
                <w:szCs w:val="21"/>
              </w:rPr>
            </w:pPr>
            <w:r>
              <w:rPr>
                <w:color w:val="000000" w:themeColor="text1"/>
                <w:kern w:val="0"/>
                <w:szCs w:val="21"/>
              </w:rPr>
              <w:t>1</w:t>
            </w:r>
          </w:p>
        </w:tc>
        <w:tc>
          <w:tcPr>
            <w:tcW w:w="2483" w:type="dxa"/>
            <w:vAlign w:val="center"/>
          </w:tcPr>
          <w:p w14:paraId="7446AEDB">
            <w:pPr>
              <w:widowControl/>
              <w:jc w:val="center"/>
              <w:rPr>
                <w:color w:val="000000" w:themeColor="text1"/>
                <w:kern w:val="0"/>
                <w:szCs w:val="21"/>
              </w:rPr>
            </w:pPr>
            <w:r>
              <w:rPr>
                <w:color w:val="000000" w:themeColor="text1"/>
                <w:kern w:val="0"/>
                <w:szCs w:val="21"/>
              </w:rPr>
              <w:t>带洗重型粉料机</w:t>
            </w:r>
          </w:p>
        </w:tc>
        <w:tc>
          <w:tcPr>
            <w:tcW w:w="1109" w:type="dxa"/>
            <w:vAlign w:val="center"/>
          </w:tcPr>
          <w:p w14:paraId="4989A361">
            <w:pPr>
              <w:widowControl/>
              <w:jc w:val="center"/>
              <w:rPr>
                <w:color w:val="000000" w:themeColor="text1"/>
                <w:kern w:val="0"/>
                <w:szCs w:val="21"/>
              </w:rPr>
            </w:pPr>
            <w:r>
              <w:rPr>
                <w:color w:val="000000" w:themeColor="text1"/>
                <w:kern w:val="0"/>
                <w:szCs w:val="21"/>
              </w:rPr>
              <w:t>2套</w:t>
            </w:r>
          </w:p>
        </w:tc>
        <w:tc>
          <w:tcPr>
            <w:tcW w:w="2173" w:type="dxa"/>
            <w:vAlign w:val="center"/>
          </w:tcPr>
          <w:p w14:paraId="3FE9D3D7">
            <w:pPr>
              <w:widowControl/>
              <w:jc w:val="center"/>
              <w:rPr>
                <w:color w:val="000000" w:themeColor="text1"/>
                <w:kern w:val="0"/>
                <w:szCs w:val="21"/>
              </w:rPr>
            </w:pPr>
            <w:r>
              <w:rPr>
                <w:color w:val="000000" w:themeColor="text1"/>
                <w:kern w:val="0"/>
                <w:szCs w:val="21"/>
              </w:rPr>
              <w:t>100型</w:t>
            </w:r>
          </w:p>
        </w:tc>
        <w:tc>
          <w:tcPr>
            <w:tcW w:w="2259" w:type="dxa"/>
            <w:vMerge w:val="restart"/>
            <w:vAlign w:val="center"/>
          </w:tcPr>
          <w:p w14:paraId="5459569D">
            <w:pPr>
              <w:widowControl/>
              <w:jc w:val="center"/>
              <w:rPr>
                <w:color w:val="000000" w:themeColor="text1"/>
                <w:kern w:val="0"/>
                <w:szCs w:val="21"/>
              </w:rPr>
            </w:pPr>
            <w:r>
              <w:rPr>
                <w:color w:val="000000" w:themeColor="text1"/>
                <w:kern w:val="0"/>
                <w:szCs w:val="21"/>
              </w:rPr>
              <w:t>塑料破碎清洗生产</w:t>
            </w:r>
          </w:p>
        </w:tc>
      </w:tr>
      <w:tr w14:paraId="4E4EC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10DF8FCB">
            <w:pPr>
              <w:widowControl/>
              <w:jc w:val="center"/>
              <w:rPr>
                <w:color w:val="000000" w:themeColor="text1"/>
                <w:kern w:val="0"/>
                <w:szCs w:val="21"/>
              </w:rPr>
            </w:pPr>
            <w:r>
              <w:rPr>
                <w:color w:val="000000" w:themeColor="text1"/>
                <w:kern w:val="0"/>
                <w:szCs w:val="21"/>
              </w:rPr>
              <w:t>2</w:t>
            </w:r>
          </w:p>
        </w:tc>
        <w:tc>
          <w:tcPr>
            <w:tcW w:w="2483" w:type="dxa"/>
            <w:vAlign w:val="center"/>
          </w:tcPr>
          <w:p w14:paraId="33C9321E">
            <w:pPr>
              <w:widowControl/>
              <w:jc w:val="center"/>
              <w:rPr>
                <w:color w:val="000000" w:themeColor="text1"/>
                <w:kern w:val="0"/>
                <w:szCs w:val="21"/>
              </w:rPr>
            </w:pPr>
            <w:r>
              <w:rPr>
                <w:color w:val="000000" w:themeColor="text1"/>
                <w:kern w:val="0"/>
                <w:szCs w:val="21"/>
              </w:rPr>
              <w:t>风干机</w:t>
            </w:r>
          </w:p>
        </w:tc>
        <w:tc>
          <w:tcPr>
            <w:tcW w:w="1109" w:type="dxa"/>
            <w:vAlign w:val="center"/>
          </w:tcPr>
          <w:p w14:paraId="436F393D">
            <w:pPr>
              <w:widowControl/>
              <w:jc w:val="center"/>
              <w:rPr>
                <w:color w:val="000000" w:themeColor="text1"/>
                <w:kern w:val="0"/>
                <w:szCs w:val="21"/>
              </w:rPr>
            </w:pPr>
            <w:r>
              <w:rPr>
                <w:color w:val="000000" w:themeColor="text1"/>
                <w:kern w:val="0"/>
                <w:szCs w:val="21"/>
              </w:rPr>
              <w:t>2套</w:t>
            </w:r>
          </w:p>
        </w:tc>
        <w:tc>
          <w:tcPr>
            <w:tcW w:w="2173" w:type="dxa"/>
            <w:vAlign w:val="center"/>
          </w:tcPr>
          <w:p w14:paraId="731B2CC1">
            <w:pPr>
              <w:widowControl/>
              <w:jc w:val="center"/>
              <w:rPr>
                <w:color w:val="FF0000"/>
                <w:kern w:val="0"/>
                <w:szCs w:val="21"/>
              </w:rPr>
            </w:pPr>
            <w:r>
              <w:rPr>
                <w:color w:val="FF0000"/>
                <w:kern w:val="0"/>
                <w:szCs w:val="21"/>
              </w:rPr>
              <w:t>650型</w:t>
            </w:r>
          </w:p>
        </w:tc>
        <w:tc>
          <w:tcPr>
            <w:tcW w:w="2259" w:type="dxa"/>
            <w:vMerge w:val="continue"/>
            <w:vAlign w:val="center"/>
          </w:tcPr>
          <w:p w14:paraId="266FB5B6">
            <w:pPr>
              <w:widowControl/>
              <w:jc w:val="center"/>
              <w:rPr>
                <w:color w:val="000000" w:themeColor="text1"/>
                <w:kern w:val="0"/>
                <w:szCs w:val="21"/>
              </w:rPr>
            </w:pPr>
          </w:p>
        </w:tc>
      </w:tr>
      <w:tr w14:paraId="5407B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08EDB37E">
            <w:pPr>
              <w:widowControl/>
              <w:jc w:val="center"/>
              <w:rPr>
                <w:color w:val="000000" w:themeColor="text1"/>
                <w:kern w:val="0"/>
                <w:szCs w:val="21"/>
              </w:rPr>
            </w:pPr>
            <w:r>
              <w:rPr>
                <w:color w:val="000000" w:themeColor="text1"/>
                <w:kern w:val="0"/>
                <w:szCs w:val="21"/>
              </w:rPr>
              <w:t>3</w:t>
            </w:r>
          </w:p>
        </w:tc>
        <w:tc>
          <w:tcPr>
            <w:tcW w:w="2483" w:type="dxa"/>
            <w:vAlign w:val="center"/>
          </w:tcPr>
          <w:p w14:paraId="6591777F">
            <w:pPr>
              <w:ind w:left="-105" w:leftChars="-50" w:right="-105" w:rightChars="-50"/>
              <w:jc w:val="center"/>
              <w:rPr>
                <w:color w:val="000000" w:themeColor="text1"/>
                <w:szCs w:val="21"/>
              </w:rPr>
            </w:pPr>
            <w:r>
              <w:rPr>
                <w:color w:val="000000" w:themeColor="text1"/>
                <w:szCs w:val="21"/>
              </w:rPr>
              <w:t>电磁节能加热器</w:t>
            </w:r>
          </w:p>
        </w:tc>
        <w:tc>
          <w:tcPr>
            <w:tcW w:w="1109" w:type="dxa"/>
            <w:vAlign w:val="center"/>
          </w:tcPr>
          <w:p w14:paraId="182A7FEA">
            <w:pPr>
              <w:ind w:left="-105" w:leftChars="-50" w:right="-105" w:rightChars="-50"/>
              <w:jc w:val="center"/>
              <w:rPr>
                <w:color w:val="000000" w:themeColor="text1"/>
                <w:szCs w:val="21"/>
              </w:rPr>
            </w:pPr>
            <w:r>
              <w:rPr>
                <w:color w:val="000000" w:themeColor="text1"/>
                <w:szCs w:val="21"/>
              </w:rPr>
              <w:t>2</w:t>
            </w:r>
            <w:r>
              <w:rPr>
                <w:color w:val="000000" w:themeColor="text1"/>
                <w:kern w:val="0"/>
                <w:szCs w:val="21"/>
              </w:rPr>
              <w:t>套</w:t>
            </w:r>
          </w:p>
        </w:tc>
        <w:tc>
          <w:tcPr>
            <w:tcW w:w="2173" w:type="dxa"/>
            <w:vAlign w:val="center"/>
          </w:tcPr>
          <w:p w14:paraId="66CDA88D">
            <w:pPr>
              <w:widowControl/>
              <w:jc w:val="center"/>
              <w:rPr>
                <w:color w:val="000000" w:themeColor="text1"/>
                <w:kern w:val="0"/>
                <w:szCs w:val="21"/>
              </w:rPr>
            </w:pPr>
            <w:r>
              <w:rPr>
                <w:color w:val="000000" w:themeColor="text1"/>
                <w:kern w:val="0"/>
                <w:szCs w:val="21"/>
              </w:rPr>
              <w:t>240千瓦</w:t>
            </w:r>
          </w:p>
        </w:tc>
        <w:tc>
          <w:tcPr>
            <w:tcW w:w="2259" w:type="dxa"/>
            <w:vMerge w:val="continue"/>
            <w:vAlign w:val="center"/>
          </w:tcPr>
          <w:p w14:paraId="21D29191">
            <w:pPr>
              <w:widowControl/>
              <w:jc w:val="center"/>
              <w:rPr>
                <w:color w:val="000000" w:themeColor="text1"/>
                <w:kern w:val="0"/>
                <w:szCs w:val="21"/>
              </w:rPr>
            </w:pPr>
          </w:p>
        </w:tc>
      </w:tr>
      <w:tr w14:paraId="0D5D2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09352771">
            <w:pPr>
              <w:widowControl/>
              <w:jc w:val="center"/>
              <w:rPr>
                <w:color w:val="000000" w:themeColor="text1"/>
                <w:kern w:val="0"/>
                <w:szCs w:val="21"/>
              </w:rPr>
            </w:pPr>
            <w:r>
              <w:rPr>
                <w:color w:val="000000" w:themeColor="text1"/>
                <w:kern w:val="0"/>
                <w:szCs w:val="21"/>
              </w:rPr>
              <w:t>4</w:t>
            </w:r>
          </w:p>
        </w:tc>
        <w:tc>
          <w:tcPr>
            <w:tcW w:w="2483" w:type="dxa"/>
            <w:vAlign w:val="center"/>
          </w:tcPr>
          <w:p w14:paraId="4996BB0A">
            <w:pPr>
              <w:widowControl/>
              <w:jc w:val="center"/>
              <w:rPr>
                <w:color w:val="000000" w:themeColor="text1"/>
                <w:kern w:val="0"/>
                <w:szCs w:val="21"/>
              </w:rPr>
            </w:pPr>
            <w:r>
              <w:rPr>
                <w:color w:val="000000" w:themeColor="text1"/>
                <w:kern w:val="0"/>
                <w:szCs w:val="21"/>
              </w:rPr>
              <w:t>10T造粒机</w:t>
            </w:r>
          </w:p>
        </w:tc>
        <w:tc>
          <w:tcPr>
            <w:tcW w:w="1109" w:type="dxa"/>
            <w:vAlign w:val="center"/>
          </w:tcPr>
          <w:p w14:paraId="7351D677">
            <w:pPr>
              <w:widowControl/>
              <w:jc w:val="center"/>
              <w:rPr>
                <w:color w:val="000000" w:themeColor="text1"/>
                <w:kern w:val="0"/>
                <w:szCs w:val="21"/>
              </w:rPr>
            </w:pPr>
            <w:r>
              <w:rPr>
                <w:color w:val="000000" w:themeColor="text1"/>
                <w:kern w:val="0"/>
                <w:szCs w:val="21"/>
              </w:rPr>
              <w:t>2套</w:t>
            </w:r>
          </w:p>
        </w:tc>
        <w:tc>
          <w:tcPr>
            <w:tcW w:w="2173" w:type="dxa"/>
            <w:vAlign w:val="center"/>
          </w:tcPr>
          <w:p w14:paraId="15B350A2">
            <w:pPr>
              <w:widowControl/>
              <w:jc w:val="center"/>
              <w:rPr>
                <w:color w:val="000000" w:themeColor="text1"/>
                <w:kern w:val="0"/>
                <w:szCs w:val="21"/>
              </w:rPr>
            </w:pPr>
            <w:r>
              <w:rPr>
                <w:color w:val="000000" w:themeColor="text1"/>
                <w:kern w:val="0"/>
                <w:szCs w:val="21"/>
              </w:rPr>
              <w:t>/</w:t>
            </w:r>
          </w:p>
        </w:tc>
        <w:tc>
          <w:tcPr>
            <w:tcW w:w="2259" w:type="dxa"/>
            <w:vMerge w:val="restart"/>
            <w:tcBorders>
              <w:top w:val="single" w:color="auto" w:sz="18" w:space="0"/>
            </w:tcBorders>
            <w:vAlign w:val="center"/>
          </w:tcPr>
          <w:p w14:paraId="60123056">
            <w:pPr>
              <w:jc w:val="center"/>
              <w:rPr>
                <w:color w:val="000000" w:themeColor="text1"/>
                <w:kern w:val="0"/>
                <w:szCs w:val="21"/>
              </w:rPr>
            </w:pPr>
            <w:r>
              <w:rPr>
                <w:color w:val="000000" w:themeColor="text1"/>
                <w:kern w:val="0"/>
                <w:szCs w:val="21"/>
              </w:rPr>
              <w:t>塑料造粒生产</w:t>
            </w:r>
          </w:p>
        </w:tc>
      </w:tr>
      <w:tr w14:paraId="0DABE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2EE36E38">
            <w:pPr>
              <w:widowControl/>
              <w:jc w:val="center"/>
              <w:rPr>
                <w:color w:val="000000" w:themeColor="text1"/>
                <w:kern w:val="0"/>
                <w:szCs w:val="21"/>
              </w:rPr>
            </w:pPr>
            <w:r>
              <w:rPr>
                <w:color w:val="000000" w:themeColor="text1"/>
                <w:kern w:val="0"/>
                <w:szCs w:val="21"/>
              </w:rPr>
              <w:t>5</w:t>
            </w:r>
          </w:p>
        </w:tc>
        <w:tc>
          <w:tcPr>
            <w:tcW w:w="2483" w:type="dxa"/>
            <w:vAlign w:val="center"/>
          </w:tcPr>
          <w:p w14:paraId="6875D3C5">
            <w:pPr>
              <w:widowControl/>
              <w:jc w:val="center"/>
              <w:rPr>
                <w:color w:val="000000" w:themeColor="text1"/>
                <w:kern w:val="0"/>
                <w:szCs w:val="21"/>
              </w:rPr>
            </w:pPr>
            <w:r>
              <w:rPr>
                <w:color w:val="000000" w:themeColor="text1"/>
                <w:kern w:val="0"/>
                <w:szCs w:val="21"/>
              </w:rPr>
              <w:t>冷却水循环系统</w:t>
            </w:r>
          </w:p>
        </w:tc>
        <w:tc>
          <w:tcPr>
            <w:tcW w:w="1109" w:type="dxa"/>
            <w:vAlign w:val="center"/>
          </w:tcPr>
          <w:p w14:paraId="79651146">
            <w:pPr>
              <w:widowControl/>
              <w:jc w:val="center"/>
              <w:rPr>
                <w:color w:val="000000" w:themeColor="text1"/>
                <w:kern w:val="0"/>
                <w:szCs w:val="21"/>
              </w:rPr>
            </w:pPr>
            <w:r>
              <w:rPr>
                <w:color w:val="000000" w:themeColor="text1"/>
                <w:kern w:val="0"/>
                <w:szCs w:val="21"/>
              </w:rPr>
              <w:t>2套</w:t>
            </w:r>
          </w:p>
        </w:tc>
        <w:tc>
          <w:tcPr>
            <w:tcW w:w="2173" w:type="dxa"/>
            <w:vAlign w:val="center"/>
          </w:tcPr>
          <w:p w14:paraId="3E0D4FF1">
            <w:pPr>
              <w:widowControl/>
              <w:jc w:val="center"/>
              <w:rPr>
                <w:color w:val="000000" w:themeColor="text1"/>
                <w:kern w:val="0"/>
                <w:szCs w:val="21"/>
              </w:rPr>
            </w:pPr>
            <w:r>
              <w:rPr>
                <w:color w:val="000000" w:themeColor="text1"/>
                <w:kern w:val="0"/>
                <w:szCs w:val="21"/>
              </w:rPr>
              <w:t>/</w:t>
            </w:r>
          </w:p>
        </w:tc>
        <w:tc>
          <w:tcPr>
            <w:tcW w:w="2259" w:type="dxa"/>
            <w:vMerge w:val="continue"/>
            <w:vAlign w:val="center"/>
          </w:tcPr>
          <w:p w14:paraId="6A85BC87">
            <w:pPr>
              <w:widowControl/>
              <w:jc w:val="center"/>
              <w:rPr>
                <w:color w:val="000000" w:themeColor="text1"/>
                <w:kern w:val="0"/>
                <w:szCs w:val="21"/>
              </w:rPr>
            </w:pPr>
          </w:p>
        </w:tc>
      </w:tr>
      <w:tr w14:paraId="240C8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7893E144">
            <w:pPr>
              <w:widowControl/>
              <w:jc w:val="center"/>
              <w:rPr>
                <w:color w:val="000000" w:themeColor="text1"/>
                <w:kern w:val="0"/>
                <w:szCs w:val="21"/>
              </w:rPr>
            </w:pPr>
            <w:r>
              <w:rPr>
                <w:color w:val="000000" w:themeColor="text1"/>
                <w:kern w:val="0"/>
                <w:szCs w:val="21"/>
              </w:rPr>
              <w:t>6</w:t>
            </w:r>
          </w:p>
        </w:tc>
        <w:tc>
          <w:tcPr>
            <w:tcW w:w="2483" w:type="dxa"/>
            <w:vAlign w:val="center"/>
          </w:tcPr>
          <w:p w14:paraId="1B4D2E54">
            <w:pPr>
              <w:jc w:val="center"/>
            </w:pPr>
            <w:r>
              <w:t>平模拉丝机组</w:t>
            </w:r>
          </w:p>
        </w:tc>
        <w:tc>
          <w:tcPr>
            <w:tcW w:w="1109" w:type="dxa"/>
            <w:vAlign w:val="center"/>
          </w:tcPr>
          <w:p w14:paraId="236BE9AB">
            <w:pPr>
              <w:jc w:val="center"/>
            </w:pPr>
            <w:r>
              <w:t>2</w:t>
            </w:r>
            <w:r>
              <w:rPr>
                <w:color w:val="000000" w:themeColor="text1"/>
                <w:kern w:val="0"/>
                <w:szCs w:val="21"/>
              </w:rPr>
              <w:t>套</w:t>
            </w:r>
          </w:p>
        </w:tc>
        <w:tc>
          <w:tcPr>
            <w:tcW w:w="2173" w:type="dxa"/>
            <w:vAlign w:val="center"/>
          </w:tcPr>
          <w:p w14:paraId="3076EE9B">
            <w:pPr>
              <w:widowControl/>
              <w:jc w:val="center"/>
              <w:rPr>
                <w:color w:val="000000" w:themeColor="text1"/>
                <w:kern w:val="0"/>
                <w:szCs w:val="21"/>
              </w:rPr>
            </w:pPr>
            <w:r>
              <w:rPr>
                <w:color w:val="000000" w:themeColor="text1"/>
                <w:kern w:val="0"/>
                <w:szCs w:val="21"/>
              </w:rPr>
              <w:t>/</w:t>
            </w:r>
          </w:p>
        </w:tc>
        <w:tc>
          <w:tcPr>
            <w:tcW w:w="2259" w:type="dxa"/>
            <w:vMerge w:val="restart"/>
            <w:vAlign w:val="center"/>
          </w:tcPr>
          <w:p w14:paraId="67B2D7C4">
            <w:pPr>
              <w:widowControl/>
              <w:jc w:val="center"/>
              <w:rPr>
                <w:color w:val="000000" w:themeColor="text1"/>
                <w:kern w:val="0"/>
                <w:szCs w:val="21"/>
              </w:rPr>
            </w:pPr>
            <w:r>
              <w:rPr>
                <w:color w:val="000000" w:themeColor="text1"/>
                <w:kern w:val="0"/>
                <w:szCs w:val="21"/>
              </w:rPr>
              <w:t>编织袋生产</w:t>
            </w:r>
          </w:p>
        </w:tc>
      </w:tr>
      <w:tr w14:paraId="3BB8E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63A05160">
            <w:pPr>
              <w:widowControl/>
              <w:jc w:val="center"/>
              <w:rPr>
                <w:color w:val="000000" w:themeColor="text1"/>
                <w:kern w:val="0"/>
                <w:szCs w:val="21"/>
              </w:rPr>
            </w:pPr>
            <w:r>
              <w:rPr>
                <w:color w:val="000000" w:themeColor="text1"/>
                <w:kern w:val="0"/>
                <w:szCs w:val="21"/>
              </w:rPr>
              <w:t>7</w:t>
            </w:r>
          </w:p>
        </w:tc>
        <w:tc>
          <w:tcPr>
            <w:tcW w:w="2483" w:type="dxa"/>
            <w:vAlign w:val="center"/>
          </w:tcPr>
          <w:p w14:paraId="54F23DA4">
            <w:pPr>
              <w:jc w:val="center"/>
            </w:pPr>
            <w:r>
              <w:t>收卷机</w:t>
            </w:r>
          </w:p>
        </w:tc>
        <w:tc>
          <w:tcPr>
            <w:tcW w:w="1109" w:type="dxa"/>
            <w:vAlign w:val="center"/>
          </w:tcPr>
          <w:p w14:paraId="18A5F66A">
            <w:pPr>
              <w:jc w:val="center"/>
            </w:pPr>
            <w:r>
              <w:t>2</w:t>
            </w:r>
            <w:r>
              <w:rPr>
                <w:color w:val="000000" w:themeColor="text1"/>
                <w:kern w:val="0"/>
                <w:szCs w:val="21"/>
              </w:rPr>
              <w:t>套</w:t>
            </w:r>
          </w:p>
        </w:tc>
        <w:tc>
          <w:tcPr>
            <w:tcW w:w="2173" w:type="dxa"/>
            <w:vAlign w:val="center"/>
          </w:tcPr>
          <w:p w14:paraId="152175F4">
            <w:pPr>
              <w:widowControl/>
              <w:jc w:val="center"/>
              <w:rPr>
                <w:color w:val="000000" w:themeColor="text1"/>
                <w:kern w:val="0"/>
                <w:szCs w:val="21"/>
              </w:rPr>
            </w:pPr>
            <w:r>
              <w:rPr>
                <w:color w:val="000000" w:themeColor="text1"/>
                <w:kern w:val="0"/>
                <w:szCs w:val="21"/>
              </w:rPr>
              <w:t>/</w:t>
            </w:r>
          </w:p>
        </w:tc>
        <w:tc>
          <w:tcPr>
            <w:tcW w:w="2259" w:type="dxa"/>
            <w:vMerge w:val="continue"/>
            <w:vAlign w:val="center"/>
          </w:tcPr>
          <w:p w14:paraId="5FE671C9">
            <w:pPr>
              <w:widowControl/>
              <w:jc w:val="center"/>
              <w:rPr>
                <w:color w:val="000000" w:themeColor="text1"/>
                <w:kern w:val="0"/>
                <w:szCs w:val="21"/>
              </w:rPr>
            </w:pPr>
          </w:p>
        </w:tc>
      </w:tr>
      <w:tr w14:paraId="72A1B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4A3F6C3C">
            <w:pPr>
              <w:widowControl/>
              <w:jc w:val="center"/>
              <w:rPr>
                <w:color w:val="000000" w:themeColor="text1"/>
                <w:kern w:val="0"/>
                <w:szCs w:val="21"/>
              </w:rPr>
            </w:pPr>
            <w:r>
              <w:rPr>
                <w:color w:val="000000" w:themeColor="text1"/>
                <w:kern w:val="0"/>
                <w:szCs w:val="21"/>
              </w:rPr>
              <w:t>8</w:t>
            </w:r>
          </w:p>
        </w:tc>
        <w:tc>
          <w:tcPr>
            <w:tcW w:w="2483" w:type="dxa"/>
            <w:vAlign w:val="center"/>
          </w:tcPr>
          <w:p w14:paraId="35FF887F">
            <w:pPr>
              <w:jc w:val="center"/>
            </w:pPr>
            <w:r>
              <w:t>圆织机</w:t>
            </w:r>
          </w:p>
        </w:tc>
        <w:tc>
          <w:tcPr>
            <w:tcW w:w="1109" w:type="dxa"/>
            <w:vAlign w:val="center"/>
          </w:tcPr>
          <w:p w14:paraId="7D06D609">
            <w:pPr>
              <w:jc w:val="center"/>
            </w:pPr>
            <w:r>
              <w:t>40</w:t>
            </w:r>
            <w:r>
              <w:rPr>
                <w:color w:val="000000" w:themeColor="text1"/>
                <w:kern w:val="0"/>
                <w:szCs w:val="21"/>
              </w:rPr>
              <w:t>套</w:t>
            </w:r>
          </w:p>
        </w:tc>
        <w:tc>
          <w:tcPr>
            <w:tcW w:w="2173" w:type="dxa"/>
            <w:vAlign w:val="center"/>
          </w:tcPr>
          <w:p w14:paraId="16E76D11">
            <w:pPr>
              <w:widowControl/>
              <w:jc w:val="center"/>
              <w:rPr>
                <w:color w:val="000000" w:themeColor="text1"/>
                <w:kern w:val="0"/>
                <w:szCs w:val="21"/>
              </w:rPr>
            </w:pPr>
            <w:r>
              <w:rPr>
                <w:color w:val="000000" w:themeColor="text1"/>
                <w:kern w:val="0"/>
                <w:szCs w:val="21"/>
              </w:rPr>
              <w:t>/</w:t>
            </w:r>
          </w:p>
        </w:tc>
        <w:tc>
          <w:tcPr>
            <w:tcW w:w="2259" w:type="dxa"/>
            <w:vMerge w:val="continue"/>
            <w:vAlign w:val="center"/>
          </w:tcPr>
          <w:p w14:paraId="5D2B03DA">
            <w:pPr>
              <w:widowControl/>
              <w:jc w:val="center"/>
              <w:rPr>
                <w:color w:val="000000" w:themeColor="text1"/>
                <w:kern w:val="0"/>
                <w:szCs w:val="21"/>
              </w:rPr>
            </w:pPr>
          </w:p>
        </w:tc>
      </w:tr>
      <w:tr w14:paraId="79334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6F25EEAA">
            <w:pPr>
              <w:widowControl/>
              <w:jc w:val="center"/>
              <w:rPr>
                <w:color w:val="000000" w:themeColor="text1"/>
                <w:kern w:val="0"/>
                <w:szCs w:val="21"/>
              </w:rPr>
            </w:pPr>
            <w:r>
              <w:rPr>
                <w:color w:val="000000" w:themeColor="text1"/>
                <w:kern w:val="0"/>
                <w:szCs w:val="21"/>
              </w:rPr>
              <w:t>9</w:t>
            </w:r>
          </w:p>
        </w:tc>
        <w:tc>
          <w:tcPr>
            <w:tcW w:w="2483" w:type="dxa"/>
            <w:vAlign w:val="center"/>
          </w:tcPr>
          <w:p w14:paraId="3535562C">
            <w:pPr>
              <w:jc w:val="center"/>
            </w:pPr>
            <w:r>
              <w:t>切缝一体机</w:t>
            </w:r>
          </w:p>
        </w:tc>
        <w:tc>
          <w:tcPr>
            <w:tcW w:w="1109" w:type="dxa"/>
            <w:vAlign w:val="center"/>
          </w:tcPr>
          <w:p w14:paraId="221AE4A4">
            <w:pPr>
              <w:jc w:val="center"/>
            </w:pPr>
            <w:r>
              <w:t>8</w:t>
            </w:r>
            <w:r>
              <w:rPr>
                <w:color w:val="000000" w:themeColor="text1"/>
                <w:kern w:val="0"/>
                <w:szCs w:val="21"/>
              </w:rPr>
              <w:t>套</w:t>
            </w:r>
          </w:p>
        </w:tc>
        <w:tc>
          <w:tcPr>
            <w:tcW w:w="2173" w:type="dxa"/>
            <w:vAlign w:val="center"/>
          </w:tcPr>
          <w:p w14:paraId="27594801">
            <w:pPr>
              <w:widowControl/>
              <w:jc w:val="center"/>
              <w:rPr>
                <w:color w:val="000000" w:themeColor="text1"/>
                <w:kern w:val="0"/>
                <w:szCs w:val="21"/>
              </w:rPr>
            </w:pPr>
            <w:r>
              <w:rPr>
                <w:color w:val="000000" w:themeColor="text1"/>
                <w:kern w:val="0"/>
                <w:szCs w:val="21"/>
              </w:rPr>
              <w:t>/</w:t>
            </w:r>
          </w:p>
        </w:tc>
        <w:tc>
          <w:tcPr>
            <w:tcW w:w="2259" w:type="dxa"/>
            <w:vMerge w:val="continue"/>
            <w:vAlign w:val="center"/>
          </w:tcPr>
          <w:p w14:paraId="19759B80">
            <w:pPr>
              <w:widowControl/>
              <w:jc w:val="center"/>
              <w:rPr>
                <w:color w:val="000000" w:themeColor="text1"/>
                <w:kern w:val="0"/>
                <w:szCs w:val="21"/>
              </w:rPr>
            </w:pPr>
          </w:p>
        </w:tc>
      </w:tr>
      <w:tr w14:paraId="2CF15B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25FDA61A">
            <w:pPr>
              <w:widowControl/>
              <w:jc w:val="center"/>
              <w:rPr>
                <w:color w:val="000000" w:themeColor="text1"/>
                <w:kern w:val="0"/>
                <w:szCs w:val="21"/>
              </w:rPr>
            </w:pPr>
            <w:r>
              <w:rPr>
                <w:color w:val="000000" w:themeColor="text1"/>
                <w:kern w:val="0"/>
                <w:szCs w:val="21"/>
              </w:rPr>
              <w:t>10</w:t>
            </w:r>
          </w:p>
        </w:tc>
        <w:tc>
          <w:tcPr>
            <w:tcW w:w="2483" w:type="dxa"/>
            <w:vAlign w:val="center"/>
          </w:tcPr>
          <w:p w14:paraId="2E06708F">
            <w:pPr>
              <w:widowControl/>
              <w:jc w:val="center"/>
              <w:rPr>
                <w:color w:val="000000" w:themeColor="text1"/>
                <w:kern w:val="0"/>
                <w:szCs w:val="21"/>
              </w:rPr>
            </w:pPr>
            <w:r>
              <w:rPr>
                <w:color w:val="000000" w:themeColor="text1"/>
                <w:kern w:val="0"/>
                <w:szCs w:val="21"/>
              </w:rPr>
              <w:t>吸烟机（集气罩）</w:t>
            </w:r>
          </w:p>
        </w:tc>
        <w:tc>
          <w:tcPr>
            <w:tcW w:w="1109" w:type="dxa"/>
            <w:vAlign w:val="center"/>
          </w:tcPr>
          <w:p w14:paraId="35D9738A">
            <w:pPr>
              <w:jc w:val="center"/>
            </w:pPr>
            <w:r>
              <w:t>3套</w:t>
            </w:r>
          </w:p>
        </w:tc>
        <w:tc>
          <w:tcPr>
            <w:tcW w:w="2173" w:type="dxa"/>
            <w:vAlign w:val="center"/>
          </w:tcPr>
          <w:p w14:paraId="7A0B0A43">
            <w:pPr>
              <w:widowControl/>
              <w:jc w:val="center"/>
              <w:rPr>
                <w:color w:val="000000" w:themeColor="text1"/>
                <w:kern w:val="0"/>
                <w:szCs w:val="21"/>
              </w:rPr>
            </w:pPr>
            <w:r>
              <w:rPr>
                <w:color w:val="000000" w:themeColor="text1"/>
                <w:kern w:val="0"/>
                <w:szCs w:val="21"/>
              </w:rPr>
              <w:t>160型</w:t>
            </w:r>
          </w:p>
        </w:tc>
        <w:tc>
          <w:tcPr>
            <w:tcW w:w="2259" w:type="dxa"/>
            <w:vMerge w:val="restart"/>
            <w:vAlign w:val="center"/>
          </w:tcPr>
          <w:p w14:paraId="67C3B291">
            <w:pPr>
              <w:jc w:val="center"/>
              <w:rPr>
                <w:color w:val="000000" w:themeColor="text1"/>
                <w:kern w:val="0"/>
                <w:szCs w:val="21"/>
              </w:rPr>
            </w:pPr>
            <w:r>
              <w:rPr>
                <w:color w:val="000000" w:themeColor="text1"/>
                <w:kern w:val="0"/>
                <w:szCs w:val="21"/>
              </w:rPr>
              <w:t>废气处置装置</w:t>
            </w:r>
          </w:p>
        </w:tc>
      </w:tr>
      <w:tr w14:paraId="0618E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 w:type="dxa"/>
            <w:vAlign w:val="center"/>
          </w:tcPr>
          <w:p w14:paraId="28614DF1">
            <w:pPr>
              <w:widowControl/>
              <w:jc w:val="center"/>
              <w:rPr>
                <w:color w:val="000000" w:themeColor="text1"/>
                <w:kern w:val="0"/>
                <w:szCs w:val="21"/>
              </w:rPr>
            </w:pPr>
            <w:r>
              <w:rPr>
                <w:color w:val="000000" w:themeColor="text1"/>
                <w:kern w:val="0"/>
                <w:szCs w:val="21"/>
              </w:rPr>
              <w:t>11</w:t>
            </w:r>
          </w:p>
        </w:tc>
        <w:tc>
          <w:tcPr>
            <w:tcW w:w="2483" w:type="dxa"/>
            <w:vAlign w:val="center"/>
          </w:tcPr>
          <w:p w14:paraId="11E76DE9">
            <w:pPr>
              <w:widowControl/>
              <w:jc w:val="center"/>
              <w:rPr>
                <w:color w:val="000000" w:themeColor="text1"/>
                <w:kern w:val="0"/>
                <w:szCs w:val="21"/>
              </w:rPr>
            </w:pPr>
            <w:r>
              <w:rPr>
                <w:color w:val="000000" w:themeColor="text1"/>
                <w:kern w:val="0"/>
                <w:szCs w:val="21"/>
              </w:rPr>
              <w:t>过滤棉+UV光解装置</w:t>
            </w:r>
          </w:p>
        </w:tc>
        <w:tc>
          <w:tcPr>
            <w:tcW w:w="1109" w:type="dxa"/>
            <w:vAlign w:val="center"/>
          </w:tcPr>
          <w:p w14:paraId="71F8E44B">
            <w:pPr>
              <w:widowControl/>
              <w:jc w:val="center"/>
              <w:rPr>
                <w:color w:val="000000" w:themeColor="text1"/>
                <w:kern w:val="0"/>
                <w:szCs w:val="21"/>
              </w:rPr>
            </w:pPr>
            <w:r>
              <w:rPr>
                <w:color w:val="000000" w:themeColor="text1"/>
                <w:kern w:val="0"/>
                <w:szCs w:val="21"/>
              </w:rPr>
              <w:t>2套</w:t>
            </w:r>
          </w:p>
        </w:tc>
        <w:tc>
          <w:tcPr>
            <w:tcW w:w="2173" w:type="dxa"/>
            <w:vAlign w:val="center"/>
          </w:tcPr>
          <w:p w14:paraId="58ED8675">
            <w:pPr>
              <w:widowControl/>
              <w:jc w:val="center"/>
              <w:rPr>
                <w:color w:val="000000" w:themeColor="text1"/>
                <w:kern w:val="0"/>
                <w:szCs w:val="21"/>
              </w:rPr>
            </w:pPr>
            <w:r>
              <w:rPr>
                <w:color w:val="000000" w:themeColor="text1"/>
                <w:kern w:val="0"/>
                <w:szCs w:val="21"/>
              </w:rPr>
              <w:t>/</w:t>
            </w:r>
          </w:p>
        </w:tc>
        <w:tc>
          <w:tcPr>
            <w:tcW w:w="2259" w:type="dxa"/>
            <w:vMerge w:val="continue"/>
            <w:vAlign w:val="center"/>
          </w:tcPr>
          <w:p w14:paraId="04D7AA04">
            <w:pPr>
              <w:widowControl/>
              <w:jc w:val="center"/>
              <w:rPr>
                <w:color w:val="000000" w:themeColor="text1"/>
                <w:kern w:val="0"/>
                <w:szCs w:val="21"/>
              </w:rPr>
            </w:pPr>
          </w:p>
        </w:tc>
      </w:tr>
    </w:tbl>
    <w:p w14:paraId="1134FDC8">
      <w:pPr>
        <w:jc w:val="center"/>
        <w:rPr>
          <w:b/>
          <w:color w:val="000000" w:themeColor="text1"/>
          <w:sz w:val="24"/>
        </w:rPr>
      </w:pPr>
    </w:p>
    <w:p w14:paraId="754C7F6B">
      <w:pPr>
        <w:pStyle w:val="4"/>
        <w:rPr>
          <w:rFonts w:ascii="Times New Roman" w:hAnsi="Times New Roman"/>
          <w:color w:val="000000" w:themeColor="text1"/>
        </w:rPr>
      </w:pPr>
      <w:bookmarkStart w:id="127" w:name="_Toc28117688"/>
      <w:bookmarkStart w:id="128" w:name="_Toc362393128"/>
      <w:bookmarkStart w:id="129" w:name="_Toc5155"/>
      <w:bookmarkStart w:id="130" w:name="_Toc3745"/>
      <w:bookmarkStart w:id="131" w:name="_Toc15548"/>
      <w:bookmarkStart w:id="132" w:name="_Toc4050"/>
      <w:bookmarkStart w:id="133" w:name="_Toc30965"/>
      <w:bookmarkStart w:id="134" w:name="_Toc4832"/>
      <w:bookmarkStart w:id="135" w:name="_Toc22712"/>
      <w:bookmarkStart w:id="136" w:name="_Toc362393134"/>
      <w:bookmarkStart w:id="137" w:name="_Toc3698"/>
      <w:bookmarkStart w:id="138" w:name="_Toc359505244"/>
      <w:bookmarkStart w:id="139" w:name="_Toc3860"/>
      <w:bookmarkStart w:id="140" w:name="_Toc19459"/>
      <w:bookmarkStart w:id="141" w:name="_Toc25422"/>
      <w:bookmarkStart w:id="142" w:name="_Toc17635"/>
      <w:bookmarkStart w:id="143" w:name="_Toc26232"/>
      <w:bookmarkStart w:id="144" w:name="_Toc23043"/>
      <w:bookmarkStart w:id="145" w:name="_Toc160299124"/>
      <w:bookmarkStart w:id="146" w:name="_Toc208199616"/>
      <w:bookmarkStart w:id="147" w:name="_Toc72861893"/>
      <w:bookmarkStart w:id="148" w:name="_Toc83314928"/>
      <w:bookmarkStart w:id="149" w:name="_Toc229190378"/>
      <w:bookmarkStart w:id="150" w:name="_Toc131567200"/>
      <w:bookmarkStart w:id="151" w:name="_Toc167524480"/>
      <w:bookmarkStart w:id="152" w:name="_Toc160364076"/>
      <w:bookmarkStart w:id="153" w:name="_Toc197245422"/>
      <w:bookmarkStart w:id="154" w:name="_Toc72862197"/>
      <w:bookmarkStart w:id="155" w:name="_Toc224206023"/>
      <w:bookmarkStart w:id="156" w:name="_Toc72862033"/>
      <w:bookmarkStart w:id="157" w:name="_Toc83316056"/>
      <w:bookmarkStart w:id="158" w:name="_Toc197246048"/>
      <w:bookmarkStart w:id="159" w:name="_Toc163289885"/>
      <w:bookmarkStart w:id="160" w:name="_Toc246836462"/>
      <w:bookmarkStart w:id="161" w:name="_Toc77525064"/>
      <w:bookmarkStart w:id="162" w:name="_Toc77524926"/>
      <w:bookmarkStart w:id="163" w:name="_Toc197245702"/>
      <w:bookmarkStart w:id="164" w:name="_Toc246836463"/>
      <w:r>
        <w:rPr>
          <w:rFonts w:ascii="Times New Roman" w:hAnsi="Times New Roman"/>
          <w:color w:val="000000" w:themeColor="text1"/>
        </w:rPr>
        <w:t>2.5项目原辅料及能源消耗情况</w:t>
      </w:r>
      <w:bookmarkEnd w:id="127"/>
    </w:p>
    <w:p w14:paraId="2DFE3C15">
      <w:pPr>
        <w:spacing w:line="360" w:lineRule="auto"/>
        <w:ind w:firstLine="480" w:firstLineChars="200"/>
        <w:jc w:val="left"/>
        <w:rPr>
          <w:b/>
          <w:color w:val="000000" w:themeColor="text1"/>
          <w:sz w:val="24"/>
        </w:rPr>
      </w:pPr>
      <w:r>
        <w:rPr>
          <w:b/>
          <w:color w:val="000000" w:themeColor="text1"/>
          <w:sz w:val="24"/>
        </w:rPr>
        <w:t>1、原辅料消耗情况</w:t>
      </w:r>
    </w:p>
    <w:p w14:paraId="5CF9B6E0">
      <w:pPr>
        <w:adjustRightInd w:val="0"/>
        <w:snapToGrid w:val="0"/>
        <w:spacing w:line="360" w:lineRule="auto"/>
        <w:ind w:firstLine="480" w:firstLineChars="200"/>
        <w:rPr>
          <w:color w:val="000000" w:themeColor="text1"/>
          <w:sz w:val="24"/>
        </w:rPr>
      </w:pPr>
      <w:r>
        <w:rPr>
          <w:color w:val="000000" w:themeColor="text1"/>
          <w:sz w:val="24"/>
        </w:rPr>
        <w:t>本项目以国内回收的废旧塑料如塑料瓶、塑料</w:t>
      </w:r>
      <w:r>
        <w:rPr>
          <w:rFonts w:hint="eastAsia"/>
          <w:color w:val="000000" w:themeColor="text1"/>
          <w:sz w:val="24"/>
          <w:lang w:eastAsia="zh-CN"/>
        </w:rPr>
        <w:t>编织袋</w:t>
      </w:r>
      <w:r>
        <w:rPr>
          <w:color w:val="000000" w:themeColor="text1"/>
          <w:sz w:val="24"/>
        </w:rPr>
        <w:t>为主的废料为原料。本项目使用的废塑料仅为废聚乙烯（PE）和聚丙烯塑料（PP），按照种类在原料库内分开存放。</w:t>
      </w:r>
    </w:p>
    <w:p w14:paraId="02AA2DB8">
      <w:pPr>
        <w:adjustRightInd w:val="0"/>
        <w:snapToGrid w:val="0"/>
        <w:spacing w:line="360" w:lineRule="auto"/>
        <w:ind w:firstLine="480" w:firstLineChars="200"/>
        <w:jc w:val="left"/>
        <w:rPr>
          <w:color w:val="000000" w:themeColor="text1"/>
          <w:sz w:val="24"/>
        </w:rPr>
      </w:pPr>
      <w:r>
        <w:rPr>
          <w:color w:val="000000" w:themeColor="text1"/>
          <w:sz w:val="24"/>
        </w:rPr>
        <w:t>原料来源符合HJ/T364-2007《废塑料回收与再生利用污染控制技术规范（试行）》及《禁止洋垃圾入境推进固体废物进口管理制度改革实施方案》（国办发[2017]70号）规定，见下表。</w:t>
      </w:r>
    </w:p>
    <w:p w14:paraId="3EB4BB1A">
      <w:pPr>
        <w:jc w:val="center"/>
        <w:rPr>
          <w:b/>
          <w:color w:val="000000" w:themeColor="text1"/>
          <w:sz w:val="24"/>
        </w:rPr>
      </w:pPr>
      <w:r>
        <w:rPr>
          <w:b/>
          <w:color w:val="000000" w:themeColor="text1"/>
          <w:sz w:val="24"/>
        </w:rPr>
        <w:t>表2.5-1  原辅料一览表</w:t>
      </w:r>
    </w:p>
    <w:tbl>
      <w:tblPr>
        <w:tblStyle w:val="42"/>
        <w:tblW w:w="5000"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1596"/>
        <w:gridCol w:w="1277"/>
        <w:gridCol w:w="958"/>
        <w:gridCol w:w="3253"/>
      </w:tblGrid>
      <w:tr w14:paraId="35FC16C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4" w:type="pct"/>
            <w:vAlign w:val="center"/>
          </w:tcPr>
          <w:p w14:paraId="331EFDA7">
            <w:pPr>
              <w:jc w:val="center"/>
              <w:rPr>
                <w:color w:val="000000" w:themeColor="text1"/>
                <w:szCs w:val="21"/>
              </w:rPr>
            </w:pPr>
            <w:r>
              <w:rPr>
                <w:color w:val="000000" w:themeColor="text1"/>
                <w:szCs w:val="21"/>
              </w:rPr>
              <w:t>原料名称</w:t>
            </w:r>
          </w:p>
        </w:tc>
        <w:tc>
          <w:tcPr>
            <w:tcW w:w="936" w:type="pct"/>
            <w:vAlign w:val="center"/>
          </w:tcPr>
          <w:p w14:paraId="4C4AE88D">
            <w:pPr>
              <w:jc w:val="center"/>
              <w:rPr>
                <w:color w:val="000000" w:themeColor="text1"/>
                <w:szCs w:val="21"/>
              </w:rPr>
            </w:pPr>
            <w:r>
              <w:rPr>
                <w:color w:val="000000" w:themeColor="text1"/>
                <w:szCs w:val="21"/>
              </w:rPr>
              <w:t>规格</w:t>
            </w:r>
          </w:p>
        </w:tc>
        <w:tc>
          <w:tcPr>
            <w:tcW w:w="749" w:type="pct"/>
            <w:vAlign w:val="center"/>
          </w:tcPr>
          <w:p w14:paraId="74E09B8B">
            <w:pPr>
              <w:jc w:val="center"/>
              <w:rPr>
                <w:color w:val="000000" w:themeColor="text1"/>
                <w:szCs w:val="21"/>
              </w:rPr>
            </w:pPr>
            <w:r>
              <w:rPr>
                <w:color w:val="000000" w:themeColor="text1"/>
                <w:szCs w:val="21"/>
              </w:rPr>
              <w:t>年消耗量</w:t>
            </w:r>
          </w:p>
        </w:tc>
        <w:tc>
          <w:tcPr>
            <w:tcW w:w="562" w:type="pct"/>
            <w:vAlign w:val="center"/>
          </w:tcPr>
          <w:p w14:paraId="6D460F67">
            <w:pPr>
              <w:jc w:val="center"/>
              <w:rPr>
                <w:color w:val="000000" w:themeColor="text1"/>
                <w:szCs w:val="21"/>
              </w:rPr>
            </w:pPr>
            <w:r>
              <w:rPr>
                <w:color w:val="000000" w:themeColor="text1"/>
                <w:szCs w:val="21"/>
              </w:rPr>
              <w:t>来源</w:t>
            </w:r>
          </w:p>
        </w:tc>
        <w:tc>
          <w:tcPr>
            <w:tcW w:w="1908" w:type="pct"/>
            <w:vAlign w:val="center"/>
          </w:tcPr>
          <w:p w14:paraId="0CD24F64">
            <w:pPr>
              <w:jc w:val="center"/>
              <w:rPr>
                <w:color w:val="000000" w:themeColor="text1"/>
                <w:szCs w:val="21"/>
              </w:rPr>
            </w:pPr>
            <w:r>
              <w:rPr>
                <w:color w:val="000000" w:themeColor="text1"/>
                <w:szCs w:val="21"/>
              </w:rPr>
              <w:t>备注</w:t>
            </w:r>
          </w:p>
        </w:tc>
      </w:tr>
      <w:tr w14:paraId="009DBAC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4" w:type="pct"/>
            <w:vAlign w:val="center"/>
          </w:tcPr>
          <w:p w14:paraId="6254B737">
            <w:pPr>
              <w:jc w:val="center"/>
              <w:rPr>
                <w:color w:val="000000" w:themeColor="text1"/>
                <w:szCs w:val="21"/>
              </w:rPr>
            </w:pPr>
            <w:r>
              <w:rPr>
                <w:color w:val="000000" w:themeColor="text1"/>
                <w:szCs w:val="21"/>
              </w:rPr>
              <w:t>废塑料瓶、塑料编织袋等</w:t>
            </w:r>
          </w:p>
        </w:tc>
        <w:tc>
          <w:tcPr>
            <w:tcW w:w="936" w:type="pct"/>
            <w:vAlign w:val="center"/>
          </w:tcPr>
          <w:p w14:paraId="057BC4CA">
            <w:pPr>
              <w:jc w:val="center"/>
              <w:rPr>
                <w:color w:val="000000" w:themeColor="text1"/>
                <w:szCs w:val="21"/>
              </w:rPr>
            </w:pPr>
            <w:r>
              <w:rPr>
                <w:color w:val="000000" w:themeColor="text1"/>
                <w:szCs w:val="21"/>
              </w:rPr>
              <w:t>200~800kg/包</w:t>
            </w:r>
          </w:p>
        </w:tc>
        <w:tc>
          <w:tcPr>
            <w:tcW w:w="749" w:type="pct"/>
            <w:vAlign w:val="center"/>
          </w:tcPr>
          <w:p w14:paraId="28DD806D">
            <w:pPr>
              <w:jc w:val="center"/>
              <w:rPr>
                <w:color w:val="000000" w:themeColor="text1"/>
                <w:szCs w:val="21"/>
              </w:rPr>
            </w:pPr>
            <w:r>
              <w:rPr>
                <w:color w:val="000000" w:themeColor="text1"/>
                <w:szCs w:val="21"/>
              </w:rPr>
              <w:t>5008.014t/a</w:t>
            </w:r>
          </w:p>
        </w:tc>
        <w:tc>
          <w:tcPr>
            <w:tcW w:w="562" w:type="pct"/>
            <w:vAlign w:val="center"/>
          </w:tcPr>
          <w:p w14:paraId="20C119CD">
            <w:pPr>
              <w:jc w:val="center"/>
              <w:rPr>
                <w:color w:val="000000" w:themeColor="text1"/>
                <w:szCs w:val="21"/>
              </w:rPr>
            </w:pPr>
            <w:r>
              <w:rPr>
                <w:color w:val="000000" w:themeColor="text1"/>
                <w:szCs w:val="21"/>
              </w:rPr>
              <w:t>外购</w:t>
            </w:r>
          </w:p>
        </w:tc>
        <w:tc>
          <w:tcPr>
            <w:tcW w:w="1908" w:type="pct"/>
            <w:vAlign w:val="center"/>
          </w:tcPr>
          <w:p w14:paraId="6302EDCC">
            <w:pPr>
              <w:jc w:val="center"/>
              <w:rPr>
                <w:color w:val="000000" w:themeColor="text1"/>
                <w:szCs w:val="21"/>
              </w:rPr>
            </w:pPr>
            <w:r>
              <w:rPr>
                <w:color w:val="000000" w:themeColor="text1"/>
                <w:szCs w:val="21"/>
              </w:rPr>
              <w:t>国内原瓶，主要为</w:t>
            </w:r>
            <w:r>
              <w:rPr>
                <w:bCs/>
                <w:color w:val="000000" w:themeColor="text1"/>
                <w:szCs w:val="21"/>
              </w:rPr>
              <w:t>矿泉水瓶、饮料瓶、废旧食用油、酱油塑料瓶、废弃编织袋等</w:t>
            </w:r>
          </w:p>
        </w:tc>
      </w:tr>
    </w:tbl>
    <w:p w14:paraId="147ED255">
      <w:pPr>
        <w:ind w:left="51" w:right="51"/>
        <w:jc w:val="center"/>
        <w:rPr>
          <w:b/>
          <w:bCs/>
          <w:color w:val="000000" w:themeColor="text1"/>
          <w:sz w:val="24"/>
          <w:szCs w:val="28"/>
        </w:rPr>
      </w:pPr>
      <w:r>
        <w:rPr>
          <w:b/>
          <w:bCs/>
          <w:color w:val="000000" w:themeColor="text1"/>
          <w:sz w:val="24"/>
          <w:szCs w:val="28"/>
        </w:rPr>
        <w:t>表2.5-2   原辅材料负面清单一览表（本厂不涉及）</w:t>
      </w:r>
    </w:p>
    <w:tbl>
      <w:tblPr>
        <w:tblStyle w:val="42"/>
        <w:tblW w:w="5000"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7562"/>
      </w:tblGrid>
      <w:tr w14:paraId="6514D605">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3" w:type="pct"/>
          </w:tcPr>
          <w:p w14:paraId="3B5F1B55">
            <w:pPr>
              <w:jc w:val="center"/>
              <w:rPr>
                <w:color w:val="000000" w:themeColor="text1"/>
                <w:szCs w:val="21"/>
              </w:rPr>
            </w:pPr>
            <w:r>
              <w:rPr>
                <w:color w:val="000000" w:themeColor="text1"/>
                <w:szCs w:val="21"/>
              </w:rPr>
              <w:t>序号</w:t>
            </w:r>
          </w:p>
        </w:tc>
        <w:tc>
          <w:tcPr>
            <w:tcW w:w="4437" w:type="pct"/>
            <w:vAlign w:val="center"/>
          </w:tcPr>
          <w:p w14:paraId="4E9E29F6">
            <w:pPr>
              <w:jc w:val="center"/>
              <w:rPr>
                <w:color w:val="000000" w:themeColor="text1"/>
                <w:szCs w:val="21"/>
              </w:rPr>
            </w:pPr>
            <w:r>
              <w:rPr>
                <w:color w:val="000000" w:themeColor="text1"/>
                <w:szCs w:val="21"/>
              </w:rPr>
              <w:t>名称</w:t>
            </w:r>
          </w:p>
        </w:tc>
      </w:tr>
      <w:tr w14:paraId="1B3858F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3" w:type="pct"/>
            <w:vAlign w:val="center"/>
          </w:tcPr>
          <w:p w14:paraId="56D14770">
            <w:pPr>
              <w:jc w:val="center"/>
              <w:rPr>
                <w:color w:val="000000" w:themeColor="text1"/>
                <w:szCs w:val="21"/>
              </w:rPr>
            </w:pPr>
            <w:r>
              <w:rPr>
                <w:color w:val="000000" w:themeColor="text1"/>
                <w:szCs w:val="21"/>
              </w:rPr>
              <w:t>1</w:t>
            </w:r>
          </w:p>
        </w:tc>
        <w:tc>
          <w:tcPr>
            <w:tcW w:w="4437" w:type="pct"/>
            <w:vAlign w:val="center"/>
          </w:tcPr>
          <w:p w14:paraId="79DC3C39">
            <w:pPr>
              <w:jc w:val="center"/>
              <w:rPr>
                <w:color w:val="000000" w:themeColor="text1"/>
                <w:szCs w:val="21"/>
              </w:rPr>
            </w:pPr>
            <w:r>
              <w:rPr>
                <w:color w:val="000000" w:themeColor="text1"/>
                <w:szCs w:val="21"/>
              </w:rPr>
              <w:t>进口废塑料</w:t>
            </w:r>
          </w:p>
        </w:tc>
      </w:tr>
      <w:tr w14:paraId="1705E149">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3" w:type="pct"/>
          </w:tcPr>
          <w:p w14:paraId="6B234018">
            <w:pPr>
              <w:jc w:val="center"/>
              <w:rPr>
                <w:color w:val="000000" w:themeColor="text1"/>
                <w:szCs w:val="21"/>
              </w:rPr>
            </w:pPr>
            <w:r>
              <w:rPr>
                <w:color w:val="000000" w:themeColor="text1"/>
                <w:szCs w:val="21"/>
              </w:rPr>
              <w:t>2</w:t>
            </w:r>
          </w:p>
        </w:tc>
        <w:tc>
          <w:tcPr>
            <w:tcW w:w="4437" w:type="pct"/>
            <w:vAlign w:val="center"/>
          </w:tcPr>
          <w:p w14:paraId="47FAA5F2">
            <w:pPr>
              <w:jc w:val="center"/>
              <w:rPr>
                <w:color w:val="000000" w:themeColor="text1"/>
                <w:szCs w:val="21"/>
              </w:rPr>
            </w:pPr>
            <w:r>
              <w:rPr>
                <w:color w:val="000000" w:themeColor="text1"/>
                <w:szCs w:val="21"/>
              </w:rPr>
              <w:t>含有或沾染医疗废物的废塑料</w:t>
            </w:r>
          </w:p>
        </w:tc>
      </w:tr>
      <w:tr w14:paraId="0E9FD92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3" w:type="pct"/>
          </w:tcPr>
          <w:p w14:paraId="1277D890">
            <w:pPr>
              <w:jc w:val="center"/>
              <w:rPr>
                <w:color w:val="000000" w:themeColor="text1"/>
                <w:szCs w:val="21"/>
              </w:rPr>
            </w:pPr>
            <w:r>
              <w:rPr>
                <w:color w:val="000000" w:themeColor="text1"/>
                <w:szCs w:val="21"/>
              </w:rPr>
              <w:t>3</w:t>
            </w:r>
          </w:p>
        </w:tc>
        <w:tc>
          <w:tcPr>
            <w:tcW w:w="4437" w:type="pct"/>
            <w:vAlign w:val="center"/>
          </w:tcPr>
          <w:p w14:paraId="4E2087C4">
            <w:pPr>
              <w:jc w:val="center"/>
              <w:rPr>
                <w:color w:val="000000" w:themeColor="text1"/>
                <w:szCs w:val="21"/>
              </w:rPr>
            </w:pPr>
            <w:r>
              <w:rPr>
                <w:color w:val="000000" w:themeColor="text1"/>
                <w:szCs w:val="21"/>
              </w:rPr>
              <w:t>含有或沾染毒性、感染性危险废物的废塑料</w:t>
            </w:r>
          </w:p>
        </w:tc>
      </w:tr>
      <w:tr w14:paraId="2E44C30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3" w:type="pct"/>
          </w:tcPr>
          <w:p w14:paraId="7C086708">
            <w:pPr>
              <w:jc w:val="center"/>
              <w:rPr>
                <w:color w:val="000000" w:themeColor="text1"/>
                <w:szCs w:val="21"/>
              </w:rPr>
            </w:pPr>
            <w:r>
              <w:rPr>
                <w:color w:val="000000" w:themeColor="text1"/>
                <w:szCs w:val="21"/>
              </w:rPr>
              <w:t>4</w:t>
            </w:r>
          </w:p>
        </w:tc>
        <w:tc>
          <w:tcPr>
            <w:tcW w:w="4437" w:type="pct"/>
            <w:vAlign w:val="center"/>
          </w:tcPr>
          <w:p w14:paraId="5F3A7AFE">
            <w:pPr>
              <w:jc w:val="center"/>
              <w:rPr>
                <w:color w:val="000000" w:themeColor="text1"/>
                <w:szCs w:val="21"/>
              </w:rPr>
            </w:pPr>
            <w:r>
              <w:rPr>
                <w:color w:val="000000" w:themeColor="text1"/>
                <w:szCs w:val="21"/>
              </w:rPr>
              <w:t>其他《国家危险废物名录》中规定的危险废物</w:t>
            </w:r>
          </w:p>
        </w:tc>
      </w:tr>
    </w:tbl>
    <w:p w14:paraId="03D54C4E">
      <w:pPr>
        <w:tabs>
          <w:tab w:val="left" w:pos="1680"/>
        </w:tabs>
        <w:spacing w:line="360" w:lineRule="auto"/>
        <w:ind w:right="210" w:firstLine="540"/>
        <w:rPr>
          <w:rFonts w:eastAsia="新宋体"/>
          <w:b/>
          <w:color w:val="FF0000"/>
          <w:sz w:val="24"/>
          <w:szCs w:val="21"/>
        </w:rPr>
      </w:pPr>
      <w:r>
        <w:rPr>
          <w:rFonts w:eastAsia="新宋体"/>
          <w:b/>
          <w:color w:val="FF0000"/>
          <w:sz w:val="24"/>
          <w:szCs w:val="21"/>
        </w:rPr>
        <w:t>（1）原料物理化学性质</w:t>
      </w:r>
    </w:p>
    <w:p w14:paraId="7694B8AA">
      <w:pPr>
        <w:tabs>
          <w:tab w:val="left" w:pos="1680"/>
        </w:tabs>
        <w:spacing w:line="360" w:lineRule="auto"/>
        <w:ind w:right="210" w:firstLine="540"/>
        <w:rPr>
          <w:rFonts w:eastAsia="新宋体"/>
          <w:color w:val="000000" w:themeColor="text1"/>
          <w:sz w:val="24"/>
          <w:szCs w:val="21"/>
        </w:rPr>
      </w:pPr>
      <w:r>
        <w:rPr>
          <w:rFonts w:eastAsia="新宋体"/>
          <w:color w:val="000000" w:themeColor="text1"/>
          <w:sz w:val="24"/>
          <w:szCs w:val="21"/>
        </w:rPr>
        <w:t>本项目原料为</w:t>
      </w:r>
      <w:r>
        <w:rPr>
          <w:color w:val="000000" w:themeColor="text1"/>
          <w:sz w:val="24"/>
        </w:rPr>
        <w:t>塑料瓶、塑料</w:t>
      </w:r>
      <w:r>
        <w:rPr>
          <w:rFonts w:hint="eastAsia"/>
          <w:color w:val="000000" w:themeColor="text1"/>
          <w:sz w:val="24"/>
          <w:lang w:eastAsia="zh-CN"/>
        </w:rPr>
        <w:t>编织袋</w:t>
      </w:r>
      <w:r>
        <w:rPr>
          <w:color w:val="000000" w:themeColor="text1"/>
          <w:sz w:val="24"/>
        </w:rPr>
        <w:t>等，主要成分为</w:t>
      </w:r>
      <w:r>
        <w:rPr>
          <w:rFonts w:eastAsia="新宋体"/>
          <w:color w:val="000000" w:themeColor="text1"/>
          <w:sz w:val="24"/>
          <w:szCs w:val="21"/>
        </w:rPr>
        <w:t>聚丙烯、聚乙烯。</w:t>
      </w:r>
    </w:p>
    <w:p w14:paraId="07CD81B8">
      <w:pPr>
        <w:tabs>
          <w:tab w:val="left" w:pos="1680"/>
        </w:tabs>
        <w:spacing w:line="360" w:lineRule="auto"/>
        <w:ind w:right="210" w:firstLine="540"/>
        <w:rPr>
          <w:rFonts w:eastAsia="新宋体"/>
          <w:color w:val="000000" w:themeColor="text1"/>
          <w:sz w:val="24"/>
          <w:szCs w:val="21"/>
        </w:rPr>
      </w:pPr>
      <w:r>
        <w:rPr>
          <w:rFonts w:eastAsia="新宋体"/>
          <w:b/>
          <w:color w:val="000000" w:themeColor="text1"/>
          <w:sz w:val="24"/>
          <w:szCs w:val="21"/>
        </w:rPr>
        <w:t>聚乙烯（polyethylene）</w:t>
      </w:r>
      <w:r>
        <w:rPr>
          <w:rFonts w:eastAsia="新宋体"/>
          <w:color w:val="000000" w:themeColor="text1"/>
          <w:sz w:val="24"/>
          <w:szCs w:val="21"/>
        </w:rPr>
        <w:t>，简称PE，是乙烯经聚合制得的一种热塑性树脂，是结构最简单的高分子，也是应用最广泛的高分子材料。聚乙烯是通过乙烯（CH</w:t>
      </w:r>
      <w:r>
        <w:rPr>
          <w:rFonts w:eastAsia="新宋体"/>
          <w:color w:val="000000" w:themeColor="text1"/>
          <w:sz w:val="24"/>
          <w:szCs w:val="21"/>
          <w:vertAlign w:val="subscript"/>
        </w:rPr>
        <w:t>2</w:t>
      </w:r>
      <w:r>
        <w:rPr>
          <w:rFonts w:eastAsia="新宋体"/>
          <w:color w:val="000000" w:themeColor="text1"/>
          <w:sz w:val="24"/>
          <w:szCs w:val="21"/>
        </w:rPr>
        <w:t>=CH</w:t>
      </w:r>
      <w:r>
        <w:rPr>
          <w:rFonts w:eastAsia="新宋体"/>
          <w:color w:val="000000" w:themeColor="text1"/>
          <w:sz w:val="24"/>
          <w:szCs w:val="21"/>
          <w:vertAlign w:val="subscript"/>
        </w:rPr>
        <w:t>2</w:t>
      </w:r>
      <w:r>
        <w:rPr>
          <w:rFonts w:eastAsia="新宋体"/>
          <w:color w:val="000000" w:themeColor="text1"/>
          <w:sz w:val="24"/>
          <w:szCs w:val="21"/>
        </w:rPr>
        <w:t>）的发生加成聚合反应而成的，分子结构是由重复的–CH</w:t>
      </w:r>
      <w:r>
        <w:rPr>
          <w:rFonts w:eastAsia="新宋体"/>
          <w:color w:val="000000" w:themeColor="text1"/>
          <w:sz w:val="24"/>
          <w:szCs w:val="21"/>
          <w:vertAlign w:val="subscript"/>
        </w:rPr>
        <w:t>2</w:t>
      </w:r>
      <w:r>
        <w:rPr>
          <w:rFonts w:eastAsia="新宋体"/>
          <w:color w:val="000000" w:themeColor="text1"/>
          <w:sz w:val="24"/>
          <w:szCs w:val="21"/>
        </w:rPr>
        <w:t>–单元连接而成的。聚乙烯无臭，无毒，手感似蜡，具有优良的耐低温性能（最低使用温度可达-70～-100</w:t>
      </w:r>
      <w:r>
        <w:rPr>
          <w:color w:val="000000" w:themeColor="text1"/>
          <w:sz w:val="24"/>
          <w:szCs w:val="21"/>
        </w:rPr>
        <w:t>℃</w:t>
      </w:r>
      <w:r>
        <w:rPr>
          <w:rFonts w:eastAsia="新宋体"/>
          <w:color w:val="000000" w:themeColor="text1"/>
          <w:sz w:val="24"/>
          <w:szCs w:val="21"/>
        </w:rPr>
        <w:t>），化学稳定性好，能耐大多数酸碱的侵蚀（不耐具有氧化性质的酸），常温下不溶于一般溶剂，吸水性小，电绝缘性能优良。</w:t>
      </w:r>
    </w:p>
    <w:p w14:paraId="3E6FAEE0">
      <w:pPr>
        <w:tabs>
          <w:tab w:val="left" w:pos="1680"/>
        </w:tabs>
        <w:spacing w:line="360" w:lineRule="auto"/>
        <w:ind w:right="210" w:firstLine="540"/>
        <w:rPr>
          <w:rFonts w:eastAsia="新宋体"/>
          <w:color w:val="000000" w:themeColor="text1"/>
          <w:sz w:val="24"/>
          <w:szCs w:val="21"/>
        </w:rPr>
      </w:pPr>
      <w:r>
        <w:rPr>
          <w:rFonts w:eastAsia="新宋体"/>
          <w:b/>
          <w:color w:val="000000" w:themeColor="text1"/>
          <w:sz w:val="24"/>
          <w:szCs w:val="21"/>
        </w:rPr>
        <w:t>聚丙烯（Polypropylene）</w:t>
      </w:r>
      <w:r>
        <w:rPr>
          <w:rFonts w:eastAsia="新宋体"/>
          <w:color w:val="000000" w:themeColor="text1"/>
          <w:sz w:val="24"/>
          <w:szCs w:val="21"/>
        </w:rPr>
        <w:t>，简称：PP，分子式：(C</w:t>
      </w:r>
      <w:r>
        <w:rPr>
          <w:rFonts w:eastAsia="新宋体"/>
          <w:color w:val="000000" w:themeColor="text1"/>
          <w:sz w:val="24"/>
          <w:szCs w:val="21"/>
          <w:vertAlign w:val="subscript"/>
        </w:rPr>
        <w:t>3</w:t>
      </w:r>
      <w:r>
        <w:rPr>
          <w:rFonts w:eastAsia="新宋体"/>
          <w:color w:val="000000" w:themeColor="text1"/>
          <w:sz w:val="24"/>
          <w:szCs w:val="21"/>
        </w:rPr>
        <w:t>H</w:t>
      </w:r>
      <w:r>
        <w:rPr>
          <w:rFonts w:eastAsia="新宋体"/>
          <w:color w:val="000000" w:themeColor="text1"/>
          <w:sz w:val="24"/>
          <w:szCs w:val="21"/>
          <w:vertAlign w:val="subscript"/>
        </w:rPr>
        <w:t>6</w:t>
      </w:r>
      <w:r>
        <w:rPr>
          <w:rFonts w:eastAsia="新宋体"/>
          <w:color w:val="000000" w:themeColor="text1"/>
          <w:sz w:val="24"/>
          <w:szCs w:val="21"/>
        </w:rPr>
        <w:t>)n，是由丙烯聚合而制得的一种热塑性树脂。聚丙烯为无毒、无臭、无味的乳白色高结晶的聚合物，密度只有0.90-0.91g/m</w:t>
      </w:r>
      <w:r>
        <w:rPr>
          <w:rFonts w:eastAsia="新宋体"/>
          <w:color w:val="000000" w:themeColor="text1"/>
          <w:sz w:val="24"/>
          <w:szCs w:val="21"/>
          <w:vertAlign w:val="superscript"/>
        </w:rPr>
        <w:t>3</w:t>
      </w:r>
      <w:r>
        <w:rPr>
          <w:rFonts w:eastAsia="新宋体"/>
          <w:color w:val="000000" w:themeColor="text1"/>
          <w:sz w:val="24"/>
          <w:szCs w:val="21"/>
        </w:rPr>
        <w:t>，是目前所有塑料中最轻的品种之一。它对水特别稳定，在水中的吸水率仅为0.01%，分子量约8万到15万。成型性好，但因收缩率大（为1%-2.5%），厚壁制品易凹陷，对一些尺寸精度较高零件，还难于达到要求，制品表面光泽好，易于着色。聚丙烯的化学稳定性很好，除能被浓硫酸、浓硝酸侵蚀外，对其它各种化学试剂都比较稳定，但低分子量的脂肪烃、芳香烃和氯化烃等能使聚丙烯软化和溶胀，同时它的化学稳定性随结晶度的增加还有所提高，所以聚丙烯适合制作各种化工管道和配件，防腐蚀效果良好。</w:t>
      </w:r>
    </w:p>
    <w:p w14:paraId="2FCBF86F">
      <w:pPr>
        <w:ind w:left="51" w:right="51"/>
        <w:jc w:val="center"/>
        <w:rPr>
          <w:b/>
          <w:bCs/>
          <w:color w:val="000000" w:themeColor="text1"/>
          <w:sz w:val="24"/>
          <w:szCs w:val="28"/>
        </w:rPr>
      </w:pPr>
      <w:r>
        <w:rPr>
          <w:b/>
          <w:bCs/>
          <w:color w:val="000000" w:themeColor="text1"/>
          <w:sz w:val="24"/>
          <w:szCs w:val="28"/>
        </w:rPr>
        <w:t>表2.5-3  理化特性表</w:t>
      </w:r>
    </w:p>
    <w:tbl>
      <w:tblPr>
        <w:tblStyle w:val="4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0"/>
        <w:gridCol w:w="4320"/>
        <w:gridCol w:w="3474"/>
      </w:tblGrid>
      <w:tr w14:paraId="1D2A5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14:paraId="6F1D7BBD">
            <w:pPr>
              <w:jc w:val="center"/>
              <w:rPr>
                <w:rFonts w:eastAsia="新宋体"/>
                <w:color w:val="000000" w:themeColor="text1"/>
                <w:szCs w:val="21"/>
              </w:rPr>
            </w:pPr>
            <w:r>
              <w:rPr>
                <w:rFonts w:eastAsia="新宋体"/>
                <w:color w:val="000000" w:themeColor="text1"/>
                <w:szCs w:val="21"/>
              </w:rPr>
              <w:t>原料</w:t>
            </w:r>
          </w:p>
        </w:tc>
        <w:tc>
          <w:tcPr>
            <w:tcW w:w="4320" w:type="dxa"/>
            <w:vAlign w:val="center"/>
          </w:tcPr>
          <w:p w14:paraId="1B669744">
            <w:pPr>
              <w:jc w:val="center"/>
              <w:rPr>
                <w:rFonts w:eastAsia="新宋体"/>
                <w:color w:val="000000" w:themeColor="text1"/>
                <w:szCs w:val="21"/>
              </w:rPr>
            </w:pPr>
            <w:r>
              <w:rPr>
                <w:rFonts w:eastAsia="新宋体"/>
                <w:color w:val="000000" w:themeColor="text1"/>
                <w:szCs w:val="21"/>
              </w:rPr>
              <w:t>聚丙烯（PP）</w:t>
            </w:r>
          </w:p>
        </w:tc>
        <w:tc>
          <w:tcPr>
            <w:tcW w:w="3474" w:type="dxa"/>
            <w:vAlign w:val="center"/>
          </w:tcPr>
          <w:p w14:paraId="15D36555">
            <w:pPr>
              <w:jc w:val="center"/>
              <w:rPr>
                <w:rFonts w:eastAsia="新宋体"/>
                <w:color w:val="000000" w:themeColor="text1"/>
                <w:szCs w:val="21"/>
              </w:rPr>
            </w:pPr>
            <w:r>
              <w:rPr>
                <w:rFonts w:eastAsia="新宋体"/>
                <w:color w:val="000000" w:themeColor="text1"/>
                <w:szCs w:val="21"/>
              </w:rPr>
              <w:t>聚乙烯（PE）</w:t>
            </w:r>
          </w:p>
        </w:tc>
      </w:tr>
      <w:tr w14:paraId="37B9E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14:paraId="3E54CC91">
            <w:pPr>
              <w:jc w:val="center"/>
              <w:rPr>
                <w:rFonts w:eastAsia="新宋体"/>
                <w:color w:val="000000" w:themeColor="text1"/>
                <w:szCs w:val="21"/>
              </w:rPr>
            </w:pPr>
            <w:r>
              <w:rPr>
                <w:rFonts w:eastAsia="新宋体"/>
                <w:color w:val="000000" w:themeColor="text1"/>
                <w:szCs w:val="21"/>
              </w:rPr>
              <w:t>物理</w:t>
            </w:r>
          </w:p>
          <w:p w14:paraId="790B8605">
            <w:pPr>
              <w:jc w:val="center"/>
              <w:rPr>
                <w:rFonts w:eastAsia="新宋体"/>
                <w:color w:val="000000" w:themeColor="text1"/>
                <w:szCs w:val="21"/>
              </w:rPr>
            </w:pPr>
            <w:r>
              <w:rPr>
                <w:rFonts w:eastAsia="新宋体"/>
                <w:color w:val="000000" w:themeColor="text1"/>
                <w:szCs w:val="21"/>
              </w:rPr>
              <w:t>性能</w:t>
            </w:r>
          </w:p>
        </w:tc>
        <w:tc>
          <w:tcPr>
            <w:tcW w:w="4320" w:type="dxa"/>
            <w:vAlign w:val="center"/>
          </w:tcPr>
          <w:p w14:paraId="4D0CC56D">
            <w:pPr>
              <w:ind w:firstLine="420" w:firstLineChars="200"/>
              <w:rPr>
                <w:rFonts w:eastAsia="新宋体"/>
                <w:color w:val="000000" w:themeColor="text1"/>
                <w:szCs w:val="21"/>
              </w:rPr>
            </w:pPr>
            <w:r>
              <w:rPr>
                <w:rFonts w:eastAsia="新宋体"/>
                <w:color w:val="000000" w:themeColor="text1"/>
                <w:szCs w:val="21"/>
              </w:rPr>
              <w:t>无毒、无臭、无味的乳白色高结晶的聚合物，密度只有0.90--0.91g/m</w:t>
            </w:r>
            <w:r>
              <w:rPr>
                <w:rFonts w:eastAsia="新宋体"/>
                <w:color w:val="000000" w:themeColor="text1"/>
                <w:szCs w:val="21"/>
                <w:vertAlign w:val="superscript"/>
              </w:rPr>
              <w:t>3</w:t>
            </w:r>
            <w:r>
              <w:rPr>
                <w:rFonts w:eastAsia="新宋体"/>
                <w:color w:val="000000" w:themeColor="text1"/>
                <w:szCs w:val="21"/>
              </w:rPr>
              <w:t>，是目前所有塑料中最轻的品种之一。它对水特别稳定，在水中的吸水率仅为0.01%，分子量约8万到15万。成型性好，但因收缩率大(为1%-2.5%），厚壁制品易凹陷，对一些尺寸精度较高零件，还难于达到要求，制品表面光泽好，易于着色。</w:t>
            </w:r>
          </w:p>
        </w:tc>
        <w:tc>
          <w:tcPr>
            <w:tcW w:w="3474" w:type="dxa"/>
            <w:vAlign w:val="center"/>
          </w:tcPr>
          <w:p w14:paraId="7284329D">
            <w:pPr>
              <w:ind w:firstLine="420" w:firstLineChars="200"/>
              <w:rPr>
                <w:rFonts w:eastAsia="新宋体"/>
                <w:color w:val="000000" w:themeColor="text1"/>
                <w:szCs w:val="21"/>
              </w:rPr>
            </w:pPr>
            <w:r>
              <w:rPr>
                <w:rFonts w:eastAsia="新宋体"/>
                <w:color w:val="000000" w:themeColor="text1"/>
                <w:szCs w:val="21"/>
              </w:rPr>
              <w:t>是乙烯经聚合制得的一种热塑性树脂，是结构最简单的高分子，也是应用最广泛的高分子材料。聚乙烯是通过乙烯（CH</w:t>
            </w:r>
            <w:r>
              <w:rPr>
                <w:rFonts w:eastAsia="新宋体"/>
                <w:color w:val="000000" w:themeColor="text1"/>
                <w:szCs w:val="21"/>
                <w:vertAlign w:val="subscript"/>
              </w:rPr>
              <w:t>2</w:t>
            </w:r>
            <w:r>
              <w:rPr>
                <w:rFonts w:eastAsia="新宋体"/>
                <w:color w:val="000000" w:themeColor="text1"/>
                <w:szCs w:val="21"/>
              </w:rPr>
              <w:t>=CH</w:t>
            </w:r>
            <w:r>
              <w:rPr>
                <w:rFonts w:eastAsia="新宋体"/>
                <w:color w:val="000000" w:themeColor="text1"/>
                <w:szCs w:val="21"/>
                <w:vertAlign w:val="subscript"/>
              </w:rPr>
              <w:t>2</w:t>
            </w:r>
            <w:r>
              <w:rPr>
                <w:rFonts w:eastAsia="新宋体"/>
                <w:color w:val="000000" w:themeColor="text1"/>
                <w:szCs w:val="21"/>
              </w:rPr>
              <w:t>）的发生加成聚合反应而成的，分子结构是由重复的–CH</w:t>
            </w:r>
            <w:r>
              <w:rPr>
                <w:rFonts w:eastAsia="新宋体"/>
                <w:color w:val="000000" w:themeColor="text1"/>
                <w:szCs w:val="21"/>
                <w:vertAlign w:val="subscript"/>
              </w:rPr>
              <w:t>2</w:t>
            </w:r>
            <w:r>
              <w:rPr>
                <w:rFonts w:eastAsia="新宋体"/>
                <w:color w:val="000000" w:themeColor="text1"/>
                <w:szCs w:val="21"/>
              </w:rPr>
              <w:t>–单元连接而成的。聚乙烯无臭，无毒，手感似蜡。</w:t>
            </w:r>
          </w:p>
        </w:tc>
      </w:tr>
      <w:tr w14:paraId="401FE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14:paraId="0298BF23">
            <w:pPr>
              <w:jc w:val="center"/>
              <w:rPr>
                <w:rFonts w:eastAsia="新宋体"/>
                <w:color w:val="000000" w:themeColor="text1"/>
                <w:szCs w:val="21"/>
              </w:rPr>
            </w:pPr>
            <w:r>
              <w:rPr>
                <w:rFonts w:eastAsia="新宋体"/>
                <w:color w:val="000000" w:themeColor="text1"/>
                <w:szCs w:val="21"/>
              </w:rPr>
              <w:t>力学</w:t>
            </w:r>
          </w:p>
          <w:p w14:paraId="3CE25100">
            <w:pPr>
              <w:jc w:val="center"/>
              <w:rPr>
                <w:rFonts w:eastAsia="新宋体"/>
                <w:color w:val="000000" w:themeColor="text1"/>
                <w:szCs w:val="21"/>
              </w:rPr>
            </w:pPr>
            <w:r>
              <w:rPr>
                <w:rFonts w:eastAsia="新宋体"/>
                <w:color w:val="000000" w:themeColor="text1"/>
                <w:szCs w:val="21"/>
              </w:rPr>
              <w:t>性能</w:t>
            </w:r>
          </w:p>
        </w:tc>
        <w:tc>
          <w:tcPr>
            <w:tcW w:w="4320" w:type="dxa"/>
            <w:vAlign w:val="center"/>
          </w:tcPr>
          <w:p w14:paraId="3A4B2AFE">
            <w:pPr>
              <w:ind w:firstLine="420" w:firstLineChars="200"/>
              <w:rPr>
                <w:rFonts w:eastAsia="新宋体"/>
                <w:color w:val="000000" w:themeColor="text1"/>
                <w:szCs w:val="21"/>
              </w:rPr>
            </w:pPr>
            <w:r>
              <w:rPr>
                <w:rFonts w:eastAsia="新宋体"/>
                <w:color w:val="000000" w:themeColor="text1"/>
                <w:szCs w:val="21"/>
              </w:rPr>
              <w:t>结晶度高，结构规整，具有良好的力学性能，其强度和硬度、弹性都比较好，但在室温和低温下冲击强度较差，分子量增加的时候，冲击强度也增大，但成型加工性能变差。</w:t>
            </w:r>
          </w:p>
        </w:tc>
        <w:tc>
          <w:tcPr>
            <w:tcW w:w="3474" w:type="dxa"/>
            <w:vAlign w:val="center"/>
          </w:tcPr>
          <w:p w14:paraId="52986B4A">
            <w:pPr>
              <w:ind w:firstLine="420" w:firstLineChars="200"/>
              <w:rPr>
                <w:rFonts w:eastAsia="新宋体"/>
                <w:color w:val="000000" w:themeColor="text1"/>
                <w:szCs w:val="21"/>
              </w:rPr>
            </w:pPr>
            <w:r>
              <w:rPr>
                <w:rFonts w:eastAsia="新宋体"/>
                <w:color w:val="000000" w:themeColor="text1"/>
                <w:szCs w:val="21"/>
              </w:rPr>
              <w:t>从其拉伸时的应力－应变曲线来看，聚乙烯属于一种典型的软而韧的聚合物材料。聚乙烯拉伸强度比较低，表面硬度也不高，抗蠕变性差，只有抗冲击性能好。</w:t>
            </w:r>
          </w:p>
        </w:tc>
      </w:tr>
      <w:tr w14:paraId="10C22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14:paraId="43D1D73F">
            <w:pPr>
              <w:jc w:val="center"/>
              <w:rPr>
                <w:rFonts w:eastAsia="新宋体"/>
                <w:color w:val="000000" w:themeColor="text1"/>
                <w:szCs w:val="21"/>
              </w:rPr>
            </w:pPr>
            <w:r>
              <w:rPr>
                <w:rFonts w:eastAsia="新宋体"/>
                <w:color w:val="000000" w:themeColor="text1"/>
                <w:szCs w:val="21"/>
              </w:rPr>
              <w:t>热性能</w:t>
            </w:r>
          </w:p>
        </w:tc>
        <w:tc>
          <w:tcPr>
            <w:tcW w:w="4320" w:type="dxa"/>
            <w:vAlign w:val="center"/>
          </w:tcPr>
          <w:p w14:paraId="7938330D">
            <w:pPr>
              <w:ind w:firstLine="420" w:firstLineChars="200"/>
              <w:rPr>
                <w:rFonts w:eastAsia="新宋体"/>
                <w:color w:val="000000" w:themeColor="text1"/>
                <w:szCs w:val="21"/>
              </w:rPr>
            </w:pPr>
            <w:r>
              <w:rPr>
                <w:rFonts w:eastAsia="新宋体"/>
                <w:color w:val="000000" w:themeColor="text1"/>
                <w:szCs w:val="21"/>
              </w:rPr>
              <w:t>具有良好的耐热性，熔点在164-170</w:t>
            </w:r>
            <w:r>
              <w:rPr>
                <w:color w:val="000000" w:themeColor="text1"/>
                <w:szCs w:val="21"/>
              </w:rPr>
              <w:t>℃</w:t>
            </w:r>
            <w:r>
              <w:rPr>
                <w:rFonts w:eastAsia="新宋体"/>
                <w:color w:val="000000" w:themeColor="text1"/>
                <w:szCs w:val="21"/>
              </w:rPr>
              <w:t>，裂解温度≥350</w:t>
            </w:r>
            <w:r>
              <w:rPr>
                <w:color w:val="000000" w:themeColor="text1"/>
                <w:szCs w:val="21"/>
              </w:rPr>
              <w:t>℃</w:t>
            </w:r>
            <w:r>
              <w:rPr>
                <w:rFonts w:eastAsia="新宋体"/>
                <w:color w:val="000000" w:themeColor="text1"/>
                <w:szCs w:val="21"/>
              </w:rPr>
              <w:t>，制成的制品可在100</w:t>
            </w:r>
            <w:r>
              <w:rPr>
                <w:color w:val="000000" w:themeColor="text1"/>
                <w:szCs w:val="21"/>
              </w:rPr>
              <w:t>℃</w:t>
            </w:r>
            <w:r>
              <w:rPr>
                <w:rFonts w:eastAsia="新宋体"/>
                <w:color w:val="000000" w:themeColor="text1"/>
                <w:szCs w:val="21"/>
              </w:rPr>
              <w:t>以上温度进行消毒灭菌，在不收外力的情况下150</w:t>
            </w:r>
            <w:r>
              <w:rPr>
                <w:color w:val="000000" w:themeColor="text1"/>
                <w:szCs w:val="21"/>
              </w:rPr>
              <w:t>℃</w:t>
            </w:r>
            <w:r>
              <w:rPr>
                <w:rFonts w:eastAsia="新宋体"/>
                <w:color w:val="000000" w:themeColor="text1"/>
                <w:szCs w:val="21"/>
              </w:rPr>
              <w:t>也不变形，裂解温度≥350</w:t>
            </w:r>
            <w:r>
              <w:rPr>
                <w:color w:val="000000" w:themeColor="text1"/>
                <w:szCs w:val="21"/>
              </w:rPr>
              <w:t>℃</w:t>
            </w:r>
            <w:r>
              <w:rPr>
                <w:rFonts w:eastAsia="新宋体"/>
                <w:color w:val="000000" w:themeColor="text1"/>
                <w:szCs w:val="21"/>
              </w:rPr>
              <w:t>，脆化温度为-35</w:t>
            </w:r>
            <w:r>
              <w:rPr>
                <w:color w:val="000000" w:themeColor="text1"/>
                <w:szCs w:val="21"/>
              </w:rPr>
              <w:t>℃。</w:t>
            </w:r>
          </w:p>
        </w:tc>
        <w:tc>
          <w:tcPr>
            <w:tcW w:w="3474" w:type="dxa"/>
            <w:vAlign w:val="center"/>
          </w:tcPr>
          <w:p w14:paraId="0459A3B9">
            <w:pPr>
              <w:ind w:firstLine="420" w:firstLineChars="200"/>
              <w:rPr>
                <w:rFonts w:eastAsia="新宋体"/>
                <w:color w:val="000000" w:themeColor="text1"/>
                <w:szCs w:val="21"/>
              </w:rPr>
            </w:pPr>
            <w:r>
              <w:rPr>
                <w:rFonts w:eastAsia="新宋体"/>
                <w:color w:val="000000" w:themeColor="text1"/>
                <w:szCs w:val="21"/>
              </w:rPr>
              <w:t>具有优良的耐低温性能(最低使用温度可达-70～-100</w:t>
            </w:r>
            <w:r>
              <w:rPr>
                <w:color w:val="000000" w:themeColor="text1"/>
                <w:szCs w:val="21"/>
              </w:rPr>
              <w:t>℃</w:t>
            </w:r>
            <w:r>
              <w:rPr>
                <w:rFonts w:eastAsia="新宋体"/>
                <w:color w:val="000000" w:themeColor="text1"/>
                <w:szCs w:val="21"/>
              </w:rPr>
              <w:t>)，熔点在132-135</w:t>
            </w:r>
            <w:r>
              <w:rPr>
                <w:color w:val="000000" w:themeColor="text1"/>
                <w:szCs w:val="21"/>
              </w:rPr>
              <w:t>℃</w:t>
            </w:r>
            <w:r>
              <w:rPr>
                <w:rFonts w:eastAsia="新宋体"/>
                <w:color w:val="000000" w:themeColor="text1"/>
                <w:szCs w:val="21"/>
              </w:rPr>
              <w:t>，裂解温度≥380</w:t>
            </w:r>
            <w:r>
              <w:rPr>
                <w:color w:val="000000" w:themeColor="text1"/>
                <w:szCs w:val="21"/>
              </w:rPr>
              <w:t>℃</w:t>
            </w:r>
            <w:r>
              <w:rPr>
                <w:rFonts w:eastAsia="新宋体"/>
                <w:color w:val="000000" w:themeColor="text1"/>
                <w:szCs w:val="21"/>
              </w:rPr>
              <w:t>，脆裂温度-70</w:t>
            </w:r>
            <w:r>
              <w:rPr>
                <w:color w:val="000000" w:themeColor="text1"/>
                <w:szCs w:val="21"/>
              </w:rPr>
              <w:t>℃。</w:t>
            </w:r>
          </w:p>
        </w:tc>
      </w:tr>
      <w:tr w14:paraId="70C87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14:paraId="58FA2280">
            <w:pPr>
              <w:jc w:val="center"/>
              <w:rPr>
                <w:rFonts w:eastAsia="新宋体"/>
                <w:color w:val="000000" w:themeColor="text1"/>
                <w:szCs w:val="21"/>
              </w:rPr>
            </w:pPr>
            <w:r>
              <w:rPr>
                <w:rFonts w:eastAsia="新宋体"/>
                <w:color w:val="000000" w:themeColor="text1"/>
                <w:szCs w:val="21"/>
              </w:rPr>
              <w:t>燃烧性</w:t>
            </w:r>
          </w:p>
        </w:tc>
        <w:tc>
          <w:tcPr>
            <w:tcW w:w="4320" w:type="dxa"/>
            <w:vAlign w:val="center"/>
          </w:tcPr>
          <w:p w14:paraId="3D526DA9">
            <w:pPr>
              <w:ind w:firstLine="420" w:firstLineChars="200"/>
              <w:rPr>
                <w:rFonts w:eastAsia="新宋体"/>
                <w:color w:val="000000" w:themeColor="text1"/>
                <w:szCs w:val="21"/>
              </w:rPr>
            </w:pPr>
            <w:r>
              <w:rPr>
                <w:rFonts w:eastAsia="新宋体"/>
                <w:color w:val="000000" w:themeColor="text1"/>
                <w:szCs w:val="21"/>
              </w:rPr>
              <w:t>丙烯具有燃烧性，易燃。其燃烧一般是由于受到外来的热而分解出可燃性气体，并与空气中的氧气相混合而着火，离火后继续燃烧，火焰上端呈黄色，下端呈蓝色，有少量黑烟产生，燃烧时发出石油味。</w:t>
            </w:r>
          </w:p>
        </w:tc>
        <w:tc>
          <w:tcPr>
            <w:tcW w:w="3474" w:type="dxa"/>
            <w:vAlign w:val="center"/>
          </w:tcPr>
          <w:p w14:paraId="1B5D5635">
            <w:pPr>
              <w:ind w:firstLine="420" w:firstLineChars="200"/>
              <w:rPr>
                <w:rFonts w:eastAsia="新宋体"/>
                <w:color w:val="000000" w:themeColor="text1"/>
                <w:szCs w:val="21"/>
              </w:rPr>
            </w:pPr>
            <w:r>
              <w:rPr>
                <w:rFonts w:eastAsia="新宋体"/>
                <w:color w:val="000000" w:themeColor="text1"/>
                <w:szCs w:val="21"/>
              </w:rPr>
              <w:t>易燃，离火后继续燃烧，并放出与石蜡燃烧时相同的气味；燃烧时，火焰尖部呈黄色，底部呈蓝色；烟少。</w:t>
            </w:r>
          </w:p>
        </w:tc>
      </w:tr>
      <w:tr w14:paraId="681CF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14:paraId="5BF73830">
            <w:pPr>
              <w:jc w:val="center"/>
              <w:rPr>
                <w:rFonts w:eastAsia="新宋体"/>
                <w:color w:val="000000" w:themeColor="text1"/>
                <w:szCs w:val="21"/>
              </w:rPr>
            </w:pPr>
            <w:r>
              <w:rPr>
                <w:rFonts w:eastAsia="新宋体"/>
                <w:color w:val="000000" w:themeColor="text1"/>
                <w:szCs w:val="21"/>
              </w:rPr>
              <w:t>化学稳定性</w:t>
            </w:r>
          </w:p>
        </w:tc>
        <w:tc>
          <w:tcPr>
            <w:tcW w:w="4320" w:type="dxa"/>
            <w:vAlign w:val="center"/>
          </w:tcPr>
          <w:p w14:paraId="12527A60">
            <w:pPr>
              <w:ind w:firstLine="420" w:firstLineChars="200"/>
              <w:rPr>
                <w:rFonts w:eastAsia="新宋体"/>
                <w:color w:val="000000" w:themeColor="text1"/>
                <w:szCs w:val="21"/>
              </w:rPr>
            </w:pPr>
            <w:r>
              <w:rPr>
                <w:rFonts w:eastAsia="新宋体"/>
                <w:color w:val="000000" w:themeColor="text1"/>
                <w:szCs w:val="21"/>
              </w:rPr>
              <w:t>化学稳定性很好，除能被浓硫酸、浓硝酸侵蚀外，对其它各种化学试剂都比较稳定，但低分子量的脂肪烃、芳香烃和氯化烃等能使聚丙烯软化和溶胀。</w:t>
            </w:r>
          </w:p>
        </w:tc>
        <w:tc>
          <w:tcPr>
            <w:tcW w:w="3474" w:type="dxa"/>
            <w:vAlign w:val="center"/>
          </w:tcPr>
          <w:p w14:paraId="2D1164E0">
            <w:pPr>
              <w:ind w:firstLine="420" w:firstLineChars="200"/>
              <w:rPr>
                <w:rFonts w:eastAsia="新宋体"/>
                <w:color w:val="000000" w:themeColor="text1"/>
                <w:szCs w:val="21"/>
              </w:rPr>
            </w:pPr>
            <w:r>
              <w:rPr>
                <w:rFonts w:eastAsia="新宋体"/>
                <w:color w:val="000000" w:themeColor="text1"/>
                <w:szCs w:val="21"/>
              </w:rPr>
              <w:t>化学稳定性好，能耐大多数酸碱的侵蚀（不耐具有氧化性质的酸），常温下不溶于一般溶剂。</w:t>
            </w:r>
          </w:p>
        </w:tc>
      </w:tr>
      <w:tr w14:paraId="2DE7DF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vAlign w:val="center"/>
          </w:tcPr>
          <w:p w14:paraId="1E60726B">
            <w:pPr>
              <w:jc w:val="center"/>
              <w:rPr>
                <w:rFonts w:eastAsia="新宋体"/>
                <w:color w:val="000000" w:themeColor="text1"/>
                <w:szCs w:val="21"/>
              </w:rPr>
            </w:pPr>
            <w:r>
              <w:rPr>
                <w:rFonts w:eastAsia="新宋体"/>
                <w:color w:val="000000" w:themeColor="text1"/>
                <w:szCs w:val="21"/>
              </w:rPr>
              <w:t>电性能</w:t>
            </w:r>
          </w:p>
        </w:tc>
        <w:tc>
          <w:tcPr>
            <w:tcW w:w="4320" w:type="dxa"/>
            <w:vAlign w:val="center"/>
          </w:tcPr>
          <w:p w14:paraId="1CCD1A74">
            <w:pPr>
              <w:ind w:firstLine="420" w:firstLineChars="200"/>
              <w:rPr>
                <w:rFonts w:eastAsia="新宋体"/>
                <w:color w:val="000000" w:themeColor="text1"/>
                <w:szCs w:val="21"/>
              </w:rPr>
            </w:pPr>
            <w:r>
              <w:rPr>
                <w:rFonts w:eastAsia="新宋体"/>
                <w:color w:val="000000" w:themeColor="text1"/>
                <w:szCs w:val="21"/>
              </w:rPr>
              <w:t>高频绝缘性能优良，几乎不吸水，绝缘性能不受湿度的影响，具有较高的介电系数，其抗电压、耐电弧性很好，但静电度高，与铜接触易老化。</w:t>
            </w:r>
          </w:p>
        </w:tc>
        <w:tc>
          <w:tcPr>
            <w:tcW w:w="3474" w:type="dxa"/>
            <w:vAlign w:val="center"/>
          </w:tcPr>
          <w:p w14:paraId="7BB78273">
            <w:pPr>
              <w:ind w:firstLine="420" w:firstLineChars="200"/>
              <w:rPr>
                <w:rFonts w:eastAsia="新宋体"/>
                <w:color w:val="000000" w:themeColor="text1"/>
                <w:szCs w:val="21"/>
              </w:rPr>
            </w:pPr>
            <w:r>
              <w:rPr>
                <w:rFonts w:eastAsia="新宋体"/>
                <w:color w:val="000000" w:themeColor="text1"/>
                <w:szCs w:val="21"/>
              </w:rPr>
              <w:t>吸水性小，电绝缘性能优良。</w:t>
            </w:r>
          </w:p>
        </w:tc>
      </w:tr>
    </w:tbl>
    <w:p w14:paraId="76362ED6">
      <w:pPr>
        <w:tabs>
          <w:tab w:val="left" w:pos="1680"/>
        </w:tabs>
        <w:spacing w:line="360" w:lineRule="auto"/>
        <w:ind w:right="210" w:firstLine="540"/>
        <w:rPr>
          <w:b/>
          <w:color w:val="FF0000"/>
          <w:kern w:val="0"/>
          <w:sz w:val="24"/>
        </w:rPr>
      </w:pPr>
      <w:r>
        <w:rPr>
          <w:b/>
          <w:color w:val="FF0000"/>
          <w:kern w:val="0"/>
          <w:sz w:val="24"/>
        </w:rPr>
        <w:t>（2）污染物因子分析</w:t>
      </w:r>
    </w:p>
    <w:p w14:paraId="53B1B702">
      <w:pPr>
        <w:spacing w:line="360" w:lineRule="auto"/>
        <w:ind w:firstLine="480" w:firstLineChars="200"/>
        <w:jc w:val="left"/>
        <w:rPr>
          <w:rFonts w:eastAsia="新宋体"/>
          <w:color w:val="FF0000"/>
          <w:sz w:val="24"/>
          <w:szCs w:val="21"/>
        </w:rPr>
      </w:pPr>
      <w:r>
        <w:rPr>
          <w:b/>
          <w:color w:val="FF0000"/>
          <w:kern w:val="0"/>
          <w:sz w:val="24"/>
        </w:rPr>
        <w:t>A、</w:t>
      </w:r>
      <w:r>
        <w:rPr>
          <w:rFonts w:eastAsia="新宋体"/>
          <w:color w:val="FF0000"/>
          <w:sz w:val="24"/>
          <w:szCs w:val="21"/>
        </w:rPr>
        <w:t>本项目原料为塑料瓶、塑料</w:t>
      </w:r>
      <w:r>
        <w:rPr>
          <w:rFonts w:hint="eastAsia" w:eastAsia="新宋体"/>
          <w:color w:val="FF0000"/>
          <w:sz w:val="24"/>
          <w:szCs w:val="21"/>
          <w:lang w:eastAsia="zh-CN"/>
        </w:rPr>
        <w:t>编织袋</w:t>
      </w:r>
      <w:r>
        <w:rPr>
          <w:rFonts w:eastAsia="新宋体"/>
          <w:color w:val="FF0000"/>
          <w:sz w:val="24"/>
          <w:szCs w:val="21"/>
        </w:rPr>
        <w:t>等，主要成分为聚丙烯、聚乙烯，不涉及汽车配件、废机油桶、危险废物等；</w:t>
      </w:r>
    </w:p>
    <w:p w14:paraId="094722BE">
      <w:pPr>
        <w:spacing w:line="360" w:lineRule="auto"/>
        <w:ind w:firstLine="480" w:firstLineChars="200"/>
        <w:jc w:val="left"/>
        <w:rPr>
          <w:color w:val="FF0000"/>
          <w:sz w:val="24"/>
        </w:rPr>
      </w:pPr>
      <w:r>
        <w:rPr>
          <w:rFonts w:eastAsia="新宋体"/>
          <w:color w:val="FF0000"/>
          <w:sz w:val="24"/>
          <w:szCs w:val="21"/>
        </w:rPr>
        <w:t>聚乙烯分子式为(C</w:t>
      </w:r>
      <w:r>
        <w:rPr>
          <w:rFonts w:eastAsia="新宋体"/>
          <w:color w:val="FF0000"/>
          <w:sz w:val="24"/>
          <w:szCs w:val="21"/>
          <w:vertAlign w:val="subscript"/>
        </w:rPr>
        <w:t>2</w:t>
      </w:r>
      <w:r>
        <w:rPr>
          <w:rFonts w:eastAsia="新宋体"/>
          <w:color w:val="FF0000"/>
          <w:sz w:val="24"/>
          <w:szCs w:val="21"/>
        </w:rPr>
        <w:t>H</w:t>
      </w:r>
      <w:r>
        <w:rPr>
          <w:rFonts w:eastAsia="新宋体"/>
          <w:color w:val="FF0000"/>
          <w:sz w:val="24"/>
          <w:szCs w:val="21"/>
          <w:vertAlign w:val="subscript"/>
        </w:rPr>
        <w:t>4</w:t>
      </w:r>
      <w:r>
        <w:rPr>
          <w:rFonts w:eastAsia="新宋体"/>
          <w:color w:val="FF0000"/>
          <w:sz w:val="24"/>
          <w:szCs w:val="21"/>
        </w:rPr>
        <w:t>)n，聚丙烯分子式为(C</w:t>
      </w:r>
      <w:r>
        <w:rPr>
          <w:rFonts w:eastAsia="新宋体"/>
          <w:color w:val="FF0000"/>
          <w:sz w:val="24"/>
          <w:szCs w:val="21"/>
          <w:vertAlign w:val="subscript"/>
        </w:rPr>
        <w:t>3</w:t>
      </w:r>
      <w:r>
        <w:rPr>
          <w:rFonts w:eastAsia="新宋体"/>
          <w:color w:val="FF0000"/>
          <w:sz w:val="24"/>
          <w:szCs w:val="21"/>
        </w:rPr>
        <w:t>H</w:t>
      </w:r>
      <w:r>
        <w:rPr>
          <w:rFonts w:eastAsia="新宋体"/>
          <w:color w:val="FF0000"/>
          <w:sz w:val="24"/>
          <w:szCs w:val="21"/>
          <w:vertAlign w:val="subscript"/>
        </w:rPr>
        <w:t>6</w:t>
      </w:r>
      <w:r>
        <w:rPr>
          <w:rFonts w:eastAsia="新宋体"/>
          <w:color w:val="FF0000"/>
          <w:sz w:val="24"/>
          <w:szCs w:val="21"/>
        </w:rPr>
        <w:t>)n，根据</w:t>
      </w:r>
      <w:r>
        <w:rPr>
          <w:color w:val="FF0000"/>
          <w:sz w:val="24"/>
        </w:rPr>
        <w:t>《空气污染物排放和控制手册 工业污染源调查与研究第二辑》（美国环境保护局编），聚乙烯和聚丙烯裂解过程中会产生少量熔融废气产生，主要为乙烯、丙烯单体，同时还有颗粒物和异味产生。</w:t>
      </w:r>
    </w:p>
    <w:p w14:paraId="3EDC86FC">
      <w:pPr>
        <w:spacing w:line="360" w:lineRule="auto"/>
        <w:ind w:firstLine="480" w:firstLineChars="200"/>
        <w:jc w:val="left"/>
        <w:rPr>
          <w:rFonts w:eastAsiaTheme="minorEastAsia"/>
          <w:bCs/>
          <w:color w:val="FF0000"/>
          <w:sz w:val="24"/>
          <w:szCs w:val="28"/>
        </w:rPr>
      </w:pPr>
      <w:r>
        <w:rPr>
          <w:b/>
          <w:color w:val="FF0000"/>
          <w:sz w:val="24"/>
        </w:rPr>
        <w:t>B、</w:t>
      </w:r>
      <w:r>
        <w:rPr>
          <w:color w:val="FF0000"/>
          <w:sz w:val="24"/>
        </w:rPr>
        <w:t>根据</w:t>
      </w:r>
      <w:r>
        <w:rPr>
          <w:b/>
          <w:color w:val="FF0000"/>
          <w:sz w:val="24"/>
        </w:rPr>
        <w:t>《</w:t>
      </w:r>
      <w:r>
        <w:rPr>
          <w:rFonts w:eastAsiaTheme="minorEastAsia"/>
          <w:bCs/>
          <w:color w:val="FF0000"/>
          <w:sz w:val="24"/>
          <w:szCs w:val="28"/>
        </w:rPr>
        <w:t>排污许可证申请与核发技术规范—废弃资源加工工业》中废旧塑料加工中废气，污染物因子为颗粒物、非甲烷总烃、二甲苯、氯化氢；</w:t>
      </w:r>
    </w:p>
    <w:p w14:paraId="5AC735C1">
      <w:pPr>
        <w:spacing w:line="360" w:lineRule="auto"/>
        <w:ind w:firstLine="480" w:firstLineChars="200"/>
        <w:jc w:val="left"/>
        <w:rPr>
          <w:rFonts w:eastAsia="新宋体"/>
          <w:color w:val="FF0000"/>
          <w:sz w:val="24"/>
          <w:szCs w:val="21"/>
        </w:rPr>
      </w:pPr>
      <w:r>
        <w:rPr>
          <w:rFonts w:eastAsiaTheme="minorEastAsia"/>
          <w:bCs/>
          <w:color w:val="FF0000"/>
          <w:sz w:val="24"/>
          <w:szCs w:val="28"/>
        </w:rPr>
        <w:t>同时对照</w:t>
      </w:r>
      <w:r>
        <w:rPr>
          <w:color w:val="FF0000"/>
          <w:sz w:val="24"/>
        </w:rPr>
        <w:t>《合成树脂工业污染物排放标准》（GB31572-2015），本项目为</w:t>
      </w:r>
      <w:r>
        <w:rPr>
          <w:rFonts w:eastAsia="新宋体"/>
          <w:color w:val="FF0000"/>
          <w:sz w:val="24"/>
          <w:szCs w:val="21"/>
        </w:rPr>
        <w:t>聚丙烯、聚乙烯塑料，根据该标准中“表4 大气污染物排放限值”，本项目主要污染物为非甲烷总烃及颗粒物；</w:t>
      </w:r>
    </w:p>
    <w:p w14:paraId="4FFE3827">
      <w:pPr>
        <w:spacing w:line="360" w:lineRule="auto"/>
        <w:ind w:firstLine="480" w:firstLineChars="200"/>
        <w:jc w:val="left"/>
        <w:rPr>
          <w:b/>
          <w:color w:val="FF0000"/>
          <w:kern w:val="0"/>
          <w:sz w:val="24"/>
        </w:rPr>
      </w:pPr>
      <w:r>
        <w:rPr>
          <w:rFonts w:eastAsia="新宋体"/>
          <w:b/>
          <w:color w:val="FF0000"/>
          <w:sz w:val="24"/>
          <w:szCs w:val="21"/>
        </w:rPr>
        <w:t>C、小结：</w:t>
      </w:r>
      <w:r>
        <w:rPr>
          <w:rFonts w:eastAsia="新宋体"/>
          <w:color w:val="FF0000"/>
          <w:sz w:val="24"/>
          <w:szCs w:val="21"/>
        </w:rPr>
        <w:t>综上，根据本项目原料成分（聚丙烯、聚乙烯），主要为碳氢化合物，不含氯元素；同时根据</w:t>
      </w:r>
      <w:r>
        <w:rPr>
          <w:b/>
          <w:color w:val="FF0000"/>
          <w:sz w:val="24"/>
        </w:rPr>
        <w:t>《</w:t>
      </w:r>
      <w:r>
        <w:rPr>
          <w:rFonts w:eastAsiaTheme="minorEastAsia"/>
          <w:bCs/>
          <w:color w:val="FF0000"/>
          <w:sz w:val="24"/>
          <w:szCs w:val="28"/>
        </w:rPr>
        <w:t>排污许可证申请与核发技术规范—废弃资源加工工业》及</w:t>
      </w:r>
      <w:r>
        <w:rPr>
          <w:color w:val="FF0000"/>
          <w:sz w:val="24"/>
        </w:rPr>
        <w:t>《合成树脂工业污染物排放标准》（GB31572-2015），本项目废气主要为非甲烷总烃及颗粒物，不涉及二甲苯、氯化氢。</w:t>
      </w:r>
    </w:p>
    <w:p w14:paraId="55F0B601">
      <w:pPr>
        <w:jc w:val="left"/>
        <w:rPr>
          <w:b/>
          <w:color w:val="000000" w:themeColor="text1"/>
          <w:kern w:val="0"/>
          <w:sz w:val="24"/>
        </w:rPr>
      </w:pPr>
    </w:p>
    <w:p w14:paraId="370E0928">
      <w:pPr>
        <w:jc w:val="left"/>
        <w:rPr>
          <w:b/>
          <w:color w:val="000000" w:themeColor="text1"/>
          <w:kern w:val="0"/>
          <w:sz w:val="24"/>
        </w:rPr>
      </w:pPr>
      <w:r>
        <w:rPr>
          <w:b/>
          <w:color w:val="000000" w:themeColor="text1"/>
          <w:kern w:val="0"/>
          <w:sz w:val="24"/>
        </w:rPr>
        <w:t>2、能源消耗情况</w:t>
      </w:r>
    </w:p>
    <w:p w14:paraId="5E1649F0">
      <w:pPr>
        <w:jc w:val="center"/>
        <w:rPr>
          <w:b/>
          <w:color w:val="000000" w:themeColor="text1"/>
          <w:kern w:val="0"/>
          <w:sz w:val="24"/>
        </w:rPr>
      </w:pPr>
      <w:r>
        <w:rPr>
          <w:b/>
          <w:color w:val="000000" w:themeColor="text1"/>
          <w:kern w:val="0"/>
          <w:sz w:val="24"/>
        </w:rPr>
        <w:t>表2.5-4   项目能源消耗一览表</w:t>
      </w:r>
    </w:p>
    <w:tbl>
      <w:tblPr>
        <w:tblStyle w:val="42"/>
        <w:tblW w:w="5000"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2408"/>
        <w:gridCol w:w="1561"/>
        <w:gridCol w:w="2600"/>
      </w:tblGrid>
      <w:tr w14:paraId="0DE6955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146" w:type="pct"/>
            <w:vAlign w:val="center"/>
          </w:tcPr>
          <w:p w14:paraId="795ACD75">
            <w:pPr>
              <w:jc w:val="center"/>
              <w:rPr>
                <w:color w:val="000000" w:themeColor="text1"/>
              </w:rPr>
            </w:pPr>
            <w:r>
              <w:rPr>
                <w:color w:val="000000" w:themeColor="text1"/>
              </w:rPr>
              <w:t>公用工程项目</w:t>
            </w:r>
          </w:p>
        </w:tc>
        <w:tc>
          <w:tcPr>
            <w:tcW w:w="1413" w:type="pct"/>
            <w:vAlign w:val="center"/>
          </w:tcPr>
          <w:p w14:paraId="3E7D4DD7">
            <w:pPr>
              <w:jc w:val="center"/>
              <w:rPr>
                <w:color w:val="000000" w:themeColor="text1"/>
              </w:rPr>
            </w:pPr>
            <w:r>
              <w:rPr>
                <w:color w:val="000000" w:themeColor="text1"/>
              </w:rPr>
              <w:t>规格</w:t>
            </w:r>
          </w:p>
        </w:tc>
        <w:tc>
          <w:tcPr>
            <w:tcW w:w="916" w:type="pct"/>
            <w:vAlign w:val="center"/>
          </w:tcPr>
          <w:p w14:paraId="230418F0">
            <w:pPr>
              <w:jc w:val="center"/>
              <w:rPr>
                <w:color w:val="000000" w:themeColor="text1"/>
              </w:rPr>
            </w:pPr>
            <w:r>
              <w:rPr>
                <w:color w:val="000000" w:themeColor="text1"/>
              </w:rPr>
              <w:t>单位</w:t>
            </w:r>
          </w:p>
        </w:tc>
        <w:tc>
          <w:tcPr>
            <w:tcW w:w="1525" w:type="pct"/>
            <w:vAlign w:val="center"/>
          </w:tcPr>
          <w:p w14:paraId="021C9AB7">
            <w:pPr>
              <w:jc w:val="center"/>
              <w:rPr>
                <w:color w:val="000000" w:themeColor="text1"/>
              </w:rPr>
            </w:pPr>
            <w:r>
              <w:rPr>
                <w:color w:val="000000" w:themeColor="text1"/>
              </w:rPr>
              <w:t>年用量</w:t>
            </w:r>
          </w:p>
        </w:tc>
      </w:tr>
      <w:tr w14:paraId="0B3EBE3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146" w:type="pct"/>
            <w:vAlign w:val="center"/>
          </w:tcPr>
          <w:p w14:paraId="0A7D4675">
            <w:pPr>
              <w:jc w:val="center"/>
              <w:rPr>
                <w:color w:val="000000" w:themeColor="text1"/>
              </w:rPr>
            </w:pPr>
            <w:r>
              <w:rPr>
                <w:color w:val="000000" w:themeColor="text1"/>
              </w:rPr>
              <w:t>水</w:t>
            </w:r>
          </w:p>
        </w:tc>
        <w:tc>
          <w:tcPr>
            <w:tcW w:w="1413" w:type="pct"/>
            <w:vAlign w:val="center"/>
          </w:tcPr>
          <w:p w14:paraId="5F3048DD">
            <w:pPr>
              <w:jc w:val="center"/>
              <w:rPr>
                <w:color w:val="000000" w:themeColor="text1"/>
              </w:rPr>
            </w:pPr>
            <w:r>
              <w:rPr>
                <w:color w:val="000000" w:themeColor="text1"/>
              </w:rPr>
              <w:t>0.3Mpa</w:t>
            </w:r>
          </w:p>
        </w:tc>
        <w:tc>
          <w:tcPr>
            <w:tcW w:w="916" w:type="pct"/>
            <w:vAlign w:val="center"/>
          </w:tcPr>
          <w:p w14:paraId="45765B95">
            <w:pPr>
              <w:jc w:val="center"/>
              <w:rPr>
                <w:color w:val="000000" w:themeColor="text1"/>
              </w:rPr>
            </w:pPr>
            <w:r>
              <w:rPr>
                <w:color w:val="000000" w:themeColor="text1"/>
              </w:rPr>
              <w:t>万t/a</w:t>
            </w:r>
          </w:p>
        </w:tc>
        <w:tc>
          <w:tcPr>
            <w:tcW w:w="1525" w:type="pct"/>
            <w:vAlign w:val="center"/>
          </w:tcPr>
          <w:p w14:paraId="05346D89">
            <w:pPr>
              <w:jc w:val="center"/>
              <w:rPr>
                <w:color w:val="FF0000"/>
              </w:rPr>
            </w:pPr>
            <w:r>
              <w:rPr>
                <w:color w:val="FF0000"/>
              </w:rPr>
              <w:t>0.522</w:t>
            </w:r>
          </w:p>
        </w:tc>
      </w:tr>
      <w:tr w14:paraId="7F35E79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146" w:type="pct"/>
            <w:vAlign w:val="center"/>
          </w:tcPr>
          <w:p w14:paraId="3A5E721C">
            <w:pPr>
              <w:jc w:val="center"/>
              <w:rPr>
                <w:color w:val="000000" w:themeColor="text1"/>
              </w:rPr>
            </w:pPr>
            <w:r>
              <w:rPr>
                <w:color w:val="000000" w:themeColor="text1"/>
              </w:rPr>
              <w:t>电</w:t>
            </w:r>
          </w:p>
        </w:tc>
        <w:tc>
          <w:tcPr>
            <w:tcW w:w="1413" w:type="pct"/>
            <w:vAlign w:val="center"/>
          </w:tcPr>
          <w:p w14:paraId="355E15E1">
            <w:pPr>
              <w:jc w:val="center"/>
              <w:rPr>
                <w:color w:val="000000" w:themeColor="text1"/>
              </w:rPr>
            </w:pPr>
            <w:r>
              <w:rPr>
                <w:color w:val="000000" w:themeColor="text1"/>
              </w:rPr>
              <w:t>10KV</w:t>
            </w:r>
          </w:p>
        </w:tc>
        <w:tc>
          <w:tcPr>
            <w:tcW w:w="916" w:type="pct"/>
            <w:vAlign w:val="center"/>
          </w:tcPr>
          <w:p w14:paraId="47C58254">
            <w:pPr>
              <w:jc w:val="center"/>
              <w:rPr>
                <w:color w:val="000000" w:themeColor="text1"/>
              </w:rPr>
            </w:pPr>
            <w:r>
              <w:rPr>
                <w:color w:val="000000" w:themeColor="text1"/>
              </w:rPr>
              <w:t>万KWh/a</w:t>
            </w:r>
          </w:p>
        </w:tc>
        <w:tc>
          <w:tcPr>
            <w:tcW w:w="1525" w:type="pct"/>
            <w:vAlign w:val="center"/>
          </w:tcPr>
          <w:p w14:paraId="279E3D73">
            <w:pPr>
              <w:jc w:val="center"/>
              <w:rPr>
                <w:color w:val="FF0000"/>
              </w:rPr>
            </w:pPr>
            <w:r>
              <w:rPr>
                <w:color w:val="FF0000"/>
              </w:rPr>
              <w:t>0.8</w:t>
            </w:r>
          </w:p>
        </w:tc>
      </w:tr>
    </w:tbl>
    <w:p w14:paraId="43C82E97">
      <w:pPr>
        <w:rPr>
          <w:color w:val="000000" w:themeColor="text1"/>
        </w:rPr>
      </w:pPr>
    </w:p>
    <w:p w14:paraId="53290AE7">
      <w:pPr>
        <w:pStyle w:val="4"/>
        <w:rPr>
          <w:rFonts w:ascii="Times New Roman" w:hAnsi="Times New Roman"/>
          <w:color w:val="000000" w:themeColor="text1"/>
        </w:rPr>
      </w:pPr>
      <w:bookmarkStart w:id="165" w:name="_Toc28117689"/>
      <w:r>
        <w:rPr>
          <w:rFonts w:ascii="Times New Roman" w:hAnsi="Times New Roman"/>
          <w:color w:val="000000" w:themeColor="text1"/>
        </w:rPr>
        <w:t>2.6 项目总平面布置</w:t>
      </w:r>
      <w:bookmarkEnd w:id="165"/>
    </w:p>
    <w:p w14:paraId="6940532B">
      <w:pPr>
        <w:spacing w:line="360" w:lineRule="auto"/>
        <w:ind w:firstLine="480" w:firstLineChars="200"/>
        <w:rPr>
          <w:color w:val="000000" w:themeColor="text1"/>
          <w:sz w:val="24"/>
        </w:rPr>
      </w:pPr>
      <w:r>
        <w:rPr>
          <w:color w:val="000000" w:themeColor="text1"/>
          <w:sz w:val="24"/>
        </w:rPr>
        <w:t>《废塑料回收与再生利用污染控制技术规范》HJ/T364-2007中规定，再生利用项目必须建有围墙并按功能划分厂区，本项目产区呈矩形，将厂区划分为生产区、成品仓库、原料仓库及办公区，各功能区有明显的界限和标志。</w:t>
      </w:r>
    </w:p>
    <w:p w14:paraId="4D692429">
      <w:pPr>
        <w:spacing w:line="360" w:lineRule="auto"/>
        <w:ind w:firstLine="480" w:firstLineChars="200"/>
        <w:rPr>
          <w:color w:val="000000" w:themeColor="text1"/>
          <w:sz w:val="24"/>
        </w:rPr>
      </w:pPr>
      <w:r>
        <w:rPr>
          <w:color w:val="000000" w:themeColor="text1"/>
          <w:sz w:val="24"/>
        </w:rPr>
        <w:t>生产区：本项目设一座生产车间，位于厂区中西部，利用原有硅厂厂房建设，分为四个区，1#、2#生产厂房内，用于塑料破碎、清洗生产+塑料造粒，3#生产厂房用于编织袋生产，4#厂房用于原料及成品储存。</w:t>
      </w:r>
    </w:p>
    <w:p w14:paraId="53AAE389">
      <w:pPr>
        <w:spacing w:line="360" w:lineRule="auto"/>
        <w:ind w:firstLine="480" w:firstLineChars="200"/>
        <w:rPr>
          <w:color w:val="000000" w:themeColor="text1"/>
          <w:sz w:val="24"/>
        </w:rPr>
      </w:pPr>
      <w:r>
        <w:rPr>
          <w:color w:val="000000" w:themeColor="text1"/>
          <w:sz w:val="24"/>
        </w:rPr>
        <w:t>办公区：设办公室，位于生产区北侧，全年主导风向的侧风向，可有效减小生产车间废气对办公室的影响。</w:t>
      </w:r>
    </w:p>
    <w:p w14:paraId="498D720F">
      <w:pPr>
        <w:spacing w:line="360" w:lineRule="auto"/>
        <w:ind w:firstLine="480" w:firstLineChars="200"/>
        <w:rPr>
          <w:color w:val="000000" w:themeColor="text1"/>
          <w:sz w:val="24"/>
        </w:rPr>
      </w:pPr>
      <w:r>
        <w:rPr>
          <w:color w:val="000000" w:themeColor="text1"/>
          <w:sz w:val="24"/>
        </w:rPr>
        <w:t>宿舍：位于生产区东南侧，全年主导风向的上风向，可有效减小生产车间废气对办公室的影响。</w:t>
      </w:r>
    </w:p>
    <w:p w14:paraId="0C1515AC">
      <w:pPr>
        <w:spacing w:line="360" w:lineRule="auto"/>
        <w:ind w:firstLine="480"/>
        <w:rPr>
          <w:color w:val="000000" w:themeColor="text1"/>
          <w:sz w:val="24"/>
        </w:rPr>
      </w:pPr>
      <w:r>
        <w:rPr>
          <w:color w:val="000000" w:themeColor="text1"/>
          <w:sz w:val="24"/>
        </w:rPr>
        <w:t>本项目按功能区划分厂区，总图布局符合《废塑料回收与再生利用污染控制技术规范》HJ/T364-2007中相关要求，总图布置合理。</w:t>
      </w:r>
    </w:p>
    <w:p w14:paraId="71375C81">
      <w:pPr>
        <w:pStyle w:val="4"/>
        <w:rPr>
          <w:rFonts w:ascii="Times New Roman" w:hAnsi="Times New Roman"/>
          <w:color w:val="000000" w:themeColor="text1"/>
        </w:rPr>
      </w:pPr>
      <w:bookmarkStart w:id="166" w:name="_Toc28117690"/>
      <w:r>
        <w:rPr>
          <w:rFonts w:ascii="Times New Roman" w:hAnsi="Times New Roman"/>
          <w:color w:val="000000" w:themeColor="text1"/>
        </w:rPr>
        <w:t>2.7 公用辅助设施</w:t>
      </w:r>
      <w:bookmarkEnd w:id="128"/>
      <w:bookmarkEnd w:id="166"/>
    </w:p>
    <w:p w14:paraId="73FC5CA4">
      <w:pPr>
        <w:pStyle w:val="105"/>
        <w:rPr>
          <w:rFonts w:cs="Times New Roman"/>
          <w:color w:val="000000" w:themeColor="text1"/>
        </w:rPr>
      </w:pPr>
      <w:bookmarkStart w:id="167" w:name="_Toc362393129"/>
      <w:bookmarkStart w:id="168" w:name="_Toc297"/>
      <w:bookmarkStart w:id="169" w:name="_Toc12234"/>
      <w:bookmarkStart w:id="170" w:name="_Toc1217"/>
      <w:bookmarkStart w:id="171" w:name="_Toc24263"/>
      <w:bookmarkStart w:id="172" w:name="_Toc24542"/>
      <w:bookmarkStart w:id="173" w:name="_Toc25163"/>
      <w:bookmarkStart w:id="174" w:name="_Toc10884"/>
      <w:bookmarkStart w:id="175" w:name="_Toc359505240"/>
      <w:bookmarkStart w:id="176" w:name="_Toc17908"/>
      <w:bookmarkStart w:id="177" w:name="_Toc18468"/>
      <w:bookmarkStart w:id="178" w:name="_Toc18289"/>
      <w:bookmarkStart w:id="179" w:name="_Toc7117"/>
      <w:bookmarkStart w:id="180" w:name="_Toc4064"/>
      <w:bookmarkStart w:id="181" w:name="_Toc16348"/>
      <w:bookmarkStart w:id="182" w:name="_Toc5854"/>
      <w:r>
        <w:rPr>
          <w:rFonts w:cs="Times New Roman"/>
          <w:color w:val="000000" w:themeColor="text1"/>
        </w:rPr>
        <w:t>2.7.1给水系统</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2179E6E2">
      <w:pPr>
        <w:spacing w:line="360" w:lineRule="auto"/>
        <w:ind w:firstLine="480"/>
        <w:rPr>
          <w:color w:val="FF0000"/>
          <w:sz w:val="24"/>
        </w:rPr>
      </w:pPr>
      <w:r>
        <w:rPr>
          <w:color w:val="FF0000"/>
          <w:sz w:val="24"/>
        </w:rPr>
        <w:t>由盛达泰硅业已建的供水系统供给（高位水池、山箐水）。</w:t>
      </w:r>
    </w:p>
    <w:p w14:paraId="08AC43C6">
      <w:pPr>
        <w:pStyle w:val="105"/>
        <w:rPr>
          <w:rFonts w:cs="Times New Roman"/>
          <w:color w:val="000000" w:themeColor="text1"/>
        </w:rPr>
      </w:pPr>
      <w:bookmarkStart w:id="183" w:name="_Toc657"/>
      <w:bookmarkStart w:id="184" w:name="_Toc359505241"/>
      <w:bookmarkStart w:id="185" w:name="_Toc22212"/>
      <w:bookmarkStart w:id="186" w:name="_Toc662"/>
      <w:bookmarkStart w:id="187" w:name="_Toc23135"/>
      <w:bookmarkStart w:id="188" w:name="_Toc15575"/>
      <w:bookmarkStart w:id="189" w:name="_Toc22063"/>
      <w:bookmarkStart w:id="190" w:name="_Toc19218"/>
      <w:bookmarkStart w:id="191" w:name="_Toc24357"/>
      <w:bookmarkStart w:id="192" w:name="_Toc14856"/>
      <w:bookmarkStart w:id="193" w:name="_Toc1645"/>
      <w:bookmarkStart w:id="194" w:name="_Toc18488"/>
      <w:bookmarkStart w:id="195" w:name="_Toc29327"/>
      <w:bookmarkStart w:id="196" w:name="_Toc18531"/>
      <w:bookmarkStart w:id="197" w:name="_Toc362393130"/>
      <w:bookmarkStart w:id="198" w:name="_Toc23227"/>
      <w:r>
        <w:rPr>
          <w:rFonts w:cs="Times New Roman"/>
          <w:color w:val="000000" w:themeColor="text1"/>
        </w:rPr>
        <w:t>2.7.2排水系统</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250EFC1D">
      <w:pPr>
        <w:adjustRightInd w:val="0"/>
        <w:snapToGrid w:val="0"/>
        <w:spacing w:line="360" w:lineRule="auto"/>
        <w:ind w:firstLine="480" w:firstLineChars="200"/>
        <w:rPr>
          <w:b/>
          <w:color w:val="000000" w:themeColor="text1"/>
          <w:sz w:val="24"/>
        </w:rPr>
      </w:pPr>
      <w:r>
        <w:rPr>
          <w:b/>
          <w:color w:val="000000" w:themeColor="text1"/>
          <w:sz w:val="24"/>
        </w:rPr>
        <w:t>1、雨水</w:t>
      </w:r>
    </w:p>
    <w:p w14:paraId="0830EA78">
      <w:pPr>
        <w:adjustRightInd w:val="0"/>
        <w:snapToGrid w:val="0"/>
        <w:spacing w:line="360" w:lineRule="auto"/>
        <w:ind w:firstLine="480" w:firstLineChars="200"/>
        <w:rPr>
          <w:color w:val="000000" w:themeColor="text1"/>
          <w:sz w:val="24"/>
        </w:rPr>
      </w:pPr>
      <w:r>
        <w:rPr>
          <w:color w:val="000000" w:themeColor="text1"/>
          <w:sz w:val="24"/>
        </w:rPr>
        <w:t>一个雨水收集池（3m</w:t>
      </w:r>
      <w:r>
        <w:rPr>
          <w:color w:val="000000" w:themeColor="text1"/>
          <w:sz w:val="24"/>
          <w:vertAlign w:val="superscript"/>
        </w:rPr>
        <w:t>3</w:t>
      </w:r>
      <w:r>
        <w:rPr>
          <w:color w:val="000000" w:themeColor="text1"/>
          <w:sz w:val="24"/>
        </w:rPr>
        <w:t>），收集前1h的雨水进入本项目</w:t>
      </w:r>
      <w:r>
        <w:rPr>
          <w:bCs/>
          <w:color w:val="000000" w:themeColor="text1"/>
          <w:sz w:val="24"/>
        </w:rPr>
        <w:t>雨水收集池</w:t>
      </w:r>
      <w:r>
        <w:rPr>
          <w:color w:val="000000" w:themeColor="text1"/>
          <w:sz w:val="24"/>
        </w:rPr>
        <w:t>进行处理，回用于生产，其余经沉淀后外排；</w:t>
      </w:r>
    </w:p>
    <w:p w14:paraId="2DD28210">
      <w:pPr>
        <w:adjustRightInd w:val="0"/>
        <w:snapToGrid w:val="0"/>
        <w:spacing w:line="360" w:lineRule="auto"/>
        <w:ind w:firstLine="480" w:firstLineChars="200"/>
        <w:rPr>
          <w:color w:val="000000" w:themeColor="text1"/>
          <w:sz w:val="24"/>
        </w:rPr>
      </w:pPr>
      <w:r>
        <w:rPr>
          <w:bCs/>
          <w:color w:val="000000" w:themeColor="text1"/>
          <w:sz w:val="24"/>
        </w:rPr>
        <w:t>根据《塑料综合利用行业规范条件》环境保护中要求，需</w:t>
      </w:r>
      <w:r>
        <w:rPr>
          <w:color w:val="000000" w:themeColor="text1"/>
          <w:sz w:val="24"/>
        </w:rPr>
        <w:t>建设具有防雨、防风、防渗等功能的厂房或加盖雨棚的原料、生产仓库。</w:t>
      </w:r>
    </w:p>
    <w:p w14:paraId="1FA3980D">
      <w:pPr>
        <w:adjustRightInd w:val="0"/>
        <w:snapToGrid w:val="0"/>
        <w:spacing w:line="360" w:lineRule="auto"/>
        <w:ind w:firstLine="480" w:firstLineChars="200"/>
        <w:rPr>
          <w:b/>
          <w:color w:val="000000" w:themeColor="text1"/>
          <w:sz w:val="24"/>
        </w:rPr>
      </w:pPr>
      <w:r>
        <w:rPr>
          <w:b/>
          <w:color w:val="000000" w:themeColor="text1"/>
          <w:sz w:val="24"/>
        </w:rPr>
        <w:t>2、污水</w:t>
      </w:r>
    </w:p>
    <w:p w14:paraId="47812009">
      <w:pPr>
        <w:spacing w:line="360" w:lineRule="auto"/>
        <w:ind w:left="105" w:leftChars="50" w:right="105" w:rightChars="50" w:firstLine="480" w:firstLineChars="200"/>
        <w:rPr>
          <w:color w:val="000000" w:themeColor="text1"/>
          <w:sz w:val="24"/>
        </w:rPr>
      </w:pPr>
      <w:r>
        <w:rPr>
          <w:color w:val="000000" w:themeColor="text1"/>
          <w:sz w:val="24"/>
        </w:rPr>
        <w:t>项目区实行雨污分流。</w:t>
      </w:r>
    </w:p>
    <w:p w14:paraId="0F0062FC">
      <w:pPr>
        <w:spacing w:line="360" w:lineRule="auto"/>
        <w:ind w:left="105" w:leftChars="50" w:right="105" w:rightChars="50" w:firstLine="480" w:firstLineChars="200"/>
        <w:rPr>
          <w:color w:val="000000" w:themeColor="text1"/>
          <w:sz w:val="24"/>
        </w:rPr>
      </w:pPr>
      <w:r>
        <w:rPr>
          <w:b/>
          <w:color w:val="000000" w:themeColor="text1"/>
          <w:sz w:val="24"/>
        </w:rPr>
        <w:t>生活废水：</w:t>
      </w:r>
      <w:r>
        <w:rPr>
          <w:color w:val="000000" w:themeColor="text1"/>
          <w:sz w:val="24"/>
        </w:rPr>
        <w:t>厨房废水经隔油池处理后，与其它生活废水经化粪池处理，定期委托周边村民清运，用于农作物施肥。</w:t>
      </w:r>
    </w:p>
    <w:p w14:paraId="6D32A238">
      <w:pPr>
        <w:spacing w:line="360" w:lineRule="auto"/>
        <w:ind w:left="105" w:leftChars="50" w:right="105" w:rightChars="50" w:firstLine="480" w:firstLineChars="200"/>
        <w:rPr>
          <w:bCs/>
          <w:color w:val="000000" w:themeColor="text1"/>
          <w:sz w:val="24"/>
          <w:szCs w:val="32"/>
        </w:rPr>
      </w:pPr>
      <w:r>
        <w:rPr>
          <w:b/>
          <w:color w:val="000000" w:themeColor="text1"/>
          <w:sz w:val="24"/>
        </w:rPr>
        <w:t>生产废水：</w:t>
      </w:r>
      <w:r>
        <w:rPr>
          <w:color w:val="000000" w:themeColor="text1"/>
          <w:sz w:val="24"/>
        </w:rPr>
        <w:t>主要为塑料清洗废水，</w:t>
      </w:r>
      <w:bookmarkStart w:id="199" w:name="_Toc359505242"/>
      <w:bookmarkStart w:id="200" w:name="_Toc362393131"/>
      <w:r>
        <w:rPr>
          <w:bCs/>
          <w:color w:val="FF0000"/>
          <w:sz w:val="24"/>
          <w:szCs w:val="32"/>
        </w:rPr>
        <w:t>生产废水中清洗、破碎废水通过</w:t>
      </w:r>
      <w:r>
        <w:rPr>
          <w:color w:val="000000" w:themeColor="text1"/>
          <w:sz w:val="24"/>
        </w:rPr>
        <w:t>污水处理设施（隔油池+沉淀池）处理</w:t>
      </w:r>
      <w:r>
        <w:rPr>
          <w:bCs/>
          <w:color w:val="FF0000"/>
          <w:sz w:val="24"/>
          <w:szCs w:val="32"/>
        </w:rPr>
        <w:t>后，</w:t>
      </w:r>
      <w:r>
        <w:rPr>
          <w:bCs/>
          <w:color w:val="000000" w:themeColor="text1"/>
          <w:sz w:val="24"/>
          <w:szCs w:val="32"/>
        </w:rPr>
        <w:t>储存于沉淀池回用于生产，不外排。</w:t>
      </w:r>
    </w:p>
    <w:p w14:paraId="2D589C74">
      <w:pPr>
        <w:pStyle w:val="105"/>
        <w:rPr>
          <w:rFonts w:cs="Times New Roman"/>
          <w:color w:val="000000" w:themeColor="text1"/>
        </w:rPr>
      </w:pPr>
      <w:r>
        <w:rPr>
          <w:rFonts w:cs="Times New Roman"/>
          <w:color w:val="000000" w:themeColor="text1"/>
        </w:rPr>
        <w:t>2.7.3供电系统</w:t>
      </w:r>
      <w:bookmarkEnd w:id="199"/>
      <w:bookmarkEnd w:id="200"/>
    </w:p>
    <w:p w14:paraId="062D35D5">
      <w:pPr>
        <w:spacing w:line="360" w:lineRule="auto"/>
        <w:ind w:firstLine="480"/>
        <w:rPr>
          <w:color w:val="000000" w:themeColor="text1"/>
          <w:sz w:val="24"/>
        </w:rPr>
      </w:pPr>
      <w:bookmarkStart w:id="201" w:name="_Toc362393132"/>
      <w:bookmarkStart w:id="202" w:name="_Toc359505243"/>
      <w:r>
        <w:rPr>
          <w:color w:val="000000" w:themeColor="text1"/>
          <w:sz w:val="24"/>
        </w:rPr>
        <w:t>由</w:t>
      </w:r>
      <w:r>
        <w:rPr>
          <w:bCs/>
          <w:color w:val="000000" w:themeColor="text1"/>
          <w:sz w:val="24"/>
        </w:rPr>
        <w:t>市政电网供给</w:t>
      </w:r>
      <w:r>
        <w:rPr>
          <w:color w:val="000000" w:themeColor="text1"/>
          <w:sz w:val="24"/>
        </w:rPr>
        <w:t>，完全满足企业新增生产经营的需要。</w:t>
      </w:r>
    </w:p>
    <w:bookmarkEnd w:id="201"/>
    <w:bookmarkEnd w:id="202"/>
    <w:p w14:paraId="1A4B135F">
      <w:pPr>
        <w:pStyle w:val="4"/>
        <w:rPr>
          <w:rFonts w:ascii="Times New Roman" w:hAnsi="Times New Roman"/>
          <w:color w:val="000000" w:themeColor="text1"/>
        </w:rPr>
      </w:pPr>
      <w:bookmarkStart w:id="203" w:name="_Toc28117691"/>
      <w:r>
        <w:rPr>
          <w:rFonts w:ascii="Times New Roman" w:hAnsi="Times New Roman"/>
          <w:color w:val="000000" w:themeColor="text1"/>
        </w:rPr>
        <w:t>2.8工作制度及劳动定员</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203"/>
    </w:p>
    <w:p w14:paraId="76C5959A">
      <w:pPr>
        <w:pStyle w:val="105"/>
        <w:rPr>
          <w:rFonts w:cs="Times New Roman"/>
          <w:color w:val="000000" w:themeColor="text1"/>
        </w:rPr>
      </w:pPr>
      <w:bookmarkStart w:id="204" w:name="_Toc359505245"/>
      <w:bookmarkStart w:id="205" w:name="_Toc5415"/>
      <w:bookmarkStart w:id="206" w:name="_Toc25597"/>
      <w:bookmarkStart w:id="207" w:name="_Toc251932457"/>
      <w:bookmarkStart w:id="208" w:name="_Toc340759481"/>
      <w:bookmarkStart w:id="209" w:name="_Toc21748"/>
      <w:bookmarkStart w:id="210" w:name="_Toc227642165"/>
      <w:bookmarkStart w:id="211" w:name="_Toc32113"/>
      <w:bookmarkStart w:id="212" w:name="_Toc183592565"/>
      <w:bookmarkStart w:id="213" w:name="_Toc176689435"/>
      <w:bookmarkStart w:id="214" w:name="_Toc30041"/>
      <w:bookmarkStart w:id="215" w:name="_Toc23974"/>
      <w:bookmarkStart w:id="216" w:name="_Toc183592461"/>
      <w:bookmarkStart w:id="217" w:name="_Toc6896"/>
      <w:bookmarkStart w:id="218" w:name="_Toc122231917"/>
      <w:bookmarkStart w:id="219" w:name="_Toc251786619"/>
      <w:bookmarkStart w:id="220" w:name="_Toc3758"/>
      <w:bookmarkStart w:id="221" w:name="_Toc120002435"/>
      <w:bookmarkStart w:id="222" w:name="_Toc362393135"/>
      <w:bookmarkStart w:id="223" w:name="_Toc11303"/>
      <w:bookmarkStart w:id="224" w:name="_Toc16192"/>
      <w:bookmarkStart w:id="225" w:name="_Toc183494068"/>
      <w:bookmarkStart w:id="226" w:name="_Toc6006"/>
      <w:bookmarkStart w:id="227" w:name="_Toc21135"/>
      <w:bookmarkStart w:id="228" w:name="_Toc19065"/>
      <w:bookmarkStart w:id="229" w:name="_Toc227642043"/>
      <w:bookmarkStart w:id="230" w:name="_Toc267041411"/>
      <w:bookmarkStart w:id="231" w:name="_Toc20779"/>
      <w:bookmarkStart w:id="232" w:name="_Toc332029422"/>
      <w:bookmarkStart w:id="233" w:name="_Toc331866064"/>
      <w:bookmarkStart w:id="234" w:name="_Toc331865107"/>
      <w:bookmarkStart w:id="235" w:name="_Toc323204932"/>
      <w:r>
        <w:rPr>
          <w:rFonts w:cs="Times New Roman"/>
          <w:color w:val="000000" w:themeColor="text1"/>
        </w:rPr>
        <w:t>2.8.1</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Pr>
          <w:rFonts w:cs="Times New Roman"/>
          <w:color w:val="000000" w:themeColor="text1"/>
        </w:rPr>
        <w:t>工作制度</w:t>
      </w:r>
    </w:p>
    <w:p w14:paraId="3256E0B8">
      <w:pPr>
        <w:spacing w:line="360" w:lineRule="auto"/>
        <w:ind w:firstLine="480"/>
        <w:rPr>
          <w:color w:val="000000" w:themeColor="text1"/>
          <w:sz w:val="24"/>
        </w:rPr>
      </w:pPr>
      <w:bookmarkStart w:id="236" w:name="_Toc3497"/>
      <w:bookmarkStart w:id="237" w:name="_Toc183592566"/>
      <w:bookmarkStart w:id="238" w:name="_Toc362393136"/>
      <w:bookmarkStart w:id="239" w:name="_Toc122231918"/>
      <w:bookmarkStart w:id="240" w:name="_Toc21784"/>
      <w:bookmarkStart w:id="241" w:name="_Toc359505246"/>
      <w:bookmarkStart w:id="242" w:name="_Toc32451"/>
      <w:bookmarkStart w:id="243" w:name="_Toc176689436"/>
      <w:bookmarkStart w:id="244" w:name="_Toc183494069"/>
      <w:bookmarkStart w:id="245" w:name="_Toc30580"/>
      <w:bookmarkStart w:id="246" w:name="_Toc24035"/>
      <w:bookmarkStart w:id="247" w:name="_Toc183592462"/>
      <w:bookmarkStart w:id="248" w:name="_Toc28243"/>
      <w:bookmarkStart w:id="249" w:name="_Toc251932458"/>
      <w:bookmarkStart w:id="250" w:name="_Toc251786620"/>
      <w:bookmarkStart w:id="251" w:name="_Toc267041412"/>
      <w:bookmarkStart w:id="252" w:name="_Toc23095"/>
      <w:bookmarkStart w:id="253" w:name="_Toc340759482"/>
      <w:bookmarkStart w:id="254" w:name="_Toc120002436"/>
      <w:bookmarkStart w:id="255" w:name="_Toc227642044"/>
      <w:bookmarkStart w:id="256" w:name="_Toc6878"/>
      <w:bookmarkStart w:id="257" w:name="_Toc12508"/>
      <w:bookmarkStart w:id="258" w:name="_Toc32494"/>
      <w:bookmarkStart w:id="259" w:name="_Toc5665"/>
      <w:bookmarkStart w:id="260" w:name="_Toc227642166"/>
      <w:bookmarkStart w:id="261" w:name="_Toc31737"/>
      <w:bookmarkStart w:id="262" w:name="_Toc11806"/>
      <w:bookmarkStart w:id="263" w:name="_Toc25651"/>
      <w:r>
        <w:rPr>
          <w:color w:val="000000" w:themeColor="text1"/>
          <w:sz w:val="24"/>
        </w:rPr>
        <w:t>（1）年工作日：300天</w:t>
      </w:r>
    </w:p>
    <w:p w14:paraId="3F4FCEA2">
      <w:pPr>
        <w:spacing w:line="360" w:lineRule="auto"/>
        <w:ind w:firstLine="480"/>
        <w:rPr>
          <w:color w:val="000000" w:themeColor="text1"/>
          <w:sz w:val="24"/>
        </w:rPr>
      </w:pPr>
      <w:r>
        <w:rPr>
          <w:color w:val="000000" w:themeColor="text1"/>
          <w:sz w:val="24"/>
        </w:rPr>
        <w:t>（2）生产班制：一班制，8小时/天生产。</w:t>
      </w:r>
    </w:p>
    <w:p w14:paraId="5B5C40EC">
      <w:pPr>
        <w:pStyle w:val="105"/>
        <w:rPr>
          <w:rFonts w:cs="Times New Roman"/>
          <w:color w:val="000000" w:themeColor="text1"/>
        </w:rPr>
      </w:pPr>
      <w:r>
        <w:rPr>
          <w:rFonts w:cs="Times New Roman"/>
          <w:color w:val="000000" w:themeColor="text1"/>
        </w:rPr>
        <w:t>2.8.2劳动定员</w:t>
      </w:r>
    </w:p>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14:paraId="012B081E">
      <w:pPr>
        <w:tabs>
          <w:tab w:val="left" w:pos="2395"/>
        </w:tabs>
        <w:spacing w:line="360" w:lineRule="auto"/>
        <w:ind w:left="50" w:right="50" w:firstLine="493"/>
        <w:jc w:val="left"/>
        <w:rPr>
          <w:color w:val="000000" w:themeColor="text1"/>
          <w:sz w:val="24"/>
        </w:rPr>
      </w:pPr>
      <w:bookmarkStart w:id="264" w:name="_Toc13480"/>
      <w:bookmarkStart w:id="265" w:name="_Toc362393137"/>
      <w:bookmarkStart w:id="266" w:name="_Toc11408"/>
      <w:bookmarkStart w:id="267" w:name="_Toc30438"/>
      <w:bookmarkStart w:id="268" w:name="_Toc26509"/>
      <w:bookmarkStart w:id="269" w:name="_Toc14742"/>
      <w:bookmarkStart w:id="270" w:name="_Toc29629"/>
      <w:bookmarkStart w:id="271" w:name="_Toc15665"/>
      <w:bookmarkStart w:id="272" w:name="_Toc13832"/>
      <w:bookmarkStart w:id="273" w:name="_Toc359505249"/>
      <w:bookmarkStart w:id="274" w:name="_Toc5897"/>
      <w:bookmarkStart w:id="275" w:name="_Toc27371"/>
      <w:bookmarkStart w:id="276" w:name="_Toc26084"/>
      <w:bookmarkStart w:id="277" w:name="_Toc20418"/>
      <w:bookmarkStart w:id="278" w:name="_Toc7862"/>
      <w:bookmarkStart w:id="279" w:name="_Toc14336"/>
      <w:r>
        <w:rPr>
          <w:color w:val="000000" w:themeColor="text1"/>
          <w:sz w:val="24"/>
        </w:rPr>
        <w:t>本项目劳动定员20人，其中管理与技术人员2人，工人18人，</w:t>
      </w:r>
      <w:r>
        <w:rPr>
          <w:bCs/>
          <w:color w:val="000000" w:themeColor="text1"/>
          <w:sz w:val="24"/>
        </w:rPr>
        <w:t>全部18名员工在住宿项目饮食</w:t>
      </w:r>
      <w:r>
        <w:rPr>
          <w:color w:val="000000" w:themeColor="text1"/>
          <w:sz w:val="24"/>
        </w:rPr>
        <w:t>。</w:t>
      </w:r>
    </w:p>
    <w:p w14:paraId="04E4FCE1">
      <w:pPr>
        <w:pStyle w:val="4"/>
        <w:rPr>
          <w:rFonts w:ascii="Times New Roman" w:hAnsi="Times New Roman"/>
          <w:color w:val="000000" w:themeColor="text1"/>
        </w:rPr>
      </w:pPr>
      <w:bookmarkStart w:id="280" w:name="_Toc28117692"/>
      <w:r>
        <w:rPr>
          <w:rFonts w:ascii="Times New Roman" w:hAnsi="Times New Roman"/>
          <w:color w:val="000000" w:themeColor="text1"/>
        </w:rPr>
        <w:t>2.9项目实施进度计划安排</w:t>
      </w:r>
      <w:bookmarkEnd w:id="232"/>
      <w:bookmarkEnd w:id="233"/>
      <w:bookmarkEnd w:id="234"/>
      <w:bookmarkEnd w:id="235"/>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71809CFD">
      <w:pPr>
        <w:tabs>
          <w:tab w:val="left" w:pos="1936"/>
        </w:tabs>
        <w:spacing w:line="360" w:lineRule="auto"/>
        <w:ind w:firstLine="560" w:firstLineChars="200"/>
        <w:jc w:val="left"/>
        <w:rPr>
          <w:color w:val="FF0000"/>
          <w:sz w:val="24"/>
        </w:rPr>
      </w:pPr>
      <w:r>
        <w:rPr>
          <w:bCs/>
          <w:color w:val="FF0000"/>
          <w:spacing w:val="20"/>
          <w:kern w:val="0"/>
          <w:sz w:val="24"/>
          <w:szCs w:val="28"/>
        </w:rPr>
        <w:t>本项目预计建设周期为2个月，造粒生产线及配套设施计划2020年1月开工建设，2020年3月投入使用，编织袋生产线计划2021年1月开工建设，2022年1月投入使用.</w:t>
      </w:r>
    </w:p>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14:paraId="17A7A93D">
      <w:pPr>
        <w:widowControl/>
        <w:jc w:val="left"/>
        <w:rPr>
          <w:rFonts w:eastAsia="黑体"/>
          <w:b/>
          <w:bCs/>
          <w:color w:val="000000" w:themeColor="text1"/>
          <w:kern w:val="44"/>
          <w:sz w:val="36"/>
          <w:szCs w:val="36"/>
        </w:rPr>
      </w:pPr>
      <w:bookmarkStart w:id="281" w:name="_Toc290295758"/>
      <w:r>
        <w:rPr>
          <w:color w:val="000000" w:themeColor="text1"/>
        </w:rPr>
        <w:br w:type="page"/>
      </w:r>
    </w:p>
    <w:p w14:paraId="07F3632E">
      <w:pPr>
        <w:pStyle w:val="3"/>
        <w:rPr>
          <w:color w:val="000000" w:themeColor="text1"/>
        </w:rPr>
      </w:pPr>
      <w:bookmarkStart w:id="282" w:name="_Toc28117693"/>
      <w:r>
        <w:rPr>
          <w:color w:val="000000" w:themeColor="text1"/>
        </w:rPr>
        <w:t>3工程分析</w:t>
      </w:r>
      <w:bookmarkEnd w:id="164"/>
      <w:bookmarkEnd w:id="281"/>
      <w:bookmarkEnd w:id="282"/>
    </w:p>
    <w:p w14:paraId="7435FA6F">
      <w:pPr>
        <w:pStyle w:val="4"/>
        <w:rPr>
          <w:rFonts w:ascii="Times New Roman" w:hAnsi="Times New Roman"/>
          <w:color w:val="000000" w:themeColor="text1"/>
        </w:rPr>
      </w:pPr>
      <w:bookmarkStart w:id="283" w:name="_Toc362393140"/>
      <w:bookmarkStart w:id="284" w:name="_Toc28117694"/>
      <w:r>
        <w:rPr>
          <w:rFonts w:ascii="Times New Roman" w:hAnsi="Times New Roman"/>
          <w:color w:val="000000" w:themeColor="text1"/>
        </w:rPr>
        <w:t>3.1</w:t>
      </w:r>
      <w:bookmarkEnd w:id="283"/>
      <w:r>
        <w:rPr>
          <w:rFonts w:ascii="Times New Roman" w:hAnsi="Times New Roman"/>
          <w:color w:val="000000" w:themeColor="text1"/>
        </w:rPr>
        <w:t xml:space="preserve"> 生产工艺分析</w:t>
      </w:r>
      <w:bookmarkEnd w:id="284"/>
    </w:p>
    <w:p w14:paraId="6B8CB3FD">
      <w:pPr>
        <w:pStyle w:val="289"/>
        <w:spacing w:line="360" w:lineRule="auto"/>
        <w:ind w:left="51" w:right="51" w:firstLine="480" w:firstLineChars="200"/>
        <w:rPr>
          <w:bCs/>
          <w:color w:val="000000" w:themeColor="text1"/>
          <w:sz w:val="24"/>
        </w:rPr>
      </w:pPr>
      <w:r>
        <w:rPr>
          <w:b/>
          <w:bCs/>
          <w:color w:val="000000" w:themeColor="text1"/>
          <w:sz w:val="24"/>
        </w:rPr>
        <w:t>工艺流程简述：</w:t>
      </w:r>
      <w:bookmarkStart w:id="285" w:name="OLE_LINK3"/>
      <w:bookmarkStart w:id="286" w:name="OLE_LINK2"/>
      <w:bookmarkStart w:id="287" w:name="OLE_LINK4"/>
      <w:bookmarkStart w:id="288" w:name="_Toc363901311"/>
      <w:bookmarkStart w:id="289" w:name="_Toc348861032"/>
      <w:r>
        <w:rPr>
          <w:bCs/>
          <w:color w:val="FF0000"/>
          <w:sz w:val="24"/>
        </w:rPr>
        <w:t>本项目新建2条塑料颗粒生产线（含塑料破碎、清洗）、1条编织袋生产线及相应配套设施，年生产塑料颗粒5000t，年产编织袋3000吨，采用工艺为熔融挤压，将回收的废旧塑料经过分类、清洗、破碎、直接加工成型造粒及生产编织袋。</w:t>
      </w:r>
    </w:p>
    <w:p w14:paraId="0C65039E">
      <w:pPr>
        <w:pStyle w:val="289"/>
        <w:spacing w:line="360" w:lineRule="auto"/>
        <w:ind w:left="51" w:right="51" w:firstLine="480" w:firstLineChars="200"/>
        <w:jc w:val="left"/>
        <w:rPr>
          <w:bCs/>
          <w:color w:val="FF0000"/>
          <w:sz w:val="24"/>
        </w:rPr>
      </w:pPr>
      <w:r>
        <w:rPr>
          <w:bCs/>
          <w:color w:val="FF0000"/>
          <w:sz w:val="24"/>
        </w:rPr>
        <w:t>生产工艺可分为塑料清洗破碎工序、塑料造粒（图3.1-1）及编织袋生产（图3.1-2）工序。</w:t>
      </w:r>
    </w:p>
    <w:bookmarkEnd w:id="285"/>
    <w:bookmarkEnd w:id="286"/>
    <w:bookmarkEnd w:id="287"/>
    <w:p w14:paraId="146DBEE0">
      <w:pPr>
        <w:pStyle w:val="289"/>
        <w:spacing w:line="360" w:lineRule="auto"/>
        <w:ind w:left="51" w:right="51" w:firstLine="420" w:firstLineChars="200"/>
        <w:jc w:val="center"/>
        <w:rPr>
          <w:bCs/>
          <w:color w:val="000000" w:themeColor="text1"/>
          <w:szCs w:val="28"/>
        </w:rPr>
      </w:pPr>
      <w:r>
        <w:rPr>
          <w:bCs/>
          <w:color w:val="000000" w:themeColor="text1"/>
          <w:szCs w:val="28"/>
        </w:rPr>
        <w:object>
          <v:shape id="_x0000_i1025" o:spt="75" type="#_x0000_t75" style="height:651.2pt;width:320.25pt;" o:ole="t" filled="f" o:preferrelative="t" stroked="f" coordsize="21600,21600">
            <v:path/>
            <v:fill on="f" focussize="0,0"/>
            <v:stroke on="f" joinstyle="miter"/>
            <v:imagedata r:id="rId18" o:title=""/>
            <o:lock v:ext="edit" aspectratio="t"/>
            <w10:wrap type="none"/>
            <w10:anchorlock/>
          </v:shape>
          <o:OLEObject Type="Embed" ProgID="Visio.Drawing.11" ShapeID="_x0000_i1025" DrawAspect="Content" ObjectID="_1468075725">
            <o:LockedField>false</o:LockedField>
          </o:OLEObject>
        </w:object>
      </w:r>
    </w:p>
    <w:p w14:paraId="56AD562C">
      <w:pPr>
        <w:ind w:left="50" w:right="105" w:rightChars="50"/>
        <w:jc w:val="center"/>
        <w:rPr>
          <w:b/>
          <w:color w:val="FF0000"/>
          <w:sz w:val="24"/>
        </w:rPr>
      </w:pPr>
      <w:r>
        <w:rPr>
          <w:b/>
          <w:color w:val="FF0000"/>
          <w:sz w:val="24"/>
        </w:rPr>
        <w:t>图3.1-1   塑料清洗、破碎及造粒工艺流程、产污环节图</w:t>
      </w:r>
    </w:p>
    <w:p w14:paraId="44C0E462">
      <w:pPr>
        <w:pStyle w:val="105"/>
        <w:rPr>
          <w:rFonts w:cs="Times New Roman"/>
          <w:color w:val="000000" w:themeColor="text1"/>
        </w:rPr>
      </w:pPr>
      <w:r>
        <w:rPr>
          <w:rFonts w:cs="Times New Roman"/>
          <w:color w:val="000000" w:themeColor="text1"/>
        </w:rPr>
        <w:t>3.1.1塑料破碎清洗工序</w:t>
      </w:r>
    </w:p>
    <w:p w14:paraId="1AA1F064">
      <w:pPr>
        <w:spacing w:line="360" w:lineRule="auto"/>
        <w:ind w:firstLine="480" w:firstLineChars="200"/>
        <w:jc w:val="left"/>
        <w:rPr>
          <w:b/>
          <w:color w:val="000000" w:themeColor="text1"/>
          <w:sz w:val="24"/>
        </w:rPr>
      </w:pPr>
      <w:r>
        <w:rPr>
          <w:b/>
          <w:color w:val="000000" w:themeColor="text1"/>
          <w:sz w:val="24"/>
        </w:rPr>
        <w:t>（1）拆包</w:t>
      </w:r>
    </w:p>
    <w:p w14:paraId="72E0CB9E">
      <w:pPr>
        <w:spacing w:line="360" w:lineRule="auto"/>
        <w:ind w:firstLine="480" w:firstLineChars="200"/>
        <w:jc w:val="left"/>
        <w:rPr>
          <w:color w:val="000000" w:themeColor="text1"/>
          <w:sz w:val="24"/>
        </w:rPr>
      </w:pPr>
      <w:r>
        <w:rPr>
          <w:color w:val="FF0000"/>
          <w:sz w:val="24"/>
        </w:rPr>
        <w:t>将外购回来的废塑料瓶砖拆包，</w:t>
      </w:r>
      <w:r>
        <w:rPr>
          <w:color w:val="000000" w:themeColor="text1"/>
          <w:sz w:val="24"/>
        </w:rPr>
        <w:t>此过程会产生铁丝等固体废物。</w:t>
      </w:r>
    </w:p>
    <w:p w14:paraId="7B5CB3FF">
      <w:pPr>
        <w:spacing w:line="360" w:lineRule="auto"/>
        <w:ind w:firstLine="480" w:firstLineChars="200"/>
        <w:jc w:val="left"/>
        <w:rPr>
          <w:b/>
          <w:color w:val="000000" w:themeColor="text1"/>
          <w:sz w:val="24"/>
        </w:rPr>
      </w:pPr>
      <w:r>
        <w:rPr>
          <w:b/>
          <w:color w:val="000000" w:themeColor="text1"/>
          <w:sz w:val="24"/>
        </w:rPr>
        <w:t>（2）人工分拣</w:t>
      </w:r>
    </w:p>
    <w:p w14:paraId="71B71DA0">
      <w:pPr>
        <w:spacing w:line="360" w:lineRule="auto"/>
        <w:ind w:left="105" w:leftChars="50" w:right="105" w:rightChars="50" w:firstLine="480" w:firstLineChars="200"/>
        <w:jc w:val="left"/>
        <w:rPr>
          <w:color w:val="000000" w:themeColor="text1"/>
          <w:kern w:val="0"/>
          <w:sz w:val="24"/>
        </w:rPr>
      </w:pPr>
      <w:r>
        <w:rPr>
          <w:color w:val="000000" w:themeColor="text1"/>
          <w:kern w:val="0"/>
          <w:sz w:val="24"/>
        </w:rPr>
        <w:t>外购来的废塑料瓶进行人工分拣，分选出瓶盖及商标，同时分拣出不容易去除商标的瓶子（油瓶、酱油瓶等）。</w:t>
      </w:r>
    </w:p>
    <w:p w14:paraId="5BC74CBE">
      <w:pPr>
        <w:spacing w:line="360" w:lineRule="auto"/>
        <w:ind w:firstLine="480" w:firstLineChars="200"/>
        <w:rPr>
          <w:b/>
          <w:color w:val="000000" w:themeColor="text1"/>
          <w:sz w:val="24"/>
        </w:rPr>
      </w:pPr>
      <w:r>
        <w:rPr>
          <w:b/>
          <w:color w:val="000000" w:themeColor="text1"/>
          <w:sz w:val="24"/>
        </w:rPr>
        <w:t>（3）清洗、分选、破碎</w:t>
      </w:r>
    </w:p>
    <w:p w14:paraId="4DADEA2E">
      <w:pPr>
        <w:spacing w:line="360" w:lineRule="auto"/>
        <w:ind w:firstLine="480" w:firstLineChars="200"/>
        <w:rPr>
          <w:color w:val="000000" w:themeColor="text1"/>
          <w:sz w:val="24"/>
        </w:rPr>
      </w:pPr>
      <w:r>
        <w:rPr>
          <w:color w:val="000000" w:themeColor="text1"/>
          <w:sz w:val="24"/>
        </w:rPr>
        <w:t>清洗：将塑料瓶送入清洗机自动清洗，清洗过程清洗机自带加热功能，直接将冷水加热至70℃蒸煮约10s，清洗后的废水排入污水处理设施（隔油池+沉淀池），处理后返回至沉淀池，回用清洗工序。</w:t>
      </w:r>
    </w:p>
    <w:p w14:paraId="5AA470FC">
      <w:pPr>
        <w:spacing w:line="360" w:lineRule="auto"/>
        <w:ind w:firstLine="480" w:firstLineChars="200"/>
        <w:rPr>
          <w:color w:val="FF0000"/>
          <w:sz w:val="24"/>
        </w:rPr>
      </w:pPr>
      <w:r>
        <w:rPr>
          <w:color w:val="FF0000"/>
          <w:sz w:val="24"/>
        </w:rPr>
        <w:t>分选：该工序利用分选机自动识别塑料瓶各种颜色，分别进行破碎。</w:t>
      </w:r>
    </w:p>
    <w:p w14:paraId="189B330D">
      <w:pPr>
        <w:spacing w:line="360" w:lineRule="auto"/>
        <w:ind w:firstLine="480" w:firstLineChars="200"/>
        <w:rPr>
          <w:color w:val="000000" w:themeColor="text1"/>
          <w:sz w:val="24"/>
        </w:rPr>
      </w:pPr>
      <w:r>
        <w:rPr>
          <w:color w:val="000000" w:themeColor="text1"/>
          <w:sz w:val="24"/>
        </w:rPr>
        <w:t>破碎：废塑料瓶破碎采用湿式破碎，破碎系统密闭化，同时由于采用湿式破碎，因此破碎过程无粉尘产生。破碎后塑料片为直径1~2cm不规则片料。此过程会有废水和噪声产生。</w:t>
      </w:r>
    </w:p>
    <w:p w14:paraId="4501FFD0">
      <w:pPr>
        <w:spacing w:line="360" w:lineRule="auto"/>
        <w:ind w:firstLine="480" w:firstLineChars="200"/>
        <w:rPr>
          <w:b/>
          <w:color w:val="000000" w:themeColor="text1"/>
          <w:sz w:val="24"/>
        </w:rPr>
      </w:pPr>
      <w:r>
        <w:rPr>
          <w:b/>
          <w:color w:val="000000" w:themeColor="text1"/>
          <w:sz w:val="24"/>
        </w:rPr>
        <w:t>（4）脱水</w:t>
      </w:r>
    </w:p>
    <w:p w14:paraId="24C4F811">
      <w:pPr>
        <w:spacing w:line="360" w:lineRule="auto"/>
        <w:ind w:firstLine="480" w:firstLineChars="200"/>
        <w:rPr>
          <w:color w:val="000000" w:themeColor="text1"/>
          <w:sz w:val="24"/>
        </w:rPr>
      </w:pPr>
      <w:r>
        <w:rPr>
          <w:color w:val="000000" w:themeColor="text1"/>
          <w:sz w:val="24"/>
        </w:rPr>
        <w:t>由于采用湿式破碎，片料带有约20%的</w:t>
      </w:r>
      <w:r>
        <w:rPr>
          <w:rFonts w:hint="eastAsia"/>
          <w:color w:val="000000" w:themeColor="text1"/>
          <w:sz w:val="24"/>
          <w:lang w:eastAsia="zh-CN"/>
        </w:rPr>
        <w:t>水分</w:t>
      </w:r>
      <w:r>
        <w:rPr>
          <w:color w:val="000000" w:themeColor="text1"/>
          <w:sz w:val="24"/>
        </w:rPr>
        <w:t>，此工序将带水片料送入风干机内，通过离心力将片料与水分离。此过程会有废水</w:t>
      </w:r>
      <w:r>
        <w:rPr>
          <w:color w:val="FF0000"/>
          <w:sz w:val="24"/>
        </w:rPr>
        <w:t>（W1）</w:t>
      </w:r>
      <w:r>
        <w:rPr>
          <w:color w:val="000000" w:themeColor="text1"/>
          <w:sz w:val="24"/>
        </w:rPr>
        <w:t>和噪声产生。</w:t>
      </w:r>
    </w:p>
    <w:p w14:paraId="58891737">
      <w:pPr>
        <w:spacing w:line="360" w:lineRule="auto"/>
        <w:ind w:firstLine="480" w:firstLineChars="200"/>
        <w:rPr>
          <w:b/>
          <w:color w:val="000000" w:themeColor="text1"/>
          <w:kern w:val="0"/>
          <w:sz w:val="24"/>
        </w:rPr>
      </w:pPr>
      <w:r>
        <w:rPr>
          <w:b/>
          <w:color w:val="000000" w:themeColor="text1"/>
          <w:kern w:val="0"/>
          <w:sz w:val="24"/>
        </w:rPr>
        <w:t>（5）半成品</w:t>
      </w:r>
    </w:p>
    <w:p w14:paraId="3FBA8AAC">
      <w:pPr>
        <w:spacing w:line="360" w:lineRule="auto"/>
        <w:ind w:firstLine="480" w:firstLineChars="200"/>
        <w:rPr>
          <w:color w:val="000000" w:themeColor="text1"/>
          <w:kern w:val="0"/>
          <w:sz w:val="24"/>
        </w:rPr>
      </w:pPr>
      <w:r>
        <w:rPr>
          <w:color w:val="000000" w:themeColor="text1"/>
          <w:kern w:val="0"/>
          <w:sz w:val="24"/>
        </w:rPr>
        <w:t>半成品—塑料片，进入造粒工序。</w:t>
      </w:r>
    </w:p>
    <w:p w14:paraId="1F65C9D0">
      <w:pPr>
        <w:pStyle w:val="105"/>
        <w:rPr>
          <w:rFonts w:cs="Times New Roman"/>
          <w:color w:val="000000" w:themeColor="text1"/>
        </w:rPr>
      </w:pPr>
      <w:r>
        <w:rPr>
          <w:rFonts w:cs="Times New Roman"/>
          <w:color w:val="000000" w:themeColor="text1"/>
        </w:rPr>
        <w:t>3.1.2造粒生产工序</w:t>
      </w:r>
    </w:p>
    <w:p w14:paraId="06B5171D">
      <w:pPr>
        <w:spacing w:line="360" w:lineRule="auto"/>
        <w:ind w:firstLine="480" w:firstLineChars="200"/>
        <w:jc w:val="left"/>
        <w:rPr>
          <w:b/>
          <w:color w:val="000000" w:themeColor="text1"/>
          <w:sz w:val="24"/>
        </w:rPr>
      </w:pPr>
      <w:r>
        <w:rPr>
          <w:b/>
          <w:color w:val="000000" w:themeColor="text1"/>
          <w:sz w:val="24"/>
        </w:rPr>
        <w:t>（1）热熔挤出</w:t>
      </w:r>
    </w:p>
    <w:p w14:paraId="730DA4BB">
      <w:pPr>
        <w:spacing w:line="360" w:lineRule="auto"/>
        <w:ind w:firstLine="480" w:firstLineChars="200"/>
        <w:jc w:val="left"/>
        <w:rPr>
          <w:color w:val="000000" w:themeColor="text1"/>
          <w:sz w:val="24"/>
        </w:rPr>
      </w:pPr>
      <w:r>
        <w:rPr>
          <w:color w:val="000000" w:themeColor="text1"/>
          <w:sz w:val="24"/>
        </w:rPr>
        <w:t>将前述工序所得塑料碎片作为塑料颗粒生产的原料，送入挤出机内，在挤出机中塑料在料筒中经电加热融化后利用螺杆的推力连续不断地将熔融料从模口挤出，此过程有噪声（N4）和废气（G1）产生。</w:t>
      </w:r>
    </w:p>
    <w:p w14:paraId="79398A13">
      <w:pPr>
        <w:spacing w:line="360" w:lineRule="auto"/>
        <w:ind w:firstLine="480" w:firstLineChars="200"/>
        <w:jc w:val="left"/>
        <w:rPr>
          <w:color w:val="000000" w:themeColor="text1"/>
          <w:sz w:val="24"/>
        </w:rPr>
      </w:pPr>
      <w:r>
        <w:rPr>
          <w:color w:val="000000" w:themeColor="text1"/>
          <w:sz w:val="24"/>
        </w:rPr>
        <w:t>热熔挤出工序不添加任何阻燃剂、增塑剂等添加剂，采用直接再生方式，挤出造粒过程为单纯物理熔融变化过程。</w:t>
      </w:r>
    </w:p>
    <w:p w14:paraId="112E2012">
      <w:pPr>
        <w:spacing w:line="360" w:lineRule="auto"/>
        <w:ind w:firstLine="480" w:firstLineChars="200"/>
        <w:jc w:val="left"/>
        <w:rPr>
          <w:color w:val="000000" w:themeColor="text1"/>
          <w:sz w:val="24"/>
        </w:rPr>
      </w:pPr>
      <w:r>
        <w:rPr>
          <w:b/>
          <w:color w:val="000000" w:themeColor="text1"/>
          <w:sz w:val="24"/>
        </w:rPr>
        <w:t>废气产排分析：</w:t>
      </w:r>
      <w:r>
        <w:rPr>
          <w:color w:val="000000" w:themeColor="text1"/>
          <w:sz w:val="24"/>
        </w:rPr>
        <w:t>聚乙烯、聚丙烯加热温度控制在180-200℃左右，聚乙烯和聚丙烯裂解温度分别为≥380℃和350℃，故无裂解废气产生，但在实际操作过程中，因料筒局部过热等其它原因，会有少量废气产生（G1），主要为乙烯、丙烯单体（以非甲烷总烃计）、少量颗粒物和异味。</w:t>
      </w:r>
    </w:p>
    <w:p w14:paraId="5C476CFF">
      <w:pPr>
        <w:spacing w:line="360" w:lineRule="auto"/>
        <w:ind w:firstLine="480" w:firstLineChars="200"/>
        <w:jc w:val="left"/>
        <w:rPr>
          <w:color w:val="000000" w:themeColor="text1"/>
          <w:sz w:val="24"/>
        </w:rPr>
      </w:pPr>
      <w:r>
        <w:rPr>
          <w:b/>
          <w:color w:val="000000" w:themeColor="text1"/>
          <w:sz w:val="24"/>
        </w:rPr>
        <w:t>废气处置措施：</w:t>
      </w:r>
      <w:r>
        <w:rPr>
          <w:color w:val="000000" w:themeColor="text1"/>
          <w:sz w:val="24"/>
        </w:rPr>
        <w:t>在此工序设置集气罩对废气进行收集，收集后的气体经”过滤棉+UV光催化净化装置”处理后（收集效率85%，非甲烷总烃处理效率90%，颗粒物处理效率99%），通过15m高排气筒排放。</w:t>
      </w:r>
    </w:p>
    <w:p w14:paraId="4D625E77">
      <w:pPr>
        <w:spacing w:line="360" w:lineRule="auto"/>
        <w:ind w:firstLine="480" w:firstLineChars="200"/>
        <w:jc w:val="left"/>
        <w:rPr>
          <w:b/>
          <w:color w:val="000000" w:themeColor="text1"/>
          <w:sz w:val="24"/>
        </w:rPr>
      </w:pPr>
      <w:r>
        <w:rPr>
          <w:b/>
          <w:color w:val="000000" w:themeColor="text1"/>
          <w:sz w:val="24"/>
        </w:rPr>
        <w:t>（2）冷却</w:t>
      </w:r>
    </w:p>
    <w:p w14:paraId="639FCFE1">
      <w:pPr>
        <w:spacing w:line="360" w:lineRule="auto"/>
        <w:ind w:firstLine="480" w:firstLineChars="200"/>
        <w:jc w:val="left"/>
        <w:rPr>
          <w:color w:val="000000" w:themeColor="text1"/>
          <w:sz w:val="24"/>
        </w:rPr>
      </w:pPr>
      <w:r>
        <w:rPr>
          <w:color w:val="000000" w:themeColor="text1"/>
          <w:sz w:val="24"/>
        </w:rPr>
        <w:t>被挤出的塑料失去塑性变为条状，再经过冷却水槽冷却（与水直接接触），以免发生变形，冷却水排入循环水池冷却后，循环使用。</w:t>
      </w:r>
    </w:p>
    <w:p w14:paraId="757F07DE">
      <w:pPr>
        <w:spacing w:line="360" w:lineRule="auto"/>
        <w:ind w:firstLine="480" w:firstLineChars="200"/>
        <w:jc w:val="left"/>
        <w:rPr>
          <w:color w:val="000000" w:themeColor="text1"/>
          <w:sz w:val="24"/>
        </w:rPr>
      </w:pPr>
      <w:r>
        <w:rPr>
          <w:b/>
          <w:color w:val="000000" w:themeColor="text1"/>
          <w:sz w:val="24"/>
        </w:rPr>
        <w:t>原理：</w:t>
      </w:r>
      <w:r>
        <w:rPr>
          <w:color w:val="000000" w:themeColor="text1"/>
          <w:sz w:val="24"/>
        </w:rPr>
        <w:t>塑料挤包层在离开机头后，应立即进行冷却，否则会在重力作用下发生变形，产品冷却是确保制品几何形状和内部结构的重要措施。</w:t>
      </w:r>
    </w:p>
    <w:p w14:paraId="4341C765">
      <w:pPr>
        <w:spacing w:line="360" w:lineRule="auto"/>
        <w:ind w:firstLine="480" w:firstLineChars="200"/>
        <w:jc w:val="left"/>
        <w:rPr>
          <w:b/>
          <w:color w:val="000000" w:themeColor="text1"/>
          <w:sz w:val="24"/>
        </w:rPr>
      </w:pPr>
      <w:r>
        <w:rPr>
          <w:b/>
          <w:color w:val="000000" w:themeColor="text1"/>
          <w:sz w:val="24"/>
        </w:rPr>
        <w:t>（3）切粒</w:t>
      </w:r>
    </w:p>
    <w:p w14:paraId="76AACF75">
      <w:pPr>
        <w:spacing w:line="360" w:lineRule="auto"/>
        <w:ind w:firstLine="480" w:firstLineChars="200"/>
        <w:jc w:val="left"/>
        <w:rPr>
          <w:color w:val="000000" w:themeColor="text1"/>
          <w:sz w:val="24"/>
        </w:rPr>
      </w:pPr>
      <w:r>
        <w:rPr>
          <w:color w:val="000000" w:themeColor="text1"/>
          <w:sz w:val="24"/>
        </w:rPr>
        <w:t>冷却后的塑料进入切粒工序（造粒机自带）切成圆柱状颗粒，即得到塑料颗粒成品。若产生部分不合格产品，可直接回用于热熔工序。此过程中切粒机会产生噪声（N5）。</w:t>
      </w:r>
    </w:p>
    <w:p w14:paraId="602D97BC">
      <w:pPr>
        <w:spacing w:line="360" w:lineRule="auto"/>
        <w:ind w:firstLine="480" w:firstLineChars="200"/>
        <w:jc w:val="left"/>
        <w:rPr>
          <w:b/>
          <w:color w:val="000000" w:themeColor="text1"/>
          <w:sz w:val="24"/>
        </w:rPr>
      </w:pPr>
      <w:r>
        <w:rPr>
          <w:b/>
          <w:color w:val="000000" w:themeColor="text1"/>
          <w:sz w:val="24"/>
        </w:rPr>
        <w:t>（4）包装入库</w:t>
      </w:r>
    </w:p>
    <w:p w14:paraId="58F2A608">
      <w:pPr>
        <w:spacing w:line="360" w:lineRule="auto"/>
        <w:ind w:firstLine="480" w:firstLineChars="200"/>
        <w:jc w:val="left"/>
        <w:rPr>
          <w:color w:val="000000" w:themeColor="text1"/>
          <w:sz w:val="24"/>
        </w:rPr>
      </w:pPr>
      <w:r>
        <w:rPr>
          <w:color w:val="000000" w:themeColor="text1"/>
          <w:sz w:val="24"/>
        </w:rPr>
        <w:t>塑料颗粒经人工包装后入库待售。</w:t>
      </w:r>
    </w:p>
    <w:p w14:paraId="3B92B6F4">
      <w:pPr>
        <w:pStyle w:val="105"/>
        <w:rPr>
          <w:rFonts w:cs="Times New Roman"/>
          <w:color w:val="000000" w:themeColor="text1"/>
        </w:rPr>
      </w:pPr>
      <w:r>
        <w:rPr>
          <w:rFonts w:cs="Times New Roman"/>
          <w:color w:val="000000" w:themeColor="text1"/>
        </w:rPr>
        <w:t>3.1.3编织袋生产工序</w:t>
      </w:r>
    </w:p>
    <w:p w14:paraId="14BC0FA6">
      <w:pPr>
        <w:jc w:val="center"/>
        <w:rPr>
          <w:color w:val="000000" w:themeColor="text1"/>
        </w:rPr>
      </w:pPr>
      <w:r>
        <w:rPr>
          <w:color w:val="000000" w:themeColor="text1"/>
        </w:rPr>
        <w:object>
          <v:shape id="_x0000_i1026" o:spt="75" type="#_x0000_t75" style="height:185.9pt;width:392.25pt;" o:ole="t" filled="f" o:preferrelative="t" stroked="f" coordsize="21600,21600">
            <v:path/>
            <v:fill on="f" focussize="0,0"/>
            <v:stroke on="f" joinstyle="miter"/>
            <v:imagedata r:id="rId19" o:title=""/>
            <o:lock v:ext="edit" aspectratio="t"/>
            <w10:wrap type="none"/>
            <w10:anchorlock/>
          </v:shape>
          <o:OLEObject Type="Embed" ProgID="Visio.Drawing.11" ShapeID="_x0000_i1026" DrawAspect="Content" ObjectID="_1468075726">
            <o:LockedField>false</o:LockedField>
          </o:OLEObject>
        </w:object>
      </w:r>
    </w:p>
    <w:p w14:paraId="09C38317">
      <w:pPr>
        <w:jc w:val="center"/>
        <w:rPr>
          <w:b/>
          <w:color w:val="FF0000"/>
          <w:sz w:val="24"/>
        </w:rPr>
      </w:pPr>
      <w:r>
        <w:rPr>
          <w:b/>
          <w:color w:val="FF0000"/>
          <w:sz w:val="24"/>
        </w:rPr>
        <w:t>图3.1-2   编织袋生产工艺流程、产污环节图</w:t>
      </w:r>
    </w:p>
    <w:p w14:paraId="1A67F6A7">
      <w:pPr>
        <w:jc w:val="center"/>
        <w:rPr>
          <w:b/>
          <w:color w:val="000000" w:themeColor="text1"/>
          <w:sz w:val="24"/>
        </w:rPr>
      </w:pPr>
    </w:p>
    <w:p w14:paraId="10DD5AA5">
      <w:pPr>
        <w:spacing w:line="360" w:lineRule="auto"/>
        <w:ind w:firstLine="480" w:firstLineChars="200"/>
        <w:jc w:val="left"/>
        <w:rPr>
          <w:b/>
          <w:color w:val="000000" w:themeColor="text1"/>
          <w:sz w:val="24"/>
        </w:rPr>
      </w:pPr>
      <w:r>
        <w:rPr>
          <w:b/>
          <w:color w:val="000000" w:themeColor="text1"/>
          <w:sz w:val="24"/>
        </w:rPr>
        <w:t>（1）熔融挤出</w:t>
      </w:r>
    </w:p>
    <w:p w14:paraId="307C2B21">
      <w:pPr>
        <w:spacing w:line="360" w:lineRule="auto"/>
        <w:ind w:firstLine="480" w:firstLineChars="200"/>
        <w:jc w:val="left"/>
        <w:rPr>
          <w:color w:val="000000" w:themeColor="text1"/>
          <w:sz w:val="24"/>
        </w:rPr>
      </w:pPr>
      <w:r>
        <w:rPr>
          <w:color w:val="000000" w:themeColor="text1"/>
          <w:sz w:val="24"/>
        </w:rPr>
        <w:t>上述塑料颗粒熔融挤出成薄膜，经过冷却后进入剖丝工序；</w:t>
      </w:r>
    </w:p>
    <w:p w14:paraId="7ACFFE75">
      <w:pPr>
        <w:spacing w:line="360" w:lineRule="auto"/>
        <w:ind w:firstLine="480" w:firstLineChars="200"/>
        <w:jc w:val="left"/>
        <w:rPr>
          <w:color w:val="000000" w:themeColor="text1"/>
          <w:sz w:val="24"/>
        </w:rPr>
      </w:pPr>
      <w:r>
        <w:rPr>
          <w:color w:val="000000" w:themeColor="text1"/>
          <w:sz w:val="24"/>
        </w:rPr>
        <w:t>该工序产生的污染物主要是聚乙烯颗粒、聚丙烯颗粒加热熔融产生的废气及设备运转噪声。</w:t>
      </w:r>
    </w:p>
    <w:p w14:paraId="1C19CA81">
      <w:pPr>
        <w:spacing w:line="360" w:lineRule="auto"/>
        <w:ind w:firstLine="480" w:firstLineChars="200"/>
        <w:jc w:val="left"/>
        <w:rPr>
          <w:b/>
          <w:color w:val="000000" w:themeColor="text1"/>
          <w:sz w:val="24"/>
        </w:rPr>
      </w:pPr>
      <w:r>
        <w:rPr>
          <w:b/>
          <w:color w:val="000000" w:themeColor="text1"/>
          <w:sz w:val="24"/>
        </w:rPr>
        <w:t>（2）剖丝、绕丝</w:t>
      </w:r>
    </w:p>
    <w:p w14:paraId="6C0CE0D4">
      <w:pPr>
        <w:spacing w:line="360" w:lineRule="auto"/>
        <w:ind w:firstLine="480" w:firstLineChars="200"/>
        <w:jc w:val="left"/>
        <w:rPr>
          <w:color w:val="000000" w:themeColor="text1"/>
          <w:sz w:val="24"/>
        </w:rPr>
      </w:pPr>
      <w:r>
        <w:rPr>
          <w:color w:val="000000" w:themeColor="text1"/>
          <w:sz w:val="24"/>
        </w:rPr>
        <w:t>剖成丝条，再经拉伸取向产生扁丝，最后将扁丝卷绕在筒管上，制成纱锭送编制工序。</w:t>
      </w:r>
    </w:p>
    <w:p w14:paraId="56348C57">
      <w:pPr>
        <w:spacing w:line="360" w:lineRule="auto"/>
        <w:ind w:firstLine="480" w:firstLineChars="200"/>
        <w:jc w:val="left"/>
        <w:rPr>
          <w:b/>
          <w:color w:val="000000" w:themeColor="text1"/>
          <w:sz w:val="24"/>
        </w:rPr>
      </w:pPr>
      <w:r>
        <w:rPr>
          <w:b/>
          <w:color w:val="000000" w:themeColor="text1"/>
          <w:sz w:val="24"/>
        </w:rPr>
        <w:t>（3）圆织</w:t>
      </w:r>
    </w:p>
    <w:p w14:paraId="270C52BA">
      <w:pPr>
        <w:spacing w:line="360" w:lineRule="auto"/>
        <w:ind w:firstLine="480" w:firstLineChars="200"/>
        <w:jc w:val="left"/>
        <w:rPr>
          <w:color w:val="000000" w:themeColor="text1"/>
          <w:sz w:val="24"/>
        </w:rPr>
      </w:pPr>
      <w:r>
        <w:rPr>
          <w:color w:val="000000" w:themeColor="text1"/>
          <w:sz w:val="24"/>
        </w:rPr>
        <w:t>扁丝纱锭由圆织机编织成一定直径宽度的编织袋筒。</w:t>
      </w:r>
    </w:p>
    <w:p w14:paraId="227907CE">
      <w:pPr>
        <w:spacing w:line="360" w:lineRule="auto"/>
        <w:ind w:firstLine="480" w:firstLineChars="200"/>
        <w:jc w:val="left"/>
        <w:rPr>
          <w:b/>
          <w:color w:val="000000" w:themeColor="text1"/>
          <w:sz w:val="24"/>
        </w:rPr>
      </w:pPr>
      <w:r>
        <w:rPr>
          <w:b/>
          <w:color w:val="000000" w:themeColor="text1"/>
          <w:sz w:val="24"/>
        </w:rPr>
        <w:t>（4）裁切、缝合</w:t>
      </w:r>
    </w:p>
    <w:p w14:paraId="58191744">
      <w:pPr>
        <w:spacing w:line="360" w:lineRule="auto"/>
        <w:ind w:firstLine="480" w:firstLineChars="200"/>
        <w:jc w:val="left"/>
        <w:rPr>
          <w:color w:val="000000" w:themeColor="text1"/>
          <w:sz w:val="24"/>
        </w:rPr>
      </w:pPr>
      <w:r>
        <w:rPr>
          <w:color w:val="000000" w:themeColor="text1"/>
          <w:sz w:val="24"/>
        </w:rPr>
        <w:t>袋筒经过裁切、封口后得到成品编织袋。</w:t>
      </w:r>
    </w:p>
    <w:p w14:paraId="2D7DF8F6">
      <w:pPr>
        <w:spacing w:line="360" w:lineRule="auto"/>
        <w:ind w:firstLine="480" w:firstLineChars="200"/>
        <w:jc w:val="left"/>
        <w:rPr>
          <w:b/>
          <w:color w:val="000000" w:themeColor="text1"/>
          <w:sz w:val="24"/>
        </w:rPr>
      </w:pPr>
      <w:r>
        <w:rPr>
          <w:b/>
          <w:color w:val="000000" w:themeColor="text1"/>
          <w:sz w:val="24"/>
        </w:rPr>
        <w:t>（5）打包工序</w:t>
      </w:r>
    </w:p>
    <w:p w14:paraId="188DE07D">
      <w:pPr>
        <w:spacing w:line="360" w:lineRule="auto"/>
        <w:ind w:firstLine="480" w:firstLineChars="200"/>
        <w:jc w:val="left"/>
        <w:rPr>
          <w:color w:val="000000" w:themeColor="text1"/>
          <w:sz w:val="24"/>
        </w:rPr>
      </w:pPr>
      <w:r>
        <w:rPr>
          <w:color w:val="000000" w:themeColor="text1"/>
          <w:sz w:val="24"/>
        </w:rPr>
        <w:t>将编织袋成品进行打包，入库待售。</w:t>
      </w:r>
    </w:p>
    <w:p w14:paraId="78AF8ACB">
      <w:pPr>
        <w:spacing w:line="360" w:lineRule="auto"/>
        <w:ind w:firstLine="480" w:firstLineChars="200"/>
        <w:jc w:val="left"/>
        <w:rPr>
          <w:b/>
          <w:color w:val="000000" w:themeColor="text1"/>
          <w:sz w:val="24"/>
        </w:rPr>
      </w:pPr>
      <w:r>
        <w:rPr>
          <w:b/>
          <w:color w:val="000000" w:themeColor="text1"/>
          <w:sz w:val="24"/>
        </w:rPr>
        <w:t>（6）边角料回收</w:t>
      </w:r>
    </w:p>
    <w:p w14:paraId="1068F48C">
      <w:pPr>
        <w:spacing w:line="360" w:lineRule="auto"/>
        <w:ind w:firstLine="480" w:firstLineChars="200"/>
        <w:jc w:val="left"/>
        <w:rPr>
          <w:color w:val="000000" w:themeColor="text1"/>
          <w:sz w:val="24"/>
        </w:rPr>
      </w:pPr>
      <w:r>
        <w:rPr>
          <w:color w:val="000000" w:themeColor="text1"/>
          <w:sz w:val="24"/>
        </w:rPr>
        <w:t>将剖丝等工序产生的下脚料，返回至造粒工序。</w:t>
      </w:r>
    </w:p>
    <w:p w14:paraId="7C601AD6">
      <w:pPr>
        <w:pStyle w:val="105"/>
        <w:rPr>
          <w:rFonts w:cs="Times New Roman"/>
          <w:color w:val="000000" w:themeColor="text1"/>
        </w:rPr>
      </w:pPr>
      <w:r>
        <w:rPr>
          <w:rFonts w:cs="Times New Roman"/>
          <w:color w:val="000000" w:themeColor="text1"/>
        </w:rPr>
        <w:t>3.1.4工艺污染物及处置措施统计</w:t>
      </w:r>
    </w:p>
    <w:p w14:paraId="28B0C499">
      <w:pPr>
        <w:jc w:val="center"/>
        <w:rPr>
          <w:b/>
          <w:color w:val="000000" w:themeColor="text1"/>
        </w:rPr>
      </w:pPr>
      <w:r>
        <w:rPr>
          <w:b/>
          <w:color w:val="000000" w:themeColor="text1"/>
          <w:sz w:val="24"/>
        </w:rPr>
        <w:t>表3.1-1  污染物产生点及处置措施</w:t>
      </w:r>
    </w:p>
    <w:tbl>
      <w:tblPr>
        <w:tblStyle w:val="42"/>
        <w:tblW w:w="5000" w:type="pct"/>
        <w:tblInd w:w="0" w:type="dxa"/>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51"/>
        <w:gridCol w:w="776"/>
        <w:gridCol w:w="1040"/>
        <w:gridCol w:w="1941"/>
        <w:gridCol w:w="4014"/>
      </w:tblGrid>
      <w:tr w14:paraId="2FA8AB56">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Align w:val="center"/>
          </w:tcPr>
          <w:p w14:paraId="58374B66">
            <w:pPr>
              <w:jc w:val="center"/>
              <w:rPr>
                <w:color w:val="000000" w:themeColor="text1"/>
                <w:szCs w:val="21"/>
              </w:rPr>
            </w:pPr>
            <w:r>
              <w:rPr>
                <w:color w:val="000000" w:themeColor="text1"/>
                <w:szCs w:val="21"/>
              </w:rPr>
              <w:t>名称</w:t>
            </w:r>
          </w:p>
        </w:tc>
        <w:tc>
          <w:tcPr>
            <w:tcW w:w="1064" w:type="pct"/>
            <w:gridSpan w:val="2"/>
            <w:vAlign w:val="center"/>
          </w:tcPr>
          <w:p w14:paraId="1F9E79C9">
            <w:pPr>
              <w:jc w:val="center"/>
              <w:rPr>
                <w:color w:val="000000" w:themeColor="text1"/>
                <w:szCs w:val="21"/>
              </w:rPr>
            </w:pPr>
            <w:r>
              <w:rPr>
                <w:color w:val="000000" w:themeColor="text1"/>
                <w:szCs w:val="21"/>
              </w:rPr>
              <w:t>产生点</w:t>
            </w:r>
          </w:p>
        </w:tc>
        <w:tc>
          <w:tcPr>
            <w:tcW w:w="1139" w:type="pct"/>
            <w:vAlign w:val="center"/>
          </w:tcPr>
          <w:p w14:paraId="50A3082F">
            <w:pPr>
              <w:jc w:val="center"/>
              <w:rPr>
                <w:color w:val="000000" w:themeColor="text1"/>
                <w:szCs w:val="21"/>
              </w:rPr>
            </w:pPr>
            <w:r>
              <w:rPr>
                <w:color w:val="000000" w:themeColor="text1"/>
                <w:szCs w:val="21"/>
              </w:rPr>
              <w:t>污染物</w:t>
            </w:r>
          </w:p>
        </w:tc>
        <w:tc>
          <w:tcPr>
            <w:tcW w:w="2356" w:type="pct"/>
            <w:vAlign w:val="center"/>
          </w:tcPr>
          <w:p w14:paraId="6BCCA4D5">
            <w:pPr>
              <w:ind w:firstLine="420"/>
              <w:jc w:val="center"/>
              <w:rPr>
                <w:color w:val="000000" w:themeColor="text1"/>
                <w:szCs w:val="21"/>
              </w:rPr>
            </w:pPr>
            <w:r>
              <w:rPr>
                <w:color w:val="000000" w:themeColor="text1"/>
                <w:szCs w:val="21"/>
              </w:rPr>
              <w:t>处置措施</w:t>
            </w:r>
          </w:p>
        </w:tc>
      </w:tr>
      <w:tr w14:paraId="0E2659D8">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restart"/>
            <w:vAlign w:val="center"/>
          </w:tcPr>
          <w:p w14:paraId="6C01BEF0">
            <w:pPr>
              <w:jc w:val="center"/>
              <w:rPr>
                <w:color w:val="000000" w:themeColor="text1"/>
                <w:szCs w:val="21"/>
              </w:rPr>
            </w:pPr>
            <w:r>
              <w:rPr>
                <w:color w:val="000000" w:themeColor="text1"/>
                <w:szCs w:val="21"/>
              </w:rPr>
              <w:t>废气</w:t>
            </w:r>
          </w:p>
        </w:tc>
        <w:tc>
          <w:tcPr>
            <w:tcW w:w="1064" w:type="pct"/>
            <w:gridSpan w:val="2"/>
            <w:vAlign w:val="center"/>
          </w:tcPr>
          <w:p w14:paraId="1007BD77">
            <w:pPr>
              <w:jc w:val="center"/>
              <w:rPr>
                <w:color w:val="000000" w:themeColor="text1"/>
                <w:szCs w:val="21"/>
              </w:rPr>
            </w:pPr>
            <w:r>
              <w:rPr>
                <w:color w:val="000000" w:themeColor="text1"/>
                <w:szCs w:val="21"/>
              </w:rPr>
              <w:t>食堂</w:t>
            </w:r>
          </w:p>
        </w:tc>
        <w:tc>
          <w:tcPr>
            <w:tcW w:w="1139" w:type="pct"/>
            <w:vAlign w:val="center"/>
          </w:tcPr>
          <w:p w14:paraId="0FC4C980">
            <w:pPr>
              <w:jc w:val="center"/>
              <w:rPr>
                <w:color w:val="000000" w:themeColor="text1"/>
                <w:szCs w:val="21"/>
              </w:rPr>
            </w:pPr>
            <w:r>
              <w:rPr>
                <w:color w:val="000000" w:themeColor="text1"/>
                <w:szCs w:val="21"/>
              </w:rPr>
              <w:t>油烟</w:t>
            </w:r>
          </w:p>
        </w:tc>
        <w:tc>
          <w:tcPr>
            <w:tcW w:w="2356" w:type="pct"/>
            <w:vAlign w:val="center"/>
          </w:tcPr>
          <w:p w14:paraId="3CF23D32">
            <w:pPr>
              <w:ind w:firstLine="420" w:firstLineChars="200"/>
              <w:jc w:val="left"/>
              <w:rPr>
                <w:color w:val="000000" w:themeColor="text1"/>
                <w:szCs w:val="21"/>
              </w:rPr>
            </w:pPr>
            <w:r>
              <w:rPr>
                <w:bCs/>
                <w:color w:val="FF0000"/>
                <w:szCs w:val="21"/>
              </w:rPr>
              <w:t>食堂油烟经收集后，达标外排。</w:t>
            </w:r>
          </w:p>
        </w:tc>
      </w:tr>
      <w:tr w14:paraId="1F85173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continue"/>
            <w:vAlign w:val="center"/>
          </w:tcPr>
          <w:p w14:paraId="2D0E1ACF">
            <w:pPr>
              <w:jc w:val="center"/>
              <w:rPr>
                <w:color w:val="000000" w:themeColor="text1"/>
                <w:szCs w:val="21"/>
              </w:rPr>
            </w:pPr>
          </w:p>
        </w:tc>
        <w:tc>
          <w:tcPr>
            <w:tcW w:w="1064" w:type="pct"/>
            <w:gridSpan w:val="2"/>
            <w:vAlign w:val="center"/>
          </w:tcPr>
          <w:p w14:paraId="3007457E">
            <w:pPr>
              <w:jc w:val="center"/>
              <w:rPr>
                <w:color w:val="000000" w:themeColor="text1"/>
                <w:szCs w:val="21"/>
              </w:rPr>
            </w:pPr>
            <w:r>
              <w:rPr>
                <w:color w:val="000000" w:themeColor="text1"/>
                <w:szCs w:val="21"/>
              </w:rPr>
              <w:t>塑料造粒工序热熔挤出G1</w:t>
            </w:r>
          </w:p>
        </w:tc>
        <w:tc>
          <w:tcPr>
            <w:tcW w:w="1139" w:type="pct"/>
            <w:vAlign w:val="center"/>
          </w:tcPr>
          <w:p w14:paraId="771C66D0">
            <w:pPr>
              <w:jc w:val="center"/>
              <w:rPr>
                <w:color w:val="000000" w:themeColor="text1"/>
                <w:szCs w:val="21"/>
              </w:rPr>
            </w:pPr>
            <w:r>
              <w:rPr>
                <w:color w:val="000000" w:themeColor="text1"/>
                <w:szCs w:val="21"/>
              </w:rPr>
              <w:t>颗粒物、非甲烷总烃（乙烯、丙烯）、异味</w:t>
            </w:r>
          </w:p>
        </w:tc>
        <w:tc>
          <w:tcPr>
            <w:tcW w:w="2356" w:type="pct"/>
            <w:vAlign w:val="center"/>
          </w:tcPr>
          <w:p w14:paraId="5E68E7D4">
            <w:pPr>
              <w:ind w:firstLine="420" w:firstLineChars="200"/>
              <w:jc w:val="left"/>
              <w:rPr>
                <w:bCs/>
                <w:color w:val="000000" w:themeColor="text1"/>
                <w:szCs w:val="21"/>
              </w:rPr>
            </w:pPr>
            <w:r>
              <w:rPr>
                <w:bCs/>
                <w:color w:val="000000" w:themeColor="text1"/>
                <w:szCs w:val="21"/>
              </w:rPr>
              <w:t>设置2套集气罩对废气进行收集，然后经1套”过滤棉+UV光催化净化装置”处理后（收集效率90%，非甲烷总烃处理效率85%，颗粒物处理效率95%），通过15m高排气筒排放。</w:t>
            </w:r>
          </w:p>
        </w:tc>
      </w:tr>
      <w:tr w14:paraId="1FA8D834">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continue"/>
            <w:vAlign w:val="center"/>
          </w:tcPr>
          <w:p w14:paraId="58337DC0">
            <w:pPr>
              <w:jc w:val="center"/>
              <w:rPr>
                <w:color w:val="000000" w:themeColor="text1"/>
                <w:szCs w:val="21"/>
              </w:rPr>
            </w:pPr>
          </w:p>
        </w:tc>
        <w:tc>
          <w:tcPr>
            <w:tcW w:w="1064" w:type="pct"/>
            <w:gridSpan w:val="2"/>
            <w:vAlign w:val="center"/>
          </w:tcPr>
          <w:p w14:paraId="0487BC1D">
            <w:pPr>
              <w:jc w:val="center"/>
              <w:rPr>
                <w:color w:val="000000" w:themeColor="text1"/>
                <w:szCs w:val="21"/>
              </w:rPr>
            </w:pPr>
            <w:r>
              <w:rPr>
                <w:color w:val="000000" w:themeColor="text1"/>
                <w:szCs w:val="21"/>
              </w:rPr>
              <w:t>编织袋工序融化挤出G2</w:t>
            </w:r>
          </w:p>
        </w:tc>
        <w:tc>
          <w:tcPr>
            <w:tcW w:w="1139" w:type="pct"/>
            <w:vAlign w:val="center"/>
          </w:tcPr>
          <w:p w14:paraId="1D8C191E">
            <w:pPr>
              <w:jc w:val="center"/>
              <w:rPr>
                <w:color w:val="000000" w:themeColor="text1"/>
                <w:szCs w:val="21"/>
              </w:rPr>
            </w:pPr>
            <w:r>
              <w:rPr>
                <w:color w:val="000000" w:themeColor="text1"/>
                <w:szCs w:val="21"/>
              </w:rPr>
              <w:t>颗粒物、非甲烷总烃（乙烯、丙烯）、异味</w:t>
            </w:r>
          </w:p>
        </w:tc>
        <w:tc>
          <w:tcPr>
            <w:tcW w:w="2356" w:type="pct"/>
            <w:vAlign w:val="center"/>
          </w:tcPr>
          <w:p w14:paraId="67B2F7C0">
            <w:pPr>
              <w:ind w:firstLine="420" w:firstLineChars="200"/>
              <w:jc w:val="left"/>
              <w:rPr>
                <w:bCs/>
                <w:color w:val="000000" w:themeColor="text1"/>
                <w:szCs w:val="21"/>
              </w:rPr>
            </w:pPr>
            <w:r>
              <w:rPr>
                <w:bCs/>
                <w:color w:val="000000" w:themeColor="text1"/>
                <w:szCs w:val="21"/>
              </w:rPr>
              <w:t>设置1套集气罩对废气进行收集，然后经”过滤棉+UV光催化净化装置”处理后（收集效率90%，非甲烷总烃处理效率85%，颗粒物处理效率95%），通过15m高排气筒排放。</w:t>
            </w:r>
          </w:p>
        </w:tc>
      </w:tr>
      <w:tr w14:paraId="08DA13D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restart"/>
            <w:vAlign w:val="center"/>
          </w:tcPr>
          <w:p w14:paraId="5557FD00">
            <w:pPr>
              <w:jc w:val="center"/>
              <w:rPr>
                <w:color w:val="000000" w:themeColor="text1"/>
                <w:szCs w:val="21"/>
              </w:rPr>
            </w:pPr>
            <w:r>
              <w:rPr>
                <w:color w:val="000000" w:themeColor="text1"/>
                <w:szCs w:val="21"/>
              </w:rPr>
              <w:t>废水</w:t>
            </w:r>
          </w:p>
        </w:tc>
        <w:tc>
          <w:tcPr>
            <w:tcW w:w="1064" w:type="pct"/>
            <w:gridSpan w:val="2"/>
            <w:vAlign w:val="center"/>
          </w:tcPr>
          <w:p w14:paraId="7EB01A1A">
            <w:pPr>
              <w:jc w:val="center"/>
              <w:rPr>
                <w:color w:val="000000" w:themeColor="text1"/>
                <w:szCs w:val="21"/>
              </w:rPr>
            </w:pPr>
            <w:r>
              <w:rPr>
                <w:color w:val="000000" w:themeColor="text1"/>
                <w:szCs w:val="21"/>
              </w:rPr>
              <w:t>生活废水</w:t>
            </w:r>
          </w:p>
        </w:tc>
        <w:tc>
          <w:tcPr>
            <w:tcW w:w="1139" w:type="pct"/>
            <w:vAlign w:val="center"/>
          </w:tcPr>
          <w:p w14:paraId="0D7BAE26">
            <w:pPr>
              <w:jc w:val="center"/>
              <w:rPr>
                <w:color w:val="FF0000"/>
                <w:szCs w:val="21"/>
              </w:rPr>
            </w:pPr>
            <w:r>
              <w:rPr>
                <w:color w:val="FF0000"/>
                <w:szCs w:val="21"/>
              </w:rPr>
              <w:t>COD、BOD</w:t>
            </w:r>
            <w:r>
              <w:rPr>
                <w:color w:val="FF0000"/>
                <w:szCs w:val="21"/>
                <w:vertAlign w:val="subscript"/>
              </w:rPr>
              <w:t>5</w:t>
            </w:r>
            <w:r>
              <w:rPr>
                <w:color w:val="FF0000"/>
                <w:szCs w:val="21"/>
              </w:rPr>
              <w:t>、SS、动植物油等</w:t>
            </w:r>
          </w:p>
        </w:tc>
        <w:tc>
          <w:tcPr>
            <w:tcW w:w="2356" w:type="pct"/>
            <w:vAlign w:val="center"/>
          </w:tcPr>
          <w:p w14:paraId="71378EC3">
            <w:pPr>
              <w:ind w:firstLine="420" w:firstLineChars="200"/>
              <w:jc w:val="left"/>
              <w:rPr>
                <w:color w:val="000000" w:themeColor="text1"/>
                <w:szCs w:val="21"/>
              </w:rPr>
            </w:pPr>
            <w:r>
              <w:rPr>
                <w:color w:val="000000" w:themeColor="text1"/>
                <w:szCs w:val="21"/>
              </w:rPr>
              <w:t>厨房废水经1个隔油池处理后，与其它生活废水排入化粪池处理，定期委托周边村民清运，用于农作物施肥。</w:t>
            </w:r>
          </w:p>
        </w:tc>
      </w:tr>
      <w:tr w14:paraId="2C527A0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continue"/>
            <w:vAlign w:val="center"/>
          </w:tcPr>
          <w:p w14:paraId="0284A0DF">
            <w:pPr>
              <w:jc w:val="center"/>
              <w:rPr>
                <w:color w:val="000000" w:themeColor="text1"/>
                <w:szCs w:val="21"/>
              </w:rPr>
            </w:pPr>
          </w:p>
        </w:tc>
        <w:tc>
          <w:tcPr>
            <w:tcW w:w="455" w:type="pct"/>
            <w:vMerge w:val="restart"/>
            <w:vAlign w:val="center"/>
          </w:tcPr>
          <w:p w14:paraId="2D141BEC">
            <w:pPr>
              <w:jc w:val="center"/>
              <w:rPr>
                <w:color w:val="000000" w:themeColor="text1"/>
                <w:szCs w:val="21"/>
              </w:rPr>
            </w:pPr>
            <w:r>
              <w:rPr>
                <w:color w:val="000000" w:themeColor="text1"/>
                <w:szCs w:val="21"/>
              </w:rPr>
              <w:t>清洗</w:t>
            </w:r>
          </w:p>
        </w:tc>
        <w:tc>
          <w:tcPr>
            <w:tcW w:w="610" w:type="pct"/>
            <w:vAlign w:val="center"/>
          </w:tcPr>
          <w:p w14:paraId="00DA3341">
            <w:pPr>
              <w:jc w:val="center"/>
              <w:rPr>
                <w:color w:val="000000" w:themeColor="text1"/>
                <w:szCs w:val="21"/>
              </w:rPr>
            </w:pPr>
            <w:r>
              <w:rPr>
                <w:color w:val="000000" w:themeColor="text1"/>
                <w:szCs w:val="21"/>
              </w:rPr>
              <w:t>W1</w:t>
            </w:r>
          </w:p>
        </w:tc>
        <w:tc>
          <w:tcPr>
            <w:tcW w:w="1139" w:type="pct"/>
            <w:vAlign w:val="center"/>
          </w:tcPr>
          <w:p w14:paraId="02075042">
            <w:pPr>
              <w:jc w:val="center"/>
              <w:rPr>
                <w:color w:val="000000" w:themeColor="text1"/>
                <w:szCs w:val="21"/>
              </w:rPr>
            </w:pPr>
            <w:r>
              <w:rPr>
                <w:color w:val="000000" w:themeColor="text1"/>
                <w:szCs w:val="21"/>
              </w:rPr>
              <w:t>COD、BOD</w:t>
            </w:r>
            <w:r>
              <w:rPr>
                <w:color w:val="000000" w:themeColor="text1"/>
                <w:szCs w:val="21"/>
                <w:vertAlign w:val="subscript"/>
              </w:rPr>
              <w:t>5</w:t>
            </w:r>
            <w:r>
              <w:rPr>
                <w:color w:val="000000" w:themeColor="text1"/>
                <w:szCs w:val="21"/>
              </w:rPr>
              <w:t>、SS、动植物油等</w:t>
            </w:r>
          </w:p>
        </w:tc>
        <w:tc>
          <w:tcPr>
            <w:tcW w:w="2356" w:type="pct"/>
            <w:vMerge w:val="restart"/>
            <w:vAlign w:val="center"/>
          </w:tcPr>
          <w:p w14:paraId="24EA7C0E">
            <w:pPr>
              <w:ind w:firstLine="420" w:firstLineChars="200"/>
              <w:jc w:val="left"/>
              <w:rPr>
                <w:color w:val="000000" w:themeColor="text1"/>
                <w:szCs w:val="21"/>
              </w:rPr>
            </w:pPr>
            <w:r>
              <w:rPr>
                <w:color w:val="000000" w:themeColor="text1"/>
                <w:szCs w:val="21"/>
              </w:rPr>
              <w:t>生产废水均通过污水处理设施（隔油池+沉淀池）处理后，回用于生产。</w:t>
            </w:r>
          </w:p>
        </w:tc>
      </w:tr>
      <w:tr w14:paraId="7F832B3E">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continue"/>
            <w:vAlign w:val="center"/>
          </w:tcPr>
          <w:p w14:paraId="218E2FA2">
            <w:pPr>
              <w:jc w:val="center"/>
              <w:rPr>
                <w:color w:val="000000" w:themeColor="text1"/>
                <w:szCs w:val="21"/>
              </w:rPr>
            </w:pPr>
          </w:p>
        </w:tc>
        <w:tc>
          <w:tcPr>
            <w:tcW w:w="455" w:type="pct"/>
            <w:vMerge w:val="continue"/>
            <w:vAlign w:val="center"/>
          </w:tcPr>
          <w:p w14:paraId="1C5D5C71">
            <w:pPr>
              <w:jc w:val="center"/>
              <w:rPr>
                <w:color w:val="000000" w:themeColor="text1"/>
                <w:szCs w:val="21"/>
              </w:rPr>
            </w:pPr>
          </w:p>
        </w:tc>
        <w:tc>
          <w:tcPr>
            <w:tcW w:w="610" w:type="pct"/>
            <w:vAlign w:val="center"/>
          </w:tcPr>
          <w:p w14:paraId="4D99C6A9">
            <w:pPr>
              <w:jc w:val="center"/>
              <w:rPr>
                <w:color w:val="FF0000"/>
                <w:szCs w:val="21"/>
              </w:rPr>
            </w:pPr>
            <w:r>
              <w:rPr>
                <w:color w:val="FF0000"/>
                <w:szCs w:val="21"/>
              </w:rPr>
              <w:t>W1</w:t>
            </w:r>
          </w:p>
        </w:tc>
        <w:tc>
          <w:tcPr>
            <w:tcW w:w="1139" w:type="pct"/>
            <w:vAlign w:val="center"/>
          </w:tcPr>
          <w:p w14:paraId="4E79AD47">
            <w:pPr>
              <w:jc w:val="center"/>
              <w:rPr>
                <w:color w:val="000000" w:themeColor="text1"/>
                <w:szCs w:val="21"/>
              </w:rPr>
            </w:pPr>
            <w:r>
              <w:rPr>
                <w:color w:val="000000" w:themeColor="text1"/>
                <w:szCs w:val="21"/>
              </w:rPr>
              <w:t>COD、BOD</w:t>
            </w:r>
            <w:r>
              <w:rPr>
                <w:color w:val="000000" w:themeColor="text1"/>
                <w:szCs w:val="21"/>
                <w:vertAlign w:val="subscript"/>
              </w:rPr>
              <w:t>5</w:t>
            </w:r>
            <w:r>
              <w:rPr>
                <w:color w:val="000000" w:themeColor="text1"/>
                <w:szCs w:val="21"/>
              </w:rPr>
              <w:t>、SS、动植物油等</w:t>
            </w:r>
          </w:p>
        </w:tc>
        <w:tc>
          <w:tcPr>
            <w:tcW w:w="2356" w:type="pct"/>
            <w:vMerge w:val="continue"/>
            <w:vAlign w:val="center"/>
          </w:tcPr>
          <w:p w14:paraId="70E8AB1D">
            <w:pPr>
              <w:jc w:val="center"/>
              <w:rPr>
                <w:color w:val="000000" w:themeColor="text1"/>
                <w:szCs w:val="21"/>
              </w:rPr>
            </w:pPr>
          </w:p>
        </w:tc>
      </w:tr>
      <w:tr w14:paraId="112D95B2">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continue"/>
            <w:vAlign w:val="center"/>
          </w:tcPr>
          <w:p w14:paraId="09621481">
            <w:pPr>
              <w:jc w:val="center"/>
              <w:rPr>
                <w:color w:val="000000" w:themeColor="text1"/>
                <w:szCs w:val="21"/>
              </w:rPr>
            </w:pPr>
          </w:p>
        </w:tc>
        <w:tc>
          <w:tcPr>
            <w:tcW w:w="1064" w:type="pct"/>
            <w:gridSpan w:val="2"/>
            <w:vAlign w:val="center"/>
          </w:tcPr>
          <w:p w14:paraId="068D2CCC">
            <w:pPr>
              <w:jc w:val="center"/>
              <w:rPr>
                <w:color w:val="000000" w:themeColor="text1"/>
                <w:szCs w:val="21"/>
              </w:rPr>
            </w:pPr>
            <w:r>
              <w:rPr>
                <w:color w:val="000000" w:themeColor="text1"/>
                <w:szCs w:val="21"/>
              </w:rPr>
              <w:t>塑料冷却</w:t>
            </w:r>
          </w:p>
        </w:tc>
        <w:tc>
          <w:tcPr>
            <w:tcW w:w="1139" w:type="pct"/>
            <w:vAlign w:val="center"/>
          </w:tcPr>
          <w:p w14:paraId="65245E99">
            <w:pPr>
              <w:jc w:val="center"/>
              <w:rPr>
                <w:color w:val="000000" w:themeColor="text1"/>
                <w:szCs w:val="21"/>
              </w:rPr>
            </w:pPr>
            <w:r>
              <w:rPr>
                <w:color w:val="000000" w:themeColor="text1"/>
                <w:szCs w:val="21"/>
              </w:rPr>
              <w:t>SS</w:t>
            </w:r>
          </w:p>
        </w:tc>
        <w:tc>
          <w:tcPr>
            <w:tcW w:w="2356" w:type="pct"/>
            <w:vAlign w:val="center"/>
          </w:tcPr>
          <w:p w14:paraId="5AC4EBDF">
            <w:pPr>
              <w:jc w:val="center"/>
              <w:rPr>
                <w:color w:val="000000" w:themeColor="text1"/>
                <w:szCs w:val="21"/>
              </w:rPr>
            </w:pPr>
            <w:r>
              <w:rPr>
                <w:color w:val="000000" w:themeColor="text1"/>
                <w:szCs w:val="21"/>
              </w:rPr>
              <w:t>循环水池冷却后，循环使用。</w:t>
            </w:r>
          </w:p>
        </w:tc>
      </w:tr>
      <w:tr w14:paraId="3EC1B068">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restart"/>
            <w:vAlign w:val="center"/>
          </w:tcPr>
          <w:p w14:paraId="2544A003">
            <w:pPr>
              <w:jc w:val="center"/>
              <w:rPr>
                <w:color w:val="000000" w:themeColor="text1"/>
                <w:szCs w:val="21"/>
              </w:rPr>
            </w:pPr>
            <w:r>
              <w:rPr>
                <w:color w:val="000000" w:themeColor="text1"/>
                <w:szCs w:val="21"/>
              </w:rPr>
              <w:t>固废</w:t>
            </w:r>
          </w:p>
        </w:tc>
        <w:tc>
          <w:tcPr>
            <w:tcW w:w="455" w:type="pct"/>
            <w:vMerge w:val="restart"/>
            <w:tcBorders>
              <w:right w:val="single" w:color="auto" w:sz="4" w:space="0"/>
            </w:tcBorders>
            <w:vAlign w:val="center"/>
          </w:tcPr>
          <w:p w14:paraId="44EAE5B6">
            <w:pPr>
              <w:jc w:val="center"/>
              <w:rPr>
                <w:color w:val="000000" w:themeColor="text1"/>
                <w:szCs w:val="21"/>
              </w:rPr>
            </w:pPr>
            <w:r>
              <w:rPr>
                <w:color w:val="000000" w:themeColor="text1"/>
                <w:szCs w:val="21"/>
              </w:rPr>
              <w:t>塑料清洗</w:t>
            </w:r>
          </w:p>
        </w:tc>
        <w:tc>
          <w:tcPr>
            <w:tcW w:w="610" w:type="pct"/>
            <w:tcBorders>
              <w:left w:val="single" w:color="auto" w:sz="4" w:space="0"/>
            </w:tcBorders>
            <w:vAlign w:val="center"/>
          </w:tcPr>
          <w:p w14:paraId="223B1EE3">
            <w:pPr>
              <w:jc w:val="center"/>
              <w:rPr>
                <w:color w:val="000000" w:themeColor="text1"/>
                <w:szCs w:val="21"/>
              </w:rPr>
            </w:pPr>
            <w:r>
              <w:rPr>
                <w:color w:val="000000" w:themeColor="text1"/>
                <w:szCs w:val="21"/>
              </w:rPr>
              <w:t>拆包</w:t>
            </w:r>
          </w:p>
        </w:tc>
        <w:tc>
          <w:tcPr>
            <w:tcW w:w="1139" w:type="pct"/>
            <w:vAlign w:val="center"/>
          </w:tcPr>
          <w:p w14:paraId="4789E122">
            <w:pPr>
              <w:jc w:val="center"/>
              <w:rPr>
                <w:color w:val="000000" w:themeColor="text1"/>
                <w:szCs w:val="21"/>
              </w:rPr>
            </w:pPr>
            <w:r>
              <w:rPr>
                <w:color w:val="000000" w:themeColor="text1"/>
                <w:szCs w:val="21"/>
              </w:rPr>
              <w:t>杂物S1</w:t>
            </w:r>
          </w:p>
        </w:tc>
        <w:tc>
          <w:tcPr>
            <w:tcW w:w="2356" w:type="pct"/>
            <w:vAlign w:val="center"/>
          </w:tcPr>
          <w:p w14:paraId="1214AD77">
            <w:pPr>
              <w:ind w:left="51" w:right="51" w:firstLine="420" w:firstLineChars="200"/>
              <w:jc w:val="left"/>
              <w:rPr>
                <w:color w:val="000000" w:themeColor="text1"/>
                <w:szCs w:val="21"/>
              </w:rPr>
            </w:pPr>
            <w:r>
              <w:rPr>
                <w:color w:val="FF0000"/>
                <w:szCs w:val="21"/>
              </w:rPr>
              <w:t>杂物主</w:t>
            </w:r>
            <w:r>
              <w:rPr>
                <w:color w:val="000000" w:themeColor="text1"/>
                <w:szCs w:val="21"/>
              </w:rPr>
              <w:t>要为金属、大块砂渣等，属于一般工业固体废物，分类收集后，一部分外卖，其余外运至最近村庄垃圾收集点处理，禁止随意丢弃。</w:t>
            </w:r>
          </w:p>
        </w:tc>
      </w:tr>
      <w:tr w14:paraId="2AFF9656">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continue"/>
            <w:vAlign w:val="center"/>
          </w:tcPr>
          <w:p w14:paraId="3902B1FF">
            <w:pPr>
              <w:jc w:val="center"/>
              <w:rPr>
                <w:color w:val="000000" w:themeColor="text1"/>
                <w:szCs w:val="21"/>
              </w:rPr>
            </w:pPr>
          </w:p>
        </w:tc>
        <w:tc>
          <w:tcPr>
            <w:tcW w:w="455" w:type="pct"/>
            <w:vMerge w:val="continue"/>
            <w:tcBorders>
              <w:right w:val="single" w:color="auto" w:sz="4" w:space="0"/>
            </w:tcBorders>
            <w:vAlign w:val="center"/>
          </w:tcPr>
          <w:p w14:paraId="0E9F81FC">
            <w:pPr>
              <w:jc w:val="center"/>
              <w:rPr>
                <w:color w:val="000000" w:themeColor="text1"/>
                <w:szCs w:val="21"/>
              </w:rPr>
            </w:pPr>
          </w:p>
        </w:tc>
        <w:tc>
          <w:tcPr>
            <w:tcW w:w="610" w:type="pct"/>
            <w:tcBorders>
              <w:left w:val="single" w:color="auto" w:sz="4" w:space="0"/>
            </w:tcBorders>
            <w:vAlign w:val="center"/>
          </w:tcPr>
          <w:p w14:paraId="72A90AF4">
            <w:pPr>
              <w:jc w:val="center"/>
              <w:rPr>
                <w:color w:val="000000" w:themeColor="text1"/>
                <w:szCs w:val="21"/>
              </w:rPr>
            </w:pPr>
            <w:r>
              <w:rPr>
                <w:color w:val="000000" w:themeColor="text1"/>
                <w:szCs w:val="21"/>
              </w:rPr>
              <w:t>剥离</w:t>
            </w:r>
          </w:p>
        </w:tc>
        <w:tc>
          <w:tcPr>
            <w:tcW w:w="1139" w:type="pct"/>
            <w:vAlign w:val="center"/>
          </w:tcPr>
          <w:p w14:paraId="28A5C339">
            <w:pPr>
              <w:jc w:val="center"/>
              <w:rPr>
                <w:color w:val="000000" w:themeColor="text1"/>
                <w:szCs w:val="21"/>
              </w:rPr>
            </w:pPr>
            <w:r>
              <w:rPr>
                <w:color w:val="000000" w:themeColor="text1"/>
                <w:szCs w:val="21"/>
              </w:rPr>
              <w:t>剥离废标签纸S2</w:t>
            </w:r>
          </w:p>
        </w:tc>
        <w:tc>
          <w:tcPr>
            <w:tcW w:w="2356" w:type="pct"/>
            <w:vAlign w:val="center"/>
          </w:tcPr>
          <w:p w14:paraId="40D6CDC2">
            <w:pPr>
              <w:ind w:left="51" w:right="51" w:firstLine="420" w:firstLineChars="200"/>
              <w:jc w:val="left"/>
              <w:rPr>
                <w:color w:val="000000" w:themeColor="text1"/>
                <w:szCs w:val="21"/>
              </w:rPr>
            </w:pPr>
            <w:r>
              <w:rPr>
                <w:color w:val="000000" w:themeColor="text1"/>
                <w:szCs w:val="21"/>
              </w:rPr>
              <w:t>剥离废标签纸，这部分废标签纸外卖处理。</w:t>
            </w:r>
          </w:p>
        </w:tc>
      </w:tr>
      <w:tr w14:paraId="04A5C4E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continue"/>
            <w:vAlign w:val="center"/>
          </w:tcPr>
          <w:p w14:paraId="4ACCB251">
            <w:pPr>
              <w:jc w:val="center"/>
              <w:rPr>
                <w:color w:val="000000" w:themeColor="text1"/>
                <w:szCs w:val="21"/>
              </w:rPr>
            </w:pPr>
          </w:p>
        </w:tc>
        <w:tc>
          <w:tcPr>
            <w:tcW w:w="455" w:type="pct"/>
            <w:tcBorders>
              <w:right w:val="single" w:color="auto" w:sz="4" w:space="0"/>
            </w:tcBorders>
            <w:vAlign w:val="center"/>
          </w:tcPr>
          <w:p w14:paraId="2D76037A">
            <w:pPr>
              <w:jc w:val="center"/>
              <w:rPr>
                <w:color w:val="000000" w:themeColor="text1"/>
                <w:szCs w:val="21"/>
              </w:rPr>
            </w:pPr>
            <w:r>
              <w:rPr>
                <w:color w:val="000000" w:themeColor="text1"/>
                <w:szCs w:val="21"/>
              </w:rPr>
              <w:t>造粒</w:t>
            </w:r>
          </w:p>
        </w:tc>
        <w:tc>
          <w:tcPr>
            <w:tcW w:w="610" w:type="pct"/>
            <w:tcBorders>
              <w:left w:val="single" w:color="auto" w:sz="4" w:space="0"/>
            </w:tcBorders>
            <w:vAlign w:val="center"/>
          </w:tcPr>
          <w:p w14:paraId="436190A0">
            <w:pPr>
              <w:jc w:val="center"/>
              <w:rPr>
                <w:color w:val="000000" w:themeColor="text1"/>
                <w:szCs w:val="21"/>
              </w:rPr>
            </w:pPr>
            <w:r>
              <w:rPr>
                <w:color w:val="000000" w:themeColor="text1"/>
                <w:szCs w:val="21"/>
              </w:rPr>
              <w:t>过滤</w:t>
            </w:r>
          </w:p>
        </w:tc>
        <w:tc>
          <w:tcPr>
            <w:tcW w:w="1139" w:type="pct"/>
            <w:vAlign w:val="center"/>
          </w:tcPr>
          <w:p w14:paraId="091BD514">
            <w:pPr>
              <w:jc w:val="center"/>
              <w:rPr>
                <w:color w:val="000000" w:themeColor="text1"/>
                <w:szCs w:val="21"/>
              </w:rPr>
            </w:pPr>
            <w:r>
              <w:rPr>
                <w:color w:val="000000" w:themeColor="text1"/>
                <w:szCs w:val="21"/>
              </w:rPr>
              <w:t>废过滤网S3</w:t>
            </w:r>
          </w:p>
        </w:tc>
        <w:tc>
          <w:tcPr>
            <w:tcW w:w="2356" w:type="pct"/>
            <w:vAlign w:val="center"/>
          </w:tcPr>
          <w:p w14:paraId="52F1FA58">
            <w:pPr>
              <w:ind w:left="51" w:right="51" w:firstLine="420" w:firstLineChars="200"/>
              <w:jc w:val="left"/>
              <w:rPr>
                <w:color w:val="000000" w:themeColor="text1"/>
                <w:szCs w:val="21"/>
              </w:rPr>
            </w:pPr>
            <w:r>
              <w:rPr>
                <w:color w:val="000000" w:themeColor="text1"/>
                <w:szCs w:val="21"/>
              </w:rPr>
              <w:t>暂存于危废收集间，交由有资质的单位进行处置。</w:t>
            </w:r>
          </w:p>
        </w:tc>
      </w:tr>
      <w:tr w14:paraId="6D56DD0D">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continue"/>
            <w:vAlign w:val="center"/>
          </w:tcPr>
          <w:p w14:paraId="5C605F1D">
            <w:pPr>
              <w:jc w:val="center"/>
              <w:rPr>
                <w:color w:val="000000" w:themeColor="text1"/>
                <w:szCs w:val="21"/>
              </w:rPr>
            </w:pPr>
          </w:p>
        </w:tc>
        <w:tc>
          <w:tcPr>
            <w:tcW w:w="455" w:type="pct"/>
            <w:tcBorders>
              <w:right w:val="single" w:color="auto" w:sz="4" w:space="0"/>
            </w:tcBorders>
            <w:vAlign w:val="center"/>
          </w:tcPr>
          <w:p w14:paraId="19CD69A5">
            <w:pPr>
              <w:jc w:val="center"/>
              <w:rPr>
                <w:color w:val="000000" w:themeColor="text1"/>
                <w:szCs w:val="21"/>
              </w:rPr>
            </w:pPr>
            <w:r>
              <w:rPr>
                <w:color w:val="000000" w:themeColor="text1"/>
                <w:szCs w:val="21"/>
              </w:rPr>
              <w:t>编织袋</w:t>
            </w:r>
          </w:p>
        </w:tc>
        <w:tc>
          <w:tcPr>
            <w:tcW w:w="610" w:type="pct"/>
            <w:tcBorders>
              <w:left w:val="single" w:color="auto" w:sz="4" w:space="0"/>
            </w:tcBorders>
            <w:vAlign w:val="center"/>
          </w:tcPr>
          <w:p w14:paraId="111C7C7C">
            <w:pPr>
              <w:jc w:val="center"/>
              <w:rPr>
                <w:color w:val="000000" w:themeColor="text1"/>
                <w:szCs w:val="21"/>
              </w:rPr>
            </w:pPr>
            <w:r>
              <w:rPr>
                <w:color w:val="000000" w:themeColor="text1"/>
                <w:szCs w:val="21"/>
              </w:rPr>
              <w:t>剖丝</w:t>
            </w:r>
          </w:p>
        </w:tc>
        <w:tc>
          <w:tcPr>
            <w:tcW w:w="1139" w:type="pct"/>
            <w:vAlign w:val="center"/>
          </w:tcPr>
          <w:p w14:paraId="73E56E99">
            <w:pPr>
              <w:jc w:val="center"/>
              <w:rPr>
                <w:color w:val="000000" w:themeColor="text1"/>
                <w:szCs w:val="21"/>
              </w:rPr>
            </w:pPr>
            <w:r>
              <w:rPr>
                <w:color w:val="000000" w:themeColor="text1"/>
                <w:szCs w:val="21"/>
              </w:rPr>
              <w:t>边角料S4</w:t>
            </w:r>
          </w:p>
        </w:tc>
        <w:tc>
          <w:tcPr>
            <w:tcW w:w="2356" w:type="pct"/>
            <w:vAlign w:val="center"/>
          </w:tcPr>
          <w:p w14:paraId="2986D58B">
            <w:pPr>
              <w:ind w:left="51" w:right="51" w:firstLine="420" w:firstLineChars="200"/>
              <w:jc w:val="left"/>
              <w:rPr>
                <w:color w:val="000000" w:themeColor="text1"/>
                <w:szCs w:val="21"/>
              </w:rPr>
            </w:pPr>
            <w:r>
              <w:rPr>
                <w:color w:val="000000" w:themeColor="text1"/>
                <w:szCs w:val="21"/>
              </w:rPr>
              <w:t>返回至造粒工序回用。</w:t>
            </w:r>
          </w:p>
        </w:tc>
      </w:tr>
      <w:tr w14:paraId="03A9A13F">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continue"/>
            <w:vAlign w:val="center"/>
          </w:tcPr>
          <w:p w14:paraId="0088A64B">
            <w:pPr>
              <w:jc w:val="center"/>
              <w:rPr>
                <w:color w:val="000000" w:themeColor="text1"/>
                <w:szCs w:val="21"/>
              </w:rPr>
            </w:pPr>
          </w:p>
        </w:tc>
        <w:tc>
          <w:tcPr>
            <w:tcW w:w="1064" w:type="pct"/>
            <w:gridSpan w:val="2"/>
            <w:vAlign w:val="center"/>
          </w:tcPr>
          <w:p w14:paraId="2F30C43B">
            <w:pPr>
              <w:jc w:val="center"/>
              <w:rPr>
                <w:color w:val="000000" w:themeColor="text1"/>
                <w:szCs w:val="21"/>
              </w:rPr>
            </w:pPr>
            <w:r>
              <w:rPr>
                <w:color w:val="000000" w:themeColor="text1"/>
                <w:szCs w:val="21"/>
              </w:rPr>
              <w:t>生产废水污水处理设施（隔油池+沉淀池）</w:t>
            </w:r>
          </w:p>
        </w:tc>
        <w:tc>
          <w:tcPr>
            <w:tcW w:w="1139" w:type="pct"/>
            <w:vAlign w:val="center"/>
          </w:tcPr>
          <w:p w14:paraId="5CA426FB">
            <w:pPr>
              <w:jc w:val="center"/>
              <w:rPr>
                <w:color w:val="000000" w:themeColor="text1"/>
                <w:szCs w:val="21"/>
              </w:rPr>
            </w:pPr>
            <w:r>
              <w:rPr>
                <w:color w:val="000000" w:themeColor="text1"/>
                <w:szCs w:val="21"/>
              </w:rPr>
              <w:t>污泥</w:t>
            </w:r>
          </w:p>
        </w:tc>
        <w:tc>
          <w:tcPr>
            <w:tcW w:w="2356" w:type="pct"/>
            <w:vAlign w:val="center"/>
          </w:tcPr>
          <w:p w14:paraId="5BFFEB73">
            <w:pPr>
              <w:ind w:left="51" w:right="51" w:firstLine="420" w:firstLineChars="200"/>
              <w:jc w:val="left"/>
              <w:rPr>
                <w:color w:val="000000" w:themeColor="text1"/>
                <w:szCs w:val="21"/>
              </w:rPr>
            </w:pPr>
            <w:r>
              <w:rPr>
                <w:color w:val="000000" w:themeColor="text1"/>
                <w:szCs w:val="21"/>
              </w:rPr>
              <w:t>污泥外运至最近村庄的垃圾收集点。</w:t>
            </w:r>
          </w:p>
        </w:tc>
      </w:tr>
      <w:tr w14:paraId="1112861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41" w:type="pct"/>
            <w:vMerge w:val="continue"/>
            <w:vAlign w:val="center"/>
          </w:tcPr>
          <w:p w14:paraId="4A61EBEF">
            <w:pPr>
              <w:jc w:val="center"/>
              <w:rPr>
                <w:color w:val="000000" w:themeColor="text1"/>
                <w:szCs w:val="21"/>
              </w:rPr>
            </w:pPr>
          </w:p>
        </w:tc>
        <w:tc>
          <w:tcPr>
            <w:tcW w:w="1064" w:type="pct"/>
            <w:gridSpan w:val="2"/>
            <w:vAlign w:val="center"/>
          </w:tcPr>
          <w:p w14:paraId="4298A7EB">
            <w:pPr>
              <w:jc w:val="center"/>
              <w:rPr>
                <w:color w:val="000000" w:themeColor="text1"/>
                <w:szCs w:val="21"/>
              </w:rPr>
            </w:pPr>
            <w:r>
              <w:rPr>
                <w:color w:val="000000" w:themeColor="text1"/>
                <w:szCs w:val="21"/>
              </w:rPr>
              <w:t>员工生活、办公</w:t>
            </w:r>
          </w:p>
        </w:tc>
        <w:tc>
          <w:tcPr>
            <w:tcW w:w="1139" w:type="pct"/>
            <w:vAlign w:val="center"/>
          </w:tcPr>
          <w:p w14:paraId="0C223435">
            <w:pPr>
              <w:jc w:val="center"/>
              <w:rPr>
                <w:color w:val="000000" w:themeColor="text1"/>
                <w:szCs w:val="21"/>
              </w:rPr>
            </w:pPr>
            <w:r>
              <w:rPr>
                <w:color w:val="000000" w:themeColor="text1"/>
                <w:szCs w:val="21"/>
              </w:rPr>
              <w:t>生活垃圾</w:t>
            </w:r>
          </w:p>
        </w:tc>
        <w:tc>
          <w:tcPr>
            <w:tcW w:w="2356" w:type="pct"/>
            <w:vAlign w:val="center"/>
          </w:tcPr>
          <w:p w14:paraId="2DC067D9">
            <w:pPr>
              <w:jc w:val="center"/>
              <w:rPr>
                <w:color w:val="000000" w:themeColor="text1"/>
                <w:szCs w:val="21"/>
              </w:rPr>
            </w:pPr>
            <w:r>
              <w:rPr>
                <w:color w:val="000000" w:themeColor="text1"/>
                <w:szCs w:val="21"/>
              </w:rPr>
              <w:t>外运至最近村庄的垃圾收集点。</w:t>
            </w:r>
          </w:p>
        </w:tc>
      </w:tr>
    </w:tbl>
    <w:p w14:paraId="0821E7AF">
      <w:pPr>
        <w:rPr>
          <w:color w:val="000000" w:themeColor="text1"/>
        </w:rPr>
      </w:pPr>
    </w:p>
    <w:p w14:paraId="78676ACA">
      <w:pPr>
        <w:pStyle w:val="4"/>
        <w:rPr>
          <w:rFonts w:ascii="Times New Roman" w:hAnsi="Times New Roman"/>
          <w:color w:val="000000" w:themeColor="text1"/>
        </w:rPr>
      </w:pPr>
      <w:bookmarkStart w:id="290" w:name="_Toc28117695"/>
      <w:r>
        <w:rPr>
          <w:rFonts w:ascii="Times New Roman" w:hAnsi="Times New Roman"/>
          <w:color w:val="000000" w:themeColor="text1"/>
        </w:rPr>
        <w:t>3.2物料衡算</w:t>
      </w:r>
      <w:bookmarkEnd w:id="288"/>
      <w:bookmarkEnd w:id="289"/>
      <w:bookmarkEnd w:id="290"/>
    </w:p>
    <w:p w14:paraId="075D9E16">
      <w:pPr>
        <w:spacing w:line="360" w:lineRule="auto"/>
        <w:ind w:firstLine="480" w:firstLineChars="200"/>
        <w:jc w:val="left"/>
      </w:pPr>
      <w:r>
        <w:rPr>
          <w:b/>
          <w:color w:val="000000" w:themeColor="text1"/>
          <w:sz w:val="24"/>
        </w:rPr>
        <w:t>1、塑料再生颗粒生产物料平衡</w:t>
      </w:r>
    </w:p>
    <w:p w14:paraId="281283D3">
      <w:pPr>
        <w:pStyle w:val="18"/>
        <w:spacing w:after="0"/>
        <w:ind w:left="0" w:leftChars="0"/>
        <w:jc w:val="center"/>
        <w:rPr>
          <w:b/>
          <w:color w:val="FF0000"/>
          <w:sz w:val="24"/>
        </w:rPr>
      </w:pPr>
      <w:r>
        <w:rPr>
          <w:b/>
          <w:color w:val="FF0000"/>
          <w:sz w:val="24"/>
        </w:rPr>
        <w:t>表3.2-1  塑料再生粒生产物料平衡一览表</w:t>
      </w:r>
    </w:p>
    <w:tbl>
      <w:tblPr>
        <w:tblStyle w:val="42"/>
        <w:tblW w:w="5000" w:type="pct"/>
        <w:tblInd w:w="0"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08"/>
        <w:gridCol w:w="1132"/>
        <w:gridCol w:w="854"/>
        <w:gridCol w:w="992"/>
        <w:gridCol w:w="1418"/>
        <w:gridCol w:w="1057"/>
        <w:gridCol w:w="1261"/>
      </w:tblGrid>
      <w:tr w14:paraId="1A8D2631">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226" w:type="pct"/>
            <w:gridSpan w:val="3"/>
            <w:vAlign w:val="center"/>
          </w:tcPr>
          <w:p w14:paraId="06392C90">
            <w:pPr>
              <w:jc w:val="center"/>
              <w:rPr>
                <w:color w:val="000000" w:themeColor="text1"/>
                <w:szCs w:val="21"/>
              </w:rPr>
            </w:pPr>
            <w:r>
              <w:rPr>
                <w:color w:val="000000" w:themeColor="text1"/>
                <w:szCs w:val="21"/>
              </w:rPr>
              <w:t>进项</w:t>
            </w:r>
          </w:p>
        </w:tc>
        <w:tc>
          <w:tcPr>
            <w:tcW w:w="2774" w:type="pct"/>
            <w:gridSpan w:val="4"/>
            <w:vAlign w:val="center"/>
          </w:tcPr>
          <w:p w14:paraId="35785C0F">
            <w:pPr>
              <w:jc w:val="center"/>
              <w:rPr>
                <w:color w:val="000000" w:themeColor="text1"/>
                <w:szCs w:val="21"/>
              </w:rPr>
            </w:pPr>
            <w:r>
              <w:rPr>
                <w:color w:val="000000" w:themeColor="text1"/>
                <w:szCs w:val="21"/>
              </w:rPr>
              <w:t>出项</w:t>
            </w:r>
          </w:p>
        </w:tc>
      </w:tr>
      <w:tr w14:paraId="014E0878">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61" w:type="pct"/>
            <w:vAlign w:val="center"/>
          </w:tcPr>
          <w:p w14:paraId="7FB78337">
            <w:pPr>
              <w:jc w:val="center"/>
              <w:rPr>
                <w:color w:val="000000" w:themeColor="text1"/>
                <w:szCs w:val="21"/>
              </w:rPr>
            </w:pPr>
            <w:r>
              <w:rPr>
                <w:color w:val="000000" w:themeColor="text1"/>
                <w:szCs w:val="21"/>
              </w:rPr>
              <w:t>名称</w:t>
            </w:r>
          </w:p>
        </w:tc>
        <w:tc>
          <w:tcPr>
            <w:tcW w:w="664" w:type="pct"/>
            <w:vAlign w:val="center"/>
          </w:tcPr>
          <w:p w14:paraId="467C8344">
            <w:pPr>
              <w:jc w:val="center"/>
              <w:rPr>
                <w:color w:val="000000" w:themeColor="text1"/>
                <w:szCs w:val="21"/>
              </w:rPr>
            </w:pPr>
            <w:r>
              <w:rPr>
                <w:color w:val="000000" w:themeColor="text1"/>
                <w:szCs w:val="21"/>
              </w:rPr>
              <w:t>年用量</w:t>
            </w:r>
          </w:p>
          <w:p w14:paraId="0B1331C3">
            <w:pPr>
              <w:jc w:val="center"/>
              <w:rPr>
                <w:color w:val="000000" w:themeColor="text1"/>
                <w:szCs w:val="21"/>
              </w:rPr>
            </w:pPr>
            <w:r>
              <w:rPr>
                <w:color w:val="000000" w:themeColor="text1"/>
                <w:szCs w:val="21"/>
              </w:rPr>
              <w:t>（t/a）</w:t>
            </w:r>
          </w:p>
        </w:tc>
        <w:tc>
          <w:tcPr>
            <w:tcW w:w="501" w:type="pct"/>
            <w:vAlign w:val="center"/>
          </w:tcPr>
          <w:p w14:paraId="3F130365">
            <w:pPr>
              <w:jc w:val="center"/>
              <w:rPr>
                <w:color w:val="000000" w:themeColor="text1"/>
                <w:szCs w:val="21"/>
              </w:rPr>
            </w:pPr>
            <w:r>
              <w:rPr>
                <w:color w:val="000000" w:themeColor="text1"/>
                <w:szCs w:val="21"/>
              </w:rPr>
              <w:t>百分比</w:t>
            </w:r>
          </w:p>
          <w:p w14:paraId="6548C741">
            <w:pPr>
              <w:jc w:val="center"/>
              <w:rPr>
                <w:color w:val="000000" w:themeColor="text1"/>
                <w:szCs w:val="21"/>
              </w:rPr>
            </w:pPr>
            <w:r>
              <w:rPr>
                <w:color w:val="000000" w:themeColor="text1"/>
                <w:szCs w:val="21"/>
              </w:rPr>
              <w:t>（%）</w:t>
            </w:r>
          </w:p>
        </w:tc>
        <w:tc>
          <w:tcPr>
            <w:tcW w:w="1414" w:type="pct"/>
            <w:gridSpan w:val="2"/>
            <w:vAlign w:val="center"/>
          </w:tcPr>
          <w:p w14:paraId="57B83470">
            <w:pPr>
              <w:jc w:val="center"/>
              <w:rPr>
                <w:color w:val="000000" w:themeColor="text1"/>
                <w:szCs w:val="21"/>
              </w:rPr>
            </w:pPr>
            <w:r>
              <w:rPr>
                <w:color w:val="000000" w:themeColor="text1"/>
                <w:szCs w:val="21"/>
              </w:rPr>
              <w:t>项目</w:t>
            </w:r>
          </w:p>
        </w:tc>
        <w:tc>
          <w:tcPr>
            <w:tcW w:w="620" w:type="pct"/>
            <w:vAlign w:val="center"/>
          </w:tcPr>
          <w:p w14:paraId="14FFAFF9">
            <w:pPr>
              <w:jc w:val="center"/>
              <w:rPr>
                <w:color w:val="000000" w:themeColor="text1"/>
                <w:szCs w:val="21"/>
              </w:rPr>
            </w:pPr>
            <w:r>
              <w:rPr>
                <w:color w:val="000000" w:themeColor="text1"/>
                <w:szCs w:val="21"/>
              </w:rPr>
              <w:t>年产量</w:t>
            </w:r>
          </w:p>
          <w:p w14:paraId="183E4ECA">
            <w:pPr>
              <w:jc w:val="center"/>
              <w:rPr>
                <w:color w:val="000000" w:themeColor="text1"/>
                <w:szCs w:val="21"/>
              </w:rPr>
            </w:pPr>
            <w:r>
              <w:rPr>
                <w:color w:val="000000" w:themeColor="text1"/>
                <w:szCs w:val="21"/>
              </w:rPr>
              <w:t>（t/a）</w:t>
            </w:r>
          </w:p>
        </w:tc>
        <w:tc>
          <w:tcPr>
            <w:tcW w:w="740" w:type="pct"/>
            <w:vAlign w:val="center"/>
          </w:tcPr>
          <w:p w14:paraId="1638C113">
            <w:pPr>
              <w:jc w:val="center"/>
              <w:rPr>
                <w:color w:val="000000" w:themeColor="text1"/>
                <w:szCs w:val="21"/>
              </w:rPr>
            </w:pPr>
            <w:r>
              <w:rPr>
                <w:color w:val="000000" w:themeColor="text1"/>
                <w:szCs w:val="21"/>
              </w:rPr>
              <w:t>百分比</w:t>
            </w:r>
          </w:p>
          <w:p w14:paraId="48DD2015">
            <w:pPr>
              <w:jc w:val="center"/>
              <w:rPr>
                <w:color w:val="000000" w:themeColor="text1"/>
                <w:szCs w:val="21"/>
              </w:rPr>
            </w:pPr>
            <w:r>
              <w:rPr>
                <w:color w:val="000000" w:themeColor="text1"/>
                <w:szCs w:val="21"/>
              </w:rPr>
              <w:t>（%）</w:t>
            </w:r>
          </w:p>
        </w:tc>
      </w:tr>
      <w:tr w14:paraId="569F4636">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61" w:type="pct"/>
            <w:vAlign w:val="center"/>
          </w:tcPr>
          <w:p w14:paraId="50492882">
            <w:pPr>
              <w:jc w:val="center"/>
              <w:rPr>
                <w:color w:val="000000" w:themeColor="text1"/>
                <w:szCs w:val="21"/>
              </w:rPr>
            </w:pPr>
            <w:r>
              <w:rPr>
                <w:color w:val="000000" w:themeColor="text1"/>
                <w:szCs w:val="21"/>
              </w:rPr>
              <w:t>废旧塑料</w:t>
            </w:r>
          </w:p>
        </w:tc>
        <w:tc>
          <w:tcPr>
            <w:tcW w:w="664" w:type="pct"/>
            <w:vAlign w:val="center"/>
          </w:tcPr>
          <w:p w14:paraId="7867A363">
            <w:pPr>
              <w:jc w:val="center"/>
              <w:rPr>
                <w:color w:val="000000" w:themeColor="text1"/>
                <w:szCs w:val="21"/>
              </w:rPr>
            </w:pPr>
            <w:r>
              <w:rPr>
                <w:rFonts w:eastAsia="等线"/>
                <w:color w:val="000000"/>
                <w:szCs w:val="21"/>
              </w:rPr>
              <w:t>5006.014</w:t>
            </w:r>
          </w:p>
        </w:tc>
        <w:tc>
          <w:tcPr>
            <w:tcW w:w="501" w:type="pct"/>
            <w:vAlign w:val="center"/>
          </w:tcPr>
          <w:p w14:paraId="57D7542F">
            <w:pPr>
              <w:jc w:val="center"/>
              <w:rPr>
                <w:color w:val="000000" w:themeColor="text1"/>
                <w:szCs w:val="21"/>
              </w:rPr>
            </w:pPr>
            <w:r>
              <w:rPr>
                <w:rFonts w:eastAsia="等线"/>
                <w:color w:val="000000"/>
                <w:szCs w:val="21"/>
              </w:rPr>
              <w:t>100</w:t>
            </w:r>
          </w:p>
        </w:tc>
        <w:tc>
          <w:tcPr>
            <w:tcW w:w="1414" w:type="pct"/>
            <w:gridSpan w:val="2"/>
            <w:vAlign w:val="center"/>
          </w:tcPr>
          <w:p w14:paraId="723FAE53">
            <w:pPr>
              <w:jc w:val="center"/>
              <w:rPr>
                <w:color w:val="000000" w:themeColor="text1"/>
                <w:szCs w:val="21"/>
              </w:rPr>
            </w:pPr>
            <w:r>
              <w:rPr>
                <w:color w:val="000000" w:themeColor="text1"/>
                <w:szCs w:val="21"/>
              </w:rPr>
              <w:t>拆包、人工分选杂物</w:t>
            </w:r>
          </w:p>
        </w:tc>
        <w:tc>
          <w:tcPr>
            <w:tcW w:w="620" w:type="pct"/>
            <w:vAlign w:val="center"/>
          </w:tcPr>
          <w:p w14:paraId="24DE095D">
            <w:pPr>
              <w:jc w:val="center"/>
              <w:rPr>
                <w:color w:val="000000" w:themeColor="text1"/>
                <w:szCs w:val="21"/>
              </w:rPr>
            </w:pPr>
            <w:r>
              <w:rPr>
                <w:rFonts w:eastAsia="等线"/>
                <w:color w:val="000000"/>
                <w:szCs w:val="21"/>
              </w:rPr>
              <w:t>3</w:t>
            </w:r>
          </w:p>
        </w:tc>
        <w:tc>
          <w:tcPr>
            <w:tcW w:w="740" w:type="pct"/>
            <w:vAlign w:val="center"/>
          </w:tcPr>
          <w:p w14:paraId="0331DC45">
            <w:pPr>
              <w:widowControl/>
              <w:jc w:val="center"/>
              <w:rPr>
                <w:rFonts w:eastAsia="等线"/>
                <w:color w:val="000000"/>
                <w:kern w:val="0"/>
                <w:szCs w:val="21"/>
              </w:rPr>
            </w:pPr>
            <w:r>
              <w:rPr>
                <w:rFonts w:eastAsia="等线"/>
                <w:color w:val="000000"/>
                <w:szCs w:val="21"/>
              </w:rPr>
              <w:t xml:space="preserve">0.06 </w:t>
            </w:r>
          </w:p>
        </w:tc>
      </w:tr>
      <w:tr w14:paraId="795DED24">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61" w:type="pct"/>
            <w:vAlign w:val="center"/>
          </w:tcPr>
          <w:p w14:paraId="15E9FAEF">
            <w:pPr>
              <w:jc w:val="center"/>
              <w:rPr>
                <w:color w:val="000000" w:themeColor="text1"/>
                <w:szCs w:val="21"/>
              </w:rPr>
            </w:pPr>
          </w:p>
        </w:tc>
        <w:tc>
          <w:tcPr>
            <w:tcW w:w="664" w:type="pct"/>
            <w:vAlign w:val="center"/>
          </w:tcPr>
          <w:p w14:paraId="68EEC024">
            <w:pPr>
              <w:jc w:val="center"/>
              <w:rPr>
                <w:color w:val="000000" w:themeColor="text1"/>
                <w:szCs w:val="21"/>
              </w:rPr>
            </w:pPr>
            <w:r>
              <w:rPr>
                <w:color w:val="000000"/>
                <w:szCs w:val="21"/>
              </w:rPr>
              <w:t>　</w:t>
            </w:r>
          </w:p>
        </w:tc>
        <w:tc>
          <w:tcPr>
            <w:tcW w:w="501" w:type="pct"/>
            <w:vAlign w:val="center"/>
          </w:tcPr>
          <w:p w14:paraId="49512DF4">
            <w:pPr>
              <w:jc w:val="center"/>
              <w:rPr>
                <w:color w:val="000000" w:themeColor="text1"/>
                <w:szCs w:val="21"/>
              </w:rPr>
            </w:pPr>
            <w:r>
              <w:rPr>
                <w:color w:val="000000"/>
                <w:szCs w:val="21"/>
              </w:rPr>
              <w:t>　</w:t>
            </w:r>
          </w:p>
        </w:tc>
        <w:tc>
          <w:tcPr>
            <w:tcW w:w="1414" w:type="pct"/>
            <w:gridSpan w:val="2"/>
            <w:vAlign w:val="center"/>
          </w:tcPr>
          <w:p w14:paraId="47363D2E">
            <w:pPr>
              <w:jc w:val="center"/>
              <w:rPr>
                <w:color w:val="000000" w:themeColor="text1"/>
                <w:szCs w:val="21"/>
              </w:rPr>
            </w:pPr>
            <w:r>
              <w:rPr>
                <w:color w:val="000000" w:themeColor="text1"/>
                <w:szCs w:val="21"/>
              </w:rPr>
              <w:t>剥离废标签纸</w:t>
            </w:r>
          </w:p>
        </w:tc>
        <w:tc>
          <w:tcPr>
            <w:tcW w:w="620" w:type="pct"/>
            <w:vAlign w:val="center"/>
          </w:tcPr>
          <w:p w14:paraId="0C74D1F6">
            <w:pPr>
              <w:jc w:val="center"/>
              <w:rPr>
                <w:color w:val="000000" w:themeColor="text1"/>
                <w:szCs w:val="21"/>
              </w:rPr>
            </w:pPr>
            <w:r>
              <w:rPr>
                <w:rFonts w:eastAsia="等线"/>
                <w:color w:val="000000"/>
                <w:szCs w:val="21"/>
              </w:rPr>
              <w:t>1</w:t>
            </w:r>
          </w:p>
        </w:tc>
        <w:tc>
          <w:tcPr>
            <w:tcW w:w="740" w:type="pct"/>
            <w:vAlign w:val="center"/>
          </w:tcPr>
          <w:p w14:paraId="186651E8">
            <w:pPr>
              <w:jc w:val="center"/>
              <w:rPr>
                <w:rFonts w:eastAsia="等线"/>
                <w:color w:val="000000"/>
                <w:szCs w:val="21"/>
              </w:rPr>
            </w:pPr>
            <w:r>
              <w:rPr>
                <w:rFonts w:eastAsia="等线"/>
                <w:color w:val="000000"/>
                <w:szCs w:val="21"/>
              </w:rPr>
              <w:t xml:space="preserve">0.02 </w:t>
            </w:r>
          </w:p>
        </w:tc>
      </w:tr>
      <w:tr w14:paraId="75E60B48">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061" w:type="pct"/>
            <w:vAlign w:val="center"/>
          </w:tcPr>
          <w:p w14:paraId="27FC7970">
            <w:pPr>
              <w:jc w:val="center"/>
              <w:rPr>
                <w:color w:val="000000" w:themeColor="text1"/>
                <w:szCs w:val="21"/>
              </w:rPr>
            </w:pPr>
          </w:p>
        </w:tc>
        <w:tc>
          <w:tcPr>
            <w:tcW w:w="664" w:type="pct"/>
            <w:vAlign w:val="center"/>
          </w:tcPr>
          <w:p w14:paraId="283A5EED">
            <w:pPr>
              <w:jc w:val="center"/>
              <w:rPr>
                <w:color w:val="000000" w:themeColor="text1"/>
                <w:szCs w:val="21"/>
              </w:rPr>
            </w:pPr>
            <w:r>
              <w:rPr>
                <w:color w:val="000000"/>
                <w:szCs w:val="21"/>
              </w:rPr>
              <w:t>　</w:t>
            </w:r>
          </w:p>
        </w:tc>
        <w:tc>
          <w:tcPr>
            <w:tcW w:w="501" w:type="pct"/>
            <w:vAlign w:val="center"/>
          </w:tcPr>
          <w:p w14:paraId="2FBE97DA">
            <w:pPr>
              <w:jc w:val="center"/>
              <w:rPr>
                <w:color w:val="000000" w:themeColor="text1"/>
                <w:szCs w:val="21"/>
              </w:rPr>
            </w:pPr>
            <w:r>
              <w:rPr>
                <w:color w:val="000000"/>
                <w:szCs w:val="21"/>
              </w:rPr>
              <w:t>　</w:t>
            </w:r>
          </w:p>
        </w:tc>
        <w:tc>
          <w:tcPr>
            <w:tcW w:w="582" w:type="pct"/>
            <w:vMerge w:val="restart"/>
            <w:tcBorders>
              <w:right w:val="single" w:color="auto" w:sz="4" w:space="0"/>
            </w:tcBorders>
            <w:vAlign w:val="center"/>
          </w:tcPr>
          <w:p w14:paraId="35B4A034">
            <w:pPr>
              <w:jc w:val="center"/>
              <w:rPr>
                <w:color w:val="000000" w:themeColor="text1"/>
                <w:szCs w:val="21"/>
              </w:rPr>
            </w:pPr>
            <w:r>
              <w:rPr>
                <w:color w:val="000000" w:themeColor="text1"/>
                <w:szCs w:val="21"/>
              </w:rPr>
              <w:t>造粒污染物</w:t>
            </w:r>
          </w:p>
        </w:tc>
        <w:tc>
          <w:tcPr>
            <w:tcW w:w="832" w:type="pct"/>
            <w:tcBorders>
              <w:left w:val="single" w:color="auto" w:sz="4" w:space="0"/>
            </w:tcBorders>
            <w:vAlign w:val="center"/>
          </w:tcPr>
          <w:p w14:paraId="0CD7478F">
            <w:pPr>
              <w:jc w:val="center"/>
              <w:rPr>
                <w:color w:val="000000" w:themeColor="text1"/>
                <w:szCs w:val="21"/>
              </w:rPr>
            </w:pPr>
            <w:r>
              <w:rPr>
                <w:color w:val="000000"/>
                <w:szCs w:val="21"/>
              </w:rPr>
              <w:t>颗粒物</w:t>
            </w:r>
          </w:p>
        </w:tc>
        <w:tc>
          <w:tcPr>
            <w:tcW w:w="620" w:type="pct"/>
            <w:vAlign w:val="center"/>
          </w:tcPr>
          <w:p w14:paraId="58487027">
            <w:pPr>
              <w:jc w:val="center"/>
              <w:rPr>
                <w:color w:val="000000" w:themeColor="text1"/>
                <w:szCs w:val="21"/>
              </w:rPr>
            </w:pPr>
            <w:r>
              <w:rPr>
                <w:rFonts w:eastAsia="等线"/>
                <w:color w:val="000000"/>
                <w:szCs w:val="21"/>
              </w:rPr>
              <w:t>0.26</w:t>
            </w:r>
          </w:p>
        </w:tc>
        <w:tc>
          <w:tcPr>
            <w:tcW w:w="740" w:type="pct"/>
            <w:vAlign w:val="center"/>
          </w:tcPr>
          <w:p w14:paraId="303B9950">
            <w:pPr>
              <w:widowControl/>
              <w:jc w:val="center"/>
              <w:rPr>
                <w:rFonts w:eastAsia="等线"/>
                <w:color w:val="000000"/>
                <w:kern w:val="0"/>
                <w:szCs w:val="21"/>
              </w:rPr>
            </w:pPr>
            <w:r>
              <w:rPr>
                <w:rFonts w:eastAsia="等线"/>
                <w:color w:val="000000"/>
                <w:szCs w:val="21"/>
              </w:rPr>
              <w:t xml:space="preserve">0.01 </w:t>
            </w:r>
          </w:p>
        </w:tc>
      </w:tr>
      <w:tr w14:paraId="0E18CBB5">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061" w:type="pct"/>
            <w:vAlign w:val="center"/>
          </w:tcPr>
          <w:p w14:paraId="1FDE6AC0">
            <w:pPr>
              <w:jc w:val="center"/>
              <w:rPr>
                <w:color w:val="000000" w:themeColor="text1"/>
                <w:szCs w:val="21"/>
              </w:rPr>
            </w:pPr>
          </w:p>
        </w:tc>
        <w:tc>
          <w:tcPr>
            <w:tcW w:w="664" w:type="pct"/>
            <w:vAlign w:val="center"/>
          </w:tcPr>
          <w:p w14:paraId="12D8A9F4">
            <w:pPr>
              <w:jc w:val="center"/>
              <w:rPr>
                <w:color w:val="000000" w:themeColor="text1"/>
                <w:szCs w:val="21"/>
              </w:rPr>
            </w:pPr>
            <w:r>
              <w:rPr>
                <w:color w:val="000000"/>
                <w:szCs w:val="21"/>
              </w:rPr>
              <w:t>　</w:t>
            </w:r>
          </w:p>
        </w:tc>
        <w:tc>
          <w:tcPr>
            <w:tcW w:w="501" w:type="pct"/>
            <w:vAlign w:val="center"/>
          </w:tcPr>
          <w:p w14:paraId="38C5A408">
            <w:pPr>
              <w:jc w:val="center"/>
              <w:rPr>
                <w:color w:val="000000" w:themeColor="text1"/>
                <w:szCs w:val="21"/>
              </w:rPr>
            </w:pPr>
            <w:r>
              <w:rPr>
                <w:color w:val="000000"/>
                <w:szCs w:val="21"/>
              </w:rPr>
              <w:t>　</w:t>
            </w:r>
          </w:p>
        </w:tc>
        <w:tc>
          <w:tcPr>
            <w:tcW w:w="582" w:type="pct"/>
            <w:vMerge w:val="continue"/>
            <w:tcBorders>
              <w:right w:val="single" w:color="auto" w:sz="4" w:space="0"/>
            </w:tcBorders>
            <w:vAlign w:val="center"/>
          </w:tcPr>
          <w:p w14:paraId="2DA9452D">
            <w:pPr>
              <w:jc w:val="center"/>
              <w:rPr>
                <w:color w:val="000000" w:themeColor="text1"/>
                <w:szCs w:val="21"/>
              </w:rPr>
            </w:pPr>
          </w:p>
        </w:tc>
        <w:tc>
          <w:tcPr>
            <w:tcW w:w="832" w:type="pct"/>
            <w:tcBorders>
              <w:left w:val="single" w:color="auto" w:sz="4" w:space="0"/>
            </w:tcBorders>
            <w:vAlign w:val="center"/>
          </w:tcPr>
          <w:p w14:paraId="6A202EB2">
            <w:pPr>
              <w:jc w:val="center"/>
              <w:rPr>
                <w:color w:val="000000" w:themeColor="text1"/>
                <w:szCs w:val="21"/>
              </w:rPr>
            </w:pPr>
            <w:r>
              <w:rPr>
                <w:color w:val="000000"/>
                <w:szCs w:val="21"/>
              </w:rPr>
              <w:t>非甲烷总烃</w:t>
            </w:r>
          </w:p>
        </w:tc>
        <w:tc>
          <w:tcPr>
            <w:tcW w:w="620" w:type="pct"/>
            <w:vAlign w:val="center"/>
          </w:tcPr>
          <w:p w14:paraId="2C81B22F">
            <w:pPr>
              <w:jc w:val="center"/>
              <w:rPr>
                <w:color w:val="000000" w:themeColor="text1"/>
                <w:szCs w:val="21"/>
              </w:rPr>
            </w:pPr>
            <w:r>
              <w:rPr>
                <w:rFonts w:eastAsia="等线"/>
                <w:color w:val="000000"/>
                <w:szCs w:val="21"/>
              </w:rPr>
              <w:t>1.754</w:t>
            </w:r>
          </w:p>
        </w:tc>
        <w:tc>
          <w:tcPr>
            <w:tcW w:w="740" w:type="pct"/>
            <w:vAlign w:val="center"/>
          </w:tcPr>
          <w:p w14:paraId="60439F67">
            <w:pPr>
              <w:jc w:val="center"/>
              <w:rPr>
                <w:rFonts w:eastAsia="等线"/>
                <w:color w:val="000000"/>
                <w:szCs w:val="21"/>
              </w:rPr>
            </w:pPr>
            <w:r>
              <w:rPr>
                <w:rFonts w:eastAsia="等线"/>
                <w:color w:val="000000"/>
                <w:szCs w:val="21"/>
              </w:rPr>
              <w:t xml:space="preserve">0.04 </w:t>
            </w:r>
          </w:p>
        </w:tc>
      </w:tr>
      <w:tr w14:paraId="33572779">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061" w:type="pct"/>
            <w:vAlign w:val="center"/>
          </w:tcPr>
          <w:p w14:paraId="298E6791">
            <w:pPr>
              <w:jc w:val="center"/>
              <w:rPr>
                <w:color w:val="000000" w:themeColor="text1"/>
                <w:szCs w:val="21"/>
              </w:rPr>
            </w:pPr>
          </w:p>
        </w:tc>
        <w:tc>
          <w:tcPr>
            <w:tcW w:w="664" w:type="pct"/>
            <w:vAlign w:val="center"/>
          </w:tcPr>
          <w:p w14:paraId="0F6C7FAD">
            <w:pPr>
              <w:jc w:val="center"/>
              <w:rPr>
                <w:color w:val="000000" w:themeColor="text1"/>
                <w:szCs w:val="21"/>
              </w:rPr>
            </w:pPr>
            <w:r>
              <w:rPr>
                <w:color w:val="000000"/>
                <w:szCs w:val="21"/>
              </w:rPr>
              <w:t>　</w:t>
            </w:r>
          </w:p>
        </w:tc>
        <w:tc>
          <w:tcPr>
            <w:tcW w:w="501" w:type="pct"/>
            <w:vAlign w:val="center"/>
          </w:tcPr>
          <w:p w14:paraId="4CEF35B0">
            <w:pPr>
              <w:jc w:val="center"/>
              <w:rPr>
                <w:color w:val="000000" w:themeColor="text1"/>
                <w:szCs w:val="21"/>
              </w:rPr>
            </w:pPr>
            <w:r>
              <w:rPr>
                <w:color w:val="000000"/>
                <w:szCs w:val="21"/>
              </w:rPr>
              <w:t>　</w:t>
            </w:r>
          </w:p>
        </w:tc>
        <w:tc>
          <w:tcPr>
            <w:tcW w:w="1414" w:type="pct"/>
            <w:gridSpan w:val="2"/>
            <w:vAlign w:val="center"/>
          </w:tcPr>
          <w:p w14:paraId="02722155">
            <w:pPr>
              <w:jc w:val="center"/>
              <w:rPr>
                <w:color w:val="000000" w:themeColor="text1"/>
                <w:szCs w:val="21"/>
              </w:rPr>
            </w:pPr>
            <w:r>
              <w:rPr>
                <w:color w:val="000000" w:themeColor="text1"/>
                <w:szCs w:val="21"/>
              </w:rPr>
              <w:t>塑料颗粒</w:t>
            </w:r>
          </w:p>
        </w:tc>
        <w:tc>
          <w:tcPr>
            <w:tcW w:w="620" w:type="pct"/>
            <w:vAlign w:val="center"/>
          </w:tcPr>
          <w:p w14:paraId="4822C9FE">
            <w:pPr>
              <w:jc w:val="center"/>
              <w:rPr>
                <w:color w:val="000000" w:themeColor="text1"/>
                <w:szCs w:val="21"/>
              </w:rPr>
            </w:pPr>
            <w:r>
              <w:rPr>
                <w:rFonts w:eastAsia="等线"/>
                <w:color w:val="000000"/>
                <w:szCs w:val="21"/>
              </w:rPr>
              <w:t>5000</w:t>
            </w:r>
          </w:p>
        </w:tc>
        <w:tc>
          <w:tcPr>
            <w:tcW w:w="740" w:type="pct"/>
            <w:vAlign w:val="center"/>
          </w:tcPr>
          <w:p w14:paraId="78D150FD">
            <w:pPr>
              <w:widowControl/>
              <w:jc w:val="center"/>
              <w:rPr>
                <w:rFonts w:eastAsia="等线"/>
                <w:color w:val="000000"/>
                <w:kern w:val="0"/>
                <w:szCs w:val="21"/>
              </w:rPr>
            </w:pPr>
            <w:r>
              <w:rPr>
                <w:rFonts w:eastAsia="等线"/>
                <w:color w:val="000000"/>
                <w:szCs w:val="21"/>
              </w:rPr>
              <w:t xml:space="preserve">99.88 </w:t>
            </w:r>
          </w:p>
        </w:tc>
      </w:tr>
      <w:tr w14:paraId="7661980D">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61" w:type="pct"/>
            <w:vAlign w:val="center"/>
          </w:tcPr>
          <w:p w14:paraId="63F224B7">
            <w:pPr>
              <w:jc w:val="center"/>
              <w:rPr>
                <w:color w:val="000000" w:themeColor="text1"/>
                <w:szCs w:val="21"/>
              </w:rPr>
            </w:pPr>
            <w:r>
              <w:rPr>
                <w:color w:val="000000" w:themeColor="text1"/>
                <w:szCs w:val="21"/>
              </w:rPr>
              <w:t>合计</w:t>
            </w:r>
          </w:p>
        </w:tc>
        <w:tc>
          <w:tcPr>
            <w:tcW w:w="664" w:type="pct"/>
            <w:vAlign w:val="center"/>
          </w:tcPr>
          <w:p w14:paraId="6B3DEB06">
            <w:pPr>
              <w:jc w:val="center"/>
              <w:rPr>
                <w:color w:val="000000" w:themeColor="text1"/>
                <w:szCs w:val="21"/>
              </w:rPr>
            </w:pPr>
            <w:r>
              <w:rPr>
                <w:rFonts w:eastAsia="等线"/>
                <w:color w:val="000000"/>
                <w:szCs w:val="21"/>
              </w:rPr>
              <w:t>5006.014</w:t>
            </w:r>
          </w:p>
        </w:tc>
        <w:tc>
          <w:tcPr>
            <w:tcW w:w="501" w:type="pct"/>
            <w:vAlign w:val="center"/>
          </w:tcPr>
          <w:p w14:paraId="0C0548B0">
            <w:pPr>
              <w:jc w:val="center"/>
              <w:rPr>
                <w:color w:val="000000" w:themeColor="text1"/>
                <w:szCs w:val="21"/>
              </w:rPr>
            </w:pPr>
            <w:r>
              <w:rPr>
                <w:rFonts w:eastAsia="等线"/>
                <w:color w:val="000000"/>
                <w:szCs w:val="21"/>
              </w:rPr>
              <w:t>100</w:t>
            </w:r>
          </w:p>
        </w:tc>
        <w:tc>
          <w:tcPr>
            <w:tcW w:w="1414" w:type="pct"/>
            <w:gridSpan w:val="2"/>
            <w:vAlign w:val="center"/>
          </w:tcPr>
          <w:p w14:paraId="7537EF09">
            <w:pPr>
              <w:jc w:val="center"/>
              <w:rPr>
                <w:color w:val="000000" w:themeColor="text1"/>
                <w:szCs w:val="21"/>
              </w:rPr>
            </w:pPr>
            <w:r>
              <w:rPr>
                <w:color w:val="000000" w:themeColor="text1"/>
                <w:szCs w:val="21"/>
              </w:rPr>
              <w:t>合计</w:t>
            </w:r>
          </w:p>
        </w:tc>
        <w:tc>
          <w:tcPr>
            <w:tcW w:w="620" w:type="pct"/>
            <w:vAlign w:val="center"/>
          </w:tcPr>
          <w:p w14:paraId="74CDDFF2">
            <w:pPr>
              <w:jc w:val="center"/>
              <w:rPr>
                <w:color w:val="000000" w:themeColor="text1"/>
                <w:szCs w:val="21"/>
              </w:rPr>
            </w:pPr>
            <w:r>
              <w:rPr>
                <w:rFonts w:eastAsia="等线"/>
                <w:color w:val="000000"/>
                <w:szCs w:val="21"/>
              </w:rPr>
              <w:t>5006.014</w:t>
            </w:r>
          </w:p>
        </w:tc>
        <w:tc>
          <w:tcPr>
            <w:tcW w:w="740" w:type="pct"/>
            <w:vAlign w:val="center"/>
          </w:tcPr>
          <w:p w14:paraId="20EBEB54">
            <w:pPr>
              <w:jc w:val="center"/>
              <w:rPr>
                <w:color w:val="000000" w:themeColor="text1"/>
                <w:szCs w:val="21"/>
              </w:rPr>
            </w:pPr>
            <w:r>
              <w:rPr>
                <w:rFonts w:eastAsia="等线"/>
                <w:color w:val="000000"/>
                <w:szCs w:val="21"/>
              </w:rPr>
              <w:t>100</w:t>
            </w:r>
          </w:p>
        </w:tc>
      </w:tr>
    </w:tbl>
    <w:p w14:paraId="023DD6E7">
      <w:pPr>
        <w:jc w:val="center"/>
        <w:rPr>
          <w:b/>
          <w:color w:val="FF0000"/>
          <w:sz w:val="24"/>
        </w:rPr>
      </w:pPr>
      <w:r>
        <w:rPr>
          <w:b/>
          <w:color w:val="FF0000"/>
          <w:sz w:val="24"/>
        </w:rPr>
        <w:object>
          <v:shape id="_x0000_i1027" o:spt="75" type="#_x0000_t75" style="height:656.6pt;width:320.25pt;" o:ole="t" filled="f" o:preferrelative="t" stroked="f" coordsize="21600,21600">
            <v:path/>
            <v:fill on="f" focussize="0,0"/>
            <v:stroke on="f" joinstyle="miter"/>
            <v:imagedata r:id="rId20" o:title=""/>
            <o:lock v:ext="edit" aspectratio="t"/>
            <w10:wrap type="none"/>
            <w10:anchorlock/>
          </v:shape>
          <o:OLEObject Type="Embed" ProgID="Visio.Drawing.11" ShapeID="_x0000_i1027" DrawAspect="Content" ObjectID="_1468075727">
            <o:LockedField>false</o:LockedField>
          </o:OLEObject>
        </w:object>
      </w:r>
    </w:p>
    <w:p w14:paraId="7F95FEE0">
      <w:pPr>
        <w:jc w:val="center"/>
        <w:rPr>
          <w:b/>
          <w:color w:val="FF0000"/>
          <w:sz w:val="24"/>
        </w:rPr>
      </w:pPr>
      <w:r>
        <w:rPr>
          <w:b/>
          <w:color w:val="FF0000"/>
          <w:sz w:val="24"/>
        </w:rPr>
        <w:t>图3.2-1  塑料再生颗粒生产物料平衡图（单位：t/a）</w:t>
      </w:r>
    </w:p>
    <w:p w14:paraId="2E1AC769">
      <w:pPr>
        <w:spacing w:line="360" w:lineRule="auto"/>
        <w:ind w:firstLine="480" w:firstLineChars="200"/>
        <w:jc w:val="left"/>
      </w:pPr>
      <w:r>
        <w:rPr>
          <w:b/>
          <w:color w:val="000000" w:themeColor="text1"/>
          <w:sz w:val="24"/>
        </w:rPr>
        <w:t>2、编织袋生产物料平衡</w:t>
      </w:r>
    </w:p>
    <w:p w14:paraId="0DC4EA72">
      <w:pPr>
        <w:pStyle w:val="18"/>
        <w:spacing w:after="0"/>
        <w:ind w:left="0" w:leftChars="0"/>
        <w:jc w:val="center"/>
        <w:rPr>
          <w:b/>
          <w:color w:val="FF0000"/>
          <w:sz w:val="24"/>
        </w:rPr>
      </w:pPr>
      <w:r>
        <w:rPr>
          <w:b/>
          <w:color w:val="FF0000"/>
          <w:sz w:val="24"/>
        </w:rPr>
        <w:t>表3.2-2  编织袋生产物料平衡一览表</w:t>
      </w:r>
    </w:p>
    <w:tbl>
      <w:tblPr>
        <w:tblStyle w:val="42"/>
        <w:tblW w:w="5000" w:type="pct"/>
        <w:tblInd w:w="0"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90"/>
        <w:gridCol w:w="1115"/>
        <w:gridCol w:w="839"/>
        <w:gridCol w:w="893"/>
        <w:gridCol w:w="1841"/>
        <w:gridCol w:w="1004"/>
        <w:gridCol w:w="1040"/>
      </w:tblGrid>
      <w:tr w14:paraId="3F7F573B">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197" w:type="pct"/>
            <w:gridSpan w:val="3"/>
            <w:vAlign w:val="center"/>
          </w:tcPr>
          <w:p w14:paraId="4EE6A38C">
            <w:pPr>
              <w:jc w:val="center"/>
              <w:rPr>
                <w:color w:val="000000" w:themeColor="text1"/>
                <w:szCs w:val="21"/>
              </w:rPr>
            </w:pPr>
            <w:r>
              <w:rPr>
                <w:color w:val="000000" w:themeColor="text1"/>
                <w:szCs w:val="21"/>
              </w:rPr>
              <w:t>进项</w:t>
            </w:r>
          </w:p>
        </w:tc>
        <w:tc>
          <w:tcPr>
            <w:tcW w:w="2803" w:type="pct"/>
            <w:gridSpan w:val="4"/>
            <w:vAlign w:val="center"/>
          </w:tcPr>
          <w:p w14:paraId="5437FD90">
            <w:pPr>
              <w:jc w:val="center"/>
              <w:rPr>
                <w:color w:val="000000" w:themeColor="text1"/>
                <w:szCs w:val="21"/>
              </w:rPr>
            </w:pPr>
            <w:r>
              <w:rPr>
                <w:color w:val="000000" w:themeColor="text1"/>
                <w:szCs w:val="21"/>
              </w:rPr>
              <w:t>出项</w:t>
            </w:r>
          </w:p>
        </w:tc>
      </w:tr>
      <w:tr w14:paraId="0B68B8AB">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50" w:type="pct"/>
            <w:vAlign w:val="center"/>
          </w:tcPr>
          <w:p w14:paraId="563E561F">
            <w:pPr>
              <w:jc w:val="center"/>
              <w:rPr>
                <w:color w:val="000000" w:themeColor="text1"/>
                <w:szCs w:val="21"/>
              </w:rPr>
            </w:pPr>
            <w:r>
              <w:rPr>
                <w:color w:val="000000" w:themeColor="text1"/>
                <w:szCs w:val="21"/>
              </w:rPr>
              <w:t>名称</w:t>
            </w:r>
          </w:p>
        </w:tc>
        <w:tc>
          <w:tcPr>
            <w:tcW w:w="654" w:type="pct"/>
            <w:vAlign w:val="center"/>
          </w:tcPr>
          <w:p w14:paraId="3B64FE96">
            <w:pPr>
              <w:jc w:val="center"/>
              <w:rPr>
                <w:color w:val="000000" w:themeColor="text1"/>
                <w:szCs w:val="21"/>
              </w:rPr>
            </w:pPr>
            <w:r>
              <w:rPr>
                <w:color w:val="000000" w:themeColor="text1"/>
                <w:szCs w:val="21"/>
              </w:rPr>
              <w:t>年用量</w:t>
            </w:r>
          </w:p>
          <w:p w14:paraId="531E9366">
            <w:pPr>
              <w:jc w:val="center"/>
              <w:rPr>
                <w:color w:val="000000" w:themeColor="text1"/>
                <w:szCs w:val="21"/>
              </w:rPr>
            </w:pPr>
            <w:r>
              <w:rPr>
                <w:color w:val="000000" w:themeColor="text1"/>
                <w:szCs w:val="21"/>
              </w:rPr>
              <w:t>（t/a）</w:t>
            </w:r>
          </w:p>
        </w:tc>
        <w:tc>
          <w:tcPr>
            <w:tcW w:w="492" w:type="pct"/>
            <w:vAlign w:val="center"/>
          </w:tcPr>
          <w:p w14:paraId="1F388064">
            <w:pPr>
              <w:jc w:val="center"/>
              <w:rPr>
                <w:color w:val="000000" w:themeColor="text1"/>
                <w:szCs w:val="21"/>
              </w:rPr>
            </w:pPr>
            <w:r>
              <w:rPr>
                <w:color w:val="000000" w:themeColor="text1"/>
                <w:szCs w:val="21"/>
              </w:rPr>
              <w:t>百分比</w:t>
            </w:r>
          </w:p>
          <w:p w14:paraId="7DA53993">
            <w:pPr>
              <w:jc w:val="center"/>
              <w:rPr>
                <w:color w:val="000000" w:themeColor="text1"/>
                <w:szCs w:val="21"/>
              </w:rPr>
            </w:pPr>
            <w:r>
              <w:rPr>
                <w:color w:val="000000" w:themeColor="text1"/>
                <w:szCs w:val="21"/>
              </w:rPr>
              <w:t>（%）</w:t>
            </w:r>
          </w:p>
        </w:tc>
        <w:tc>
          <w:tcPr>
            <w:tcW w:w="1604" w:type="pct"/>
            <w:gridSpan w:val="2"/>
            <w:vAlign w:val="center"/>
          </w:tcPr>
          <w:p w14:paraId="498F0E32">
            <w:pPr>
              <w:jc w:val="center"/>
              <w:rPr>
                <w:color w:val="000000" w:themeColor="text1"/>
                <w:szCs w:val="21"/>
              </w:rPr>
            </w:pPr>
            <w:r>
              <w:rPr>
                <w:color w:val="000000" w:themeColor="text1"/>
                <w:szCs w:val="21"/>
              </w:rPr>
              <w:t>项目</w:t>
            </w:r>
          </w:p>
        </w:tc>
        <w:tc>
          <w:tcPr>
            <w:tcW w:w="589" w:type="pct"/>
            <w:vAlign w:val="center"/>
          </w:tcPr>
          <w:p w14:paraId="522EBEDA">
            <w:pPr>
              <w:jc w:val="center"/>
              <w:rPr>
                <w:color w:val="000000" w:themeColor="text1"/>
                <w:szCs w:val="21"/>
              </w:rPr>
            </w:pPr>
            <w:r>
              <w:rPr>
                <w:color w:val="000000" w:themeColor="text1"/>
                <w:szCs w:val="21"/>
              </w:rPr>
              <w:t>年产量</w:t>
            </w:r>
          </w:p>
          <w:p w14:paraId="4E15DBD2">
            <w:pPr>
              <w:jc w:val="center"/>
              <w:rPr>
                <w:color w:val="000000" w:themeColor="text1"/>
                <w:szCs w:val="21"/>
              </w:rPr>
            </w:pPr>
            <w:r>
              <w:rPr>
                <w:color w:val="000000" w:themeColor="text1"/>
                <w:szCs w:val="21"/>
              </w:rPr>
              <w:t>（t/a）</w:t>
            </w:r>
          </w:p>
        </w:tc>
        <w:tc>
          <w:tcPr>
            <w:tcW w:w="610" w:type="pct"/>
            <w:vAlign w:val="center"/>
          </w:tcPr>
          <w:p w14:paraId="0815D8D5">
            <w:pPr>
              <w:jc w:val="center"/>
              <w:rPr>
                <w:color w:val="000000" w:themeColor="text1"/>
                <w:szCs w:val="21"/>
              </w:rPr>
            </w:pPr>
            <w:r>
              <w:rPr>
                <w:color w:val="000000" w:themeColor="text1"/>
                <w:szCs w:val="21"/>
              </w:rPr>
              <w:t>百分比</w:t>
            </w:r>
          </w:p>
          <w:p w14:paraId="3010DB18">
            <w:pPr>
              <w:jc w:val="center"/>
              <w:rPr>
                <w:color w:val="000000" w:themeColor="text1"/>
                <w:szCs w:val="21"/>
              </w:rPr>
            </w:pPr>
            <w:r>
              <w:rPr>
                <w:color w:val="000000" w:themeColor="text1"/>
                <w:szCs w:val="21"/>
              </w:rPr>
              <w:t>（%）</w:t>
            </w:r>
          </w:p>
        </w:tc>
      </w:tr>
      <w:tr w14:paraId="717984F7">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051" w:type="pct"/>
            <w:vAlign w:val="center"/>
          </w:tcPr>
          <w:p w14:paraId="2D920B9E">
            <w:pPr>
              <w:jc w:val="center"/>
              <w:rPr>
                <w:color w:val="000000" w:themeColor="text1"/>
                <w:szCs w:val="21"/>
              </w:rPr>
            </w:pPr>
            <w:r>
              <w:rPr>
                <w:color w:val="000000" w:themeColor="text1"/>
                <w:szCs w:val="21"/>
              </w:rPr>
              <w:t>塑料再生颗粒</w:t>
            </w:r>
          </w:p>
        </w:tc>
        <w:tc>
          <w:tcPr>
            <w:tcW w:w="654" w:type="pct"/>
            <w:vAlign w:val="center"/>
          </w:tcPr>
          <w:p w14:paraId="07129349">
            <w:pPr>
              <w:jc w:val="center"/>
              <w:rPr>
                <w:color w:val="000000" w:themeColor="text1"/>
                <w:szCs w:val="21"/>
              </w:rPr>
            </w:pPr>
            <w:r>
              <w:rPr>
                <w:color w:val="000000" w:themeColor="text1"/>
                <w:szCs w:val="21"/>
              </w:rPr>
              <w:t>3001.2</w:t>
            </w:r>
          </w:p>
        </w:tc>
        <w:tc>
          <w:tcPr>
            <w:tcW w:w="492" w:type="pct"/>
            <w:vAlign w:val="center"/>
          </w:tcPr>
          <w:p w14:paraId="6B2A9E92">
            <w:pPr>
              <w:jc w:val="center"/>
              <w:rPr>
                <w:color w:val="000000" w:themeColor="text1"/>
                <w:szCs w:val="21"/>
              </w:rPr>
            </w:pPr>
            <w:r>
              <w:rPr>
                <w:color w:val="000000" w:themeColor="text1"/>
                <w:szCs w:val="21"/>
              </w:rPr>
              <w:t>100</w:t>
            </w:r>
          </w:p>
        </w:tc>
        <w:tc>
          <w:tcPr>
            <w:tcW w:w="524" w:type="pct"/>
            <w:vMerge w:val="restart"/>
            <w:tcBorders>
              <w:right w:val="single" w:color="auto" w:sz="4" w:space="0"/>
            </w:tcBorders>
            <w:vAlign w:val="center"/>
          </w:tcPr>
          <w:p w14:paraId="7B0DF077">
            <w:pPr>
              <w:jc w:val="center"/>
              <w:rPr>
                <w:color w:val="000000" w:themeColor="text1"/>
                <w:szCs w:val="21"/>
              </w:rPr>
            </w:pPr>
            <w:r>
              <w:rPr>
                <w:color w:val="000000" w:themeColor="text1"/>
                <w:szCs w:val="21"/>
              </w:rPr>
              <w:t>编织袋污染物</w:t>
            </w:r>
          </w:p>
        </w:tc>
        <w:tc>
          <w:tcPr>
            <w:tcW w:w="1080" w:type="pct"/>
            <w:tcBorders>
              <w:left w:val="single" w:color="auto" w:sz="4" w:space="0"/>
            </w:tcBorders>
            <w:vAlign w:val="center"/>
          </w:tcPr>
          <w:p w14:paraId="59AF26E4">
            <w:pPr>
              <w:jc w:val="center"/>
              <w:rPr>
                <w:color w:val="000000" w:themeColor="text1"/>
                <w:szCs w:val="21"/>
              </w:rPr>
            </w:pPr>
            <w:r>
              <w:rPr>
                <w:color w:val="000000" w:themeColor="text1"/>
                <w:szCs w:val="21"/>
              </w:rPr>
              <w:t>外排颗粒物</w:t>
            </w:r>
          </w:p>
        </w:tc>
        <w:tc>
          <w:tcPr>
            <w:tcW w:w="589" w:type="pct"/>
            <w:vAlign w:val="center"/>
          </w:tcPr>
          <w:p w14:paraId="63441CA7">
            <w:pPr>
              <w:jc w:val="center"/>
              <w:rPr>
                <w:color w:val="000000" w:themeColor="text1"/>
                <w:szCs w:val="21"/>
              </w:rPr>
            </w:pPr>
            <w:r>
              <w:rPr>
                <w:color w:val="000000" w:themeColor="text1"/>
                <w:szCs w:val="21"/>
              </w:rPr>
              <w:t>0.15</w:t>
            </w:r>
          </w:p>
        </w:tc>
        <w:tc>
          <w:tcPr>
            <w:tcW w:w="611" w:type="pct"/>
            <w:vAlign w:val="center"/>
          </w:tcPr>
          <w:p w14:paraId="3B68B70E">
            <w:pPr>
              <w:jc w:val="center"/>
              <w:rPr>
                <w:rFonts w:eastAsia="等线"/>
                <w:color w:val="000000"/>
                <w:szCs w:val="21"/>
              </w:rPr>
            </w:pPr>
            <w:r>
              <w:rPr>
                <w:rFonts w:eastAsia="等线"/>
                <w:color w:val="000000"/>
                <w:szCs w:val="21"/>
              </w:rPr>
              <w:t xml:space="preserve">0.01 </w:t>
            </w:r>
          </w:p>
        </w:tc>
      </w:tr>
      <w:tr w14:paraId="40EABD17">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050" w:type="pct"/>
            <w:vAlign w:val="center"/>
          </w:tcPr>
          <w:p w14:paraId="6071CAB5">
            <w:pPr>
              <w:jc w:val="center"/>
              <w:rPr>
                <w:color w:val="000000" w:themeColor="text1"/>
                <w:szCs w:val="21"/>
              </w:rPr>
            </w:pPr>
          </w:p>
        </w:tc>
        <w:tc>
          <w:tcPr>
            <w:tcW w:w="654" w:type="pct"/>
            <w:vAlign w:val="center"/>
          </w:tcPr>
          <w:p w14:paraId="30E7EF47">
            <w:pPr>
              <w:jc w:val="center"/>
              <w:rPr>
                <w:color w:val="000000" w:themeColor="text1"/>
                <w:szCs w:val="21"/>
              </w:rPr>
            </w:pPr>
          </w:p>
        </w:tc>
        <w:tc>
          <w:tcPr>
            <w:tcW w:w="492" w:type="pct"/>
            <w:vAlign w:val="center"/>
          </w:tcPr>
          <w:p w14:paraId="19122504">
            <w:pPr>
              <w:jc w:val="center"/>
              <w:rPr>
                <w:color w:val="000000" w:themeColor="text1"/>
                <w:szCs w:val="21"/>
              </w:rPr>
            </w:pPr>
          </w:p>
        </w:tc>
        <w:tc>
          <w:tcPr>
            <w:tcW w:w="524" w:type="pct"/>
            <w:vMerge w:val="continue"/>
            <w:tcBorders>
              <w:right w:val="single" w:color="auto" w:sz="4" w:space="0"/>
            </w:tcBorders>
            <w:vAlign w:val="center"/>
          </w:tcPr>
          <w:p w14:paraId="79A3FD69">
            <w:pPr>
              <w:jc w:val="center"/>
              <w:rPr>
                <w:color w:val="000000" w:themeColor="text1"/>
                <w:szCs w:val="21"/>
              </w:rPr>
            </w:pPr>
          </w:p>
        </w:tc>
        <w:tc>
          <w:tcPr>
            <w:tcW w:w="1080" w:type="pct"/>
            <w:tcBorders>
              <w:left w:val="single" w:color="auto" w:sz="4" w:space="0"/>
            </w:tcBorders>
            <w:vAlign w:val="center"/>
          </w:tcPr>
          <w:p w14:paraId="71C67437">
            <w:pPr>
              <w:jc w:val="center"/>
              <w:rPr>
                <w:color w:val="000000" w:themeColor="text1"/>
                <w:szCs w:val="21"/>
              </w:rPr>
            </w:pPr>
            <w:r>
              <w:rPr>
                <w:color w:val="000000" w:themeColor="text1"/>
                <w:szCs w:val="21"/>
              </w:rPr>
              <w:t>外排非甲烷总烃</w:t>
            </w:r>
          </w:p>
        </w:tc>
        <w:tc>
          <w:tcPr>
            <w:tcW w:w="589" w:type="pct"/>
            <w:vAlign w:val="center"/>
          </w:tcPr>
          <w:p w14:paraId="6EC9D14E">
            <w:pPr>
              <w:jc w:val="center"/>
              <w:rPr>
                <w:color w:val="000000" w:themeColor="text1"/>
                <w:szCs w:val="21"/>
              </w:rPr>
            </w:pPr>
            <w:r>
              <w:rPr>
                <w:color w:val="000000" w:themeColor="text1"/>
                <w:szCs w:val="21"/>
              </w:rPr>
              <w:t>1.05</w:t>
            </w:r>
          </w:p>
        </w:tc>
        <w:tc>
          <w:tcPr>
            <w:tcW w:w="610" w:type="pct"/>
            <w:vAlign w:val="center"/>
          </w:tcPr>
          <w:p w14:paraId="03ACC9C4">
            <w:pPr>
              <w:jc w:val="center"/>
              <w:rPr>
                <w:rFonts w:eastAsia="等线"/>
                <w:color w:val="000000"/>
                <w:szCs w:val="21"/>
              </w:rPr>
            </w:pPr>
            <w:r>
              <w:rPr>
                <w:rFonts w:eastAsia="等线"/>
                <w:color w:val="000000"/>
                <w:szCs w:val="21"/>
              </w:rPr>
              <w:t xml:space="preserve">0.03 </w:t>
            </w:r>
          </w:p>
        </w:tc>
      </w:tr>
      <w:tr w14:paraId="5099ABAC">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050" w:type="pct"/>
            <w:vAlign w:val="center"/>
          </w:tcPr>
          <w:p w14:paraId="30F3CA33">
            <w:pPr>
              <w:jc w:val="center"/>
              <w:rPr>
                <w:color w:val="000000" w:themeColor="text1"/>
                <w:szCs w:val="21"/>
              </w:rPr>
            </w:pPr>
          </w:p>
        </w:tc>
        <w:tc>
          <w:tcPr>
            <w:tcW w:w="654" w:type="pct"/>
            <w:vAlign w:val="center"/>
          </w:tcPr>
          <w:p w14:paraId="1983AAE1">
            <w:pPr>
              <w:jc w:val="center"/>
              <w:rPr>
                <w:color w:val="000000" w:themeColor="text1"/>
                <w:szCs w:val="21"/>
              </w:rPr>
            </w:pPr>
          </w:p>
        </w:tc>
        <w:tc>
          <w:tcPr>
            <w:tcW w:w="492" w:type="pct"/>
            <w:vAlign w:val="center"/>
          </w:tcPr>
          <w:p w14:paraId="53AAE568">
            <w:pPr>
              <w:jc w:val="center"/>
              <w:rPr>
                <w:color w:val="000000" w:themeColor="text1"/>
                <w:szCs w:val="21"/>
              </w:rPr>
            </w:pPr>
          </w:p>
        </w:tc>
        <w:tc>
          <w:tcPr>
            <w:tcW w:w="1604" w:type="pct"/>
            <w:gridSpan w:val="2"/>
            <w:vAlign w:val="center"/>
          </w:tcPr>
          <w:p w14:paraId="06F0FF74">
            <w:pPr>
              <w:jc w:val="center"/>
              <w:rPr>
                <w:color w:val="000000" w:themeColor="text1"/>
                <w:szCs w:val="21"/>
              </w:rPr>
            </w:pPr>
            <w:r>
              <w:rPr>
                <w:color w:val="000000" w:themeColor="text1"/>
                <w:szCs w:val="21"/>
              </w:rPr>
              <w:t>塑料编织袋</w:t>
            </w:r>
          </w:p>
        </w:tc>
        <w:tc>
          <w:tcPr>
            <w:tcW w:w="589" w:type="pct"/>
            <w:vAlign w:val="center"/>
          </w:tcPr>
          <w:p w14:paraId="2A77FB9F">
            <w:pPr>
              <w:jc w:val="center"/>
              <w:rPr>
                <w:color w:val="000000" w:themeColor="text1"/>
                <w:szCs w:val="21"/>
              </w:rPr>
            </w:pPr>
            <w:r>
              <w:rPr>
                <w:color w:val="000000" w:themeColor="text1"/>
                <w:szCs w:val="21"/>
              </w:rPr>
              <w:t>3000</w:t>
            </w:r>
          </w:p>
        </w:tc>
        <w:tc>
          <w:tcPr>
            <w:tcW w:w="610" w:type="pct"/>
            <w:vAlign w:val="center"/>
          </w:tcPr>
          <w:p w14:paraId="10FCF23F">
            <w:pPr>
              <w:jc w:val="center"/>
              <w:rPr>
                <w:rFonts w:eastAsia="等线"/>
                <w:color w:val="000000"/>
                <w:szCs w:val="21"/>
              </w:rPr>
            </w:pPr>
            <w:r>
              <w:rPr>
                <w:rFonts w:eastAsia="等线"/>
                <w:color w:val="000000"/>
                <w:szCs w:val="21"/>
              </w:rPr>
              <w:t xml:space="preserve">99.96 </w:t>
            </w:r>
          </w:p>
        </w:tc>
      </w:tr>
      <w:tr w14:paraId="0AA67C58">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050" w:type="pct"/>
            <w:vAlign w:val="center"/>
          </w:tcPr>
          <w:p w14:paraId="3FA77407">
            <w:pPr>
              <w:jc w:val="center"/>
              <w:rPr>
                <w:color w:val="000000" w:themeColor="text1"/>
                <w:szCs w:val="21"/>
              </w:rPr>
            </w:pPr>
            <w:r>
              <w:rPr>
                <w:color w:val="000000" w:themeColor="text1"/>
                <w:szCs w:val="21"/>
              </w:rPr>
              <w:t>合计</w:t>
            </w:r>
          </w:p>
        </w:tc>
        <w:tc>
          <w:tcPr>
            <w:tcW w:w="654" w:type="pct"/>
            <w:vAlign w:val="center"/>
          </w:tcPr>
          <w:p w14:paraId="3B9F1AD9">
            <w:pPr>
              <w:jc w:val="center"/>
              <w:rPr>
                <w:color w:val="000000" w:themeColor="text1"/>
                <w:szCs w:val="21"/>
              </w:rPr>
            </w:pPr>
            <w:r>
              <w:rPr>
                <w:color w:val="000000" w:themeColor="text1"/>
                <w:szCs w:val="21"/>
              </w:rPr>
              <w:t>3001.2</w:t>
            </w:r>
          </w:p>
        </w:tc>
        <w:tc>
          <w:tcPr>
            <w:tcW w:w="492" w:type="pct"/>
            <w:vAlign w:val="center"/>
          </w:tcPr>
          <w:p w14:paraId="78E749F1">
            <w:pPr>
              <w:jc w:val="center"/>
              <w:rPr>
                <w:color w:val="000000" w:themeColor="text1"/>
                <w:szCs w:val="21"/>
              </w:rPr>
            </w:pPr>
            <w:r>
              <w:rPr>
                <w:color w:val="000000" w:themeColor="text1"/>
                <w:szCs w:val="21"/>
              </w:rPr>
              <w:t>100</w:t>
            </w:r>
          </w:p>
        </w:tc>
        <w:tc>
          <w:tcPr>
            <w:tcW w:w="1604" w:type="pct"/>
            <w:gridSpan w:val="2"/>
            <w:vAlign w:val="center"/>
          </w:tcPr>
          <w:p w14:paraId="7A30B794">
            <w:pPr>
              <w:jc w:val="center"/>
              <w:rPr>
                <w:color w:val="000000" w:themeColor="text1"/>
                <w:szCs w:val="21"/>
              </w:rPr>
            </w:pPr>
            <w:r>
              <w:rPr>
                <w:color w:val="000000" w:themeColor="text1"/>
                <w:szCs w:val="21"/>
              </w:rPr>
              <w:t>合计</w:t>
            </w:r>
          </w:p>
        </w:tc>
        <w:tc>
          <w:tcPr>
            <w:tcW w:w="589" w:type="pct"/>
            <w:vAlign w:val="center"/>
          </w:tcPr>
          <w:p w14:paraId="26BE6610">
            <w:pPr>
              <w:jc w:val="center"/>
              <w:rPr>
                <w:color w:val="000000" w:themeColor="text1"/>
                <w:szCs w:val="21"/>
              </w:rPr>
            </w:pPr>
            <w:r>
              <w:rPr>
                <w:color w:val="000000" w:themeColor="text1"/>
                <w:szCs w:val="21"/>
              </w:rPr>
              <w:t>3001.2</w:t>
            </w:r>
          </w:p>
        </w:tc>
        <w:tc>
          <w:tcPr>
            <w:tcW w:w="610" w:type="pct"/>
            <w:vAlign w:val="center"/>
          </w:tcPr>
          <w:p w14:paraId="547BAE42">
            <w:pPr>
              <w:jc w:val="center"/>
              <w:rPr>
                <w:color w:val="000000" w:themeColor="text1"/>
                <w:szCs w:val="21"/>
              </w:rPr>
            </w:pPr>
            <w:r>
              <w:rPr>
                <w:color w:val="000000" w:themeColor="text1"/>
                <w:szCs w:val="21"/>
              </w:rPr>
              <w:t>100</w:t>
            </w:r>
          </w:p>
        </w:tc>
      </w:tr>
    </w:tbl>
    <w:p w14:paraId="6521861E">
      <w:pPr>
        <w:jc w:val="center"/>
        <w:rPr>
          <w:b/>
          <w:color w:val="FF0000"/>
          <w:sz w:val="24"/>
        </w:rPr>
      </w:pPr>
      <w:r>
        <w:rPr>
          <w:b/>
          <w:color w:val="FF0000"/>
          <w:sz w:val="24"/>
        </w:rPr>
        <w:object>
          <v:shape id="_x0000_i1028" o:spt="75" type="#_x0000_t75" style="height:338.5pt;width:212.8pt;" o:ole="t" filled="f" o:preferrelative="t" stroked="f" coordsize="21600,21600">
            <v:path/>
            <v:fill on="f" focussize="0,0"/>
            <v:stroke on="f" joinstyle="miter"/>
            <v:imagedata r:id="rId21" o:title=""/>
            <o:lock v:ext="edit" aspectratio="t"/>
            <w10:wrap type="none"/>
            <w10:anchorlock/>
          </v:shape>
          <o:OLEObject Type="Embed" ProgID="Visio.Drawing.11" ShapeID="_x0000_i1028" DrawAspect="Content" ObjectID="_1468075728">
            <o:LockedField>false</o:LockedField>
          </o:OLEObject>
        </w:object>
      </w:r>
    </w:p>
    <w:p w14:paraId="32A40414">
      <w:pPr>
        <w:jc w:val="center"/>
        <w:rPr>
          <w:b/>
          <w:color w:val="FF0000"/>
          <w:sz w:val="24"/>
        </w:rPr>
      </w:pPr>
      <w:r>
        <w:rPr>
          <w:b/>
          <w:color w:val="FF0000"/>
          <w:sz w:val="24"/>
        </w:rPr>
        <w:t>图3.2-1  塑料编织袋生产物料平衡图（单位：t/a）</w:t>
      </w:r>
    </w:p>
    <w:p w14:paraId="4343CEAD">
      <w:pPr>
        <w:pStyle w:val="4"/>
        <w:spacing w:before="156" w:beforeLines="50"/>
        <w:rPr>
          <w:rFonts w:ascii="Times New Roman" w:hAnsi="Times New Roman"/>
          <w:color w:val="FF0000"/>
        </w:rPr>
      </w:pPr>
      <w:bookmarkStart w:id="291" w:name="_Toc348861033"/>
      <w:bookmarkStart w:id="292" w:name="_Toc28117696"/>
      <w:bookmarkStart w:id="293" w:name="_Toc286241639"/>
      <w:bookmarkStart w:id="294" w:name="_Toc285541522"/>
      <w:bookmarkStart w:id="295" w:name="_Toc285542742"/>
      <w:bookmarkStart w:id="296" w:name="_Toc363901312"/>
      <w:bookmarkStart w:id="297" w:name="_Toc285547567"/>
      <w:r>
        <w:rPr>
          <w:rFonts w:ascii="Times New Roman" w:hAnsi="Times New Roman"/>
          <w:color w:val="FF0000"/>
        </w:rPr>
        <w:t>3.3给排水及水量平衡</w:t>
      </w:r>
      <w:bookmarkEnd w:id="291"/>
      <w:bookmarkEnd w:id="292"/>
      <w:bookmarkEnd w:id="293"/>
      <w:bookmarkEnd w:id="294"/>
      <w:bookmarkEnd w:id="295"/>
      <w:bookmarkEnd w:id="296"/>
      <w:bookmarkEnd w:id="297"/>
    </w:p>
    <w:p w14:paraId="436778CE">
      <w:pPr>
        <w:spacing w:line="360" w:lineRule="auto"/>
        <w:ind w:firstLine="480"/>
        <w:jc w:val="left"/>
        <w:rPr>
          <w:color w:val="000000" w:themeColor="text1"/>
          <w:sz w:val="24"/>
        </w:rPr>
      </w:pPr>
      <w:r>
        <w:rPr>
          <w:color w:val="000000" w:themeColor="text1"/>
          <w:sz w:val="24"/>
        </w:rPr>
        <w:t>本项目建成后，废水主要为生活污水和生产废水。</w:t>
      </w:r>
    </w:p>
    <w:p w14:paraId="5FBD83FD">
      <w:pPr>
        <w:spacing w:line="360" w:lineRule="auto"/>
        <w:ind w:firstLine="480"/>
        <w:jc w:val="left"/>
        <w:rPr>
          <w:color w:val="000000" w:themeColor="text1"/>
          <w:sz w:val="24"/>
        </w:rPr>
      </w:pPr>
      <w:r>
        <w:rPr>
          <w:b/>
          <w:color w:val="000000" w:themeColor="text1"/>
          <w:sz w:val="24"/>
        </w:rPr>
        <w:t>生活污水：</w:t>
      </w:r>
      <w:r>
        <w:rPr>
          <w:color w:val="000000" w:themeColor="text1"/>
          <w:sz w:val="24"/>
        </w:rPr>
        <w:t>主要为办公废水、职工生活废水等；</w:t>
      </w:r>
    </w:p>
    <w:p w14:paraId="449B76A2">
      <w:pPr>
        <w:spacing w:line="360" w:lineRule="auto"/>
        <w:ind w:firstLine="480"/>
        <w:jc w:val="left"/>
        <w:rPr>
          <w:color w:val="000000" w:themeColor="text1"/>
          <w:sz w:val="24"/>
        </w:rPr>
      </w:pPr>
      <w:r>
        <w:rPr>
          <w:b/>
          <w:color w:val="000000" w:themeColor="text1"/>
          <w:sz w:val="24"/>
        </w:rPr>
        <w:t>生产废水：</w:t>
      </w:r>
      <w:r>
        <w:rPr>
          <w:color w:val="000000" w:themeColor="text1"/>
          <w:sz w:val="24"/>
        </w:rPr>
        <w:t>主要来自于塑料清洗剂破碎废水，塑料造粒冷却循环水。</w:t>
      </w:r>
    </w:p>
    <w:p w14:paraId="363043FA">
      <w:pPr>
        <w:spacing w:line="360" w:lineRule="auto"/>
        <w:ind w:firstLine="480"/>
        <w:jc w:val="left"/>
        <w:rPr>
          <w:color w:val="000000" w:themeColor="text1"/>
          <w:sz w:val="24"/>
        </w:rPr>
      </w:pPr>
    </w:p>
    <w:p w14:paraId="7EA3F62D">
      <w:pPr>
        <w:pStyle w:val="105"/>
        <w:rPr>
          <w:rFonts w:cs="Times New Roman"/>
          <w:color w:val="FF0000"/>
        </w:rPr>
      </w:pPr>
      <w:r>
        <w:rPr>
          <w:rFonts w:cs="Times New Roman"/>
          <w:color w:val="FF0000"/>
        </w:rPr>
        <w:t>3.3.1生产废水</w:t>
      </w:r>
    </w:p>
    <w:p w14:paraId="61163824">
      <w:pPr>
        <w:spacing w:line="360" w:lineRule="auto"/>
        <w:ind w:firstLine="480" w:firstLineChars="200"/>
        <w:rPr>
          <w:b/>
          <w:color w:val="000000" w:themeColor="text1"/>
          <w:sz w:val="24"/>
        </w:rPr>
      </w:pPr>
      <w:r>
        <w:rPr>
          <w:b/>
          <w:color w:val="000000" w:themeColor="text1"/>
          <w:sz w:val="24"/>
        </w:rPr>
        <w:t>1、塑料破碎清洗工序给排水</w:t>
      </w:r>
    </w:p>
    <w:p w14:paraId="20BF0E06">
      <w:pPr>
        <w:spacing w:line="360" w:lineRule="auto"/>
        <w:ind w:firstLine="480" w:firstLineChars="200"/>
        <w:jc w:val="left"/>
        <w:rPr>
          <w:color w:val="000000" w:themeColor="text1"/>
          <w:kern w:val="0"/>
          <w:sz w:val="24"/>
        </w:rPr>
      </w:pPr>
      <w:r>
        <w:rPr>
          <w:color w:val="000000" w:themeColor="text1"/>
          <w:kern w:val="0"/>
          <w:sz w:val="24"/>
        </w:rPr>
        <w:t>经类比《临沂鸿泰塑业有限公司废旧塑料回收综合利用项目环保竣工验收报告》，该项目年产5万吨塑料颗粒，原辅料及工艺与本项目大体一致，根据该竣工验收报告实际生产统计数据，清洗、破碎过程中用水量为2.4t/t塑料，其中清洗占80%（1.92 t/t塑料），破碎占20%（0.48 t/t塑料）。</w:t>
      </w:r>
    </w:p>
    <w:p w14:paraId="68C5EE51">
      <w:pPr>
        <w:spacing w:line="360" w:lineRule="auto"/>
        <w:ind w:firstLine="480" w:firstLineChars="200"/>
        <w:jc w:val="left"/>
        <w:rPr>
          <w:color w:val="000000" w:themeColor="text1"/>
          <w:kern w:val="0"/>
          <w:sz w:val="24"/>
        </w:rPr>
      </w:pPr>
      <w:r>
        <w:rPr>
          <w:color w:val="000000" w:themeColor="text1"/>
          <w:kern w:val="0"/>
          <w:sz w:val="24"/>
        </w:rPr>
        <w:t>清洗过程中由于水温较高，损耗按30%计；破碎甩干过程损耗按10%计；</w:t>
      </w:r>
    </w:p>
    <w:p w14:paraId="68FB7568">
      <w:pPr>
        <w:spacing w:line="360" w:lineRule="auto"/>
        <w:ind w:firstLine="480" w:firstLineChars="200"/>
        <w:jc w:val="left"/>
        <w:rPr>
          <w:color w:val="000000" w:themeColor="text1"/>
          <w:kern w:val="0"/>
          <w:sz w:val="24"/>
        </w:rPr>
      </w:pPr>
      <w:r>
        <w:rPr>
          <w:color w:val="000000" w:themeColor="text1"/>
          <w:kern w:val="0"/>
          <w:sz w:val="24"/>
        </w:rPr>
        <w:t>本项目清洗、破碎（甩干）废水经污水处理设施（隔油池+沉淀池）处理后，循环使用，不外排。</w:t>
      </w:r>
    </w:p>
    <w:p w14:paraId="2E26F31F">
      <w:pPr>
        <w:spacing w:line="360" w:lineRule="auto"/>
        <w:ind w:firstLine="480" w:firstLineChars="200"/>
        <w:jc w:val="left"/>
        <w:rPr>
          <w:color w:val="000000" w:themeColor="text1"/>
          <w:kern w:val="0"/>
          <w:sz w:val="24"/>
        </w:rPr>
      </w:pPr>
      <w:r>
        <w:rPr>
          <w:color w:val="000000" w:themeColor="text1"/>
          <w:kern w:val="0"/>
          <w:sz w:val="24"/>
        </w:rPr>
        <w:t>综上，本项目清洗环节用水量为32.05m</w:t>
      </w:r>
      <w:r>
        <w:rPr>
          <w:color w:val="000000" w:themeColor="text1"/>
          <w:kern w:val="0"/>
          <w:sz w:val="24"/>
          <w:vertAlign w:val="superscript"/>
        </w:rPr>
        <w:t>3</w:t>
      </w:r>
      <w:r>
        <w:rPr>
          <w:color w:val="000000" w:themeColor="text1"/>
          <w:kern w:val="0"/>
          <w:sz w:val="24"/>
        </w:rPr>
        <w:t>/d（每天清洗塑料量为16.693t/d），废水产生量为22.45m</w:t>
      </w:r>
      <w:r>
        <w:rPr>
          <w:color w:val="000000" w:themeColor="text1"/>
          <w:kern w:val="0"/>
          <w:sz w:val="24"/>
          <w:vertAlign w:val="superscript"/>
        </w:rPr>
        <w:t>3</w:t>
      </w:r>
      <w:r>
        <w:rPr>
          <w:color w:val="000000" w:themeColor="text1"/>
          <w:kern w:val="0"/>
          <w:sz w:val="24"/>
        </w:rPr>
        <w:t>/d；</w:t>
      </w:r>
    </w:p>
    <w:p w14:paraId="4AF7C912">
      <w:pPr>
        <w:spacing w:line="360" w:lineRule="auto"/>
        <w:ind w:firstLine="480" w:firstLineChars="200"/>
        <w:jc w:val="left"/>
        <w:rPr>
          <w:color w:val="000000" w:themeColor="text1"/>
          <w:kern w:val="0"/>
          <w:sz w:val="24"/>
        </w:rPr>
      </w:pPr>
      <w:r>
        <w:rPr>
          <w:color w:val="000000" w:themeColor="text1"/>
          <w:kern w:val="0"/>
          <w:sz w:val="24"/>
        </w:rPr>
        <w:t>破碎过程用水量为8.01m</w:t>
      </w:r>
      <w:r>
        <w:rPr>
          <w:color w:val="000000" w:themeColor="text1"/>
          <w:kern w:val="0"/>
          <w:sz w:val="24"/>
          <w:vertAlign w:val="superscript"/>
        </w:rPr>
        <w:t>3</w:t>
      </w:r>
      <w:r>
        <w:rPr>
          <w:color w:val="000000" w:themeColor="text1"/>
          <w:kern w:val="0"/>
          <w:sz w:val="24"/>
        </w:rPr>
        <w:t>/d（每天破碎塑料量为16.693t/d），废水产生量量为7.21m</w:t>
      </w:r>
      <w:r>
        <w:rPr>
          <w:color w:val="000000" w:themeColor="text1"/>
          <w:kern w:val="0"/>
          <w:sz w:val="24"/>
          <w:vertAlign w:val="superscript"/>
        </w:rPr>
        <w:t>3</w:t>
      </w:r>
      <w:r>
        <w:rPr>
          <w:color w:val="000000" w:themeColor="text1"/>
          <w:kern w:val="0"/>
          <w:sz w:val="24"/>
        </w:rPr>
        <w:t>/d；</w:t>
      </w:r>
    </w:p>
    <w:p w14:paraId="2C41EA05">
      <w:pPr>
        <w:spacing w:line="360" w:lineRule="auto"/>
        <w:ind w:firstLine="480" w:firstLineChars="200"/>
        <w:jc w:val="left"/>
        <w:rPr>
          <w:b/>
          <w:color w:val="000000" w:themeColor="text1"/>
          <w:sz w:val="24"/>
        </w:rPr>
      </w:pPr>
      <w:r>
        <w:rPr>
          <w:b/>
          <w:color w:val="000000" w:themeColor="text1"/>
          <w:sz w:val="24"/>
        </w:rPr>
        <w:t>2、塑料造粒工序循环冷却水</w:t>
      </w:r>
    </w:p>
    <w:p w14:paraId="0DF12DC5">
      <w:pPr>
        <w:spacing w:line="360" w:lineRule="auto"/>
        <w:ind w:left="105" w:leftChars="50" w:right="105" w:rightChars="50" w:firstLine="480" w:firstLineChars="200"/>
        <w:rPr>
          <w:rFonts w:eastAsiaTheme="minorEastAsia"/>
          <w:bCs/>
          <w:color w:val="000000" w:themeColor="text1"/>
          <w:sz w:val="24"/>
          <w:szCs w:val="28"/>
        </w:rPr>
      </w:pPr>
      <w:r>
        <w:rPr>
          <w:bCs/>
          <w:color w:val="000000" w:themeColor="text1"/>
          <w:sz w:val="24"/>
        </w:rPr>
        <w:t>根据建设方提供的设计资料，本项目设置两台造粒机，各配套一个冷却水槽，共用一个冷却水循环系统，本项目冷却水循环水量为2</w:t>
      </w:r>
      <w:r>
        <w:rPr>
          <w:color w:val="000000" w:themeColor="text1"/>
          <w:kern w:val="0"/>
          <w:sz w:val="24"/>
        </w:rPr>
        <w:t>m</w:t>
      </w:r>
      <w:r>
        <w:rPr>
          <w:color w:val="000000" w:themeColor="text1"/>
          <w:kern w:val="0"/>
          <w:sz w:val="24"/>
          <w:vertAlign w:val="superscript"/>
        </w:rPr>
        <w:t>3</w:t>
      </w:r>
      <w:r>
        <w:rPr>
          <w:color w:val="000000" w:themeColor="text1"/>
          <w:kern w:val="0"/>
          <w:sz w:val="24"/>
        </w:rPr>
        <w:t>/h（16m</w:t>
      </w:r>
      <w:r>
        <w:rPr>
          <w:color w:val="000000" w:themeColor="text1"/>
          <w:kern w:val="0"/>
          <w:sz w:val="24"/>
          <w:vertAlign w:val="superscript"/>
        </w:rPr>
        <w:t>3</w:t>
      </w:r>
      <w:r>
        <w:rPr>
          <w:color w:val="000000" w:themeColor="text1"/>
          <w:kern w:val="0"/>
          <w:sz w:val="24"/>
        </w:rPr>
        <w:t>/d），</w:t>
      </w:r>
      <w:r>
        <w:rPr>
          <w:rFonts w:eastAsiaTheme="minorEastAsia"/>
          <w:bCs/>
          <w:color w:val="000000" w:themeColor="text1"/>
          <w:sz w:val="24"/>
          <w:szCs w:val="28"/>
        </w:rPr>
        <w:t>循环水重复利用不外排（沉淀处理，定期打捞），每天因蒸发损失（损耗按20%计）需补充水约3.2m</w:t>
      </w:r>
      <w:r>
        <w:rPr>
          <w:rFonts w:eastAsiaTheme="minorEastAsia"/>
          <w:bCs/>
          <w:color w:val="000000" w:themeColor="text1"/>
          <w:sz w:val="24"/>
          <w:szCs w:val="28"/>
          <w:vertAlign w:val="superscript"/>
        </w:rPr>
        <w:t>3</w:t>
      </w:r>
      <w:r>
        <w:rPr>
          <w:rFonts w:eastAsiaTheme="minorEastAsia"/>
          <w:bCs/>
          <w:color w:val="000000" w:themeColor="text1"/>
          <w:sz w:val="24"/>
          <w:szCs w:val="28"/>
        </w:rPr>
        <w:t>/d。</w:t>
      </w:r>
    </w:p>
    <w:p w14:paraId="41F1A5BC">
      <w:pPr>
        <w:spacing w:line="360" w:lineRule="auto"/>
        <w:ind w:left="105" w:leftChars="50" w:right="105" w:rightChars="50" w:firstLine="480" w:firstLineChars="200"/>
        <w:rPr>
          <w:b/>
          <w:color w:val="000000" w:themeColor="text1"/>
          <w:sz w:val="24"/>
        </w:rPr>
      </w:pPr>
      <w:r>
        <w:rPr>
          <w:rFonts w:eastAsiaTheme="minorEastAsia"/>
          <w:b/>
          <w:bCs/>
          <w:color w:val="000000" w:themeColor="text1"/>
          <w:sz w:val="24"/>
          <w:szCs w:val="28"/>
        </w:rPr>
        <w:t>3、编织袋生产</w:t>
      </w:r>
      <w:r>
        <w:rPr>
          <w:b/>
          <w:color w:val="000000" w:themeColor="text1"/>
          <w:sz w:val="24"/>
        </w:rPr>
        <w:t>工序循环冷却水</w:t>
      </w:r>
    </w:p>
    <w:p w14:paraId="6DAE73DB">
      <w:pPr>
        <w:spacing w:line="360" w:lineRule="auto"/>
        <w:ind w:left="105" w:leftChars="50" w:right="105" w:rightChars="50" w:firstLine="480" w:firstLineChars="200"/>
        <w:rPr>
          <w:rFonts w:eastAsiaTheme="minorEastAsia"/>
          <w:bCs/>
          <w:color w:val="000000" w:themeColor="text1"/>
          <w:sz w:val="24"/>
          <w:szCs w:val="28"/>
        </w:rPr>
      </w:pPr>
      <w:r>
        <w:rPr>
          <w:bCs/>
          <w:color w:val="000000" w:themeColor="text1"/>
          <w:sz w:val="24"/>
        </w:rPr>
        <w:t>根据建设方提供的设计资料，本项目设置两台平模拉丝机组，各配套一个冷却水箱，共用一个冷却水循环系统，本项目冷却水循环水量为1</w:t>
      </w:r>
      <w:r>
        <w:rPr>
          <w:color w:val="000000" w:themeColor="text1"/>
          <w:kern w:val="0"/>
          <w:sz w:val="24"/>
        </w:rPr>
        <w:t>m</w:t>
      </w:r>
      <w:r>
        <w:rPr>
          <w:color w:val="000000" w:themeColor="text1"/>
          <w:kern w:val="0"/>
          <w:sz w:val="24"/>
          <w:vertAlign w:val="superscript"/>
        </w:rPr>
        <w:t>3</w:t>
      </w:r>
      <w:r>
        <w:rPr>
          <w:color w:val="000000" w:themeColor="text1"/>
          <w:kern w:val="0"/>
          <w:sz w:val="24"/>
        </w:rPr>
        <w:t>/h（8m</w:t>
      </w:r>
      <w:r>
        <w:rPr>
          <w:color w:val="000000" w:themeColor="text1"/>
          <w:kern w:val="0"/>
          <w:sz w:val="24"/>
          <w:vertAlign w:val="superscript"/>
        </w:rPr>
        <w:t>3</w:t>
      </w:r>
      <w:r>
        <w:rPr>
          <w:color w:val="000000" w:themeColor="text1"/>
          <w:kern w:val="0"/>
          <w:sz w:val="24"/>
        </w:rPr>
        <w:t>/d），</w:t>
      </w:r>
      <w:r>
        <w:rPr>
          <w:rFonts w:eastAsiaTheme="minorEastAsia"/>
          <w:bCs/>
          <w:color w:val="000000" w:themeColor="text1"/>
          <w:sz w:val="24"/>
          <w:szCs w:val="28"/>
        </w:rPr>
        <w:t>循环水重复利用不外排（沉淀处理，定期打捞），每天因蒸发损失（损耗按20%计）需补充水约1.6m</w:t>
      </w:r>
      <w:r>
        <w:rPr>
          <w:rFonts w:eastAsiaTheme="minorEastAsia"/>
          <w:bCs/>
          <w:color w:val="000000" w:themeColor="text1"/>
          <w:sz w:val="24"/>
          <w:szCs w:val="28"/>
          <w:vertAlign w:val="superscript"/>
        </w:rPr>
        <w:t>3</w:t>
      </w:r>
      <w:r>
        <w:rPr>
          <w:rFonts w:eastAsiaTheme="minorEastAsia"/>
          <w:bCs/>
          <w:color w:val="000000" w:themeColor="text1"/>
          <w:sz w:val="24"/>
          <w:szCs w:val="28"/>
        </w:rPr>
        <w:t>/d。</w:t>
      </w:r>
    </w:p>
    <w:p w14:paraId="4DAFF681">
      <w:pPr>
        <w:pStyle w:val="105"/>
        <w:rPr>
          <w:rFonts w:cs="Times New Roman"/>
          <w:color w:val="000000" w:themeColor="text1"/>
        </w:rPr>
      </w:pPr>
      <w:r>
        <w:rPr>
          <w:rFonts w:cs="Times New Roman"/>
          <w:color w:val="000000" w:themeColor="text1"/>
        </w:rPr>
        <w:t>3.3.2生活用排水</w:t>
      </w:r>
    </w:p>
    <w:p w14:paraId="40459F1E">
      <w:pPr>
        <w:spacing w:line="360" w:lineRule="auto"/>
        <w:ind w:firstLine="480" w:firstLineChars="200"/>
        <w:rPr>
          <w:b/>
          <w:color w:val="000000" w:themeColor="text1"/>
          <w:sz w:val="24"/>
        </w:rPr>
      </w:pPr>
      <w:r>
        <w:rPr>
          <w:b/>
          <w:color w:val="000000" w:themeColor="text1"/>
          <w:sz w:val="24"/>
        </w:rPr>
        <w:t>1、办公区及其他职工生活废水</w:t>
      </w:r>
    </w:p>
    <w:p w14:paraId="69665185">
      <w:pPr>
        <w:spacing w:line="360" w:lineRule="auto"/>
        <w:ind w:firstLine="480" w:firstLineChars="200"/>
        <w:rPr>
          <w:color w:val="000000" w:themeColor="text1"/>
          <w:sz w:val="24"/>
        </w:rPr>
      </w:pPr>
      <w:r>
        <w:rPr>
          <w:color w:val="000000" w:themeColor="text1"/>
          <w:sz w:val="24"/>
        </w:rPr>
        <w:t>根据建设提供的资料及DB52/T168-2019《云南省用水定额》，预计本项目职工人数为20人（设有宿舍），本环评按用水量90L/人.d计。</w:t>
      </w:r>
    </w:p>
    <w:p w14:paraId="2D4A148A">
      <w:pPr>
        <w:spacing w:line="360" w:lineRule="auto"/>
        <w:ind w:firstLine="480" w:firstLineChars="200"/>
        <w:rPr>
          <w:color w:val="000000" w:themeColor="text1"/>
          <w:sz w:val="24"/>
        </w:rPr>
      </w:pPr>
      <w:r>
        <w:rPr>
          <w:color w:val="000000" w:themeColor="text1"/>
          <w:sz w:val="24"/>
        </w:rPr>
        <w:t>则本项目职工生活用水为1.8m</w:t>
      </w:r>
      <w:r>
        <w:rPr>
          <w:color w:val="000000" w:themeColor="text1"/>
          <w:sz w:val="24"/>
          <w:vertAlign w:val="superscript"/>
        </w:rPr>
        <w:t>3</w:t>
      </w:r>
      <w:r>
        <w:rPr>
          <w:color w:val="000000" w:themeColor="text1"/>
          <w:sz w:val="24"/>
        </w:rPr>
        <w:t>/d，排水量按用水量的</w:t>
      </w:r>
      <w:r>
        <w:rPr>
          <w:color w:val="FF0000"/>
          <w:sz w:val="24"/>
        </w:rPr>
        <w:t>80%计，</w:t>
      </w:r>
      <w:r>
        <w:rPr>
          <w:color w:val="000000" w:themeColor="text1"/>
          <w:sz w:val="24"/>
        </w:rPr>
        <w:t>废水产生量约为1.44m</w:t>
      </w:r>
      <w:r>
        <w:rPr>
          <w:color w:val="000000" w:themeColor="text1"/>
          <w:sz w:val="24"/>
          <w:vertAlign w:val="superscript"/>
        </w:rPr>
        <w:t>3</w:t>
      </w:r>
      <w:r>
        <w:rPr>
          <w:color w:val="000000" w:themeColor="text1"/>
          <w:sz w:val="24"/>
        </w:rPr>
        <w:t>/d。</w:t>
      </w:r>
    </w:p>
    <w:p w14:paraId="3FEB9445">
      <w:pPr>
        <w:spacing w:line="360" w:lineRule="auto"/>
        <w:ind w:firstLine="480" w:firstLineChars="200"/>
        <w:rPr>
          <w:b/>
          <w:color w:val="000000" w:themeColor="text1"/>
          <w:sz w:val="24"/>
        </w:rPr>
      </w:pPr>
      <w:r>
        <w:rPr>
          <w:b/>
          <w:color w:val="000000" w:themeColor="text1"/>
          <w:sz w:val="24"/>
        </w:rPr>
        <w:t>2、办公区食堂用排水</w:t>
      </w:r>
    </w:p>
    <w:p w14:paraId="095B2322">
      <w:pPr>
        <w:spacing w:line="360" w:lineRule="auto"/>
        <w:ind w:firstLine="480" w:firstLineChars="200"/>
        <w:rPr>
          <w:color w:val="000000" w:themeColor="text1"/>
          <w:sz w:val="24"/>
        </w:rPr>
      </w:pPr>
      <w:r>
        <w:rPr>
          <w:color w:val="000000" w:themeColor="text1"/>
          <w:sz w:val="24"/>
        </w:rPr>
        <w:t>根据建设提供的资料，本项目职工人数为20人，食堂为职工提供两餐，用水量按20 L/人.d计。</w:t>
      </w:r>
    </w:p>
    <w:p w14:paraId="79D00D22">
      <w:pPr>
        <w:spacing w:line="360" w:lineRule="auto"/>
        <w:ind w:firstLine="480" w:firstLineChars="200"/>
        <w:rPr>
          <w:color w:val="000000" w:themeColor="text1"/>
          <w:sz w:val="24"/>
        </w:rPr>
      </w:pPr>
      <w:r>
        <w:rPr>
          <w:color w:val="000000" w:themeColor="text1"/>
          <w:sz w:val="24"/>
        </w:rPr>
        <w:t>则项目职工生活用水为0.4m</w:t>
      </w:r>
      <w:r>
        <w:rPr>
          <w:color w:val="000000" w:themeColor="text1"/>
          <w:sz w:val="24"/>
          <w:vertAlign w:val="superscript"/>
        </w:rPr>
        <w:t>3</w:t>
      </w:r>
      <w:r>
        <w:rPr>
          <w:color w:val="000000" w:themeColor="text1"/>
          <w:sz w:val="24"/>
        </w:rPr>
        <w:t>/d，排水量按用水量</w:t>
      </w:r>
      <w:r>
        <w:rPr>
          <w:color w:val="FF0000"/>
          <w:sz w:val="24"/>
        </w:rPr>
        <w:t>的80%计</w:t>
      </w:r>
      <w:r>
        <w:rPr>
          <w:color w:val="000000" w:themeColor="text1"/>
          <w:sz w:val="24"/>
        </w:rPr>
        <w:t>，废水产生量约为0.32m</w:t>
      </w:r>
      <w:r>
        <w:rPr>
          <w:color w:val="000000" w:themeColor="text1"/>
          <w:sz w:val="24"/>
          <w:vertAlign w:val="superscript"/>
        </w:rPr>
        <w:t>3</w:t>
      </w:r>
      <w:r>
        <w:rPr>
          <w:color w:val="000000" w:themeColor="text1"/>
          <w:sz w:val="24"/>
        </w:rPr>
        <w:t>/d。</w:t>
      </w:r>
    </w:p>
    <w:p w14:paraId="4A8A101E">
      <w:pPr>
        <w:pStyle w:val="105"/>
        <w:rPr>
          <w:rFonts w:cs="Times New Roman"/>
          <w:color w:val="FF0000"/>
        </w:rPr>
      </w:pPr>
      <w:r>
        <w:rPr>
          <w:rFonts w:cs="Times New Roman"/>
          <w:color w:val="FF0000"/>
        </w:rPr>
        <w:t>3.3.2雨水</w:t>
      </w:r>
    </w:p>
    <w:p w14:paraId="4A9FD73B">
      <w:pPr>
        <w:adjustRightInd w:val="0"/>
        <w:snapToGrid w:val="0"/>
        <w:spacing w:line="360" w:lineRule="auto"/>
        <w:ind w:right="-12" w:rightChars="-6" w:firstLine="480" w:firstLineChars="200"/>
        <w:rPr>
          <w:color w:val="000000" w:themeColor="text1"/>
          <w:sz w:val="24"/>
        </w:rPr>
      </w:pPr>
      <w:r>
        <w:rPr>
          <w:color w:val="000000" w:themeColor="text1"/>
          <w:sz w:val="24"/>
        </w:rPr>
        <w:t>本项目厂区地面全部硬化处理，在生产及原料储存过程中，当下雨形成地表径流，污染物粉尘（沉降项目区）会随径流带入周边的水体（主要为SS、少量油类等），如无序排放，造成一定的环境污染。</w:t>
      </w:r>
    </w:p>
    <w:p w14:paraId="3B5A9EA3">
      <w:pPr>
        <w:adjustRightInd w:val="0"/>
        <w:snapToGrid w:val="0"/>
        <w:spacing w:line="360" w:lineRule="auto"/>
        <w:ind w:right="-12" w:rightChars="-6" w:firstLine="480" w:firstLineChars="200"/>
        <w:rPr>
          <w:color w:val="000000" w:themeColor="text1"/>
          <w:sz w:val="24"/>
        </w:rPr>
      </w:pPr>
      <w:r>
        <w:rPr>
          <w:color w:val="000000" w:themeColor="text1"/>
          <w:sz w:val="24"/>
        </w:rPr>
        <w:t>本项目厂区设置雨水沟，将雨水汇入到雨水收集池进行处理，收集后进入本项目</w:t>
      </w:r>
      <w:r>
        <w:rPr>
          <w:bCs/>
          <w:color w:val="000000" w:themeColor="text1"/>
          <w:sz w:val="24"/>
        </w:rPr>
        <w:t>雨水收集池</w:t>
      </w:r>
      <w:r>
        <w:rPr>
          <w:color w:val="000000" w:themeColor="text1"/>
          <w:sz w:val="24"/>
        </w:rPr>
        <w:t>进行处理，回用于生产。</w:t>
      </w:r>
      <w:r>
        <w:rPr>
          <w:rFonts w:eastAsia="??"/>
          <w:color w:val="000000" w:themeColor="text1"/>
          <w:sz w:val="24"/>
        </w:rPr>
        <w:t xml:space="preserve"> </w:t>
      </w:r>
    </w:p>
    <w:p w14:paraId="5C3FF774">
      <w:pPr>
        <w:widowControl/>
        <w:spacing w:line="360" w:lineRule="auto"/>
        <w:ind w:firstLine="480" w:firstLineChars="200"/>
        <w:jc w:val="left"/>
        <w:rPr>
          <w:color w:val="000000" w:themeColor="text1"/>
          <w:sz w:val="24"/>
        </w:rPr>
      </w:pPr>
      <w:r>
        <w:rPr>
          <w:color w:val="000000" w:themeColor="text1"/>
          <w:sz w:val="24"/>
        </w:rPr>
        <w:t>根据芒市的气象资料，年平均降水量1654.6mm，年平均降雨日数170天，平均每天降雨量为9.73mm。</w:t>
      </w:r>
    </w:p>
    <w:p w14:paraId="1CB606FC">
      <w:pPr>
        <w:widowControl/>
        <w:spacing w:line="360" w:lineRule="auto"/>
        <w:ind w:firstLine="480" w:firstLineChars="200"/>
        <w:jc w:val="left"/>
        <w:rPr>
          <w:color w:val="000000" w:themeColor="text1"/>
          <w:sz w:val="24"/>
        </w:rPr>
      </w:pPr>
      <w:r>
        <w:rPr>
          <w:color w:val="000000" w:themeColor="text1"/>
          <w:sz w:val="24"/>
        </w:rPr>
        <w:t>项目区雨水量根据下面计算公式：</w:t>
      </w:r>
    </w:p>
    <w:p w14:paraId="41E1A986">
      <w:pPr>
        <w:widowControl/>
        <w:spacing w:line="360" w:lineRule="auto"/>
        <w:ind w:firstLine="480" w:firstLineChars="200"/>
        <w:jc w:val="center"/>
        <w:rPr>
          <w:rFonts w:eastAsia="??"/>
          <w:color w:val="000000" w:themeColor="text1"/>
          <w:sz w:val="24"/>
        </w:rPr>
      </w:pPr>
      <w:r>
        <w:rPr>
          <w:rFonts w:eastAsia="??"/>
          <w:color w:val="000000" w:themeColor="text1"/>
          <w:position w:val="-10"/>
          <w:sz w:val="24"/>
        </w:rPr>
        <w:drawing>
          <wp:inline distT="0" distB="0" distL="0" distR="0">
            <wp:extent cx="1094740" cy="285750"/>
            <wp:effectExtent l="0" t="0" r="0" b="0"/>
            <wp:docPr id="7621" name="图片 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 name="图片 76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14228" cy="290912"/>
                    </a:xfrm>
                    <a:prstGeom prst="rect">
                      <a:avLst/>
                    </a:prstGeom>
                    <a:noFill/>
                    <a:ln>
                      <a:noFill/>
                    </a:ln>
                  </pic:spPr>
                </pic:pic>
              </a:graphicData>
            </a:graphic>
          </wp:inline>
        </w:drawing>
      </w:r>
    </w:p>
    <w:p w14:paraId="49060AC3">
      <w:pPr>
        <w:spacing w:line="360" w:lineRule="auto"/>
        <w:ind w:firstLine="480" w:firstLineChars="200"/>
        <w:rPr>
          <w:color w:val="000000" w:themeColor="text1"/>
          <w:sz w:val="24"/>
          <w:szCs w:val="22"/>
        </w:rPr>
      </w:pPr>
      <w:r>
        <w:rPr>
          <w:color w:val="000000" w:themeColor="text1"/>
          <w:sz w:val="24"/>
          <w:szCs w:val="22"/>
        </w:rPr>
        <w:t>式中：Q—雨水量，m</w:t>
      </w:r>
      <w:r>
        <w:rPr>
          <w:color w:val="000000" w:themeColor="text1"/>
          <w:sz w:val="24"/>
          <w:szCs w:val="22"/>
          <w:vertAlign w:val="superscript"/>
        </w:rPr>
        <w:t>3</w:t>
      </w:r>
      <w:r>
        <w:rPr>
          <w:color w:val="000000" w:themeColor="text1"/>
          <w:sz w:val="24"/>
          <w:szCs w:val="22"/>
        </w:rPr>
        <w:t>；</w:t>
      </w:r>
    </w:p>
    <w:p w14:paraId="73480E46">
      <w:pPr>
        <w:spacing w:line="360" w:lineRule="auto"/>
        <w:ind w:firstLine="480" w:firstLineChars="200"/>
        <w:rPr>
          <w:color w:val="000000" w:themeColor="text1"/>
          <w:sz w:val="24"/>
          <w:szCs w:val="22"/>
        </w:rPr>
      </w:pPr>
      <w:r>
        <w:rPr>
          <w:color w:val="000000" w:themeColor="text1"/>
          <w:sz w:val="24"/>
          <w:szCs w:val="22"/>
        </w:rPr>
        <w:t xml:space="preserve">       ψ—径流系数，经验数值为0.9（按地面硬化后考虑）；</w:t>
      </w:r>
    </w:p>
    <w:p w14:paraId="2CEAA043">
      <w:pPr>
        <w:spacing w:line="360" w:lineRule="auto"/>
        <w:ind w:firstLine="480" w:firstLineChars="200"/>
        <w:rPr>
          <w:color w:val="000000" w:themeColor="text1"/>
          <w:sz w:val="24"/>
          <w:szCs w:val="22"/>
        </w:rPr>
      </w:pPr>
      <w:r>
        <w:rPr>
          <w:color w:val="000000" w:themeColor="text1"/>
          <w:sz w:val="24"/>
          <w:szCs w:val="22"/>
        </w:rPr>
        <w:t xml:space="preserve">       q—日均降雨量，mm/d；</w:t>
      </w:r>
    </w:p>
    <w:p w14:paraId="1AC413FF">
      <w:pPr>
        <w:spacing w:line="360" w:lineRule="auto"/>
        <w:ind w:firstLine="480" w:firstLineChars="200"/>
        <w:rPr>
          <w:color w:val="000000" w:themeColor="text1"/>
          <w:sz w:val="24"/>
          <w:szCs w:val="22"/>
        </w:rPr>
      </w:pPr>
      <w:r>
        <w:rPr>
          <w:color w:val="000000" w:themeColor="text1"/>
          <w:sz w:val="24"/>
          <w:szCs w:val="22"/>
        </w:rPr>
        <w:t xml:space="preserve">       F—汇水面积，hm</w:t>
      </w:r>
      <w:r>
        <w:rPr>
          <w:color w:val="000000" w:themeColor="text1"/>
          <w:sz w:val="24"/>
          <w:szCs w:val="22"/>
          <w:vertAlign w:val="superscript"/>
        </w:rPr>
        <w:t>2</w:t>
      </w:r>
      <w:r>
        <w:rPr>
          <w:color w:val="000000" w:themeColor="text1"/>
          <w:sz w:val="24"/>
          <w:szCs w:val="22"/>
        </w:rPr>
        <w:t>（8000m</w:t>
      </w:r>
      <w:r>
        <w:rPr>
          <w:color w:val="000000" w:themeColor="text1"/>
          <w:sz w:val="24"/>
          <w:szCs w:val="22"/>
          <w:vertAlign w:val="superscript"/>
        </w:rPr>
        <w:t>2</w:t>
      </w:r>
      <w:r>
        <w:rPr>
          <w:color w:val="000000" w:themeColor="text1"/>
          <w:sz w:val="24"/>
          <w:szCs w:val="22"/>
        </w:rPr>
        <w:t>）</w:t>
      </w:r>
    </w:p>
    <w:p w14:paraId="54F9782B">
      <w:pPr>
        <w:widowControl/>
        <w:spacing w:line="360" w:lineRule="auto"/>
        <w:ind w:firstLine="480" w:firstLineChars="200"/>
        <w:jc w:val="left"/>
        <w:rPr>
          <w:color w:val="000000" w:themeColor="text1"/>
          <w:sz w:val="24"/>
        </w:rPr>
      </w:pPr>
      <w:r>
        <w:rPr>
          <w:color w:val="000000" w:themeColor="text1"/>
          <w:sz w:val="24"/>
        </w:rPr>
        <w:t>按照公式，可以计算出场地的雨水产生量70.016</w:t>
      </w:r>
      <w:r>
        <w:rPr>
          <w:rFonts w:eastAsia="??"/>
          <w:color w:val="000000" w:themeColor="text1"/>
          <w:sz w:val="24"/>
        </w:rPr>
        <w:t>m</w:t>
      </w:r>
      <w:r>
        <w:rPr>
          <w:rFonts w:eastAsia="??"/>
          <w:color w:val="000000" w:themeColor="text1"/>
          <w:sz w:val="24"/>
          <w:vertAlign w:val="superscript"/>
        </w:rPr>
        <w:t>3</w:t>
      </w:r>
      <w:r>
        <w:rPr>
          <w:rFonts w:eastAsia="??"/>
          <w:color w:val="000000" w:themeColor="text1"/>
          <w:sz w:val="24"/>
        </w:rPr>
        <w:t>/</w:t>
      </w:r>
      <w:r>
        <w:rPr>
          <w:color w:val="000000" w:themeColor="text1"/>
          <w:sz w:val="24"/>
        </w:rPr>
        <w:t>d；</w:t>
      </w:r>
    </w:p>
    <w:p w14:paraId="47453EA2">
      <w:pPr>
        <w:widowControl/>
        <w:spacing w:line="360" w:lineRule="auto"/>
        <w:ind w:firstLine="480" w:firstLineChars="200"/>
        <w:jc w:val="left"/>
        <w:rPr>
          <w:color w:val="000000" w:themeColor="text1"/>
          <w:sz w:val="24"/>
        </w:rPr>
      </w:pPr>
      <w:r>
        <w:rPr>
          <w:color w:val="000000" w:themeColor="text1"/>
          <w:sz w:val="24"/>
        </w:rPr>
        <w:t>本环评要求收集前1h的雨水进入本项目</w:t>
      </w:r>
      <w:r>
        <w:rPr>
          <w:bCs/>
          <w:color w:val="000000" w:themeColor="text1"/>
          <w:sz w:val="24"/>
        </w:rPr>
        <w:t>雨水收集池</w:t>
      </w:r>
      <w:r>
        <w:rPr>
          <w:color w:val="000000" w:themeColor="text1"/>
          <w:sz w:val="24"/>
        </w:rPr>
        <w:t>进行处理，回用于生产，其余经沉淀后外排，因此本厂1h的雨水量为2.917</w:t>
      </w:r>
      <w:r>
        <w:rPr>
          <w:rFonts w:eastAsia="??"/>
          <w:color w:val="000000" w:themeColor="text1"/>
          <w:sz w:val="24"/>
        </w:rPr>
        <w:t>m</w:t>
      </w:r>
      <w:r>
        <w:rPr>
          <w:rFonts w:eastAsia="??"/>
          <w:color w:val="000000" w:themeColor="text1"/>
          <w:sz w:val="24"/>
          <w:vertAlign w:val="superscript"/>
        </w:rPr>
        <w:t>3</w:t>
      </w:r>
      <w:r>
        <w:rPr>
          <w:color w:val="000000" w:themeColor="text1"/>
          <w:sz w:val="24"/>
        </w:rPr>
        <w:t>。</w:t>
      </w:r>
    </w:p>
    <w:p w14:paraId="2AB70022">
      <w:pPr>
        <w:pStyle w:val="105"/>
        <w:rPr>
          <w:rFonts w:cs="Times New Roman"/>
          <w:color w:val="000000" w:themeColor="text1"/>
        </w:rPr>
      </w:pPr>
      <w:r>
        <w:rPr>
          <w:rFonts w:cs="Times New Roman"/>
          <w:color w:val="000000" w:themeColor="text1"/>
        </w:rPr>
        <w:t>3.3.3小结</w:t>
      </w:r>
    </w:p>
    <w:p w14:paraId="4FA6E8A3">
      <w:pPr>
        <w:jc w:val="center"/>
        <w:rPr>
          <w:b/>
          <w:color w:val="000000" w:themeColor="text1"/>
          <w:sz w:val="24"/>
        </w:rPr>
      </w:pPr>
      <w:r>
        <w:rPr>
          <w:b/>
          <w:color w:val="000000" w:themeColor="text1"/>
          <w:sz w:val="24"/>
        </w:rPr>
        <w:t>表3.3-1  项目用排水一览表 （单位：m</w:t>
      </w:r>
      <w:r>
        <w:rPr>
          <w:b/>
          <w:color w:val="000000" w:themeColor="text1"/>
          <w:sz w:val="24"/>
          <w:vertAlign w:val="superscript"/>
        </w:rPr>
        <w:t>3</w:t>
      </w:r>
      <w:r>
        <w:rPr>
          <w:b/>
          <w:color w:val="000000" w:themeColor="text1"/>
          <w:sz w:val="24"/>
        </w:rPr>
        <w:t>/d）</w:t>
      </w:r>
    </w:p>
    <w:tbl>
      <w:tblPr>
        <w:tblStyle w:val="42"/>
        <w:tblW w:w="5137" w:type="pct"/>
        <w:tblInd w:w="0" w:type="dxa"/>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27"/>
        <w:gridCol w:w="720"/>
        <w:gridCol w:w="814"/>
        <w:gridCol w:w="702"/>
        <w:gridCol w:w="1417"/>
        <w:gridCol w:w="1560"/>
        <w:gridCol w:w="1159"/>
        <w:gridCol w:w="863"/>
        <w:gridCol w:w="1094"/>
      </w:tblGrid>
      <w:tr w14:paraId="222E0BA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7" w:hRule="atLeast"/>
          <w:tblHeader/>
        </w:trPr>
        <w:tc>
          <w:tcPr>
            <w:tcW w:w="244" w:type="pct"/>
            <w:vAlign w:val="center"/>
          </w:tcPr>
          <w:p w14:paraId="06F8C54F">
            <w:pPr>
              <w:jc w:val="center"/>
              <w:rPr>
                <w:color w:val="000000" w:themeColor="text1"/>
                <w:szCs w:val="22"/>
              </w:rPr>
            </w:pPr>
            <w:r>
              <w:rPr>
                <w:color w:val="000000" w:themeColor="text1"/>
                <w:szCs w:val="22"/>
              </w:rPr>
              <w:t>序号</w:t>
            </w:r>
          </w:p>
        </w:tc>
        <w:tc>
          <w:tcPr>
            <w:tcW w:w="411" w:type="pct"/>
            <w:vAlign w:val="center"/>
          </w:tcPr>
          <w:p w14:paraId="0EDAE2A7">
            <w:pPr>
              <w:jc w:val="center"/>
              <w:rPr>
                <w:color w:val="000000" w:themeColor="text1"/>
                <w:szCs w:val="22"/>
              </w:rPr>
            </w:pPr>
            <w:r>
              <w:rPr>
                <w:color w:val="000000" w:themeColor="text1"/>
                <w:szCs w:val="22"/>
              </w:rPr>
              <w:t>用水对象</w:t>
            </w:r>
          </w:p>
        </w:tc>
        <w:tc>
          <w:tcPr>
            <w:tcW w:w="866" w:type="pct"/>
            <w:gridSpan w:val="2"/>
            <w:vAlign w:val="center"/>
          </w:tcPr>
          <w:p w14:paraId="12652D82">
            <w:pPr>
              <w:jc w:val="center"/>
              <w:rPr>
                <w:color w:val="000000" w:themeColor="text1"/>
                <w:szCs w:val="22"/>
              </w:rPr>
            </w:pPr>
            <w:r>
              <w:rPr>
                <w:color w:val="000000" w:themeColor="text1"/>
                <w:szCs w:val="22"/>
              </w:rPr>
              <w:t>用水情况</w:t>
            </w:r>
          </w:p>
        </w:tc>
        <w:tc>
          <w:tcPr>
            <w:tcW w:w="809" w:type="pct"/>
            <w:vAlign w:val="center"/>
          </w:tcPr>
          <w:p w14:paraId="0567C20C">
            <w:pPr>
              <w:jc w:val="center"/>
              <w:rPr>
                <w:color w:val="000000" w:themeColor="text1"/>
                <w:szCs w:val="22"/>
              </w:rPr>
            </w:pPr>
            <w:r>
              <w:rPr>
                <w:color w:val="000000" w:themeColor="text1"/>
                <w:szCs w:val="22"/>
              </w:rPr>
              <w:t>经济指标</w:t>
            </w:r>
          </w:p>
        </w:tc>
        <w:tc>
          <w:tcPr>
            <w:tcW w:w="891" w:type="pct"/>
            <w:vAlign w:val="center"/>
          </w:tcPr>
          <w:p w14:paraId="2E70757B">
            <w:pPr>
              <w:jc w:val="center"/>
              <w:rPr>
                <w:color w:val="000000" w:themeColor="text1"/>
                <w:szCs w:val="22"/>
              </w:rPr>
            </w:pPr>
            <w:r>
              <w:rPr>
                <w:color w:val="000000" w:themeColor="text1"/>
                <w:szCs w:val="22"/>
              </w:rPr>
              <w:t>单位用水指标</w:t>
            </w:r>
          </w:p>
        </w:tc>
        <w:tc>
          <w:tcPr>
            <w:tcW w:w="662" w:type="pct"/>
            <w:vAlign w:val="center"/>
          </w:tcPr>
          <w:p w14:paraId="2F962828">
            <w:pPr>
              <w:jc w:val="center"/>
              <w:rPr>
                <w:color w:val="000000" w:themeColor="text1"/>
                <w:szCs w:val="22"/>
              </w:rPr>
            </w:pPr>
            <w:r>
              <w:rPr>
                <w:color w:val="000000" w:themeColor="text1"/>
                <w:szCs w:val="22"/>
              </w:rPr>
              <w:t>新鲜水量(m</w:t>
            </w:r>
            <w:r>
              <w:rPr>
                <w:color w:val="000000" w:themeColor="text1"/>
                <w:szCs w:val="22"/>
                <w:vertAlign w:val="superscript"/>
              </w:rPr>
              <w:t>3</w:t>
            </w:r>
            <w:r>
              <w:rPr>
                <w:color w:val="000000" w:themeColor="text1"/>
                <w:szCs w:val="22"/>
              </w:rPr>
              <w:t>/d)</w:t>
            </w:r>
          </w:p>
        </w:tc>
        <w:tc>
          <w:tcPr>
            <w:tcW w:w="493" w:type="pct"/>
            <w:vAlign w:val="center"/>
          </w:tcPr>
          <w:p w14:paraId="151A576F">
            <w:pPr>
              <w:jc w:val="center"/>
              <w:rPr>
                <w:color w:val="000000" w:themeColor="text1"/>
                <w:szCs w:val="22"/>
              </w:rPr>
            </w:pPr>
            <w:r>
              <w:rPr>
                <w:color w:val="000000" w:themeColor="text1"/>
                <w:szCs w:val="22"/>
              </w:rPr>
              <w:t>回用量(m</w:t>
            </w:r>
            <w:r>
              <w:rPr>
                <w:color w:val="000000" w:themeColor="text1"/>
                <w:szCs w:val="22"/>
                <w:vertAlign w:val="superscript"/>
              </w:rPr>
              <w:t>3</w:t>
            </w:r>
            <w:r>
              <w:rPr>
                <w:color w:val="000000" w:themeColor="text1"/>
                <w:szCs w:val="22"/>
              </w:rPr>
              <w:t>/d)</w:t>
            </w:r>
          </w:p>
        </w:tc>
        <w:tc>
          <w:tcPr>
            <w:tcW w:w="624" w:type="pct"/>
            <w:vAlign w:val="center"/>
          </w:tcPr>
          <w:p w14:paraId="52379A17">
            <w:pPr>
              <w:jc w:val="center"/>
              <w:rPr>
                <w:color w:val="000000" w:themeColor="text1"/>
                <w:szCs w:val="22"/>
              </w:rPr>
            </w:pPr>
            <w:r>
              <w:rPr>
                <w:color w:val="000000" w:themeColor="text1"/>
                <w:szCs w:val="22"/>
              </w:rPr>
              <w:t>废水量</w:t>
            </w:r>
          </w:p>
          <w:p w14:paraId="2AB34E7B">
            <w:pPr>
              <w:jc w:val="center"/>
              <w:rPr>
                <w:color w:val="000000" w:themeColor="text1"/>
                <w:szCs w:val="22"/>
              </w:rPr>
            </w:pPr>
            <w:r>
              <w:rPr>
                <w:color w:val="000000" w:themeColor="text1"/>
                <w:szCs w:val="22"/>
              </w:rPr>
              <w:t>(m</w:t>
            </w:r>
            <w:r>
              <w:rPr>
                <w:color w:val="000000" w:themeColor="text1"/>
                <w:szCs w:val="22"/>
                <w:vertAlign w:val="superscript"/>
              </w:rPr>
              <w:t>3</w:t>
            </w:r>
            <w:r>
              <w:rPr>
                <w:color w:val="000000" w:themeColor="text1"/>
                <w:szCs w:val="22"/>
              </w:rPr>
              <w:t>/d)</w:t>
            </w:r>
          </w:p>
        </w:tc>
      </w:tr>
      <w:tr w14:paraId="501C5B07">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44" w:type="pct"/>
            <w:vMerge w:val="restart"/>
            <w:vAlign w:val="center"/>
          </w:tcPr>
          <w:p w14:paraId="4AA34109">
            <w:pPr>
              <w:jc w:val="center"/>
              <w:rPr>
                <w:color w:val="000000" w:themeColor="text1"/>
                <w:szCs w:val="22"/>
              </w:rPr>
            </w:pPr>
            <w:r>
              <w:rPr>
                <w:color w:val="000000" w:themeColor="text1"/>
                <w:szCs w:val="22"/>
              </w:rPr>
              <w:t>1</w:t>
            </w:r>
          </w:p>
        </w:tc>
        <w:tc>
          <w:tcPr>
            <w:tcW w:w="411" w:type="pct"/>
            <w:vMerge w:val="restart"/>
            <w:vAlign w:val="center"/>
          </w:tcPr>
          <w:p w14:paraId="4C7CFC8A">
            <w:pPr>
              <w:jc w:val="center"/>
              <w:rPr>
                <w:color w:val="000000" w:themeColor="text1"/>
                <w:szCs w:val="22"/>
              </w:rPr>
            </w:pPr>
            <w:r>
              <w:rPr>
                <w:iCs/>
                <w:color w:val="000000" w:themeColor="text1"/>
                <w:szCs w:val="22"/>
              </w:rPr>
              <w:t>生活</w:t>
            </w:r>
          </w:p>
        </w:tc>
        <w:tc>
          <w:tcPr>
            <w:tcW w:w="866" w:type="pct"/>
            <w:gridSpan w:val="2"/>
            <w:vAlign w:val="center"/>
          </w:tcPr>
          <w:p w14:paraId="3DDE01C6">
            <w:pPr>
              <w:jc w:val="center"/>
              <w:rPr>
                <w:color w:val="000000" w:themeColor="text1"/>
                <w:szCs w:val="21"/>
              </w:rPr>
            </w:pPr>
            <w:r>
              <w:rPr>
                <w:color w:val="000000" w:themeColor="text1"/>
                <w:szCs w:val="21"/>
              </w:rPr>
              <w:t>住宿、办公</w:t>
            </w:r>
          </w:p>
        </w:tc>
        <w:tc>
          <w:tcPr>
            <w:tcW w:w="809" w:type="pct"/>
            <w:vAlign w:val="center"/>
          </w:tcPr>
          <w:p w14:paraId="6375E225">
            <w:pPr>
              <w:jc w:val="center"/>
              <w:rPr>
                <w:iCs/>
                <w:color w:val="000000" w:themeColor="text1"/>
                <w:szCs w:val="21"/>
              </w:rPr>
            </w:pPr>
            <w:r>
              <w:rPr>
                <w:iCs/>
                <w:color w:val="000000" w:themeColor="text1"/>
                <w:szCs w:val="21"/>
              </w:rPr>
              <w:t>20人</w:t>
            </w:r>
          </w:p>
        </w:tc>
        <w:tc>
          <w:tcPr>
            <w:tcW w:w="891" w:type="pct"/>
            <w:vAlign w:val="center"/>
          </w:tcPr>
          <w:p w14:paraId="59E7A666">
            <w:pPr>
              <w:jc w:val="center"/>
              <w:rPr>
                <w:i/>
                <w:color w:val="000000" w:themeColor="text1"/>
                <w:szCs w:val="22"/>
              </w:rPr>
            </w:pPr>
            <w:r>
              <w:rPr>
                <w:iCs/>
                <w:color w:val="000000" w:themeColor="text1"/>
                <w:szCs w:val="21"/>
              </w:rPr>
              <w:t>90L/</w:t>
            </w:r>
            <w:r>
              <w:rPr>
                <w:color w:val="000000" w:themeColor="text1"/>
                <w:szCs w:val="22"/>
              </w:rPr>
              <w:t>（人·d）</w:t>
            </w:r>
          </w:p>
        </w:tc>
        <w:tc>
          <w:tcPr>
            <w:tcW w:w="662" w:type="pct"/>
            <w:vAlign w:val="center"/>
          </w:tcPr>
          <w:p w14:paraId="25367F7A">
            <w:pPr>
              <w:jc w:val="center"/>
              <w:rPr>
                <w:color w:val="000000" w:themeColor="text1"/>
                <w:szCs w:val="21"/>
              </w:rPr>
            </w:pPr>
            <w:r>
              <w:rPr>
                <w:color w:val="000000" w:themeColor="text1"/>
                <w:szCs w:val="21"/>
              </w:rPr>
              <w:t>1.8</w:t>
            </w:r>
          </w:p>
        </w:tc>
        <w:tc>
          <w:tcPr>
            <w:tcW w:w="493" w:type="pct"/>
            <w:vAlign w:val="center"/>
          </w:tcPr>
          <w:p w14:paraId="792C6159">
            <w:pPr>
              <w:jc w:val="center"/>
              <w:rPr>
                <w:color w:val="000000" w:themeColor="text1"/>
                <w:szCs w:val="21"/>
              </w:rPr>
            </w:pPr>
            <w:r>
              <w:rPr>
                <w:color w:val="000000" w:themeColor="text1"/>
                <w:szCs w:val="21"/>
              </w:rPr>
              <w:t>/</w:t>
            </w:r>
          </w:p>
        </w:tc>
        <w:tc>
          <w:tcPr>
            <w:tcW w:w="624" w:type="pct"/>
            <w:vAlign w:val="center"/>
          </w:tcPr>
          <w:p w14:paraId="037E91A9">
            <w:pPr>
              <w:jc w:val="center"/>
              <w:rPr>
                <w:color w:val="000000" w:themeColor="text1"/>
                <w:szCs w:val="21"/>
              </w:rPr>
            </w:pPr>
            <w:r>
              <w:rPr>
                <w:color w:val="000000" w:themeColor="text1"/>
                <w:szCs w:val="21"/>
              </w:rPr>
              <w:t>1.44</w:t>
            </w:r>
          </w:p>
        </w:tc>
      </w:tr>
      <w:tr w14:paraId="10DD4E46">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44" w:type="pct"/>
            <w:vMerge w:val="continue"/>
            <w:vAlign w:val="center"/>
          </w:tcPr>
          <w:p w14:paraId="538CD8EB">
            <w:pPr>
              <w:jc w:val="center"/>
              <w:rPr>
                <w:color w:val="000000" w:themeColor="text1"/>
                <w:szCs w:val="22"/>
              </w:rPr>
            </w:pPr>
          </w:p>
        </w:tc>
        <w:tc>
          <w:tcPr>
            <w:tcW w:w="411" w:type="pct"/>
            <w:vMerge w:val="continue"/>
            <w:vAlign w:val="center"/>
          </w:tcPr>
          <w:p w14:paraId="3567DCD0">
            <w:pPr>
              <w:jc w:val="center"/>
              <w:rPr>
                <w:iCs/>
                <w:color w:val="000000" w:themeColor="text1"/>
                <w:szCs w:val="22"/>
              </w:rPr>
            </w:pPr>
          </w:p>
        </w:tc>
        <w:tc>
          <w:tcPr>
            <w:tcW w:w="866" w:type="pct"/>
            <w:gridSpan w:val="2"/>
            <w:vAlign w:val="center"/>
          </w:tcPr>
          <w:p w14:paraId="397D346A">
            <w:pPr>
              <w:jc w:val="center"/>
              <w:rPr>
                <w:color w:val="000000" w:themeColor="text1"/>
                <w:szCs w:val="21"/>
              </w:rPr>
            </w:pPr>
            <w:r>
              <w:rPr>
                <w:color w:val="000000" w:themeColor="text1"/>
                <w:szCs w:val="21"/>
              </w:rPr>
              <w:t>食堂</w:t>
            </w:r>
          </w:p>
        </w:tc>
        <w:tc>
          <w:tcPr>
            <w:tcW w:w="809" w:type="pct"/>
            <w:vAlign w:val="center"/>
          </w:tcPr>
          <w:p w14:paraId="19319ABB">
            <w:pPr>
              <w:jc w:val="center"/>
              <w:rPr>
                <w:iCs/>
                <w:color w:val="000000" w:themeColor="text1"/>
                <w:szCs w:val="21"/>
              </w:rPr>
            </w:pPr>
            <w:r>
              <w:rPr>
                <w:iCs/>
                <w:color w:val="000000" w:themeColor="text1"/>
                <w:szCs w:val="21"/>
              </w:rPr>
              <w:t>20人</w:t>
            </w:r>
          </w:p>
        </w:tc>
        <w:tc>
          <w:tcPr>
            <w:tcW w:w="891" w:type="pct"/>
            <w:vAlign w:val="center"/>
          </w:tcPr>
          <w:p w14:paraId="35CBCDF9">
            <w:pPr>
              <w:jc w:val="center"/>
              <w:rPr>
                <w:iCs/>
                <w:color w:val="000000" w:themeColor="text1"/>
                <w:szCs w:val="21"/>
              </w:rPr>
            </w:pPr>
            <w:r>
              <w:rPr>
                <w:iCs/>
                <w:color w:val="000000" w:themeColor="text1"/>
                <w:szCs w:val="21"/>
              </w:rPr>
              <w:t>20</w:t>
            </w:r>
            <w:r>
              <w:rPr>
                <w:color w:val="000000" w:themeColor="text1"/>
                <w:szCs w:val="22"/>
              </w:rPr>
              <w:t>L/（人·d）</w:t>
            </w:r>
          </w:p>
        </w:tc>
        <w:tc>
          <w:tcPr>
            <w:tcW w:w="662" w:type="pct"/>
            <w:vAlign w:val="center"/>
          </w:tcPr>
          <w:p w14:paraId="30D4666B">
            <w:pPr>
              <w:jc w:val="center"/>
              <w:rPr>
                <w:color w:val="000000" w:themeColor="text1"/>
                <w:szCs w:val="21"/>
              </w:rPr>
            </w:pPr>
            <w:r>
              <w:rPr>
                <w:color w:val="000000" w:themeColor="text1"/>
                <w:szCs w:val="21"/>
              </w:rPr>
              <w:t>0.4</w:t>
            </w:r>
          </w:p>
        </w:tc>
        <w:tc>
          <w:tcPr>
            <w:tcW w:w="493" w:type="pct"/>
            <w:vAlign w:val="center"/>
          </w:tcPr>
          <w:p w14:paraId="677A00B7">
            <w:pPr>
              <w:jc w:val="center"/>
              <w:rPr>
                <w:color w:val="000000" w:themeColor="text1"/>
                <w:szCs w:val="21"/>
              </w:rPr>
            </w:pPr>
            <w:r>
              <w:rPr>
                <w:color w:val="000000" w:themeColor="text1"/>
                <w:szCs w:val="21"/>
              </w:rPr>
              <w:t>/</w:t>
            </w:r>
          </w:p>
        </w:tc>
        <w:tc>
          <w:tcPr>
            <w:tcW w:w="624" w:type="pct"/>
            <w:vAlign w:val="center"/>
          </w:tcPr>
          <w:p w14:paraId="558F2511">
            <w:pPr>
              <w:jc w:val="center"/>
              <w:rPr>
                <w:color w:val="000000" w:themeColor="text1"/>
                <w:szCs w:val="21"/>
              </w:rPr>
            </w:pPr>
            <w:r>
              <w:rPr>
                <w:color w:val="000000" w:themeColor="text1"/>
                <w:szCs w:val="21"/>
              </w:rPr>
              <w:t>0.32</w:t>
            </w:r>
          </w:p>
        </w:tc>
      </w:tr>
      <w:tr w14:paraId="550B9FA4">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44" w:type="pct"/>
            <w:vMerge w:val="restart"/>
            <w:vAlign w:val="center"/>
          </w:tcPr>
          <w:p w14:paraId="51AE326A">
            <w:pPr>
              <w:jc w:val="center"/>
              <w:rPr>
                <w:color w:val="000000" w:themeColor="text1"/>
                <w:szCs w:val="22"/>
              </w:rPr>
            </w:pPr>
            <w:r>
              <w:rPr>
                <w:color w:val="000000" w:themeColor="text1"/>
                <w:szCs w:val="22"/>
              </w:rPr>
              <w:t>2</w:t>
            </w:r>
          </w:p>
        </w:tc>
        <w:tc>
          <w:tcPr>
            <w:tcW w:w="411" w:type="pct"/>
            <w:vMerge w:val="restart"/>
            <w:vAlign w:val="center"/>
          </w:tcPr>
          <w:p w14:paraId="531B850B">
            <w:pPr>
              <w:jc w:val="center"/>
              <w:rPr>
                <w:iCs/>
                <w:color w:val="000000" w:themeColor="text1"/>
                <w:szCs w:val="22"/>
              </w:rPr>
            </w:pPr>
            <w:r>
              <w:rPr>
                <w:iCs/>
                <w:color w:val="000000" w:themeColor="text1"/>
                <w:szCs w:val="22"/>
              </w:rPr>
              <w:t>生产</w:t>
            </w:r>
          </w:p>
        </w:tc>
        <w:tc>
          <w:tcPr>
            <w:tcW w:w="465" w:type="pct"/>
            <w:vMerge w:val="restart"/>
            <w:vAlign w:val="center"/>
          </w:tcPr>
          <w:p w14:paraId="35759969">
            <w:pPr>
              <w:jc w:val="center"/>
              <w:rPr>
                <w:color w:val="000000" w:themeColor="text1"/>
                <w:szCs w:val="21"/>
              </w:rPr>
            </w:pPr>
            <w:r>
              <w:rPr>
                <w:color w:val="000000" w:themeColor="text1"/>
                <w:szCs w:val="21"/>
              </w:rPr>
              <w:t>破碎清洗工序</w:t>
            </w:r>
          </w:p>
        </w:tc>
        <w:tc>
          <w:tcPr>
            <w:tcW w:w="401" w:type="pct"/>
            <w:vAlign w:val="center"/>
          </w:tcPr>
          <w:p w14:paraId="661938AF">
            <w:pPr>
              <w:jc w:val="center"/>
              <w:rPr>
                <w:color w:val="000000" w:themeColor="text1"/>
                <w:szCs w:val="21"/>
              </w:rPr>
            </w:pPr>
            <w:r>
              <w:rPr>
                <w:iCs/>
                <w:color w:val="000000" w:themeColor="text1"/>
                <w:szCs w:val="22"/>
              </w:rPr>
              <w:t>清洗</w:t>
            </w:r>
          </w:p>
        </w:tc>
        <w:tc>
          <w:tcPr>
            <w:tcW w:w="809" w:type="pct"/>
            <w:vAlign w:val="center"/>
          </w:tcPr>
          <w:p w14:paraId="7B13946F">
            <w:pPr>
              <w:jc w:val="center"/>
              <w:rPr>
                <w:color w:val="000000" w:themeColor="text1"/>
                <w:kern w:val="0"/>
                <w:szCs w:val="21"/>
              </w:rPr>
            </w:pPr>
            <w:r>
              <w:rPr>
                <w:color w:val="000000" w:themeColor="text1"/>
                <w:kern w:val="0"/>
                <w:szCs w:val="21"/>
              </w:rPr>
              <w:t>16.693t/d</w:t>
            </w:r>
          </w:p>
        </w:tc>
        <w:tc>
          <w:tcPr>
            <w:tcW w:w="891" w:type="pct"/>
            <w:vAlign w:val="center"/>
          </w:tcPr>
          <w:p w14:paraId="6CC6F695">
            <w:pPr>
              <w:jc w:val="center"/>
              <w:rPr>
                <w:color w:val="000000" w:themeColor="text1"/>
                <w:szCs w:val="21"/>
              </w:rPr>
            </w:pPr>
            <w:bookmarkStart w:id="298" w:name="OLE_LINK7"/>
            <w:r>
              <w:rPr>
                <w:color w:val="000000" w:themeColor="text1"/>
                <w:szCs w:val="21"/>
              </w:rPr>
              <w:t>1.92t水 /t塑料</w:t>
            </w:r>
            <w:bookmarkEnd w:id="298"/>
          </w:p>
        </w:tc>
        <w:tc>
          <w:tcPr>
            <w:tcW w:w="662" w:type="pct"/>
            <w:vAlign w:val="center"/>
          </w:tcPr>
          <w:p w14:paraId="25B80D9E">
            <w:pPr>
              <w:jc w:val="center"/>
              <w:rPr>
                <w:color w:val="000000" w:themeColor="text1"/>
                <w:szCs w:val="21"/>
              </w:rPr>
            </w:pPr>
            <w:r>
              <w:rPr>
                <w:color w:val="000000" w:themeColor="text1"/>
                <w:szCs w:val="21"/>
              </w:rPr>
              <w:t>2.39</w:t>
            </w:r>
          </w:p>
        </w:tc>
        <w:tc>
          <w:tcPr>
            <w:tcW w:w="493" w:type="pct"/>
            <w:vAlign w:val="center"/>
          </w:tcPr>
          <w:p w14:paraId="10688A86">
            <w:pPr>
              <w:jc w:val="center"/>
              <w:rPr>
                <w:color w:val="000000" w:themeColor="text1"/>
                <w:szCs w:val="21"/>
              </w:rPr>
            </w:pPr>
            <w:r>
              <w:rPr>
                <w:color w:val="000000" w:themeColor="text1"/>
                <w:szCs w:val="21"/>
              </w:rPr>
              <w:t xml:space="preserve">29.66 </w:t>
            </w:r>
          </w:p>
        </w:tc>
        <w:tc>
          <w:tcPr>
            <w:tcW w:w="624" w:type="pct"/>
            <w:vAlign w:val="center"/>
          </w:tcPr>
          <w:p w14:paraId="545C2834">
            <w:pPr>
              <w:jc w:val="center"/>
              <w:rPr>
                <w:color w:val="000000" w:themeColor="text1"/>
                <w:szCs w:val="21"/>
              </w:rPr>
            </w:pPr>
            <w:r>
              <w:rPr>
                <w:color w:val="000000" w:themeColor="text1"/>
                <w:szCs w:val="21"/>
              </w:rPr>
              <w:t>22.45</w:t>
            </w:r>
          </w:p>
        </w:tc>
      </w:tr>
      <w:tr w14:paraId="1E79F953">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44" w:type="pct"/>
            <w:vMerge w:val="continue"/>
            <w:vAlign w:val="center"/>
          </w:tcPr>
          <w:p w14:paraId="107891C8">
            <w:pPr>
              <w:jc w:val="center"/>
              <w:rPr>
                <w:color w:val="000000" w:themeColor="text1"/>
                <w:szCs w:val="22"/>
              </w:rPr>
            </w:pPr>
          </w:p>
        </w:tc>
        <w:tc>
          <w:tcPr>
            <w:tcW w:w="411" w:type="pct"/>
            <w:vMerge w:val="continue"/>
            <w:vAlign w:val="center"/>
          </w:tcPr>
          <w:p w14:paraId="3FB3CC45">
            <w:pPr>
              <w:jc w:val="center"/>
              <w:rPr>
                <w:iCs/>
                <w:color w:val="000000" w:themeColor="text1"/>
                <w:szCs w:val="22"/>
              </w:rPr>
            </w:pPr>
          </w:p>
        </w:tc>
        <w:tc>
          <w:tcPr>
            <w:tcW w:w="465" w:type="pct"/>
            <w:vMerge w:val="continue"/>
            <w:vAlign w:val="center"/>
          </w:tcPr>
          <w:p w14:paraId="155257ED">
            <w:pPr>
              <w:jc w:val="center"/>
              <w:rPr>
                <w:iCs/>
                <w:color w:val="000000" w:themeColor="text1"/>
                <w:szCs w:val="22"/>
              </w:rPr>
            </w:pPr>
          </w:p>
        </w:tc>
        <w:tc>
          <w:tcPr>
            <w:tcW w:w="401" w:type="pct"/>
            <w:vAlign w:val="center"/>
          </w:tcPr>
          <w:p w14:paraId="01B64877">
            <w:pPr>
              <w:jc w:val="center"/>
              <w:rPr>
                <w:iCs/>
                <w:color w:val="000000" w:themeColor="text1"/>
                <w:szCs w:val="22"/>
              </w:rPr>
            </w:pPr>
            <w:r>
              <w:rPr>
                <w:iCs/>
                <w:color w:val="000000" w:themeColor="text1"/>
                <w:szCs w:val="22"/>
              </w:rPr>
              <w:t>破碎</w:t>
            </w:r>
          </w:p>
        </w:tc>
        <w:tc>
          <w:tcPr>
            <w:tcW w:w="809" w:type="pct"/>
            <w:vAlign w:val="center"/>
          </w:tcPr>
          <w:p w14:paraId="29B2177B">
            <w:pPr>
              <w:jc w:val="center"/>
              <w:rPr>
                <w:color w:val="000000" w:themeColor="text1"/>
                <w:kern w:val="0"/>
                <w:szCs w:val="21"/>
              </w:rPr>
            </w:pPr>
            <w:r>
              <w:rPr>
                <w:color w:val="000000" w:themeColor="text1"/>
                <w:kern w:val="0"/>
                <w:szCs w:val="21"/>
              </w:rPr>
              <w:t>16.693t/d</w:t>
            </w:r>
          </w:p>
        </w:tc>
        <w:tc>
          <w:tcPr>
            <w:tcW w:w="891" w:type="pct"/>
            <w:vAlign w:val="center"/>
          </w:tcPr>
          <w:p w14:paraId="4DE45620">
            <w:pPr>
              <w:jc w:val="center"/>
              <w:rPr>
                <w:color w:val="000000" w:themeColor="text1"/>
                <w:szCs w:val="21"/>
              </w:rPr>
            </w:pPr>
            <w:r>
              <w:rPr>
                <w:color w:val="000000" w:themeColor="text1"/>
                <w:szCs w:val="21"/>
              </w:rPr>
              <w:t>0.48t水/t塑料</w:t>
            </w:r>
          </w:p>
        </w:tc>
        <w:tc>
          <w:tcPr>
            <w:tcW w:w="662" w:type="pct"/>
            <w:vAlign w:val="center"/>
          </w:tcPr>
          <w:p w14:paraId="1CA78F83">
            <w:pPr>
              <w:jc w:val="center"/>
              <w:rPr>
                <w:color w:val="000000" w:themeColor="text1"/>
                <w:szCs w:val="21"/>
              </w:rPr>
            </w:pPr>
            <w:r>
              <w:rPr>
                <w:color w:val="000000" w:themeColor="text1"/>
                <w:szCs w:val="21"/>
              </w:rPr>
              <w:t xml:space="preserve">8.01 </w:t>
            </w:r>
          </w:p>
        </w:tc>
        <w:tc>
          <w:tcPr>
            <w:tcW w:w="493" w:type="pct"/>
            <w:vAlign w:val="center"/>
          </w:tcPr>
          <w:p w14:paraId="4CDE7F0A">
            <w:pPr>
              <w:jc w:val="center"/>
              <w:rPr>
                <w:color w:val="000000" w:themeColor="text1"/>
                <w:szCs w:val="21"/>
              </w:rPr>
            </w:pPr>
            <w:r>
              <w:rPr>
                <w:color w:val="000000" w:themeColor="text1"/>
                <w:szCs w:val="21"/>
              </w:rPr>
              <w:t>/</w:t>
            </w:r>
          </w:p>
        </w:tc>
        <w:tc>
          <w:tcPr>
            <w:tcW w:w="624" w:type="pct"/>
            <w:vAlign w:val="center"/>
          </w:tcPr>
          <w:p w14:paraId="4F8F9AD8">
            <w:pPr>
              <w:jc w:val="center"/>
              <w:rPr>
                <w:color w:val="000000" w:themeColor="text1"/>
                <w:szCs w:val="21"/>
              </w:rPr>
            </w:pPr>
            <w:r>
              <w:rPr>
                <w:color w:val="000000" w:themeColor="text1"/>
                <w:szCs w:val="21"/>
              </w:rPr>
              <w:t>7.21</w:t>
            </w:r>
          </w:p>
        </w:tc>
      </w:tr>
      <w:tr w14:paraId="4DE89AA9">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44" w:type="pct"/>
            <w:vMerge w:val="continue"/>
            <w:vAlign w:val="center"/>
          </w:tcPr>
          <w:p w14:paraId="4A634AE6">
            <w:pPr>
              <w:jc w:val="center"/>
              <w:rPr>
                <w:color w:val="000000" w:themeColor="text1"/>
                <w:szCs w:val="22"/>
              </w:rPr>
            </w:pPr>
          </w:p>
        </w:tc>
        <w:tc>
          <w:tcPr>
            <w:tcW w:w="411" w:type="pct"/>
            <w:vMerge w:val="continue"/>
            <w:vAlign w:val="center"/>
          </w:tcPr>
          <w:p w14:paraId="43D46657">
            <w:pPr>
              <w:jc w:val="center"/>
              <w:rPr>
                <w:iCs/>
                <w:color w:val="000000" w:themeColor="text1"/>
                <w:szCs w:val="22"/>
              </w:rPr>
            </w:pPr>
          </w:p>
        </w:tc>
        <w:tc>
          <w:tcPr>
            <w:tcW w:w="866" w:type="pct"/>
            <w:gridSpan w:val="2"/>
            <w:vAlign w:val="center"/>
          </w:tcPr>
          <w:p w14:paraId="7AA09BB0">
            <w:pPr>
              <w:jc w:val="center"/>
              <w:rPr>
                <w:iCs/>
                <w:color w:val="000000" w:themeColor="text1"/>
                <w:szCs w:val="22"/>
              </w:rPr>
            </w:pPr>
            <w:r>
              <w:rPr>
                <w:iCs/>
                <w:color w:val="000000" w:themeColor="text1"/>
                <w:szCs w:val="22"/>
              </w:rPr>
              <w:t>造粒冷却水</w:t>
            </w:r>
          </w:p>
        </w:tc>
        <w:tc>
          <w:tcPr>
            <w:tcW w:w="809" w:type="pct"/>
            <w:vAlign w:val="center"/>
          </w:tcPr>
          <w:p w14:paraId="6B2935D6">
            <w:pPr>
              <w:jc w:val="center"/>
              <w:rPr>
                <w:color w:val="000000" w:themeColor="text1"/>
                <w:kern w:val="0"/>
                <w:szCs w:val="21"/>
              </w:rPr>
            </w:pPr>
            <w:r>
              <w:rPr>
                <w:color w:val="000000" w:themeColor="text1"/>
                <w:kern w:val="0"/>
                <w:szCs w:val="21"/>
              </w:rPr>
              <w:t>循环16m</w:t>
            </w:r>
            <w:r>
              <w:rPr>
                <w:color w:val="000000" w:themeColor="text1"/>
                <w:kern w:val="0"/>
                <w:szCs w:val="21"/>
                <w:vertAlign w:val="superscript"/>
              </w:rPr>
              <w:t>3</w:t>
            </w:r>
            <w:r>
              <w:rPr>
                <w:color w:val="000000" w:themeColor="text1"/>
                <w:kern w:val="0"/>
                <w:szCs w:val="21"/>
              </w:rPr>
              <w:t>/d</w:t>
            </w:r>
          </w:p>
        </w:tc>
        <w:tc>
          <w:tcPr>
            <w:tcW w:w="891" w:type="pct"/>
            <w:vAlign w:val="center"/>
          </w:tcPr>
          <w:p w14:paraId="7FDD6C18">
            <w:pPr>
              <w:jc w:val="center"/>
              <w:rPr>
                <w:color w:val="000000" w:themeColor="text1"/>
                <w:kern w:val="0"/>
                <w:szCs w:val="21"/>
              </w:rPr>
            </w:pPr>
            <w:r>
              <w:rPr>
                <w:color w:val="000000" w:themeColor="text1"/>
                <w:kern w:val="0"/>
                <w:szCs w:val="21"/>
              </w:rPr>
              <w:t>损耗20%</w:t>
            </w:r>
          </w:p>
        </w:tc>
        <w:tc>
          <w:tcPr>
            <w:tcW w:w="662" w:type="pct"/>
            <w:vAlign w:val="center"/>
          </w:tcPr>
          <w:p w14:paraId="3DF32527">
            <w:pPr>
              <w:jc w:val="center"/>
              <w:rPr>
                <w:color w:val="000000" w:themeColor="text1"/>
                <w:szCs w:val="21"/>
              </w:rPr>
            </w:pPr>
            <w:r>
              <w:rPr>
                <w:color w:val="000000" w:themeColor="text1"/>
                <w:szCs w:val="21"/>
              </w:rPr>
              <w:t>3.2</w:t>
            </w:r>
          </w:p>
        </w:tc>
        <w:tc>
          <w:tcPr>
            <w:tcW w:w="493" w:type="pct"/>
            <w:vAlign w:val="center"/>
          </w:tcPr>
          <w:p w14:paraId="52BDB4E7">
            <w:pPr>
              <w:jc w:val="center"/>
              <w:rPr>
                <w:color w:val="000000" w:themeColor="text1"/>
                <w:szCs w:val="21"/>
              </w:rPr>
            </w:pPr>
            <w:r>
              <w:rPr>
                <w:color w:val="000000" w:themeColor="text1"/>
                <w:szCs w:val="21"/>
              </w:rPr>
              <w:t>/</w:t>
            </w:r>
          </w:p>
        </w:tc>
        <w:tc>
          <w:tcPr>
            <w:tcW w:w="624" w:type="pct"/>
            <w:vAlign w:val="center"/>
          </w:tcPr>
          <w:p w14:paraId="42C08C30">
            <w:pPr>
              <w:jc w:val="center"/>
              <w:rPr>
                <w:color w:val="000000" w:themeColor="text1"/>
                <w:szCs w:val="21"/>
              </w:rPr>
            </w:pPr>
            <w:r>
              <w:rPr>
                <w:color w:val="000000" w:themeColor="text1"/>
                <w:szCs w:val="21"/>
              </w:rPr>
              <w:t>/</w:t>
            </w:r>
          </w:p>
        </w:tc>
      </w:tr>
      <w:tr w14:paraId="4A05FA0E">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44" w:type="pct"/>
            <w:vMerge w:val="continue"/>
            <w:vAlign w:val="center"/>
          </w:tcPr>
          <w:p w14:paraId="12FDA3D8">
            <w:pPr>
              <w:jc w:val="center"/>
              <w:rPr>
                <w:color w:val="000000" w:themeColor="text1"/>
                <w:szCs w:val="22"/>
              </w:rPr>
            </w:pPr>
          </w:p>
        </w:tc>
        <w:tc>
          <w:tcPr>
            <w:tcW w:w="411" w:type="pct"/>
            <w:vMerge w:val="continue"/>
            <w:vAlign w:val="center"/>
          </w:tcPr>
          <w:p w14:paraId="6E98AD8E">
            <w:pPr>
              <w:jc w:val="center"/>
              <w:rPr>
                <w:iCs/>
                <w:color w:val="000000" w:themeColor="text1"/>
                <w:szCs w:val="22"/>
              </w:rPr>
            </w:pPr>
          </w:p>
        </w:tc>
        <w:tc>
          <w:tcPr>
            <w:tcW w:w="866" w:type="pct"/>
            <w:gridSpan w:val="2"/>
            <w:vAlign w:val="center"/>
          </w:tcPr>
          <w:p w14:paraId="3FE902A6">
            <w:pPr>
              <w:jc w:val="center"/>
              <w:rPr>
                <w:iCs/>
                <w:color w:val="000000" w:themeColor="text1"/>
                <w:szCs w:val="22"/>
              </w:rPr>
            </w:pPr>
            <w:r>
              <w:rPr>
                <w:iCs/>
                <w:color w:val="000000" w:themeColor="text1"/>
                <w:szCs w:val="22"/>
              </w:rPr>
              <w:t>编织袋冷却水</w:t>
            </w:r>
          </w:p>
        </w:tc>
        <w:tc>
          <w:tcPr>
            <w:tcW w:w="809" w:type="pct"/>
            <w:vAlign w:val="center"/>
          </w:tcPr>
          <w:p w14:paraId="3FA124B2">
            <w:pPr>
              <w:jc w:val="center"/>
              <w:rPr>
                <w:color w:val="000000" w:themeColor="text1"/>
                <w:kern w:val="0"/>
                <w:szCs w:val="21"/>
              </w:rPr>
            </w:pPr>
            <w:r>
              <w:rPr>
                <w:color w:val="000000" w:themeColor="text1"/>
                <w:kern w:val="0"/>
                <w:szCs w:val="21"/>
              </w:rPr>
              <w:t>循环8m</w:t>
            </w:r>
            <w:r>
              <w:rPr>
                <w:color w:val="000000" w:themeColor="text1"/>
                <w:kern w:val="0"/>
                <w:szCs w:val="21"/>
                <w:vertAlign w:val="superscript"/>
              </w:rPr>
              <w:t>3</w:t>
            </w:r>
            <w:r>
              <w:rPr>
                <w:color w:val="000000" w:themeColor="text1"/>
                <w:kern w:val="0"/>
                <w:szCs w:val="21"/>
              </w:rPr>
              <w:t>/d</w:t>
            </w:r>
          </w:p>
        </w:tc>
        <w:tc>
          <w:tcPr>
            <w:tcW w:w="891" w:type="pct"/>
            <w:vAlign w:val="center"/>
          </w:tcPr>
          <w:p w14:paraId="2D7FDEF9">
            <w:pPr>
              <w:jc w:val="center"/>
              <w:rPr>
                <w:color w:val="000000" w:themeColor="text1"/>
                <w:kern w:val="0"/>
                <w:szCs w:val="21"/>
              </w:rPr>
            </w:pPr>
            <w:r>
              <w:rPr>
                <w:color w:val="000000" w:themeColor="text1"/>
                <w:kern w:val="0"/>
                <w:szCs w:val="21"/>
              </w:rPr>
              <w:t>损耗20%</w:t>
            </w:r>
          </w:p>
        </w:tc>
        <w:tc>
          <w:tcPr>
            <w:tcW w:w="662" w:type="pct"/>
            <w:vAlign w:val="center"/>
          </w:tcPr>
          <w:p w14:paraId="6C656B82">
            <w:pPr>
              <w:jc w:val="center"/>
              <w:rPr>
                <w:color w:val="000000" w:themeColor="text1"/>
                <w:szCs w:val="21"/>
              </w:rPr>
            </w:pPr>
            <w:r>
              <w:rPr>
                <w:color w:val="000000" w:themeColor="text1"/>
                <w:szCs w:val="21"/>
              </w:rPr>
              <w:t>1.6</w:t>
            </w:r>
          </w:p>
        </w:tc>
        <w:tc>
          <w:tcPr>
            <w:tcW w:w="493" w:type="pct"/>
            <w:vAlign w:val="center"/>
          </w:tcPr>
          <w:p w14:paraId="2FA33F21">
            <w:pPr>
              <w:jc w:val="center"/>
              <w:rPr>
                <w:color w:val="000000" w:themeColor="text1"/>
                <w:szCs w:val="21"/>
              </w:rPr>
            </w:pPr>
            <w:r>
              <w:rPr>
                <w:color w:val="000000" w:themeColor="text1"/>
                <w:szCs w:val="21"/>
              </w:rPr>
              <w:t>/</w:t>
            </w:r>
          </w:p>
        </w:tc>
        <w:tc>
          <w:tcPr>
            <w:tcW w:w="624" w:type="pct"/>
            <w:vAlign w:val="center"/>
          </w:tcPr>
          <w:p w14:paraId="60D211A4">
            <w:pPr>
              <w:jc w:val="center"/>
              <w:rPr>
                <w:color w:val="000000" w:themeColor="text1"/>
                <w:szCs w:val="21"/>
              </w:rPr>
            </w:pPr>
            <w:r>
              <w:rPr>
                <w:color w:val="000000" w:themeColor="text1"/>
                <w:szCs w:val="21"/>
              </w:rPr>
              <w:t>/</w:t>
            </w:r>
          </w:p>
        </w:tc>
      </w:tr>
      <w:tr w14:paraId="583CE74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44" w:type="pct"/>
            <w:vAlign w:val="center"/>
          </w:tcPr>
          <w:p w14:paraId="2787B4ED">
            <w:pPr>
              <w:jc w:val="center"/>
              <w:rPr>
                <w:color w:val="000000" w:themeColor="text1"/>
                <w:szCs w:val="22"/>
              </w:rPr>
            </w:pPr>
            <w:r>
              <w:rPr>
                <w:color w:val="000000" w:themeColor="text1"/>
                <w:szCs w:val="22"/>
              </w:rPr>
              <w:t>3</w:t>
            </w:r>
          </w:p>
        </w:tc>
        <w:tc>
          <w:tcPr>
            <w:tcW w:w="411" w:type="pct"/>
            <w:vAlign w:val="center"/>
          </w:tcPr>
          <w:p w14:paraId="08612CF4">
            <w:pPr>
              <w:jc w:val="center"/>
              <w:rPr>
                <w:color w:val="000000" w:themeColor="text1"/>
                <w:szCs w:val="22"/>
              </w:rPr>
            </w:pPr>
            <w:r>
              <w:rPr>
                <w:color w:val="000000" w:themeColor="text1"/>
                <w:szCs w:val="22"/>
              </w:rPr>
              <w:t>合计</w:t>
            </w:r>
          </w:p>
        </w:tc>
        <w:tc>
          <w:tcPr>
            <w:tcW w:w="866" w:type="pct"/>
            <w:gridSpan w:val="2"/>
            <w:vAlign w:val="center"/>
          </w:tcPr>
          <w:p w14:paraId="64A4D0CE">
            <w:pPr>
              <w:jc w:val="center"/>
              <w:rPr>
                <w:color w:val="000000" w:themeColor="text1"/>
                <w:szCs w:val="22"/>
              </w:rPr>
            </w:pPr>
            <w:r>
              <w:rPr>
                <w:color w:val="000000" w:themeColor="text1"/>
                <w:szCs w:val="22"/>
              </w:rPr>
              <w:t>/</w:t>
            </w:r>
          </w:p>
        </w:tc>
        <w:tc>
          <w:tcPr>
            <w:tcW w:w="809" w:type="pct"/>
            <w:vAlign w:val="center"/>
          </w:tcPr>
          <w:p w14:paraId="44094C07">
            <w:pPr>
              <w:jc w:val="center"/>
              <w:rPr>
                <w:color w:val="000000" w:themeColor="text1"/>
                <w:szCs w:val="22"/>
              </w:rPr>
            </w:pPr>
          </w:p>
        </w:tc>
        <w:tc>
          <w:tcPr>
            <w:tcW w:w="891" w:type="pct"/>
            <w:vAlign w:val="center"/>
          </w:tcPr>
          <w:p w14:paraId="71928A21">
            <w:pPr>
              <w:jc w:val="center"/>
              <w:rPr>
                <w:color w:val="000000" w:themeColor="text1"/>
                <w:szCs w:val="22"/>
              </w:rPr>
            </w:pPr>
            <w:r>
              <w:rPr>
                <w:color w:val="000000" w:themeColor="text1"/>
                <w:szCs w:val="22"/>
              </w:rPr>
              <w:t>/</w:t>
            </w:r>
          </w:p>
        </w:tc>
        <w:tc>
          <w:tcPr>
            <w:tcW w:w="662" w:type="pct"/>
            <w:vAlign w:val="center"/>
          </w:tcPr>
          <w:p w14:paraId="31BA077E">
            <w:pPr>
              <w:widowControl/>
              <w:jc w:val="center"/>
              <w:rPr>
                <w:rFonts w:eastAsia="等线"/>
                <w:color w:val="000000"/>
                <w:kern w:val="0"/>
                <w:szCs w:val="21"/>
              </w:rPr>
            </w:pPr>
            <w:r>
              <w:rPr>
                <w:rFonts w:eastAsia="等线"/>
                <w:color w:val="000000"/>
                <w:szCs w:val="21"/>
              </w:rPr>
              <w:t>17.4</w:t>
            </w:r>
          </w:p>
        </w:tc>
        <w:tc>
          <w:tcPr>
            <w:tcW w:w="493" w:type="pct"/>
            <w:vAlign w:val="center"/>
          </w:tcPr>
          <w:p w14:paraId="337BD15C">
            <w:pPr>
              <w:jc w:val="center"/>
              <w:rPr>
                <w:rFonts w:eastAsia="等线"/>
                <w:color w:val="000000"/>
                <w:szCs w:val="21"/>
              </w:rPr>
            </w:pPr>
            <w:r>
              <w:rPr>
                <w:rFonts w:eastAsia="等线"/>
                <w:color w:val="000000"/>
                <w:szCs w:val="21"/>
              </w:rPr>
              <w:t>29.66</w:t>
            </w:r>
          </w:p>
        </w:tc>
        <w:tc>
          <w:tcPr>
            <w:tcW w:w="624" w:type="pct"/>
            <w:vAlign w:val="center"/>
          </w:tcPr>
          <w:p w14:paraId="1782B270">
            <w:pPr>
              <w:jc w:val="center"/>
              <w:rPr>
                <w:rFonts w:eastAsia="等线"/>
                <w:color w:val="000000"/>
                <w:szCs w:val="21"/>
              </w:rPr>
            </w:pPr>
            <w:r>
              <w:rPr>
                <w:rFonts w:eastAsia="等线"/>
                <w:color w:val="000000"/>
                <w:szCs w:val="21"/>
              </w:rPr>
              <w:t>31.42</w:t>
            </w:r>
          </w:p>
        </w:tc>
      </w:tr>
    </w:tbl>
    <w:p w14:paraId="3DEB2590">
      <w:pPr>
        <w:jc w:val="center"/>
        <w:rPr>
          <w:b/>
          <w:color w:val="000000" w:themeColor="text1"/>
          <w:sz w:val="24"/>
        </w:rPr>
      </w:pPr>
      <w:r>
        <w:rPr>
          <w:b/>
          <w:color w:val="000000" w:themeColor="text1"/>
          <w:sz w:val="24"/>
        </w:rPr>
        <w:object>
          <v:shape id="_x0000_i1029" o:spt="75" type="#_x0000_t75" style="height:415.7pt;width:441.5pt;" o:ole="t" filled="f" o:preferrelative="t" stroked="f" coordsize="21600,21600">
            <v:path/>
            <v:fill on="f" focussize="0,0"/>
            <v:stroke on="f" joinstyle="miter"/>
            <v:imagedata r:id="rId23" o:title=""/>
            <o:lock v:ext="edit" aspectratio="t"/>
            <w10:wrap type="none"/>
            <w10:anchorlock/>
          </v:shape>
          <o:OLEObject Type="Embed" ProgID="Visio.Drawing.11" ShapeID="_x0000_i1029" DrawAspect="Content" ObjectID="_1468075729">
            <o:LockedField>false</o:LockedField>
          </o:OLEObject>
        </w:object>
      </w:r>
      <w:r>
        <w:rPr>
          <w:b/>
          <w:color w:val="000000" w:themeColor="text1"/>
          <w:sz w:val="24"/>
        </w:rPr>
        <w:t>图3.3-1  项目给排水平衡图（m</w:t>
      </w:r>
      <w:r>
        <w:rPr>
          <w:b/>
          <w:color w:val="000000" w:themeColor="text1"/>
          <w:sz w:val="24"/>
          <w:vertAlign w:val="superscript"/>
        </w:rPr>
        <w:t>3</w:t>
      </w:r>
      <w:r>
        <w:rPr>
          <w:b/>
          <w:color w:val="000000" w:themeColor="text1"/>
          <w:sz w:val="24"/>
        </w:rPr>
        <w:t>/d）</w:t>
      </w:r>
    </w:p>
    <w:p w14:paraId="0F2BF2BE">
      <w:pPr>
        <w:spacing w:line="360" w:lineRule="auto"/>
        <w:ind w:firstLine="480" w:firstLineChars="200"/>
        <w:rPr>
          <w:color w:val="000000" w:themeColor="text1"/>
          <w:sz w:val="24"/>
        </w:rPr>
      </w:pPr>
      <w:r>
        <w:rPr>
          <w:color w:val="000000" w:themeColor="text1"/>
          <w:sz w:val="24"/>
        </w:rPr>
        <w:t>根据上述计算，本项目总废水产生量为31.42m</w:t>
      </w:r>
      <w:r>
        <w:rPr>
          <w:color w:val="000000" w:themeColor="text1"/>
          <w:sz w:val="24"/>
          <w:vertAlign w:val="superscript"/>
        </w:rPr>
        <w:t>3</w:t>
      </w:r>
      <w:r>
        <w:rPr>
          <w:color w:val="000000" w:themeColor="text1"/>
          <w:sz w:val="24"/>
        </w:rPr>
        <w:t>/d；</w:t>
      </w:r>
    </w:p>
    <w:p w14:paraId="20D7437E">
      <w:pPr>
        <w:adjustRightInd w:val="0"/>
        <w:spacing w:line="360" w:lineRule="auto"/>
        <w:ind w:firstLine="480" w:firstLineChars="200"/>
        <w:rPr>
          <w:snapToGrid w:val="0"/>
          <w:color w:val="000000" w:themeColor="text1"/>
          <w:kern w:val="0"/>
          <w:sz w:val="24"/>
          <w:szCs w:val="20"/>
        </w:rPr>
      </w:pPr>
      <w:r>
        <w:rPr>
          <w:color w:val="000000" w:themeColor="text1"/>
          <w:sz w:val="24"/>
        </w:rPr>
        <w:t>其中</w:t>
      </w:r>
      <w:r>
        <w:rPr>
          <w:b/>
          <w:color w:val="000000" w:themeColor="text1"/>
          <w:sz w:val="24"/>
        </w:rPr>
        <w:t>生产废水</w:t>
      </w:r>
      <w:r>
        <w:rPr>
          <w:color w:val="000000" w:themeColor="text1"/>
          <w:sz w:val="24"/>
        </w:rPr>
        <w:t>：清洗破碎废水产生量为29.66m</w:t>
      </w:r>
      <w:r>
        <w:rPr>
          <w:color w:val="000000" w:themeColor="text1"/>
          <w:sz w:val="24"/>
          <w:vertAlign w:val="superscript"/>
        </w:rPr>
        <w:t>3</w:t>
      </w:r>
      <w:r>
        <w:rPr>
          <w:color w:val="000000" w:themeColor="text1"/>
          <w:sz w:val="24"/>
        </w:rPr>
        <w:t>/d，</w:t>
      </w:r>
      <w:r>
        <w:rPr>
          <w:snapToGrid w:val="0"/>
          <w:color w:val="000000" w:themeColor="text1"/>
          <w:kern w:val="0"/>
          <w:sz w:val="24"/>
          <w:szCs w:val="20"/>
        </w:rPr>
        <w:t>经自建污水处理设施（隔油池+沉淀池）处理后，回用于生产。</w:t>
      </w:r>
    </w:p>
    <w:p w14:paraId="2378EB44">
      <w:pPr>
        <w:adjustRightInd w:val="0"/>
        <w:spacing w:line="360" w:lineRule="auto"/>
        <w:ind w:firstLine="480" w:firstLineChars="200"/>
        <w:rPr>
          <w:snapToGrid w:val="0"/>
          <w:color w:val="000000" w:themeColor="text1"/>
          <w:kern w:val="0"/>
          <w:sz w:val="24"/>
          <w:szCs w:val="20"/>
        </w:rPr>
      </w:pPr>
      <w:r>
        <w:rPr>
          <w:snapToGrid w:val="0"/>
          <w:color w:val="000000" w:themeColor="text1"/>
          <w:kern w:val="0"/>
          <w:sz w:val="24"/>
          <w:szCs w:val="20"/>
        </w:rPr>
        <w:t>造粒、编织袋拉丝冷却水循环使用，不外排。</w:t>
      </w:r>
    </w:p>
    <w:p w14:paraId="0532A57B">
      <w:pPr>
        <w:spacing w:line="360" w:lineRule="auto"/>
        <w:ind w:firstLine="480" w:firstLineChars="200"/>
        <w:rPr>
          <w:color w:val="000000" w:themeColor="text1"/>
          <w:sz w:val="24"/>
        </w:rPr>
      </w:pPr>
      <w:r>
        <w:rPr>
          <w:b/>
          <w:color w:val="000000" w:themeColor="text1"/>
          <w:sz w:val="24"/>
        </w:rPr>
        <w:t>生活废水</w:t>
      </w:r>
      <w:r>
        <w:rPr>
          <w:color w:val="000000" w:themeColor="text1"/>
          <w:sz w:val="24"/>
        </w:rPr>
        <w:t>：产生量为1.76m</w:t>
      </w:r>
      <w:r>
        <w:rPr>
          <w:color w:val="000000" w:themeColor="text1"/>
          <w:sz w:val="24"/>
          <w:vertAlign w:val="superscript"/>
        </w:rPr>
        <w:t>3</w:t>
      </w:r>
      <w:r>
        <w:rPr>
          <w:color w:val="000000" w:themeColor="text1"/>
          <w:sz w:val="24"/>
        </w:rPr>
        <w:t>/d，</w:t>
      </w:r>
      <w:r>
        <w:rPr>
          <w:snapToGrid w:val="0"/>
          <w:color w:val="000000" w:themeColor="text1"/>
          <w:kern w:val="0"/>
          <w:sz w:val="24"/>
          <w:szCs w:val="20"/>
        </w:rPr>
        <w:t>经化粪池、隔油池处理后，定期委托周边村民清掏，用于农作物施肥。</w:t>
      </w:r>
    </w:p>
    <w:p w14:paraId="4A192369">
      <w:pPr>
        <w:pStyle w:val="4"/>
        <w:rPr>
          <w:rFonts w:ascii="Times New Roman" w:hAnsi="Times New Roman"/>
          <w:color w:val="000000" w:themeColor="text1"/>
        </w:rPr>
      </w:pPr>
      <w:bookmarkStart w:id="299" w:name="_Toc28117697"/>
      <w:bookmarkStart w:id="300" w:name="_Toc354822882"/>
      <w:bookmarkStart w:id="301" w:name="_Toc290295760"/>
      <w:bookmarkStart w:id="302" w:name="_Toc246836465"/>
      <w:r>
        <w:rPr>
          <w:rFonts w:ascii="Times New Roman" w:hAnsi="Times New Roman"/>
          <w:color w:val="000000" w:themeColor="text1"/>
          <w:szCs w:val="30"/>
        </w:rPr>
        <w:t>3.4</w:t>
      </w:r>
      <w:r>
        <w:rPr>
          <w:rFonts w:ascii="Times New Roman" w:hAnsi="Times New Roman"/>
          <w:color w:val="000000" w:themeColor="text1"/>
        </w:rPr>
        <w:t>施工期污染源产生及排放情况</w:t>
      </w:r>
      <w:bookmarkEnd w:id="299"/>
      <w:bookmarkEnd w:id="300"/>
    </w:p>
    <w:p w14:paraId="012B602D">
      <w:pPr>
        <w:adjustRightInd w:val="0"/>
        <w:spacing w:line="360" w:lineRule="auto"/>
        <w:ind w:firstLine="480" w:firstLineChars="200"/>
        <w:rPr>
          <w:b/>
        </w:rPr>
      </w:pPr>
      <w:r>
        <w:rPr>
          <w:b/>
          <w:snapToGrid w:val="0"/>
          <w:color w:val="000000" w:themeColor="text1"/>
          <w:kern w:val="0"/>
          <w:sz w:val="24"/>
          <w:szCs w:val="20"/>
        </w:rPr>
        <w:t>1、施工期工艺</w:t>
      </w:r>
    </w:p>
    <w:p w14:paraId="6C221A96">
      <w:pPr>
        <w:adjustRightInd w:val="0"/>
        <w:spacing w:line="360" w:lineRule="auto"/>
        <w:ind w:firstLine="480" w:firstLineChars="200"/>
        <w:rPr>
          <w:snapToGrid w:val="0"/>
          <w:color w:val="000000" w:themeColor="text1"/>
          <w:kern w:val="0"/>
          <w:sz w:val="24"/>
          <w:szCs w:val="20"/>
        </w:rPr>
      </w:pPr>
      <w:r>
        <w:rPr>
          <w:snapToGrid w:val="0"/>
          <w:color w:val="000000" w:themeColor="text1"/>
          <w:kern w:val="0"/>
          <w:sz w:val="24"/>
          <w:szCs w:val="20"/>
        </w:rPr>
        <w:t>本项目施工期主要进行现有厂房地面铺设、管线铺设、设备安装等，新建办公室、宿舍等。施工期施工流程及产污节点见图3.4-1。</w:t>
      </w:r>
    </w:p>
    <w:p w14:paraId="1E6619DD">
      <w:r>
        <w:drawing>
          <wp:inline distT="0" distB="0" distL="0" distR="0">
            <wp:extent cx="5274310" cy="26308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5274310" cy="2630805"/>
                    </a:xfrm>
                    <a:prstGeom prst="rect">
                      <a:avLst/>
                    </a:prstGeom>
                  </pic:spPr>
                </pic:pic>
              </a:graphicData>
            </a:graphic>
          </wp:inline>
        </w:drawing>
      </w:r>
    </w:p>
    <w:p w14:paraId="1DC258F6">
      <w:pPr>
        <w:pBdr>
          <w:left w:val="none" w:color="auto" w:sz="0" w:space="4"/>
          <w:bottom w:val="none" w:color="auto" w:sz="0" w:space="1"/>
          <w:right w:val="none" w:color="auto" w:sz="0" w:space="4"/>
        </w:pBdr>
        <w:tabs>
          <w:tab w:val="center" w:pos="4153"/>
          <w:tab w:val="right" w:pos="8306"/>
        </w:tabs>
        <w:snapToGrid w:val="0"/>
        <w:jc w:val="center"/>
        <w:rPr>
          <w:b/>
          <w:color w:val="000000"/>
          <w:sz w:val="24"/>
          <w:lang w:bidi="ar"/>
        </w:rPr>
      </w:pPr>
      <w:r>
        <w:rPr>
          <w:b/>
          <w:bCs/>
          <w:color w:val="000000"/>
          <w:sz w:val="24"/>
        </w:rPr>
        <w:t xml:space="preserve">图3.4-1  </w:t>
      </w:r>
      <w:r>
        <w:rPr>
          <w:b/>
          <w:color w:val="000000"/>
          <w:sz w:val="24"/>
          <w:lang w:bidi="ar"/>
        </w:rPr>
        <w:t>项目施工期工艺流程及产污节点图</w:t>
      </w:r>
    </w:p>
    <w:p w14:paraId="1C625C60">
      <w:pPr>
        <w:adjustRightInd w:val="0"/>
        <w:spacing w:line="360" w:lineRule="auto"/>
        <w:ind w:firstLine="480" w:firstLineChars="200"/>
        <w:rPr>
          <w:snapToGrid w:val="0"/>
          <w:color w:val="000000" w:themeColor="text1"/>
          <w:kern w:val="0"/>
          <w:sz w:val="24"/>
          <w:szCs w:val="20"/>
        </w:rPr>
      </w:pPr>
      <w:r>
        <w:rPr>
          <w:b/>
          <w:snapToGrid w:val="0"/>
          <w:color w:val="000000" w:themeColor="text1"/>
          <w:kern w:val="0"/>
          <w:sz w:val="24"/>
          <w:szCs w:val="20"/>
        </w:rPr>
        <w:t>（1）基础施工</w:t>
      </w:r>
      <w:r>
        <w:rPr>
          <w:snapToGrid w:val="0"/>
          <w:color w:val="000000" w:themeColor="text1"/>
          <w:kern w:val="0"/>
          <w:sz w:val="24"/>
          <w:szCs w:val="20"/>
        </w:rPr>
        <w:t>：包括基地的平整工作、打桩、基槽开挖、浇筑砼垫层、承台模板及梁底测板安装、浇筑基础砼、基础砖砌筑和回填土等工序。主要用到长螺旋桩机、挖掘机、推土机等施工机械；</w:t>
      </w:r>
    </w:p>
    <w:p w14:paraId="1059BC1E">
      <w:pPr>
        <w:adjustRightInd w:val="0"/>
        <w:spacing w:line="360" w:lineRule="auto"/>
        <w:ind w:firstLine="480" w:firstLineChars="200"/>
        <w:rPr>
          <w:snapToGrid w:val="0"/>
          <w:color w:val="000000" w:themeColor="text1"/>
          <w:kern w:val="0"/>
          <w:sz w:val="24"/>
          <w:szCs w:val="20"/>
        </w:rPr>
      </w:pPr>
      <w:r>
        <w:rPr>
          <w:b/>
          <w:snapToGrid w:val="0"/>
          <w:color w:val="000000" w:themeColor="text1"/>
          <w:kern w:val="0"/>
          <w:sz w:val="24"/>
          <w:szCs w:val="20"/>
        </w:rPr>
        <w:t>（2）主体工程：</w:t>
      </w:r>
      <w:r>
        <w:rPr>
          <w:snapToGrid w:val="0"/>
          <w:color w:val="000000" w:themeColor="text1"/>
          <w:kern w:val="0"/>
          <w:sz w:val="24"/>
          <w:szCs w:val="20"/>
        </w:rPr>
        <w:t>主要包括模板安装、钢筋安装、混凝土工程、模板拆除、填充墙工程和门窗框安装等工序。主要用到振捣机、切割机等机械设备；</w:t>
      </w:r>
    </w:p>
    <w:p w14:paraId="6495EF75">
      <w:pPr>
        <w:adjustRightInd w:val="0"/>
        <w:spacing w:line="360" w:lineRule="auto"/>
        <w:ind w:firstLine="480" w:firstLineChars="200"/>
        <w:rPr>
          <w:snapToGrid w:val="0"/>
          <w:color w:val="000000" w:themeColor="text1"/>
          <w:kern w:val="0"/>
          <w:sz w:val="24"/>
          <w:szCs w:val="20"/>
        </w:rPr>
      </w:pPr>
      <w:r>
        <w:rPr>
          <w:b/>
          <w:snapToGrid w:val="0"/>
          <w:color w:val="000000" w:themeColor="text1"/>
          <w:kern w:val="0"/>
          <w:sz w:val="24"/>
          <w:szCs w:val="20"/>
        </w:rPr>
        <w:t>（3）装修工程：</w:t>
      </w:r>
      <w:r>
        <w:rPr>
          <w:snapToGrid w:val="0"/>
          <w:color w:val="000000" w:themeColor="text1"/>
          <w:kern w:val="0"/>
          <w:sz w:val="24"/>
          <w:szCs w:val="20"/>
        </w:rPr>
        <w:t>包括室内外墙面的保温、抹灰、防水等工程以及门扇窗和其他相关设备的安装。主要用到切割机、升降机、砂浆机、电锯等施工机械；</w:t>
      </w:r>
    </w:p>
    <w:p w14:paraId="2C3500F9">
      <w:pPr>
        <w:adjustRightInd w:val="0"/>
        <w:spacing w:line="360" w:lineRule="auto"/>
        <w:ind w:firstLine="480" w:firstLineChars="200"/>
        <w:rPr>
          <w:snapToGrid w:val="0"/>
          <w:color w:val="000000" w:themeColor="text1"/>
          <w:kern w:val="0"/>
          <w:sz w:val="24"/>
          <w:szCs w:val="20"/>
        </w:rPr>
      </w:pPr>
      <w:r>
        <w:rPr>
          <w:b/>
          <w:snapToGrid w:val="0"/>
          <w:color w:val="000000" w:themeColor="text1"/>
          <w:kern w:val="0"/>
          <w:sz w:val="24"/>
          <w:szCs w:val="20"/>
        </w:rPr>
        <w:t>（4）绿化工程：</w:t>
      </w:r>
      <w:r>
        <w:rPr>
          <w:snapToGrid w:val="0"/>
          <w:color w:val="000000" w:themeColor="text1"/>
          <w:kern w:val="0"/>
          <w:sz w:val="24"/>
          <w:szCs w:val="20"/>
        </w:rPr>
        <w:t>绿化工程以人工为主。</w:t>
      </w:r>
    </w:p>
    <w:p w14:paraId="635E7E27">
      <w:pPr>
        <w:pBdr>
          <w:left w:val="none" w:color="auto" w:sz="0" w:space="4"/>
          <w:bottom w:val="none" w:color="auto" w:sz="0" w:space="1"/>
          <w:right w:val="none" w:color="auto" w:sz="0" w:space="4"/>
        </w:pBdr>
        <w:tabs>
          <w:tab w:val="center" w:pos="4153"/>
          <w:tab w:val="right" w:pos="8306"/>
        </w:tabs>
        <w:snapToGrid w:val="0"/>
        <w:jc w:val="center"/>
        <w:rPr>
          <w:b/>
          <w:color w:val="000000"/>
          <w:sz w:val="24"/>
        </w:rPr>
      </w:pPr>
    </w:p>
    <w:p w14:paraId="5263EAD7"/>
    <w:p w14:paraId="4C8B7C76">
      <w:pPr>
        <w:pStyle w:val="105"/>
        <w:rPr>
          <w:rFonts w:eastAsia="新宋体" w:cs="Times New Roman"/>
          <w:b w:val="0"/>
          <w:bCs/>
          <w:color w:val="000000" w:themeColor="text1"/>
          <w:kern w:val="0"/>
          <w:sz w:val="24"/>
        </w:rPr>
      </w:pPr>
      <w:r>
        <w:rPr>
          <w:rFonts w:cs="Times New Roman"/>
          <w:color w:val="000000" w:themeColor="text1"/>
        </w:rPr>
        <w:t>3.4.1施工期废水</w:t>
      </w:r>
    </w:p>
    <w:p w14:paraId="1D0516FA">
      <w:pPr>
        <w:pStyle w:val="296"/>
        <w:ind w:firstLine="480"/>
        <w:rPr>
          <w:rFonts w:cs="Times New Roman"/>
          <w:color w:val="000000" w:themeColor="text1"/>
        </w:rPr>
      </w:pPr>
      <w:r>
        <w:rPr>
          <w:rFonts w:eastAsia="新宋体" w:cs="Times New Roman"/>
          <w:color w:val="000000" w:themeColor="text1"/>
          <w:szCs w:val="21"/>
        </w:rPr>
        <w:t>施工废水主要来源于现有厂房改造、新建宿舍、办公区建设时砂石料冲洗、混凝土养护等施工过程，废水产生量小，主要含有泥沙，主要污染物为SS。</w:t>
      </w:r>
      <w:r>
        <w:rPr>
          <w:rFonts w:cs="Times New Roman"/>
          <w:color w:val="000000" w:themeColor="text1"/>
        </w:rPr>
        <w:t>项目产生施工废水为1.5m</w:t>
      </w:r>
      <w:r>
        <w:rPr>
          <w:rFonts w:cs="Times New Roman"/>
          <w:color w:val="000000" w:themeColor="text1"/>
          <w:vertAlign w:val="superscript"/>
        </w:rPr>
        <w:t>3</w:t>
      </w:r>
      <w:r>
        <w:rPr>
          <w:rFonts w:cs="Times New Roman"/>
          <w:color w:val="000000" w:themeColor="text1"/>
        </w:rPr>
        <w:t>/d，项目施工时拟设置3m</w:t>
      </w:r>
      <w:r>
        <w:rPr>
          <w:rFonts w:cs="Times New Roman"/>
          <w:color w:val="000000" w:themeColor="text1"/>
          <w:vertAlign w:val="superscript"/>
        </w:rPr>
        <w:t>3</w:t>
      </w:r>
      <w:r>
        <w:rPr>
          <w:rFonts w:cs="Times New Roman"/>
          <w:color w:val="000000" w:themeColor="text1"/>
        </w:rPr>
        <w:t>沉淀池，经过沉淀处理后的施工废水全部回用于建筑材料的冲洗和施工场地喷水降尘，不外排。</w:t>
      </w:r>
    </w:p>
    <w:p w14:paraId="62DBD719">
      <w:pPr>
        <w:pStyle w:val="296"/>
        <w:ind w:firstLine="480"/>
        <w:rPr>
          <w:rFonts w:cs="Times New Roman"/>
          <w:color w:val="000000" w:themeColor="text1"/>
        </w:rPr>
      </w:pPr>
      <w:r>
        <w:rPr>
          <w:rFonts w:cs="Times New Roman"/>
          <w:color w:val="000000" w:themeColor="text1"/>
        </w:rPr>
        <w:t>本项目施工期间预计有施工人员15人，在施工场地内设置施工营地。施工人员生活废水主要来源于洗手清洁、入厕等环节，用水按20L/d</w:t>
      </w:r>
      <w:r>
        <w:rPr>
          <w:rFonts w:eastAsia="MS Mincho" w:cs="Times New Roman"/>
          <w:color w:val="000000" w:themeColor="text1"/>
        </w:rPr>
        <w:t>・</w:t>
      </w:r>
      <w:r>
        <w:rPr>
          <w:rFonts w:cs="Times New Roman"/>
          <w:color w:val="000000" w:themeColor="text1"/>
        </w:rPr>
        <w:t>人计，用水量为0.3m</w:t>
      </w:r>
      <w:r>
        <w:rPr>
          <w:rFonts w:cs="Times New Roman"/>
          <w:color w:val="000000" w:themeColor="text1"/>
          <w:vertAlign w:val="superscript"/>
        </w:rPr>
        <w:t>3</w:t>
      </w:r>
      <w:r>
        <w:rPr>
          <w:rFonts w:cs="Times New Roman"/>
          <w:color w:val="000000" w:themeColor="text1"/>
        </w:rPr>
        <w:t>/d，污水排放系数以0.8计，则每天将产生生活污水 0.24m</w:t>
      </w:r>
      <w:r>
        <w:rPr>
          <w:rFonts w:cs="Times New Roman"/>
          <w:color w:val="000000" w:themeColor="text1"/>
          <w:vertAlign w:val="superscript"/>
        </w:rPr>
        <w:t>3</w:t>
      </w:r>
      <w:r>
        <w:rPr>
          <w:rFonts w:cs="Times New Roman"/>
          <w:color w:val="000000" w:themeColor="text1"/>
        </w:rPr>
        <w:t xml:space="preserve"> /d。利用盛达泰硅业现有厕所，定期清掏做农肥使用，不外排。</w:t>
      </w:r>
    </w:p>
    <w:p w14:paraId="44C3A1FE">
      <w:pPr>
        <w:pStyle w:val="105"/>
        <w:rPr>
          <w:rFonts w:cs="Times New Roman"/>
          <w:color w:val="000000" w:themeColor="text1"/>
        </w:rPr>
      </w:pPr>
      <w:r>
        <w:rPr>
          <w:rFonts w:cs="Times New Roman"/>
          <w:color w:val="000000" w:themeColor="text1"/>
        </w:rPr>
        <w:t>3.4.2施工废气</w:t>
      </w:r>
    </w:p>
    <w:p w14:paraId="6DE4DDDF">
      <w:pPr>
        <w:spacing w:line="360" w:lineRule="auto"/>
        <w:ind w:firstLine="480" w:firstLineChars="200"/>
        <w:rPr>
          <w:rFonts w:eastAsia="新宋体"/>
          <w:color w:val="000000" w:themeColor="text1"/>
          <w:sz w:val="24"/>
          <w:szCs w:val="21"/>
        </w:rPr>
      </w:pPr>
      <w:r>
        <w:rPr>
          <w:rFonts w:eastAsia="新宋体"/>
          <w:color w:val="000000" w:themeColor="text1"/>
          <w:sz w:val="24"/>
          <w:szCs w:val="21"/>
        </w:rPr>
        <w:t>施工期的大气污染物主要是扬尘，运输车辆产生少量汽车尾气。</w:t>
      </w:r>
    </w:p>
    <w:p w14:paraId="39664FE9">
      <w:pPr>
        <w:spacing w:line="360" w:lineRule="auto"/>
        <w:ind w:firstLine="480" w:firstLineChars="200"/>
        <w:rPr>
          <w:rFonts w:eastAsia="新宋体"/>
          <w:b/>
          <w:color w:val="000000" w:themeColor="text1"/>
          <w:sz w:val="24"/>
          <w:szCs w:val="21"/>
        </w:rPr>
      </w:pPr>
      <w:r>
        <w:rPr>
          <w:rFonts w:eastAsia="新宋体"/>
          <w:b/>
          <w:color w:val="000000" w:themeColor="text1"/>
          <w:sz w:val="24"/>
          <w:szCs w:val="21"/>
        </w:rPr>
        <w:t>1、扬尘</w:t>
      </w:r>
    </w:p>
    <w:p w14:paraId="38E05763">
      <w:pPr>
        <w:spacing w:line="360" w:lineRule="auto"/>
        <w:ind w:firstLine="480" w:firstLineChars="200"/>
        <w:rPr>
          <w:rFonts w:eastAsia="新宋体"/>
          <w:color w:val="000000" w:themeColor="text1"/>
          <w:sz w:val="24"/>
          <w:szCs w:val="21"/>
        </w:rPr>
      </w:pPr>
      <w:r>
        <w:rPr>
          <w:rFonts w:eastAsia="新宋体"/>
          <w:color w:val="000000" w:themeColor="text1"/>
          <w:sz w:val="24"/>
          <w:szCs w:val="21"/>
        </w:rPr>
        <w:t>施工过程中，粉尘起尘特征总体分为两类：一类是静态起尘，主要指水泥等建筑材料及土方、建筑垃圾堆放过程中风蚀尘及施工地的风蚀尘，另一类是动态起尘，主要指建筑材料装卸过程起尘及运输车辆往来造成的地面扬尘。粉尘污染一般来源于以下几个方面：土方挖掘、堆放、清运、回填及场地平整过程产生的粉尘；建筑材料如水泥、石灰、砂子等在装卸、运输、堆放等过程中，因风力作用而产生的扬尘污染；搅拌车辆和运输车辆往来造成地面扬尘；施工垃圾在其堆放过程和清运过程中产生扬尘。</w:t>
      </w:r>
    </w:p>
    <w:p w14:paraId="2A30FB94">
      <w:pPr>
        <w:spacing w:line="360" w:lineRule="auto"/>
        <w:ind w:firstLine="480" w:firstLineChars="200"/>
        <w:rPr>
          <w:rFonts w:eastAsia="新宋体"/>
          <w:color w:val="000000" w:themeColor="text1"/>
          <w:sz w:val="24"/>
          <w:szCs w:val="21"/>
        </w:rPr>
      </w:pPr>
      <w:r>
        <w:rPr>
          <w:rFonts w:eastAsia="新宋体"/>
          <w:color w:val="000000" w:themeColor="text1"/>
          <w:sz w:val="24"/>
          <w:szCs w:val="21"/>
        </w:rPr>
        <w:t>扬尘对环境的影响一般多发生风速大于3m/s时，运沙、土扬尘量一般在0.88kg/t。项目施工期因地基挖方、填方将扰动而形成地表裸露；项目施工用原料的装卸及堆放（如水泥搅拌、红砖装卸、建筑砂筛分等）也会产生扬尘。一般加工1吨混凝土产生扬尘量为10g左右，28%的尘粒径小于10µm。遇大风天气形成扬尘，对该区域环境也将产生不利影响。</w:t>
      </w:r>
    </w:p>
    <w:p w14:paraId="0F4B608C">
      <w:pPr>
        <w:spacing w:line="360" w:lineRule="auto"/>
        <w:ind w:firstLine="480" w:firstLineChars="200"/>
        <w:rPr>
          <w:rFonts w:eastAsia="新宋体"/>
          <w:b/>
          <w:color w:val="000000" w:themeColor="text1"/>
          <w:sz w:val="24"/>
          <w:szCs w:val="21"/>
        </w:rPr>
      </w:pPr>
      <w:r>
        <w:rPr>
          <w:rFonts w:eastAsia="新宋体"/>
          <w:b/>
          <w:color w:val="000000" w:themeColor="text1"/>
          <w:sz w:val="24"/>
          <w:szCs w:val="21"/>
        </w:rPr>
        <w:t>2、运输车辆废气</w:t>
      </w:r>
    </w:p>
    <w:p w14:paraId="6CECDD11">
      <w:pPr>
        <w:spacing w:line="360" w:lineRule="auto"/>
        <w:ind w:firstLine="480" w:firstLineChars="200"/>
        <w:rPr>
          <w:rFonts w:eastAsia="新宋体"/>
          <w:color w:val="000000" w:themeColor="text1"/>
          <w:sz w:val="24"/>
          <w:szCs w:val="21"/>
        </w:rPr>
      </w:pPr>
      <w:r>
        <w:rPr>
          <w:rFonts w:eastAsia="新宋体"/>
          <w:color w:val="000000" w:themeColor="text1"/>
          <w:sz w:val="24"/>
          <w:szCs w:val="21"/>
        </w:rPr>
        <w:t>施工期间，使用机动车运送原材料、设备和建筑机械设备的运转，均会排放一定量的CO、NOx以及未完全燃烧的HC等，其特点是排放量小，且属间断性无组织排放。</w:t>
      </w:r>
    </w:p>
    <w:p w14:paraId="2748A2F2">
      <w:pPr>
        <w:pStyle w:val="105"/>
        <w:rPr>
          <w:rFonts w:cs="Times New Roman"/>
          <w:color w:val="000000" w:themeColor="text1"/>
        </w:rPr>
      </w:pPr>
      <w:bookmarkStart w:id="303" w:name="_Toc472970918"/>
      <w:r>
        <w:rPr>
          <w:rFonts w:cs="Times New Roman"/>
          <w:color w:val="000000" w:themeColor="text1"/>
        </w:rPr>
        <w:t>3.4.3施工噪声</w:t>
      </w:r>
      <w:bookmarkEnd w:id="303"/>
    </w:p>
    <w:p w14:paraId="6BCE4F4A">
      <w:pPr>
        <w:spacing w:line="360" w:lineRule="auto"/>
        <w:ind w:firstLine="480" w:firstLineChars="200"/>
        <w:rPr>
          <w:rFonts w:eastAsia="新宋体"/>
          <w:color w:val="000000" w:themeColor="text1"/>
          <w:sz w:val="24"/>
          <w:szCs w:val="21"/>
        </w:rPr>
      </w:pPr>
      <w:r>
        <w:rPr>
          <w:rFonts w:eastAsia="新宋体"/>
          <w:color w:val="000000" w:themeColor="text1"/>
          <w:sz w:val="24"/>
          <w:szCs w:val="21"/>
        </w:rPr>
        <w:t>土建阶段施工期的噪声主要来源于施工现场的各类机械设备噪声，其污染影响具有局部性、流动性、短时性等特点。不同施工阶段和不同施工机械发出的噪声水平是不同的，且有大量设备交互作业，因此施工作业噪声将会对项目内外环境带来一定的影响。根据施工量，按经验计算各施工阶段的昼夜的主要噪声源及场界噪声和建筑施工场界噪声限值标准见表3.4-1</w:t>
      </w:r>
    </w:p>
    <w:p w14:paraId="73DADC44">
      <w:pPr>
        <w:jc w:val="center"/>
        <w:rPr>
          <w:b/>
          <w:color w:val="000000" w:themeColor="text1"/>
          <w:sz w:val="24"/>
        </w:rPr>
      </w:pPr>
      <w:r>
        <w:rPr>
          <w:b/>
          <w:color w:val="000000" w:themeColor="text1"/>
          <w:sz w:val="24"/>
        </w:rPr>
        <w:t>表3.4-1  施工机械噪声源强及建筑施工场界噪声限值</w:t>
      </w:r>
    </w:p>
    <w:tbl>
      <w:tblPr>
        <w:tblStyle w:val="4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90"/>
        <w:gridCol w:w="2190"/>
        <w:gridCol w:w="1524"/>
        <w:gridCol w:w="1309"/>
        <w:gridCol w:w="1309"/>
      </w:tblGrid>
      <w:tr w14:paraId="06344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5" w:type="pct"/>
            <w:vMerge w:val="restart"/>
            <w:vAlign w:val="center"/>
          </w:tcPr>
          <w:p w14:paraId="3B4BE4C6">
            <w:pPr>
              <w:jc w:val="center"/>
              <w:rPr>
                <w:rFonts w:eastAsia="新宋体"/>
                <w:color w:val="000000" w:themeColor="text1"/>
                <w:szCs w:val="21"/>
              </w:rPr>
            </w:pPr>
            <w:r>
              <w:rPr>
                <w:rFonts w:eastAsia="新宋体"/>
                <w:color w:val="000000" w:themeColor="text1"/>
                <w:szCs w:val="21"/>
              </w:rPr>
              <w:t>施工阶段</w:t>
            </w:r>
          </w:p>
        </w:tc>
        <w:tc>
          <w:tcPr>
            <w:tcW w:w="1285" w:type="pct"/>
            <w:vMerge w:val="restart"/>
            <w:vAlign w:val="center"/>
          </w:tcPr>
          <w:p w14:paraId="193809BD">
            <w:pPr>
              <w:jc w:val="center"/>
              <w:rPr>
                <w:rFonts w:eastAsia="新宋体"/>
                <w:color w:val="000000" w:themeColor="text1"/>
                <w:szCs w:val="21"/>
              </w:rPr>
            </w:pPr>
            <w:r>
              <w:rPr>
                <w:rFonts w:eastAsia="新宋体"/>
                <w:color w:val="000000" w:themeColor="text1"/>
                <w:szCs w:val="21"/>
              </w:rPr>
              <w:t>声源</w:t>
            </w:r>
          </w:p>
        </w:tc>
        <w:tc>
          <w:tcPr>
            <w:tcW w:w="894" w:type="pct"/>
            <w:vMerge w:val="restart"/>
            <w:vAlign w:val="center"/>
          </w:tcPr>
          <w:p w14:paraId="623476CD">
            <w:pPr>
              <w:jc w:val="center"/>
              <w:rPr>
                <w:rFonts w:eastAsia="新宋体"/>
                <w:color w:val="000000" w:themeColor="text1"/>
                <w:szCs w:val="21"/>
              </w:rPr>
            </w:pPr>
            <w:r>
              <w:rPr>
                <w:rFonts w:eastAsia="新宋体"/>
                <w:color w:val="000000" w:themeColor="text1"/>
                <w:szCs w:val="21"/>
              </w:rPr>
              <w:t>声源强度</w:t>
            </w:r>
          </w:p>
          <w:p w14:paraId="66E9E6E5">
            <w:pPr>
              <w:jc w:val="center"/>
              <w:rPr>
                <w:rFonts w:eastAsia="新宋体"/>
                <w:color w:val="000000" w:themeColor="text1"/>
                <w:szCs w:val="21"/>
              </w:rPr>
            </w:pPr>
            <w:r>
              <w:rPr>
                <w:rFonts w:eastAsia="新宋体"/>
                <w:color w:val="000000" w:themeColor="text1"/>
                <w:szCs w:val="21"/>
              </w:rPr>
              <w:t>（dB(A)）</w:t>
            </w:r>
          </w:p>
        </w:tc>
        <w:tc>
          <w:tcPr>
            <w:tcW w:w="1536" w:type="pct"/>
            <w:gridSpan w:val="2"/>
            <w:vAlign w:val="center"/>
          </w:tcPr>
          <w:p w14:paraId="19AA20ED">
            <w:pPr>
              <w:jc w:val="center"/>
              <w:rPr>
                <w:rFonts w:eastAsia="新宋体"/>
                <w:color w:val="000000" w:themeColor="text1"/>
                <w:szCs w:val="21"/>
              </w:rPr>
            </w:pPr>
            <w:r>
              <w:rPr>
                <w:rFonts w:eastAsia="新宋体"/>
                <w:color w:val="000000" w:themeColor="text1"/>
                <w:szCs w:val="21"/>
              </w:rPr>
              <w:t>场界噪声（dB(A)）</w:t>
            </w:r>
          </w:p>
        </w:tc>
      </w:tr>
      <w:tr w14:paraId="5774F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5" w:type="pct"/>
            <w:vMerge w:val="continue"/>
            <w:vAlign w:val="center"/>
          </w:tcPr>
          <w:p w14:paraId="3A7647FC">
            <w:pPr>
              <w:jc w:val="center"/>
              <w:rPr>
                <w:rFonts w:eastAsia="新宋体"/>
                <w:color w:val="000000" w:themeColor="text1"/>
                <w:szCs w:val="21"/>
              </w:rPr>
            </w:pPr>
          </w:p>
        </w:tc>
        <w:tc>
          <w:tcPr>
            <w:tcW w:w="1285" w:type="pct"/>
            <w:vMerge w:val="continue"/>
            <w:vAlign w:val="center"/>
          </w:tcPr>
          <w:p w14:paraId="54426A4D">
            <w:pPr>
              <w:jc w:val="center"/>
              <w:rPr>
                <w:rFonts w:eastAsia="新宋体"/>
                <w:color w:val="000000" w:themeColor="text1"/>
                <w:szCs w:val="21"/>
              </w:rPr>
            </w:pPr>
          </w:p>
        </w:tc>
        <w:tc>
          <w:tcPr>
            <w:tcW w:w="894" w:type="pct"/>
            <w:vMerge w:val="continue"/>
            <w:vAlign w:val="center"/>
          </w:tcPr>
          <w:p w14:paraId="4E6B64DF">
            <w:pPr>
              <w:jc w:val="center"/>
              <w:rPr>
                <w:rFonts w:eastAsia="新宋体"/>
                <w:color w:val="000000" w:themeColor="text1"/>
                <w:szCs w:val="21"/>
              </w:rPr>
            </w:pPr>
          </w:p>
        </w:tc>
        <w:tc>
          <w:tcPr>
            <w:tcW w:w="768" w:type="pct"/>
            <w:vAlign w:val="center"/>
          </w:tcPr>
          <w:p w14:paraId="2F9D30C9">
            <w:pPr>
              <w:jc w:val="center"/>
              <w:rPr>
                <w:rFonts w:eastAsia="新宋体"/>
                <w:color w:val="000000" w:themeColor="text1"/>
                <w:szCs w:val="21"/>
              </w:rPr>
            </w:pPr>
            <w:r>
              <w:rPr>
                <w:rFonts w:eastAsia="新宋体"/>
                <w:color w:val="000000" w:themeColor="text1"/>
                <w:szCs w:val="21"/>
              </w:rPr>
              <w:t>昼间</w:t>
            </w:r>
          </w:p>
        </w:tc>
        <w:tc>
          <w:tcPr>
            <w:tcW w:w="768" w:type="pct"/>
            <w:vAlign w:val="center"/>
          </w:tcPr>
          <w:p w14:paraId="2F26055C">
            <w:pPr>
              <w:jc w:val="center"/>
              <w:rPr>
                <w:rFonts w:eastAsia="新宋体"/>
                <w:color w:val="000000" w:themeColor="text1"/>
                <w:szCs w:val="21"/>
              </w:rPr>
            </w:pPr>
            <w:r>
              <w:rPr>
                <w:rFonts w:eastAsia="新宋体"/>
                <w:color w:val="000000" w:themeColor="text1"/>
                <w:szCs w:val="21"/>
              </w:rPr>
              <w:t>夜间</w:t>
            </w:r>
          </w:p>
        </w:tc>
      </w:tr>
      <w:tr w14:paraId="7DE06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5" w:type="pct"/>
            <w:vMerge w:val="restart"/>
            <w:vAlign w:val="center"/>
          </w:tcPr>
          <w:p w14:paraId="26CFE524">
            <w:pPr>
              <w:jc w:val="center"/>
              <w:rPr>
                <w:rFonts w:eastAsia="新宋体"/>
                <w:color w:val="000000" w:themeColor="text1"/>
                <w:szCs w:val="21"/>
              </w:rPr>
            </w:pPr>
            <w:r>
              <w:rPr>
                <w:rFonts w:eastAsia="新宋体"/>
                <w:color w:val="000000" w:themeColor="text1"/>
                <w:szCs w:val="21"/>
              </w:rPr>
              <w:t>土石方阶段</w:t>
            </w:r>
          </w:p>
        </w:tc>
        <w:tc>
          <w:tcPr>
            <w:tcW w:w="1285" w:type="pct"/>
            <w:vAlign w:val="center"/>
          </w:tcPr>
          <w:p w14:paraId="3D3DACFC">
            <w:pPr>
              <w:jc w:val="center"/>
              <w:rPr>
                <w:rFonts w:eastAsia="新宋体"/>
                <w:color w:val="000000" w:themeColor="text1"/>
                <w:szCs w:val="21"/>
              </w:rPr>
            </w:pPr>
            <w:r>
              <w:rPr>
                <w:rFonts w:eastAsia="新宋体"/>
                <w:color w:val="000000" w:themeColor="text1"/>
                <w:szCs w:val="21"/>
              </w:rPr>
              <w:t>挖掘机</w:t>
            </w:r>
          </w:p>
        </w:tc>
        <w:tc>
          <w:tcPr>
            <w:tcW w:w="894" w:type="pct"/>
            <w:vMerge w:val="restart"/>
            <w:vAlign w:val="center"/>
          </w:tcPr>
          <w:p w14:paraId="2B15B513">
            <w:pPr>
              <w:jc w:val="center"/>
              <w:rPr>
                <w:rFonts w:eastAsia="新宋体"/>
                <w:color w:val="000000" w:themeColor="text1"/>
                <w:szCs w:val="21"/>
              </w:rPr>
            </w:pPr>
            <w:r>
              <w:rPr>
                <w:rFonts w:eastAsia="新宋体"/>
                <w:color w:val="000000" w:themeColor="text1"/>
                <w:szCs w:val="21"/>
              </w:rPr>
              <w:t>65~75</w:t>
            </w:r>
          </w:p>
        </w:tc>
        <w:tc>
          <w:tcPr>
            <w:tcW w:w="768" w:type="pct"/>
            <w:vMerge w:val="restart"/>
            <w:vAlign w:val="center"/>
          </w:tcPr>
          <w:p w14:paraId="1256AE1D">
            <w:pPr>
              <w:jc w:val="center"/>
              <w:rPr>
                <w:rFonts w:eastAsia="新宋体"/>
                <w:color w:val="000000" w:themeColor="text1"/>
                <w:szCs w:val="21"/>
              </w:rPr>
            </w:pPr>
            <w:r>
              <w:rPr>
                <w:rFonts w:eastAsia="新宋体"/>
                <w:color w:val="000000" w:themeColor="text1"/>
                <w:szCs w:val="21"/>
              </w:rPr>
              <w:t>70</w:t>
            </w:r>
          </w:p>
        </w:tc>
        <w:tc>
          <w:tcPr>
            <w:tcW w:w="768" w:type="pct"/>
            <w:vMerge w:val="restart"/>
            <w:vAlign w:val="center"/>
          </w:tcPr>
          <w:p w14:paraId="12F7146E">
            <w:pPr>
              <w:jc w:val="center"/>
              <w:rPr>
                <w:rFonts w:eastAsia="新宋体"/>
                <w:color w:val="000000" w:themeColor="text1"/>
                <w:szCs w:val="21"/>
              </w:rPr>
            </w:pPr>
            <w:r>
              <w:rPr>
                <w:rFonts w:eastAsia="新宋体"/>
                <w:color w:val="000000" w:themeColor="text1"/>
                <w:szCs w:val="21"/>
              </w:rPr>
              <w:t>55</w:t>
            </w:r>
          </w:p>
          <w:p w14:paraId="0AC49FC0">
            <w:pPr>
              <w:jc w:val="center"/>
              <w:rPr>
                <w:rFonts w:eastAsia="新宋体"/>
                <w:color w:val="000000" w:themeColor="text1"/>
                <w:szCs w:val="21"/>
              </w:rPr>
            </w:pPr>
          </w:p>
        </w:tc>
      </w:tr>
      <w:tr w14:paraId="54E9D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5" w:type="pct"/>
            <w:vMerge w:val="continue"/>
            <w:vAlign w:val="center"/>
          </w:tcPr>
          <w:p w14:paraId="0E83787F">
            <w:pPr>
              <w:jc w:val="center"/>
              <w:rPr>
                <w:rFonts w:eastAsia="新宋体"/>
                <w:color w:val="000000" w:themeColor="text1"/>
                <w:szCs w:val="21"/>
              </w:rPr>
            </w:pPr>
          </w:p>
        </w:tc>
        <w:tc>
          <w:tcPr>
            <w:tcW w:w="1285" w:type="pct"/>
            <w:vAlign w:val="center"/>
          </w:tcPr>
          <w:p w14:paraId="7882B2B2">
            <w:pPr>
              <w:jc w:val="center"/>
              <w:rPr>
                <w:rFonts w:eastAsia="新宋体"/>
                <w:color w:val="000000" w:themeColor="text1"/>
                <w:szCs w:val="21"/>
              </w:rPr>
            </w:pPr>
            <w:r>
              <w:rPr>
                <w:rFonts w:eastAsia="新宋体"/>
                <w:color w:val="000000" w:themeColor="text1"/>
                <w:szCs w:val="21"/>
              </w:rPr>
              <w:t>推土机</w:t>
            </w:r>
          </w:p>
        </w:tc>
        <w:tc>
          <w:tcPr>
            <w:tcW w:w="894" w:type="pct"/>
            <w:vMerge w:val="continue"/>
            <w:vAlign w:val="center"/>
          </w:tcPr>
          <w:p w14:paraId="7EFE3EB8">
            <w:pPr>
              <w:jc w:val="center"/>
              <w:rPr>
                <w:rFonts w:eastAsia="新宋体"/>
                <w:color w:val="000000" w:themeColor="text1"/>
                <w:szCs w:val="21"/>
              </w:rPr>
            </w:pPr>
          </w:p>
        </w:tc>
        <w:tc>
          <w:tcPr>
            <w:tcW w:w="768" w:type="pct"/>
            <w:vMerge w:val="continue"/>
            <w:vAlign w:val="center"/>
          </w:tcPr>
          <w:p w14:paraId="36B94DD6">
            <w:pPr>
              <w:jc w:val="center"/>
              <w:rPr>
                <w:rFonts w:eastAsia="新宋体"/>
                <w:color w:val="000000" w:themeColor="text1"/>
                <w:szCs w:val="21"/>
              </w:rPr>
            </w:pPr>
          </w:p>
        </w:tc>
        <w:tc>
          <w:tcPr>
            <w:tcW w:w="768" w:type="pct"/>
            <w:vMerge w:val="continue"/>
            <w:vAlign w:val="center"/>
          </w:tcPr>
          <w:p w14:paraId="0AF990A7">
            <w:pPr>
              <w:jc w:val="center"/>
              <w:rPr>
                <w:rFonts w:eastAsia="新宋体"/>
                <w:color w:val="000000" w:themeColor="text1"/>
                <w:szCs w:val="21"/>
              </w:rPr>
            </w:pPr>
          </w:p>
        </w:tc>
      </w:tr>
      <w:tr w14:paraId="16725D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5" w:type="pct"/>
            <w:vMerge w:val="continue"/>
            <w:vAlign w:val="center"/>
          </w:tcPr>
          <w:p w14:paraId="6FA87686">
            <w:pPr>
              <w:jc w:val="center"/>
              <w:rPr>
                <w:rFonts w:eastAsia="新宋体"/>
                <w:color w:val="000000" w:themeColor="text1"/>
                <w:szCs w:val="21"/>
              </w:rPr>
            </w:pPr>
          </w:p>
        </w:tc>
        <w:tc>
          <w:tcPr>
            <w:tcW w:w="1285" w:type="pct"/>
            <w:vAlign w:val="center"/>
          </w:tcPr>
          <w:p w14:paraId="60DAC736">
            <w:pPr>
              <w:jc w:val="center"/>
              <w:rPr>
                <w:rFonts w:eastAsia="新宋体"/>
                <w:color w:val="000000" w:themeColor="text1"/>
                <w:szCs w:val="21"/>
              </w:rPr>
            </w:pPr>
            <w:r>
              <w:rPr>
                <w:rFonts w:eastAsia="新宋体"/>
                <w:color w:val="000000" w:themeColor="text1"/>
                <w:szCs w:val="21"/>
              </w:rPr>
              <w:t>装载机</w:t>
            </w:r>
          </w:p>
        </w:tc>
        <w:tc>
          <w:tcPr>
            <w:tcW w:w="894" w:type="pct"/>
            <w:vMerge w:val="continue"/>
            <w:vAlign w:val="center"/>
          </w:tcPr>
          <w:p w14:paraId="6C06A187">
            <w:pPr>
              <w:jc w:val="center"/>
              <w:rPr>
                <w:rFonts w:eastAsia="新宋体"/>
                <w:color w:val="000000" w:themeColor="text1"/>
                <w:szCs w:val="21"/>
              </w:rPr>
            </w:pPr>
          </w:p>
        </w:tc>
        <w:tc>
          <w:tcPr>
            <w:tcW w:w="768" w:type="pct"/>
            <w:vMerge w:val="continue"/>
            <w:vAlign w:val="center"/>
          </w:tcPr>
          <w:p w14:paraId="12697838">
            <w:pPr>
              <w:jc w:val="center"/>
              <w:rPr>
                <w:rFonts w:eastAsia="新宋体"/>
                <w:color w:val="000000" w:themeColor="text1"/>
                <w:szCs w:val="21"/>
              </w:rPr>
            </w:pPr>
          </w:p>
        </w:tc>
        <w:tc>
          <w:tcPr>
            <w:tcW w:w="768" w:type="pct"/>
            <w:vMerge w:val="continue"/>
            <w:vAlign w:val="center"/>
          </w:tcPr>
          <w:p w14:paraId="4ACBFF59">
            <w:pPr>
              <w:jc w:val="center"/>
              <w:rPr>
                <w:rFonts w:eastAsia="新宋体"/>
                <w:color w:val="000000" w:themeColor="text1"/>
                <w:szCs w:val="21"/>
              </w:rPr>
            </w:pPr>
          </w:p>
        </w:tc>
      </w:tr>
      <w:tr w14:paraId="14728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5" w:type="pct"/>
            <w:vMerge w:val="continue"/>
            <w:vAlign w:val="center"/>
          </w:tcPr>
          <w:p w14:paraId="3A0C7D4F">
            <w:pPr>
              <w:jc w:val="center"/>
              <w:rPr>
                <w:rFonts w:eastAsia="新宋体"/>
                <w:color w:val="000000" w:themeColor="text1"/>
                <w:szCs w:val="21"/>
              </w:rPr>
            </w:pPr>
          </w:p>
        </w:tc>
        <w:tc>
          <w:tcPr>
            <w:tcW w:w="1285" w:type="pct"/>
            <w:vAlign w:val="center"/>
          </w:tcPr>
          <w:p w14:paraId="0E1992D1">
            <w:pPr>
              <w:jc w:val="center"/>
              <w:rPr>
                <w:rFonts w:eastAsia="新宋体"/>
                <w:color w:val="000000" w:themeColor="text1"/>
                <w:szCs w:val="21"/>
              </w:rPr>
            </w:pPr>
            <w:r>
              <w:rPr>
                <w:rFonts w:eastAsia="新宋体"/>
                <w:color w:val="000000" w:themeColor="text1"/>
                <w:szCs w:val="21"/>
              </w:rPr>
              <w:t>载重汽车</w:t>
            </w:r>
          </w:p>
        </w:tc>
        <w:tc>
          <w:tcPr>
            <w:tcW w:w="894" w:type="pct"/>
            <w:vMerge w:val="continue"/>
            <w:vAlign w:val="center"/>
          </w:tcPr>
          <w:p w14:paraId="54256BA5">
            <w:pPr>
              <w:jc w:val="center"/>
              <w:rPr>
                <w:rFonts w:eastAsia="新宋体"/>
                <w:color w:val="000000" w:themeColor="text1"/>
                <w:szCs w:val="21"/>
              </w:rPr>
            </w:pPr>
          </w:p>
        </w:tc>
        <w:tc>
          <w:tcPr>
            <w:tcW w:w="768" w:type="pct"/>
            <w:vMerge w:val="continue"/>
            <w:vAlign w:val="center"/>
          </w:tcPr>
          <w:p w14:paraId="62542949">
            <w:pPr>
              <w:jc w:val="center"/>
              <w:rPr>
                <w:rFonts w:eastAsia="新宋体"/>
                <w:color w:val="000000" w:themeColor="text1"/>
                <w:szCs w:val="21"/>
              </w:rPr>
            </w:pPr>
          </w:p>
        </w:tc>
        <w:tc>
          <w:tcPr>
            <w:tcW w:w="768" w:type="pct"/>
            <w:vMerge w:val="continue"/>
            <w:vAlign w:val="center"/>
          </w:tcPr>
          <w:p w14:paraId="22E210D2">
            <w:pPr>
              <w:jc w:val="center"/>
              <w:rPr>
                <w:rFonts w:eastAsia="新宋体"/>
                <w:color w:val="000000" w:themeColor="text1"/>
                <w:szCs w:val="21"/>
              </w:rPr>
            </w:pPr>
          </w:p>
        </w:tc>
      </w:tr>
      <w:tr w14:paraId="5025C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5" w:type="pct"/>
            <w:vMerge w:val="restart"/>
            <w:vAlign w:val="center"/>
          </w:tcPr>
          <w:p w14:paraId="7B731CEB">
            <w:pPr>
              <w:jc w:val="center"/>
              <w:rPr>
                <w:rFonts w:eastAsia="新宋体"/>
                <w:color w:val="000000" w:themeColor="text1"/>
                <w:szCs w:val="21"/>
              </w:rPr>
            </w:pPr>
            <w:r>
              <w:rPr>
                <w:rFonts w:eastAsia="新宋体"/>
                <w:color w:val="000000" w:themeColor="text1"/>
                <w:szCs w:val="21"/>
              </w:rPr>
              <w:t>底板与结构阶段</w:t>
            </w:r>
          </w:p>
        </w:tc>
        <w:tc>
          <w:tcPr>
            <w:tcW w:w="1285" w:type="pct"/>
            <w:vAlign w:val="center"/>
          </w:tcPr>
          <w:p w14:paraId="14404918">
            <w:pPr>
              <w:jc w:val="center"/>
              <w:rPr>
                <w:rFonts w:eastAsia="新宋体"/>
                <w:color w:val="000000" w:themeColor="text1"/>
                <w:szCs w:val="21"/>
              </w:rPr>
            </w:pPr>
            <w:r>
              <w:rPr>
                <w:rFonts w:eastAsia="新宋体"/>
                <w:color w:val="000000" w:themeColor="text1"/>
                <w:szCs w:val="21"/>
              </w:rPr>
              <w:t>混凝土输送泵</w:t>
            </w:r>
          </w:p>
        </w:tc>
        <w:tc>
          <w:tcPr>
            <w:tcW w:w="894" w:type="pct"/>
            <w:vMerge w:val="restart"/>
            <w:vAlign w:val="center"/>
          </w:tcPr>
          <w:p w14:paraId="6D1CBD10">
            <w:pPr>
              <w:jc w:val="center"/>
              <w:rPr>
                <w:rFonts w:eastAsia="新宋体"/>
                <w:color w:val="000000" w:themeColor="text1"/>
                <w:szCs w:val="21"/>
              </w:rPr>
            </w:pPr>
            <w:r>
              <w:rPr>
                <w:rFonts w:eastAsia="新宋体"/>
                <w:color w:val="000000" w:themeColor="text1"/>
                <w:szCs w:val="21"/>
              </w:rPr>
              <w:t>60~80</w:t>
            </w:r>
          </w:p>
        </w:tc>
        <w:tc>
          <w:tcPr>
            <w:tcW w:w="768" w:type="pct"/>
            <w:vMerge w:val="continue"/>
            <w:vAlign w:val="center"/>
          </w:tcPr>
          <w:p w14:paraId="5F50C446">
            <w:pPr>
              <w:jc w:val="center"/>
              <w:rPr>
                <w:rFonts w:eastAsia="新宋体"/>
                <w:color w:val="000000" w:themeColor="text1"/>
                <w:szCs w:val="21"/>
              </w:rPr>
            </w:pPr>
          </w:p>
        </w:tc>
        <w:tc>
          <w:tcPr>
            <w:tcW w:w="768" w:type="pct"/>
            <w:vMerge w:val="continue"/>
            <w:vAlign w:val="center"/>
          </w:tcPr>
          <w:p w14:paraId="0C1A75E8">
            <w:pPr>
              <w:jc w:val="center"/>
              <w:rPr>
                <w:rFonts w:eastAsia="新宋体"/>
                <w:color w:val="000000" w:themeColor="text1"/>
                <w:szCs w:val="21"/>
              </w:rPr>
            </w:pPr>
          </w:p>
        </w:tc>
      </w:tr>
      <w:tr w14:paraId="7D593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5" w:type="pct"/>
            <w:vMerge w:val="continue"/>
            <w:vAlign w:val="center"/>
          </w:tcPr>
          <w:p w14:paraId="0D560FA2">
            <w:pPr>
              <w:jc w:val="center"/>
              <w:rPr>
                <w:rFonts w:eastAsia="新宋体"/>
                <w:color w:val="000000" w:themeColor="text1"/>
                <w:szCs w:val="21"/>
              </w:rPr>
            </w:pPr>
          </w:p>
        </w:tc>
        <w:tc>
          <w:tcPr>
            <w:tcW w:w="1285" w:type="pct"/>
            <w:vAlign w:val="center"/>
          </w:tcPr>
          <w:p w14:paraId="7288CEF1">
            <w:pPr>
              <w:jc w:val="center"/>
              <w:rPr>
                <w:rFonts w:eastAsia="新宋体"/>
                <w:color w:val="000000" w:themeColor="text1"/>
                <w:szCs w:val="21"/>
              </w:rPr>
            </w:pPr>
            <w:r>
              <w:rPr>
                <w:rFonts w:eastAsia="新宋体"/>
                <w:color w:val="000000" w:themeColor="text1"/>
                <w:szCs w:val="21"/>
              </w:rPr>
              <w:t>电焊机</w:t>
            </w:r>
          </w:p>
        </w:tc>
        <w:tc>
          <w:tcPr>
            <w:tcW w:w="894" w:type="pct"/>
            <w:vMerge w:val="continue"/>
            <w:vAlign w:val="center"/>
          </w:tcPr>
          <w:p w14:paraId="78DD91D5">
            <w:pPr>
              <w:jc w:val="center"/>
              <w:rPr>
                <w:rFonts w:eastAsia="新宋体"/>
                <w:color w:val="000000" w:themeColor="text1"/>
                <w:szCs w:val="21"/>
              </w:rPr>
            </w:pPr>
          </w:p>
        </w:tc>
        <w:tc>
          <w:tcPr>
            <w:tcW w:w="768" w:type="pct"/>
            <w:vMerge w:val="continue"/>
            <w:vAlign w:val="center"/>
          </w:tcPr>
          <w:p w14:paraId="2F70B6A8">
            <w:pPr>
              <w:jc w:val="center"/>
              <w:rPr>
                <w:rFonts w:eastAsia="新宋体"/>
                <w:color w:val="000000" w:themeColor="text1"/>
                <w:szCs w:val="21"/>
              </w:rPr>
            </w:pPr>
          </w:p>
        </w:tc>
        <w:tc>
          <w:tcPr>
            <w:tcW w:w="768" w:type="pct"/>
            <w:vMerge w:val="continue"/>
            <w:vAlign w:val="center"/>
          </w:tcPr>
          <w:p w14:paraId="08A684D6">
            <w:pPr>
              <w:jc w:val="center"/>
              <w:rPr>
                <w:rFonts w:eastAsia="新宋体"/>
                <w:color w:val="000000" w:themeColor="text1"/>
                <w:szCs w:val="21"/>
              </w:rPr>
            </w:pPr>
          </w:p>
        </w:tc>
      </w:tr>
      <w:tr w14:paraId="159CCD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5" w:type="pct"/>
            <w:vMerge w:val="continue"/>
            <w:vAlign w:val="center"/>
          </w:tcPr>
          <w:p w14:paraId="682C9617">
            <w:pPr>
              <w:jc w:val="center"/>
              <w:rPr>
                <w:rFonts w:eastAsia="新宋体"/>
                <w:color w:val="000000" w:themeColor="text1"/>
                <w:szCs w:val="21"/>
              </w:rPr>
            </w:pPr>
          </w:p>
        </w:tc>
        <w:tc>
          <w:tcPr>
            <w:tcW w:w="1285" w:type="pct"/>
            <w:vAlign w:val="center"/>
          </w:tcPr>
          <w:p w14:paraId="1DDA1803">
            <w:pPr>
              <w:jc w:val="center"/>
              <w:rPr>
                <w:rFonts w:eastAsia="新宋体"/>
                <w:color w:val="000000" w:themeColor="text1"/>
                <w:szCs w:val="21"/>
              </w:rPr>
            </w:pPr>
            <w:r>
              <w:rPr>
                <w:rFonts w:eastAsia="新宋体"/>
                <w:color w:val="000000" w:themeColor="text1"/>
                <w:szCs w:val="21"/>
              </w:rPr>
              <w:t>振捣器</w:t>
            </w:r>
          </w:p>
        </w:tc>
        <w:tc>
          <w:tcPr>
            <w:tcW w:w="894" w:type="pct"/>
            <w:vMerge w:val="continue"/>
            <w:vAlign w:val="center"/>
          </w:tcPr>
          <w:p w14:paraId="5448AC47">
            <w:pPr>
              <w:jc w:val="center"/>
              <w:rPr>
                <w:rFonts w:eastAsia="新宋体"/>
                <w:color w:val="000000" w:themeColor="text1"/>
                <w:szCs w:val="21"/>
              </w:rPr>
            </w:pPr>
          </w:p>
        </w:tc>
        <w:tc>
          <w:tcPr>
            <w:tcW w:w="768" w:type="pct"/>
            <w:vMerge w:val="continue"/>
            <w:vAlign w:val="center"/>
          </w:tcPr>
          <w:p w14:paraId="035B13EE">
            <w:pPr>
              <w:jc w:val="center"/>
              <w:rPr>
                <w:rFonts w:eastAsia="新宋体"/>
                <w:color w:val="000000" w:themeColor="text1"/>
                <w:szCs w:val="21"/>
              </w:rPr>
            </w:pPr>
          </w:p>
        </w:tc>
        <w:tc>
          <w:tcPr>
            <w:tcW w:w="768" w:type="pct"/>
            <w:vMerge w:val="continue"/>
            <w:vAlign w:val="center"/>
          </w:tcPr>
          <w:p w14:paraId="5ACB08F6">
            <w:pPr>
              <w:jc w:val="center"/>
              <w:rPr>
                <w:rFonts w:eastAsia="新宋体"/>
                <w:color w:val="000000" w:themeColor="text1"/>
                <w:szCs w:val="21"/>
              </w:rPr>
            </w:pPr>
          </w:p>
        </w:tc>
      </w:tr>
      <w:tr w14:paraId="0E41B0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5" w:type="pct"/>
            <w:vMerge w:val="continue"/>
            <w:vAlign w:val="center"/>
          </w:tcPr>
          <w:p w14:paraId="7BAD1531">
            <w:pPr>
              <w:jc w:val="center"/>
              <w:rPr>
                <w:rFonts w:eastAsia="新宋体"/>
                <w:color w:val="000000" w:themeColor="text1"/>
                <w:szCs w:val="21"/>
              </w:rPr>
            </w:pPr>
          </w:p>
        </w:tc>
        <w:tc>
          <w:tcPr>
            <w:tcW w:w="1285" w:type="pct"/>
            <w:vAlign w:val="center"/>
          </w:tcPr>
          <w:p w14:paraId="5144FD97">
            <w:pPr>
              <w:jc w:val="center"/>
              <w:rPr>
                <w:rFonts w:eastAsia="新宋体"/>
                <w:color w:val="000000" w:themeColor="text1"/>
                <w:szCs w:val="21"/>
              </w:rPr>
            </w:pPr>
            <w:r>
              <w:rPr>
                <w:rFonts w:eastAsia="新宋体"/>
                <w:color w:val="000000" w:themeColor="text1"/>
                <w:szCs w:val="21"/>
              </w:rPr>
              <w:t>切割机</w:t>
            </w:r>
          </w:p>
        </w:tc>
        <w:tc>
          <w:tcPr>
            <w:tcW w:w="894" w:type="pct"/>
            <w:vMerge w:val="continue"/>
            <w:vAlign w:val="center"/>
          </w:tcPr>
          <w:p w14:paraId="2A726B63">
            <w:pPr>
              <w:jc w:val="center"/>
              <w:rPr>
                <w:rFonts w:eastAsia="新宋体"/>
                <w:color w:val="000000" w:themeColor="text1"/>
                <w:szCs w:val="21"/>
              </w:rPr>
            </w:pPr>
          </w:p>
        </w:tc>
        <w:tc>
          <w:tcPr>
            <w:tcW w:w="768" w:type="pct"/>
            <w:vMerge w:val="continue"/>
            <w:vAlign w:val="center"/>
          </w:tcPr>
          <w:p w14:paraId="5B7E3DB4">
            <w:pPr>
              <w:jc w:val="center"/>
              <w:rPr>
                <w:rFonts w:eastAsia="新宋体"/>
                <w:color w:val="000000" w:themeColor="text1"/>
                <w:szCs w:val="21"/>
              </w:rPr>
            </w:pPr>
          </w:p>
        </w:tc>
        <w:tc>
          <w:tcPr>
            <w:tcW w:w="768" w:type="pct"/>
            <w:vMerge w:val="continue"/>
            <w:vAlign w:val="center"/>
          </w:tcPr>
          <w:p w14:paraId="32217AFF">
            <w:pPr>
              <w:jc w:val="center"/>
              <w:rPr>
                <w:rFonts w:eastAsia="新宋体"/>
                <w:color w:val="000000" w:themeColor="text1"/>
                <w:szCs w:val="21"/>
              </w:rPr>
            </w:pPr>
          </w:p>
        </w:tc>
      </w:tr>
      <w:tr w14:paraId="5B14B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5" w:type="pct"/>
            <w:vMerge w:val="restart"/>
            <w:vAlign w:val="center"/>
          </w:tcPr>
          <w:p w14:paraId="24003037">
            <w:pPr>
              <w:jc w:val="center"/>
              <w:rPr>
                <w:rFonts w:eastAsia="新宋体"/>
                <w:color w:val="000000" w:themeColor="text1"/>
                <w:szCs w:val="21"/>
              </w:rPr>
            </w:pPr>
            <w:r>
              <w:rPr>
                <w:rFonts w:eastAsia="新宋体"/>
                <w:color w:val="000000" w:themeColor="text1"/>
                <w:szCs w:val="21"/>
              </w:rPr>
              <w:t>装修安装阶段</w:t>
            </w:r>
          </w:p>
        </w:tc>
        <w:tc>
          <w:tcPr>
            <w:tcW w:w="1285" w:type="pct"/>
          </w:tcPr>
          <w:p w14:paraId="2E6D818F">
            <w:pPr>
              <w:jc w:val="center"/>
              <w:rPr>
                <w:rFonts w:eastAsia="新宋体"/>
                <w:color w:val="000000" w:themeColor="text1"/>
                <w:szCs w:val="21"/>
              </w:rPr>
            </w:pPr>
            <w:r>
              <w:t>电锤</w:t>
            </w:r>
          </w:p>
        </w:tc>
        <w:tc>
          <w:tcPr>
            <w:tcW w:w="894" w:type="pct"/>
            <w:vMerge w:val="restart"/>
            <w:vAlign w:val="center"/>
          </w:tcPr>
          <w:p w14:paraId="5466A3D0">
            <w:pPr>
              <w:jc w:val="center"/>
              <w:rPr>
                <w:rFonts w:eastAsia="新宋体"/>
                <w:color w:val="000000" w:themeColor="text1"/>
                <w:szCs w:val="21"/>
              </w:rPr>
            </w:pPr>
            <w:r>
              <w:rPr>
                <w:rFonts w:eastAsia="新宋体"/>
                <w:color w:val="000000" w:themeColor="text1"/>
                <w:szCs w:val="21"/>
              </w:rPr>
              <w:t>60~70</w:t>
            </w:r>
          </w:p>
        </w:tc>
        <w:tc>
          <w:tcPr>
            <w:tcW w:w="768" w:type="pct"/>
            <w:vMerge w:val="continue"/>
            <w:vAlign w:val="center"/>
          </w:tcPr>
          <w:p w14:paraId="45CF22BB">
            <w:pPr>
              <w:jc w:val="center"/>
              <w:rPr>
                <w:rFonts w:eastAsia="新宋体"/>
                <w:color w:val="000000" w:themeColor="text1"/>
                <w:szCs w:val="21"/>
              </w:rPr>
            </w:pPr>
          </w:p>
        </w:tc>
        <w:tc>
          <w:tcPr>
            <w:tcW w:w="768" w:type="pct"/>
            <w:vMerge w:val="continue"/>
            <w:vAlign w:val="center"/>
          </w:tcPr>
          <w:p w14:paraId="12B1B1EE">
            <w:pPr>
              <w:jc w:val="center"/>
              <w:rPr>
                <w:rFonts w:eastAsia="新宋体"/>
                <w:color w:val="000000" w:themeColor="text1"/>
                <w:szCs w:val="21"/>
              </w:rPr>
            </w:pPr>
          </w:p>
        </w:tc>
      </w:tr>
      <w:tr w14:paraId="5F6BC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5" w:type="pct"/>
            <w:vMerge w:val="continue"/>
            <w:vAlign w:val="center"/>
          </w:tcPr>
          <w:p w14:paraId="2856BF7D">
            <w:pPr>
              <w:jc w:val="center"/>
              <w:rPr>
                <w:rFonts w:eastAsia="新宋体"/>
                <w:color w:val="000000" w:themeColor="text1"/>
                <w:szCs w:val="21"/>
              </w:rPr>
            </w:pPr>
          </w:p>
        </w:tc>
        <w:tc>
          <w:tcPr>
            <w:tcW w:w="1285" w:type="pct"/>
          </w:tcPr>
          <w:p w14:paraId="6D438AD8">
            <w:pPr>
              <w:jc w:val="center"/>
              <w:rPr>
                <w:rFonts w:eastAsia="新宋体"/>
                <w:color w:val="000000" w:themeColor="text1"/>
                <w:szCs w:val="21"/>
              </w:rPr>
            </w:pPr>
            <w:r>
              <w:t>升降机</w:t>
            </w:r>
          </w:p>
        </w:tc>
        <w:tc>
          <w:tcPr>
            <w:tcW w:w="894" w:type="pct"/>
            <w:vMerge w:val="continue"/>
            <w:vAlign w:val="center"/>
          </w:tcPr>
          <w:p w14:paraId="68C3620F">
            <w:pPr>
              <w:jc w:val="center"/>
              <w:rPr>
                <w:rFonts w:eastAsia="新宋体"/>
                <w:color w:val="000000" w:themeColor="text1"/>
                <w:szCs w:val="21"/>
              </w:rPr>
            </w:pPr>
          </w:p>
        </w:tc>
        <w:tc>
          <w:tcPr>
            <w:tcW w:w="768" w:type="pct"/>
            <w:vMerge w:val="continue"/>
            <w:vAlign w:val="center"/>
          </w:tcPr>
          <w:p w14:paraId="4B7BE775">
            <w:pPr>
              <w:jc w:val="center"/>
              <w:rPr>
                <w:rFonts w:eastAsia="新宋体"/>
                <w:color w:val="000000" w:themeColor="text1"/>
                <w:szCs w:val="21"/>
              </w:rPr>
            </w:pPr>
          </w:p>
        </w:tc>
        <w:tc>
          <w:tcPr>
            <w:tcW w:w="768" w:type="pct"/>
            <w:vMerge w:val="continue"/>
            <w:vAlign w:val="center"/>
          </w:tcPr>
          <w:p w14:paraId="27108573">
            <w:pPr>
              <w:jc w:val="center"/>
              <w:rPr>
                <w:rFonts w:eastAsia="新宋体"/>
                <w:color w:val="000000" w:themeColor="text1"/>
                <w:szCs w:val="21"/>
              </w:rPr>
            </w:pPr>
          </w:p>
        </w:tc>
      </w:tr>
      <w:tr w14:paraId="785AB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85" w:type="pct"/>
            <w:vMerge w:val="continue"/>
            <w:vAlign w:val="center"/>
          </w:tcPr>
          <w:p w14:paraId="09B33D88">
            <w:pPr>
              <w:jc w:val="center"/>
              <w:rPr>
                <w:rFonts w:eastAsia="新宋体"/>
                <w:color w:val="000000" w:themeColor="text1"/>
                <w:szCs w:val="21"/>
              </w:rPr>
            </w:pPr>
          </w:p>
        </w:tc>
        <w:tc>
          <w:tcPr>
            <w:tcW w:w="1285" w:type="pct"/>
          </w:tcPr>
          <w:p w14:paraId="3CA32931">
            <w:pPr>
              <w:jc w:val="center"/>
              <w:rPr>
                <w:rFonts w:eastAsia="新宋体"/>
                <w:color w:val="000000" w:themeColor="text1"/>
                <w:szCs w:val="21"/>
              </w:rPr>
            </w:pPr>
            <w:r>
              <w:t>砂浆机</w:t>
            </w:r>
          </w:p>
        </w:tc>
        <w:tc>
          <w:tcPr>
            <w:tcW w:w="894" w:type="pct"/>
            <w:vMerge w:val="continue"/>
            <w:vAlign w:val="center"/>
          </w:tcPr>
          <w:p w14:paraId="0590CD25">
            <w:pPr>
              <w:jc w:val="center"/>
              <w:rPr>
                <w:rFonts w:eastAsia="新宋体"/>
                <w:color w:val="000000" w:themeColor="text1"/>
                <w:szCs w:val="21"/>
              </w:rPr>
            </w:pPr>
          </w:p>
        </w:tc>
        <w:tc>
          <w:tcPr>
            <w:tcW w:w="768" w:type="pct"/>
            <w:vMerge w:val="continue"/>
            <w:vAlign w:val="center"/>
          </w:tcPr>
          <w:p w14:paraId="61A2CD61">
            <w:pPr>
              <w:jc w:val="center"/>
              <w:rPr>
                <w:rFonts w:eastAsia="新宋体"/>
                <w:color w:val="000000" w:themeColor="text1"/>
                <w:szCs w:val="21"/>
              </w:rPr>
            </w:pPr>
          </w:p>
        </w:tc>
        <w:tc>
          <w:tcPr>
            <w:tcW w:w="768" w:type="pct"/>
            <w:vMerge w:val="continue"/>
            <w:vAlign w:val="center"/>
          </w:tcPr>
          <w:p w14:paraId="701B4A3A">
            <w:pPr>
              <w:jc w:val="center"/>
              <w:rPr>
                <w:rFonts w:eastAsia="新宋体"/>
                <w:color w:val="000000" w:themeColor="text1"/>
                <w:szCs w:val="21"/>
              </w:rPr>
            </w:pPr>
          </w:p>
        </w:tc>
      </w:tr>
    </w:tbl>
    <w:p w14:paraId="01B5E895">
      <w:pPr>
        <w:spacing w:line="360" w:lineRule="auto"/>
        <w:ind w:firstLine="475"/>
        <w:rPr>
          <w:rFonts w:eastAsia="新宋体"/>
          <w:b/>
          <w:bCs/>
          <w:color w:val="000000" w:themeColor="text1"/>
          <w:szCs w:val="21"/>
        </w:rPr>
      </w:pPr>
      <w:r>
        <w:rPr>
          <w:rFonts w:eastAsia="新宋体"/>
          <w:color w:val="000000" w:themeColor="text1"/>
          <w:sz w:val="24"/>
          <w:szCs w:val="21"/>
        </w:rPr>
        <w:t>施工的各个阶段，施工现场均有机械设备运转，这些设备噪声源场界排放噪声，一般在60-80dB(A)。</w:t>
      </w:r>
    </w:p>
    <w:p w14:paraId="2E68527B">
      <w:pPr>
        <w:pStyle w:val="105"/>
        <w:rPr>
          <w:rFonts w:cs="Times New Roman"/>
          <w:color w:val="000000" w:themeColor="text1"/>
        </w:rPr>
      </w:pPr>
      <w:bookmarkStart w:id="304" w:name="_Toc472970919"/>
      <w:r>
        <w:rPr>
          <w:rFonts w:cs="Times New Roman"/>
          <w:color w:val="000000" w:themeColor="text1"/>
        </w:rPr>
        <w:t>3.4.4施工固废</w:t>
      </w:r>
      <w:bookmarkEnd w:id="304"/>
    </w:p>
    <w:p w14:paraId="72438B11">
      <w:pPr>
        <w:pStyle w:val="296"/>
        <w:ind w:firstLine="480"/>
        <w:rPr>
          <w:rFonts w:cs="Times New Roman"/>
          <w:color w:val="000000" w:themeColor="text1"/>
        </w:rPr>
      </w:pPr>
      <w:r>
        <w:rPr>
          <w:rFonts w:cs="Times New Roman"/>
          <w:color w:val="000000" w:themeColor="text1"/>
        </w:rPr>
        <w:t>（1）废弃土石</w:t>
      </w:r>
    </w:p>
    <w:p w14:paraId="42D5D3A5">
      <w:pPr>
        <w:pStyle w:val="296"/>
        <w:ind w:firstLine="480"/>
        <w:rPr>
          <w:rFonts w:cs="Times New Roman"/>
          <w:color w:val="000000" w:themeColor="text1"/>
        </w:rPr>
      </w:pPr>
      <w:r>
        <w:rPr>
          <w:rFonts w:cs="Times New Roman"/>
          <w:color w:val="000000" w:themeColor="text1"/>
        </w:rPr>
        <w:t>根据建设方资料，本项目土石方开挖量约30m</w:t>
      </w:r>
      <w:r>
        <w:rPr>
          <w:rFonts w:cs="Times New Roman"/>
          <w:color w:val="000000" w:themeColor="text1"/>
          <w:vertAlign w:val="superscript"/>
        </w:rPr>
        <w:t>3</w:t>
      </w:r>
      <w:r>
        <w:rPr>
          <w:rFonts w:cs="Times New Roman"/>
          <w:color w:val="000000" w:themeColor="text1"/>
        </w:rPr>
        <w:t>，项目场地回填30m</w:t>
      </w:r>
      <w:r>
        <w:rPr>
          <w:rFonts w:cs="Times New Roman"/>
          <w:color w:val="000000" w:themeColor="text1"/>
          <w:vertAlign w:val="superscript"/>
        </w:rPr>
        <w:t>3</w:t>
      </w:r>
      <w:r>
        <w:rPr>
          <w:rFonts w:cs="Times New Roman"/>
          <w:color w:val="000000" w:themeColor="text1"/>
        </w:rPr>
        <w:t>，项目产生的土石方可以全部用于回填，无弃土产生。</w:t>
      </w:r>
    </w:p>
    <w:p w14:paraId="2AD041FD">
      <w:pPr>
        <w:pStyle w:val="296"/>
        <w:ind w:firstLine="480"/>
        <w:rPr>
          <w:rFonts w:cs="Times New Roman"/>
          <w:color w:val="000000" w:themeColor="text1"/>
        </w:rPr>
      </w:pPr>
      <w:r>
        <w:rPr>
          <w:rFonts w:cs="Times New Roman"/>
          <w:color w:val="000000" w:themeColor="text1"/>
        </w:rPr>
        <w:t>（2）建筑垃圾</w:t>
      </w:r>
    </w:p>
    <w:p w14:paraId="50F79513">
      <w:pPr>
        <w:pStyle w:val="296"/>
        <w:ind w:firstLine="480"/>
        <w:rPr>
          <w:rFonts w:cs="Times New Roman"/>
          <w:color w:val="000000" w:themeColor="text1"/>
        </w:rPr>
      </w:pPr>
      <w:r>
        <w:rPr>
          <w:rFonts w:cs="Times New Roman"/>
          <w:color w:val="000000"/>
        </w:rPr>
        <w:t>根据类比同类型项目，每平方米建筑物的建筑垃圾产生量约为0.03t，本项目总建筑面积约为4000m</w:t>
      </w:r>
      <w:r>
        <w:rPr>
          <w:rFonts w:cs="Times New Roman"/>
          <w:color w:val="000000"/>
          <w:vertAlign w:val="superscript"/>
        </w:rPr>
        <w:t>2</w:t>
      </w:r>
      <w:r>
        <w:rPr>
          <w:rFonts w:cs="Times New Roman"/>
          <w:color w:val="000000"/>
        </w:rPr>
        <w:t>，则本项目施工时产生的建筑垃圾量为12t，</w:t>
      </w:r>
      <w:r>
        <w:rPr>
          <w:rFonts w:cs="Times New Roman"/>
          <w:color w:val="000000" w:themeColor="text1"/>
        </w:rPr>
        <w:t>可以回收利用的回收利用，不能利用的建筑垃圾由施工单位清运至建筑垃圾指定堆放地妥善处置，防止其因长期堆放而产生的污染，禁止乱丢乱弃。</w:t>
      </w:r>
    </w:p>
    <w:p w14:paraId="166713C8">
      <w:pPr>
        <w:pStyle w:val="296"/>
        <w:ind w:firstLine="480"/>
        <w:rPr>
          <w:rFonts w:cs="Times New Roman"/>
          <w:color w:val="000000" w:themeColor="text1"/>
        </w:rPr>
      </w:pPr>
      <w:r>
        <w:rPr>
          <w:rFonts w:cs="Times New Roman"/>
          <w:color w:val="000000" w:themeColor="text1"/>
        </w:rPr>
        <w:t>（3）生活垃圾</w:t>
      </w:r>
    </w:p>
    <w:p w14:paraId="616B450F">
      <w:pPr>
        <w:spacing w:line="360" w:lineRule="auto"/>
        <w:ind w:firstLine="475"/>
        <w:rPr>
          <w:rFonts w:eastAsia="新宋体"/>
          <w:color w:val="000000" w:themeColor="text1"/>
          <w:sz w:val="24"/>
          <w:szCs w:val="21"/>
        </w:rPr>
      </w:pPr>
      <w:r>
        <w:rPr>
          <w:rFonts w:eastAsia="新宋体"/>
          <w:color w:val="000000" w:themeColor="text1"/>
          <w:sz w:val="24"/>
          <w:szCs w:val="21"/>
        </w:rPr>
        <w:t xml:space="preserve">施工人员产生的生活垃圾，按施工高峰期施工人数15人，人均产生生活垃圾1kg/d计，生活垃圾产生量为0.015t/d，施工期间产生生活垃圾0.9t（施工期2个月）。施工期间产生的生活垃圾集中收集后定期清运至就近寨子的垃圾收集点。 </w:t>
      </w:r>
    </w:p>
    <w:bookmarkEnd w:id="301"/>
    <w:bookmarkEnd w:id="302"/>
    <w:p w14:paraId="79F7422A">
      <w:pPr>
        <w:pStyle w:val="4"/>
        <w:rPr>
          <w:rFonts w:ascii="Times New Roman" w:hAnsi="Times New Roman"/>
          <w:color w:val="000000" w:themeColor="text1"/>
        </w:rPr>
      </w:pPr>
      <w:bookmarkStart w:id="305" w:name="_Toc285547568"/>
      <w:bookmarkStart w:id="306" w:name="_Toc285542743"/>
      <w:bookmarkStart w:id="307" w:name="_Toc286241640"/>
      <w:bookmarkStart w:id="308" w:name="_Toc285541523"/>
      <w:bookmarkStart w:id="309" w:name="_Toc28117698"/>
      <w:bookmarkStart w:id="310" w:name="_Toc354822888"/>
      <w:bookmarkStart w:id="311" w:name="_Toc345236540"/>
      <w:r>
        <w:rPr>
          <w:rFonts w:ascii="Times New Roman" w:hAnsi="Times New Roman"/>
          <w:color w:val="000000" w:themeColor="text1"/>
        </w:rPr>
        <w:t>3.5 运营期污染源</w:t>
      </w:r>
      <w:bookmarkEnd w:id="305"/>
      <w:bookmarkEnd w:id="306"/>
      <w:bookmarkEnd w:id="307"/>
      <w:bookmarkEnd w:id="308"/>
      <w:r>
        <w:rPr>
          <w:rFonts w:ascii="Times New Roman" w:hAnsi="Times New Roman"/>
          <w:color w:val="000000" w:themeColor="text1"/>
        </w:rPr>
        <w:t>核算</w:t>
      </w:r>
      <w:bookmarkEnd w:id="309"/>
      <w:bookmarkEnd w:id="310"/>
      <w:bookmarkEnd w:id="311"/>
    </w:p>
    <w:p w14:paraId="3F8C4F49">
      <w:pPr>
        <w:pStyle w:val="105"/>
        <w:rPr>
          <w:rFonts w:cs="Times New Roman"/>
          <w:color w:val="000000" w:themeColor="text1"/>
        </w:rPr>
      </w:pPr>
      <w:bookmarkStart w:id="312" w:name="_Toc285542744"/>
      <w:bookmarkStart w:id="313" w:name="_Toc286241641"/>
      <w:bookmarkStart w:id="314" w:name="_Toc285541524"/>
      <w:bookmarkStart w:id="315" w:name="_Toc354822889"/>
      <w:bookmarkStart w:id="316" w:name="_Toc345236541"/>
      <w:bookmarkStart w:id="317" w:name="_Toc285547569"/>
      <w:r>
        <w:rPr>
          <w:rFonts w:cs="Times New Roman"/>
          <w:color w:val="000000" w:themeColor="text1"/>
        </w:rPr>
        <w:t>3.5.1 废气</w:t>
      </w:r>
      <w:bookmarkEnd w:id="312"/>
      <w:bookmarkEnd w:id="313"/>
      <w:bookmarkEnd w:id="314"/>
      <w:bookmarkEnd w:id="315"/>
      <w:bookmarkEnd w:id="316"/>
      <w:bookmarkEnd w:id="317"/>
    </w:p>
    <w:p w14:paraId="5E41804E">
      <w:pPr>
        <w:spacing w:line="360" w:lineRule="auto"/>
        <w:ind w:firstLine="480" w:firstLineChars="200"/>
        <w:rPr>
          <w:color w:val="000000" w:themeColor="text1"/>
          <w:sz w:val="24"/>
        </w:rPr>
      </w:pPr>
      <w:r>
        <w:rPr>
          <w:color w:val="000000" w:themeColor="text1"/>
          <w:sz w:val="24"/>
        </w:rPr>
        <w:t>根据工艺分析，本项目由于塑料清洗破碎工序采用湿式破碎，因此基本无粉尘产生，废气主要为造粒工序热熔挤出废气G1、编织袋热熔挤出废气G2、生产异味和食堂油烟。</w:t>
      </w:r>
    </w:p>
    <w:p w14:paraId="421E0660">
      <w:pPr>
        <w:spacing w:line="360" w:lineRule="auto"/>
        <w:ind w:firstLine="480" w:firstLineChars="200"/>
        <w:rPr>
          <w:b/>
          <w:color w:val="000000" w:themeColor="text1"/>
          <w:sz w:val="24"/>
        </w:rPr>
      </w:pPr>
      <w:r>
        <w:rPr>
          <w:b/>
          <w:color w:val="000000" w:themeColor="text1"/>
          <w:sz w:val="24"/>
        </w:rPr>
        <w:t>1.有组织废气</w:t>
      </w:r>
    </w:p>
    <w:p w14:paraId="30F8E596">
      <w:pPr>
        <w:spacing w:line="360" w:lineRule="auto"/>
        <w:ind w:firstLine="480" w:firstLineChars="200"/>
        <w:rPr>
          <w:b/>
          <w:color w:val="000000" w:themeColor="text1"/>
          <w:sz w:val="24"/>
        </w:rPr>
      </w:pPr>
      <w:r>
        <w:rPr>
          <w:b/>
          <w:color w:val="000000" w:themeColor="text1"/>
          <w:sz w:val="24"/>
        </w:rPr>
        <w:t>（1）塑料造粒工序热熔挤出废气G1</w:t>
      </w:r>
    </w:p>
    <w:p w14:paraId="1DF91908">
      <w:pPr>
        <w:autoSpaceDE w:val="0"/>
        <w:autoSpaceDN w:val="0"/>
        <w:adjustRightInd w:val="0"/>
        <w:spacing w:line="360" w:lineRule="auto"/>
        <w:ind w:firstLine="480" w:firstLineChars="200"/>
        <w:jc w:val="left"/>
        <w:rPr>
          <w:b/>
          <w:color w:val="000000" w:themeColor="text1"/>
          <w:sz w:val="24"/>
        </w:rPr>
      </w:pPr>
      <w:r>
        <w:rPr>
          <w:rFonts w:hint="eastAsia" w:ascii="宋体" w:hAnsi="宋体" w:cs="宋体"/>
          <w:b/>
          <w:color w:val="000000" w:themeColor="text1"/>
          <w:sz w:val="24"/>
        </w:rPr>
        <w:t>①</w:t>
      </w:r>
      <w:r>
        <w:rPr>
          <w:b/>
          <w:color w:val="000000" w:themeColor="text1"/>
          <w:sz w:val="24"/>
        </w:rPr>
        <w:t>废气来源及污染因子</w:t>
      </w:r>
    </w:p>
    <w:p w14:paraId="3CD7B657">
      <w:pPr>
        <w:autoSpaceDE w:val="0"/>
        <w:autoSpaceDN w:val="0"/>
        <w:adjustRightInd w:val="0"/>
        <w:spacing w:line="360" w:lineRule="auto"/>
        <w:ind w:firstLine="480" w:firstLineChars="200"/>
        <w:jc w:val="left"/>
        <w:rPr>
          <w:b/>
          <w:color w:val="000000" w:themeColor="text1"/>
          <w:sz w:val="24"/>
        </w:rPr>
      </w:pPr>
      <w:r>
        <w:rPr>
          <w:b/>
          <w:color w:val="000000" w:themeColor="text1"/>
          <w:sz w:val="24"/>
        </w:rPr>
        <w:t>废气来源</w:t>
      </w:r>
    </w:p>
    <w:p w14:paraId="7831CD15">
      <w:pPr>
        <w:autoSpaceDE w:val="0"/>
        <w:autoSpaceDN w:val="0"/>
        <w:adjustRightInd w:val="0"/>
        <w:spacing w:line="360" w:lineRule="auto"/>
        <w:ind w:firstLine="480" w:firstLineChars="200"/>
        <w:jc w:val="left"/>
        <w:rPr>
          <w:color w:val="000000" w:themeColor="text1"/>
          <w:sz w:val="24"/>
        </w:rPr>
      </w:pPr>
      <w:r>
        <w:rPr>
          <w:color w:val="000000" w:themeColor="text1"/>
          <w:sz w:val="24"/>
        </w:rPr>
        <w:t>本项目采用电加热方式对料筒进行加热，热熔挤出工序不添加任何阻燃剂、增塑剂等添加剂，采用直接再生方式，挤出造粒过程为单纯物理熔融变化过程，聚乙烯、聚丙烯加热温度控制在180-200℃左右。</w:t>
      </w:r>
    </w:p>
    <w:p w14:paraId="07C30A9D">
      <w:pPr>
        <w:autoSpaceDE w:val="0"/>
        <w:autoSpaceDN w:val="0"/>
        <w:adjustRightInd w:val="0"/>
        <w:spacing w:line="360" w:lineRule="auto"/>
        <w:ind w:firstLine="480" w:firstLineChars="200"/>
        <w:jc w:val="left"/>
        <w:rPr>
          <w:color w:val="000000" w:themeColor="text1"/>
          <w:sz w:val="24"/>
        </w:rPr>
      </w:pPr>
      <w:r>
        <w:rPr>
          <w:color w:val="000000" w:themeColor="text1"/>
          <w:sz w:val="24"/>
        </w:rPr>
        <w:t>聚乙烯和聚丙烯裂解温度分别为≥380℃和350℃，由于实际操作过程中，因料筒局部过热等其它原因，会有少量熔融废气产生，主要为乙烯、丙烯单体，同时还有颗粒物和异味产生。</w:t>
      </w:r>
    </w:p>
    <w:p w14:paraId="35D9740A">
      <w:pPr>
        <w:autoSpaceDE w:val="0"/>
        <w:autoSpaceDN w:val="0"/>
        <w:adjustRightInd w:val="0"/>
        <w:spacing w:line="360" w:lineRule="auto"/>
        <w:ind w:firstLine="480" w:firstLineChars="200"/>
        <w:jc w:val="left"/>
        <w:rPr>
          <w:b/>
          <w:color w:val="000000" w:themeColor="text1"/>
          <w:sz w:val="24"/>
        </w:rPr>
      </w:pPr>
      <w:r>
        <w:rPr>
          <w:b/>
          <w:color w:val="000000" w:themeColor="text1"/>
          <w:sz w:val="24"/>
        </w:rPr>
        <w:t>废气因子</w:t>
      </w:r>
    </w:p>
    <w:p w14:paraId="694980FE">
      <w:pPr>
        <w:spacing w:line="360" w:lineRule="auto"/>
        <w:ind w:firstLine="480" w:firstLineChars="200"/>
        <w:jc w:val="left"/>
        <w:rPr>
          <w:rFonts w:eastAsia="新宋体"/>
          <w:color w:val="FF0000"/>
          <w:sz w:val="24"/>
          <w:szCs w:val="21"/>
        </w:rPr>
      </w:pPr>
      <w:r>
        <w:rPr>
          <w:b/>
          <w:color w:val="FF0000"/>
          <w:kern w:val="0"/>
          <w:sz w:val="24"/>
        </w:rPr>
        <w:t>A、</w:t>
      </w:r>
      <w:r>
        <w:rPr>
          <w:rFonts w:eastAsia="新宋体"/>
          <w:color w:val="FF0000"/>
          <w:sz w:val="24"/>
          <w:szCs w:val="21"/>
        </w:rPr>
        <w:t>本项目原料为塑料瓶、塑料</w:t>
      </w:r>
      <w:r>
        <w:rPr>
          <w:rFonts w:hint="eastAsia" w:eastAsia="新宋体"/>
          <w:color w:val="FF0000"/>
          <w:sz w:val="24"/>
          <w:szCs w:val="21"/>
          <w:lang w:eastAsia="zh-CN"/>
        </w:rPr>
        <w:t>编织袋</w:t>
      </w:r>
      <w:r>
        <w:rPr>
          <w:rFonts w:eastAsia="新宋体"/>
          <w:color w:val="FF0000"/>
          <w:sz w:val="24"/>
          <w:szCs w:val="21"/>
        </w:rPr>
        <w:t>等，主要成分为聚丙烯、聚乙烯，不涉及汽车配件、废机油桶、危险废物等；</w:t>
      </w:r>
    </w:p>
    <w:p w14:paraId="68554EDF">
      <w:pPr>
        <w:spacing w:line="360" w:lineRule="auto"/>
        <w:ind w:firstLine="480" w:firstLineChars="200"/>
        <w:jc w:val="left"/>
        <w:rPr>
          <w:color w:val="FF0000"/>
          <w:sz w:val="24"/>
        </w:rPr>
      </w:pPr>
      <w:r>
        <w:rPr>
          <w:rFonts w:eastAsia="新宋体"/>
          <w:color w:val="FF0000"/>
          <w:sz w:val="24"/>
          <w:szCs w:val="21"/>
        </w:rPr>
        <w:t>聚乙烯分子式为(C</w:t>
      </w:r>
      <w:r>
        <w:rPr>
          <w:rFonts w:eastAsia="新宋体"/>
          <w:color w:val="FF0000"/>
          <w:sz w:val="24"/>
          <w:szCs w:val="21"/>
          <w:vertAlign w:val="subscript"/>
        </w:rPr>
        <w:t>2</w:t>
      </w:r>
      <w:r>
        <w:rPr>
          <w:rFonts w:eastAsia="新宋体"/>
          <w:color w:val="FF0000"/>
          <w:sz w:val="24"/>
          <w:szCs w:val="21"/>
        </w:rPr>
        <w:t>H</w:t>
      </w:r>
      <w:r>
        <w:rPr>
          <w:rFonts w:eastAsia="新宋体"/>
          <w:color w:val="FF0000"/>
          <w:sz w:val="24"/>
          <w:szCs w:val="21"/>
          <w:vertAlign w:val="subscript"/>
        </w:rPr>
        <w:t>4</w:t>
      </w:r>
      <w:r>
        <w:rPr>
          <w:rFonts w:eastAsia="新宋体"/>
          <w:color w:val="FF0000"/>
          <w:sz w:val="24"/>
          <w:szCs w:val="21"/>
        </w:rPr>
        <w:t>)n，聚丙烯分子式为(C</w:t>
      </w:r>
      <w:r>
        <w:rPr>
          <w:rFonts w:eastAsia="新宋体"/>
          <w:color w:val="FF0000"/>
          <w:sz w:val="24"/>
          <w:szCs w:val="21"/>
          <w:vertAlign w:val="subscript"/>
        </w:rPr>
        <w:t>3</w:t>
      </w:r>
      <w:r>
        <w:rPr>
          <w:rFonts w:eastAsia="新宋体"/>
          <w:color w:val="FF0000"/>
          <w:sz w:val="24"/>
          <w:szCs w:val="21"/>
        </w:rPr>
        <w:t>H</w:t>
      </w:r>
      <w:r>
        <w:rPr>
          <w:rFonts w:eastAsia="新宋体"/>
          <w:color w:val="FF0000"/>
          <w:sz w:val="24"/>
          <w:szCs w:val="21"/>
          <w:vertAlign w:val="subscript"/>
        </w:rPr>
        <w:t>6</w:t>
      </w:r>
      <w:r>
        <w:rPr>
          <w:rFonts w:eastAsia="新宋体"/>
          <w:color w:val="FF0000"/>
          <w:sz w:val="24"/>
          <w:szCs w:val="21"/>
        </w:rPr>
        <w:t>)n，根据</w:t>
      </w:r>
      <w:r>
        <w:rPr>
          <w:color w:val="FF0000"/>
          <w:sz w:val="24"/>
        </w:rPr>
        <w:t>《空气污染物排放和控制手册 工业污染源调查与研究第二辑》（美国环境保护局编），聚乙烯和聚丙烯裂解过程中会产生少量熔融废气产生，主要为乙烯、丙烯单体，同时还有颗粒物和异味产生。</w:t>
      </w:r>
    </w:p>
    <w:p w14:paraId="5FC97737">
      <w:pPr>
        <w:spacing w:line="360" w:lineRule="auto"/>
        <w:ind w:firstLine="480" w:firstLineChars="200"/>
        <w:jc w:val="left"/>
        <w:rPr>
          <w:rFonts w:eastAsiaTheme="minorEastAsia"/>
          <w:bCs/>
          <w:color w:val="FF0000"/>
          <w:sz w:val="24"/>
          <w:szCs w:val="28"/>
        </w:rPr>
      </w:pPr>
      <w:r>
        <w:rPr>
          <w:b/>
          <w:color w:val="FF0000"/>
          <w:sz w:val="24"/>
        </w:rPr>
        <w:t>B、</w:t>
      </w:r>
      <w:r>
        <w:rPr>
          <w:color w:val="FF0000"/>
          <w:sz w:val="24"/>
        </w:rPr>
        <w:t>根据</w:t>
      </w:r>
      <w:r>
        <w:rPr>
          <w:b/>
          <w:color w:val="FF0000"/>
          <w:sz w:val="24"/>
        </w:rPr>
        <w:t>《</w:t>
      </w:r>
      <w:r>
        <w:rPr>
          <w:rFonts w:eastAsiaTheme="minorEastAsia"/>
          <w:bCs/>
          <w:color w:val="FF0000"/>
          <w:sz w:val="24"/>
          <w:szCs w:val="28"/>
        </w:rPr>
        <w:t>排污许可证申请与核发技术规范—废弃资源加工工业》中废旧塑料加工中废气，污染物因子为颗粒物、非甲烷总烃、二甲苯、氯化氢；</w:t>
      </w:r>
    </w:p>
    <w:p w14:paraId="521CE53A">
      <w:pPr>
        <w:spacing w:line="360" w:lineRule="auto"/>
        <w:ind w:firstLine="480" w:firstLineChars="200"/>
        <w:jc w:val="left"/>
        <w:rPr>
          <w:rFonts w:eastAsia="新宋体"/>
          <w:color w:val="FF0000"/>
          <w:sz w:val="24"/>
          <w:szCs w:val="21"/>
        </w:rPr>
      </w:pPr>
      <w:r>
        <w:rPr>
          <w:rFonts w:eastAsiaTheme="minorEastAsia"/>
          <w:bCs/>
          <w:color w:val="FF0000"/>
          <w:sz w:val="24"/>
          <w:szCs w:val="28"/>
        </w:rPr>
        <w:t>同时对照</w:t>
      </w:r>
      <w:r>
        <w:rPr>
          <w:color w:val="FF0000"/>
          <w:sz w:val="24"/>
        </w:rPr>
        <w:t>《合成树脂工业污染物排放标准》（GB31572-2015），本项目为</w:t>
      </w:r>
      <w:r>
        <w:rPr>
          <w:rFonts w:eastAsia="新宋体"/>
          <w:color w:val="FF0000"/>
          <w:sz w:val="24"/>
          <w:szCs w:val="21"/>
        </w:rPr>
        <w:t>聚丙烯、聚乙烯塑料，根据该标准中“表4 大气污染物排放限值”，本项目主要污染物为非甲烷总烃及颗粒物；</w:t>
      </w:r>
    </w:p>
    <w:p w14:paraId="2849E82E">
      <w:pPr>
        <w:spacing w:line="360" w:lineRule="auto"/>
        <w:ind w:firstLine="480" w:firstLineChars="200"/>
        <w:jc w:val="left"/>
        <w:rPr>
          <w:b/>
          <w:color w:val="FF0000"/>
          <w:kern w:val="0"/>
          <w:sz w:val="24"/>
        </w:rPr>
      </w:pPr>
      <w:r>
        <w:rPr>
          <w:rFonts w:eastAsia="新宋体"/>
          <w:b/>
          <w:color w:val="FF0000"/>
          <w:sz w:val="24"/>
          <w:szCs w:val="21"/>
        </w:rPr>
        <w:t>C、小结：</w:t>
      </w:r>
      <w:r>
        <w:rPr>
          <w:rFonts w:eastAsia="新宋体"/>
          <w:color w:val="FF0000"/>
          <w:sz w:val="24"/>
          <w:szCs w:val="21"/>
        </w:rPr>
        <w:t>综上，根据本项目原料成分（聚丙烯、聚乙烯），主要为碳氢化合物，不含氯元素；同时根据</w:t>
      </w:r>
      <w:r>
        <w:rPr>
          <w:b/>
          <w:color w:val="FF0000"/>
          <w:sz w:val="24"/>
        </w:rPr>
        <w:t>《</w:t>
      </w:r>
      <w:r>
        <w:rPr>
          <w:rFonts w:eastAsiaTheme="minorEastAsia"/>
          <w:bCs/>
          <w:color w:val="FF0000"/>
          <w:sz w:val="24"/>
          <w:szCs w:val="28"/>
        </w:rPr>
        <w:t>排污许可证申请与核发技术规范—废弃资源加工工业》及</w:t>
      </w:r>
      <w:r>
        <w:rPr>
          <w:color w:val="FF0000"/>
          <w:sz w:val="24"/>
        </w:rPr>
        <w:t>《合成树脂工业污染物排放标准》（GB31572-2015），本项目废气主要为非甲烷总烃及颗粒物，不涉及二甲苯、氯化氢。</w:t>
      </w:r>
    </w:p>
    <w:p w14:paraId="7FC02AA7">
      <w:pPr>
        <w:autoSpaceDE w:val="0"/>
        <w:autoSpaceDN w:val="0"/>
        <w:adjustRightInd w:val="0"/>
        <w:spacing w:line="360" w:lineRule="auto"/>
        <w:ind w:firstLine="480" w:firstLineChars="200"/>
        <w:jc w:val="left"/>
        <w:rPr>
          <w:b/>
          <w:color w:val="000000" w:themeColor="text1"/>
          <w:sz w:val="24"/>
        </w:rPr>
      </w:pPr>
      <w:r>
        <w:rPr>
          <w:rFonts w:hint="eastAsia" w:ascii="宋体" w:hAnsi="宋体" w:cs="宋体"/>
          <w:b/>
          <w:color w:val="000000" w:themeColor="text1"/>
          <w:sz w:val="24"/>
        </w:rPr>
        <w:t>②</w:t>
      </w:r>
      <w:r>
        <w:rPr>
          <w:b/>
          <w:color w:val="000000" w:themeColor="text1"/>
          <w:sz w:val="24"/>
        </w:rPr>
        <w:t>废气污染物产生源强依据及产生量</w:t>
      </w:r>
    </w:p>
    <w:p w14:paraId="04718E1A">
      <w:pPr>
        <w:autoSpaceDE w:val="0"/>
        <w:autoSpaceDN w:val="0"/>
        <w:adjustRightInd w:val="0"/>
        <w:spacing w:line="360" w:lineRule="auto"/>
        <w:ind w:firstLine="480" w:firstLineChars="200"/>
        <w:jc w:val="left"/>
        <w:rPr>
          <w:color w:val="000000" w:themeColor="text1"/>
          <w:sz w:val="24"/>
        </w:rPr>
      </w:pPr>
      <w:r>
        <w:rPr>
          <w:color w:val="000000" w:themeColor="text1"/>
          <w:sz w:val="24"/>
        </w:rPr>
        <w:t>参照《空气污染物排放和控制手册 工业污染源调查与研究第二辑》（美国环境保护局编），聚丙烯、聚乙烯分解产生颗粒物产生系数为0.05kg/t塑料，非甲烷总烃（乙烯、丙烯单体）产生系数为0.35kg/t塑料。</w:t>
      </w:r>
    </w:p>
    <w:p w14:paraId="25BD7C37">
      <w:pPr>
        <w:autoSpaceDE w:val="0"/>
        <w:autoSpaceDN w:val="0"/>
        <w:adjustRightInd w:val="0"/>
        <w:spacing w:line="360" w:lineRule="auto"/>
        <w:ind w:firstLine="480" w:firstLineChars="200"/>
        <w:jc w:val="left"/>
        <w:rPr>
          <w:color w:val="000000" w:themeColor="text1"/>
          <w:sz w:val="24"/>
        </w:rPr>
      </w:pPr>
      <w:r>
        <w:rPr>
          <w:b/>
          <w:color w:val="FF0000"/>
          <w:sz w:val="24"/>
        </w:rPr>
        <w:t>废气产生量：</w:t>
      </w:r>
      <w:r>
        <w:rPr>
          <w:color w:val="000000" w:themeColor="text1"/>
          <w:sz w:val="24"/>
        </w:rPr>
        <w:t>本项目日生产塑料颗粒16.693t/d，颗粒物产生量为0.108kg/h（0.26t/a），非甲烷总烃产生量为0.73kg/h（1.754t/a）。</w:t>
      </w:r>
    </w:p>
    <w:p w14:paraId="085957E3">
      <w:pPr>
        <w:autoSpaceDE w:val="0"/>
        <w:autoSpaceDN w:val="0"/>
        <w:adjustRightInd w:val="0"/>
        <w:spacing w:line="360" w:lineRule="auto"/>
        <w:ind w:firstLine="480" w:firstLineChars="200"/>
        <w:jc w:val="left"/>
        <w:rPr>
          <w:b/>
          <w:color w:val="000000" w:themeColor="text1"/>
          <w:sz w:val="24"/>
        </w:rPr>
      </w:pPr>
      <w:r>
        <w:rPr>
          <w:rFonts w:hint="eastAsia" w:ascii="宋体" w:hAnsi="宋体" w:cs="宋体"/>
          <w:b/>
          <w:color w:val="000000" w:themeColor="text1"/>
          <w:sz w:val="24"/>
        </w:rPr>
        <w:t>③</w:t>
      </w:r>
      <w:r>
        <w:rPr>
          <w:b/>
          <w:color w:val="000000" w:themeColor="text1"/>
          <w:sz w:val="24"/>
        </w:rPr>
        <w:t>本项目废气处置措施</w:t>
      </w:r>
    </w:p>
    <w:p w14:paraId="647D8649">
      <w:pPr>
        <w:spacing w:line="360" w:lineRule="auto"/>
        <w:ind w:left="105" w:leftChars="50" w:right="105" w:rightChars="50" w:firstLine="480" w:firstLineChars="200"/>
        <w:jc w:val="left"/>
        <w:rPr>
          <w:rFonts w:eastAsiaTheme="minorEastAsia"/>
          <w:b/>
          <w:bCs/>
          <w:color w:val="000000" w:themeColor="text1"/>
          <w:sz w:val="24"/>
          <w:szCs w:val="28"/>
        </w:rPr>
      </w:pPr>
      <w:r>
        <w:rPr>
          <w:rFonts w:eastAsiaTheme="minorEastAsia"/>
          <w:b/>
          <w:bCs/>
          <w:color w:val="000000" w:themeColor="text1"/>
          <w:sz w:val="24"/>
          <w:szCs w:val="28"/>
        </w:rPr>
        <w:t>A、处置措施</w:t>
      </w:r>
    </w:p>
    <w:p w14:paraId="59CD2FE2">
      <w:pPr>
        <w:spacing w:line="360" w:lineRule="auto"/>
        <w:ind w:left="105" w:leftChars="50" w:right="105" w:rightChars="50" w:firstLine="480" w:firstLineChars="200"/>
        <w:jc w:val="left"/>
        <w:rPr>
          <w:rFonts w:eastAsiaTheme="minorEastAsia"/>
          <w:bCs/>
          <w:color w:val="000000" w:themeColor="text1"/>
          <w:sz w:val="24"/>
          <w:szCs w:val="28"/>
        </w:rPr>
      </w:pPr>
      <w:r>
        <w:rPr>
          <w:rFonts w:eastAsiaTheme="minorEastAsia"/>
          <w:bCs/>
          <w:color w:val="000000" w:themeColor="text1"/>
          <w:sz w:val="24"/>
          <w:szCs w:val="28"/>
        </w:rPr>
        <w:t>根据《排污许可证申请与核发技术规范—废弃资源加工工业》中废旧塑料加工中废气的处置方式，“采用过滤式布袋除尘+活性炭”；</w:t>
      </w:r>
    </w:p>
    <w:p w14:paraId="1C721C7C">
      <w:pPr>
        <w:spacing w:line="360" w:lineRule="auto"/>
        <w:ind w:left="105" w:leftChars="50" w:right="105" w:rightChars="50" w:firstLine="480" w:firstLineChars="200"/>
        <w:jc w:val="left"/>
        <w:rPr>
          <w:rFonts w:eastAsiaTheme="minorEastAsia"/>
          <w:bCs/>
          <w:color w:val="000000" w:themeColor="text1"/>
          <w:sz w:val="24"/>
          <w:szCs w:val="28"/>
        </w:rPr>
      </w:pPr>
      <w:r>
        <w:rPr>
          <w:rFonts w:eastAsiaTheme="minorEastAsia"/>
          <w:bCs/>
          <w:color w:val="000000" w:themeColor="text1"/>
          <w:sz w:val="24"/>
          <w:szCs w:val="28"/>
        </w:rPr>
        <w:t>综上分析及建设方提供的资料，结合本项目行业处理方式，本项目采用处理效率更高的过滤棉+UV光解；</w:t>
      </w:r>
    </w:p>
    <w:p w14:paraId="3E61D0A9">
      <w:pPr>
        <w:spacing w:line="360" w:lineRule="auto"/>
        <w:ind w:left="105" w:leftChars="50" w:right="105" w:rightChars="50" w:firstLine="480" w:firstLineChars="200"/>
        <w:jc w:val="left"/>
        <w:rPr>
          <w:rFonts w:eastAsiaTheme="minorEastAsia"/>
          <w:bCs/>
          <w:color w:val="000000" w:themeColor="text1"/>
          <w:sz w:val="24"/>
          <w:szCs w:val="28"/>
        </w:rPr>
      </w:pPr>
      <w:r>
        <w:rPr>
          <w:rFonts w:eastAsiaTheme="minorEastAsia"/>
          <w:bCs/>
          <w:color w:val="000000" w:themeColor="text1"/>
          <w:sz w:val="24"/>
          <w:szCs w:val="28"/>
        </w:rPr>
        <w:t>建设方拟在两台塑料挤出机上方设置集气罩（风机风量为8000m</w:t>
      </w:r>
      <w:r>
        <w:rPr>
          <w:rFonts w:eastAsiaTheme="minorEastAsia"/>
          <w:bCs/>
          <w:color w:val="000000" w:themeColor="text1"/>
          <w:sz w:val="24"/>
          <w:szCs w:val="28"/>
          <w:vertAlign w:val="superscript"/>
        </w:rPr>
        <w:t>3</w:t>
      </w:r>
      <w:r>
        <w:rPr>
          <w:rFonts w:eastAsiaTheme="minorEastAsia"/>
          <w:bCs/>
          <w:color w:val="000000" w:themeColor="text1"/>
          <w:sz w:val="24"/>
          <w:szCs w:val="28"/>
        </w:rPr>
        <w:t>/h，集气效率90%），将颗粒物及非甲烷总烃引至过滤棉+UV光解装置处理达标后（颗粒物处置效率95%，非甲烷总烃处置效率85%），通过管道引至15m的排气筒排放。</w:t>
      </w:r>
    </w:p>
    <w:p w14:paraId="16E240FC">
      <w:pPr>
        <w:spacing w:line="360" w:lineRule="auto"/>
        <w:ind w:left="105" w:leftChars="50" w:right="105" w:rightChars="50" w:firstLine="480" w:firstLineChars="200"/>
        <w:jc w:val="left"/>
        <w:rPr>
          <w:rFonts w:eastAsiaTheme="minorEastAsia"/>
          <w:b/>
          <w:bCs/>
          <w:color w:val="FF0000"/>
          <w:sz w:val="24"/>
          <w:szCs w:val="28"/>
        </w:rPr>
      </w:pPr>
      <w:r>
        <w:rPr>
          <w:rFonts w:eastAsiaTheme="minorEastAsia"/>
          <w:b/>
          <w:bCs/>
          <w:color w:val="FF0000"/>
          <w:sz w:val="24"/>
          <w:szCs w:val="28"/>
        </w:rPr>
        <w:t>B、废气处置（过滤棉+UV光解装置）原理</w:t>
      </w:r>
    </w:p>
    <w:p w14:paraId="4EEE83AB">
      <w:pPr>
        <w:spacing w:line="360" w:lineRule="auto"/>
        <w:ind w:left="105" w:leftChars="50" w:right="105" w:rightChars="50" w:firstLine="480" w:firstLineChars="200"/>
        <w:jc w:val="left"/>
        <w:rPr>
          <w:rFonts w:eastAsiaTheme="minorEastAsia"/>
          <w:bCs/>
          <w:color w:val="000000" w:themeColor="text1"/>
          <w:sz w:val="24"/>
          <w:szCs w:val="28"/>
        </w:rPr>
      </w:pPr>
      <w:r>
        <w:rPr>
          <w:rFonts w:eastAsiaTheme="minorEastAsia"/>
          <w:bCs/>
          <w:color w:val="000000" w:themeColor="text1"/>
          <w:sz w:val="24"/>
          <w:szCs w:val="28"/>
        </w:rPr>
        <w:t>光解设备是利用特制的高能高臭氧UV紫外线光束照射工业废气，裂解恶臭、工业废气（VOC类等），使有机或无机高分子恶臭化合物分子链,在高能紫外线光束照射下，降解转变成低分子化合物，如CO</w:t>
      </w:r>
      <w:r>
        <w:rPr>
          <w:rFonts w:eastAsiaTheme="minorEastAsia"/>
          <w:bCs/>
          <w:color w:val="000000" w:themeColor="text1"/>
          <w:sz w:val="24"/>
          <w:szCs w:val="28"/>
          <w:vertAlign w:val="subscript"/>
        </w:rPr>
        <w:t>2</w:t>
      </w:r>
      <w:r>
        <w:rPr>
          <w:rFonts w:eastAsiaTheme="minorEastAsia"/>
          <w:bCs/>
          <w:color w:val="000000" w:themeColor="text1"/>
          <w:sz w:val="24"/>
          <w:szCs w:val="28"/>
        </w:rPr>
        <w:t>、H</w:t>
      </w:r>
      <w:r>
        <w:rPr>
          <w:rFonts w:eastAsiaTheme="minorEastAsia"/>
          <w:bCs/>
          <w:color w:val="000000" w:themeColor="text1"/>
          <w:sz w:val="24"/>
          <w:szCs w:val="28"/>
          <w:vertAlign w:val="subscript"/>
        </w:rPr>
        <w:t>2</w:t>
      </w:r>
      <w:r>
        <w:rPr>
          <w:rFonts w:eastAsiaTheme="minorEastAsia"/>
          <w:bCs/>
          <w:color w:val="000000" w:themeColor="text1"/>
          <w:sz w:val="24"/>
          <w:szCs w:val="28"/>
        </w:rPr>
        <w:t>O等，处理效率可达80%以上。参照《第一次全国污染源普查工业污染源产排污系数手册》，过滤棉对颗粒物去除效率在90%以上。</w:t>
      </w:r>
    </w:p>
    <w:p w14:paraId="1035AD6B">
      <w:pPr>
        <w:spacing w:line="360" w:lineRule="auto"/>
        <w:ind w:left="105" w:leftChars="50" w:right="105" w:rightChars="50" w:firstLine="480" w:firstLineChars="200"/>
        <w:jc w:val="left"/>
        <w:rPr>
          <w:rFonts w:eastAsiaTheme="minorEastAsia"/>
          <w:bCs/>
          <w:color w:val="000000" w:themeColor="text1"/>
          <w:sz w:val="24"/>
          <w:szCs w:val="28"/>
        </w:rPr>
      </w:pPr>
      <w:r>
        <w:rPr>
          <w:rFonts w:eastAsiaTheme="minorEastAsia"/>
          <w:bCs/>
          <w:color w:val="000000" w:themeColor="text1"/>
          <w:sz w:val="24"/>
          <w:szCs w:val="28"/>
        </w:rPr>
        <w:t>利用高能高臭氢UV紫外线光束分解空气中的氧分子产生游离氧，因游离氧所携正负电子不平衡所以需与氧分子结合，进而产生臭氧。UV+0</w:t>
      </w:r>
      <w:r>
        <w:rPr>
          <w:rFonts w:eastAsiaTheme="minorEastAsia"/>
          <w:bCs/>
          <w:color w:val="000000" w:themeColor="text1"/>
          <w:sz w:val="24"/>
          <w:szCs w:val="28"/>
          <w:vertAlign w:val="subscript"/>
        </w:rPr>
        <w:t>2</w:t>
      </w:r>
      <w:r>
        <w:rPr>
          <w:rFonts w:eastAsiaTheme="minorEastAsia"/>
          <w:bCs/>
          <w:color w:val="000000" w:themeColor="text1"/>
          <w:sz w:val="24"/>
          <w:szCs w:val="28"/>
        </w:rPr>
        <w:t>0-+0*，(游离氧)0+0</w:t>
      </w:r>
      <w:r>
        <w:rPr>
          <w:rFonts w:eastAsiaTheme="minorEastAsia"/>
          <w:bCs/>
          <w:color w:val="000000" w:themeColor="text1"/>
          <w:sz w:val="24"/>
          <w:szCs w:val="28"/>
          <w:vertAlign w:val="subscript"/>
        </w:rPr>
        <w:t>2</w:t>
      </w:r>
      <w:r>
        <w:rPr>
          <w:rFonts w:eastAsia="Segoe UI Emoji"/>
          <w:bCs/>
          <w:color w:val="000000" w:themeColor="text1"/>
          <w:sz w:val="24"/>
          <w:szCs w:val="28"/>
        </w:rPr>
        <w:t>→</w:t>
      </w:r>
      <w:r>
        <w:rPr>
          <w:rFonts w:eastAsiaTheme="minorEastAsia"/>
          <w:bCs/>
          <w:color w:val="000000" w:themeColor="text1"/>
          <w:sz w:val="24"/>
          <w:szCs w:val="28"/>
        </w:rPr>
        <w:t>0</w:t>
      </w:r>
      <w:r>
        <w:rPr>
          <w:rFonts w:eastAsiaTheme="minorEastAsia"/>
          <w:bCs/>
          <w:color w:val="000000" w:themeColor="text1"/>
          <w:sz w:val="24"/>
          <w:szCs w:val="28"/>
          <w:vertAlign w:val="subscript"/>
        </w:rPr>
        <w:t>3</w:t>
      </w:r>
      <w:r>
        <w:rPr>
          <w:rFonts w:eastAsiaTheme="minorEastAsia"/>
          <w:bCs/>
          <w:color w:val="000000" w:themeColor="text1"/>
          <w:sz w:val="24"/>
          <w:szCs w:val="28"/>
        </w:rPr>
        <w:t>(臭氧)，众所周知臭氧对有机物具有极强的氧化作用，对工业废气及其它刺激性异味有立竿见影的清除效果。</w:t>
      </w:r>
    </w:p>
    <w:p w14:paraId="7232BD6A">
      <w:pPr>
        <w:spacing w:line="360" w:lineRule="auto"/>
        <w:ind w:left="105" w:leftChars="50" w:right="105" w:rightChars="50" w:firstLine="480" w:firstLineChars="200"/>
        <w:jc w:val="left"/>
        <w:rPr>
          <w:rFonts w:eastAsiaTheme="minorEastAsia"/>
          <w:bCs/>
          <w:color w:val="000000" w:themeColor="text1"/>
          <w:sz w:val="24"/>
          <w:szCs w:val="28"/>
        </w:rPr>
      </w:pPr>
      <w:r>
        <w:rPr>
          <w:rFonts w:eastAsiaTheme="minorEastAsia"/>
          <w:bCs/>
          <w:color w:val="000000" w:themeColor="text1"/>
          <w:sz w:val="24"/>
          <w:szCs w:val="28"/>
        </w:rPr>
        <w:t>恶臭、工业废气利用排风设备引入到本净化设备后，净化设备运用高能UV紫外线光束及臭氧对工业废气进行协同分解氧化反应，使工业废气物质其降解转化成低分子化合物、水和二氧化碳，再通过排风管道排出室外。</w:t>
      </w:r>
    </w:p>
    <w:p w14:paraId="6095F8E7">
      <w:pPr>
        <w:autoSpaceDE w:val="0"/>
        <w:autoSpaceDN w:val="0"/>
        <w:adjustRightInd w:val="0"/>
        <w:spacing w:line="360" w:lineRule="auto"/>
        <w:ind w:firstLine="480" w:firstLineChars="200"/>
        <w:jc w:val="left"/>
        <w:rPr>
          <w:b/>
          <w:color w:val="000000" w:themeColor="text1"/>
          <w:sz w:val="24"/>
        </w:rPr>
      </w:pPr>
      <w:r>
        <w:rPr>
          <w:rFonts w:hint="eastAsia" w:ascii="宋体" w:hAnsi="宋体" w:cs="宋体"/>
          <w:b/>
          <w:color w:val="000000" w:themeColor="text1"/>
          <w:sz w:val="24"/>
        </w:rPr>
        <w:t>④</w:t>
      </w:r>
      <w:r>
        <w:rPr>
          <w:b/>
          <w:color w:val="000000" w:themeColor="text1"/>
          <w:sz w:val="24"/>
        </w:rPr>
        <w:t>本项目废气排放量</w:t>
      </w:r>
    </w:p>
    <w:p w14:paraId="631ED078">
      <w:pPr>
        <w:autoSpaceDE w:val="0"/>
        <w:autoSpaceDN w:val="0"/>
        <w:adjustRightInd w:val="0"/>
        <w:spacing w:line="360" w:lineRule="auto"/>
        <w:ind w:firstLine="480" w:firstLineChars="200"/>
        <w:jc w:val="left"/>
        <w:rPr>
          <w:b/>
          <w:color w:val="FF0000"/>
          <w:sz w:val="24"/>
        </w:rPr>
      </w:pPr>
      <w:r>
        <w:rPr>
          <w:b/>
          <w:color w:val="FF0000"/>
          <w:sz w:val="24"/>
        </w:rPr>
        <w:t>A、废气污染物产生量</w:t>
      </w:r>
    </w:p>
    <w:p w14:paraId="2F4D36BB">
      <w:pPr>
        <w:spacing w:line="360" w:lineRule="auto"/>
        <w:ind w:left="105" w:leftChars="50" w:right="105" w:rightChars="50" w:firstLine="480" w:firstLineChars="200"/>
        <w:jc w:val="left"/>
        <w:rPr>
          <w:rFonts w:eastAsiaTheme="minorEastAsia"/>
          <w:bCs/>
          <w:color w:val="000000" w:themeColor="text1"/>
          <w:sz w:val="24"/>
          <w:szCs w:val="28"/>
        </w:rPr>
      </w:pPr>
      <w:r>
        <w:rPr>
          <w:rFonts w:eastAsiaTheme="minorEastAsia"/>
          <w:bCs/>
          <w:color w:val="000000" w:themeColor="text1"/>
          <w:sz w:val="24"/>
          <w:szCs w:val="28"/>
        </w:rPr>
        <w:t>综上，本项目废气污染物产生量如下：</w:t>
      </w:r>
    </w:p>
    <w:p w14:paraId="03F1BA4C">
      <w:pPr>
        <w:spacing w:line="360" w:lineRule="auto"/>
        <w:ind w:left="105" w:leftChars="50" w:right="105" w:rightChars="50" w:firstLine="480" w:firstLineChars="200"/>
        <w:jc w:val="left"/>
        <w:rPr>
          <w:rFonts w:eastAsiaTheme="minorEastAsia"/>
          <w:bCs/>
          <w:color w:val="000000" w:themeColor="text1"/>
          <w:sz w:val="24"/>
          <w:szCs w:val="28"/>
        </w:rPr>
      </w:pPr>
      <w:r>
        <w:rPr>
          <w:rFonts w:eastAsiaTheme="minorEastAsia"/>
          <w:b/>
          <w:bCs/>
          <w:color w:val="000000" w:themeColor="text1"/>
          <w:sz w:val="24"/>
          <w:szCs w:val="28"/>
        </w:rPr>
        <w:t>颗粒物：</w:t>
      </w:r>
      <w:r>
        <w:rPr>
          <w:rFonts w:eastAsiaTheme="minorEastAsia"/>
          <w:bCs/>
          <w:color w:val="000000" w:themeColor="text1"/>
          <w:sz w:val="24"/>
          <w:szCs w:val="28"/>
        </w:rPr>
        <w:t>产生量为0.108kg/d，0.26t/a；</w:t>
      </w:r>
    </w:p>
    <w:p w14:paraId="4DFE4BFA">
      <w:pPr>
        <w:spacing w:line="360" w:lineRule="auto"/>
        <w:ind w:firstLine="480" w:firstLineChars="200"/>
        <w:jc w:val="left"/>
        <w:rPr>
          <w:color w:val="000000" w:themeColor="text1"/>
          <w:sz w:val="24"/>
        </w:rPr>
      </w:pPr>
      <w:r>
        <w:rPr>
          <w:b/>
          <w:color w:val="000000" w:themeColor="text1"/>
          <w:sz w:val="24"/>
        </w:rPr>
        <w:t>非甲烷总烃：</w:t>
      </w:r>
      <w:r>
        <w:rPr>
          <w:color w:val="000000" w:themeColor="text1"/>
          <w:sz w:val="24"/>
        </w:rPr>
        <w:t>产生量为0.73kg/d（1.754t/a）；</w:t>
      </w:r>
    </w:p>
    <w:p w14:paraId="6C473E95">
      <w:pPr>
        <w:autoSpaceDE w:val="0"/>
        <w:autoSpaceDN w:val="0"/>
        <w:adjustRightInd w:val="0"/>
        <w:spacing w:line="360" w:lineRule="auto"/>
        <w:ind w:firstLine="480" w:firstLineChars="200"/>
        <w:jc w:val="left"/>
        <w:rPr>
          <w:b/>
          <w:color w:val="FF0000"/>
          <w:sz w:val="24"/>
        </w:rPr>
      </w:pPr>
      <w:r>
        <w:rPr>
          <w:b/>
          <w:color w:val="FF0000"/>
          <w:sz w:val="24"/>
        </w:rPr>
        <w:t>B、污染物排放量</w:t>
      </w:r>
    </w:p>
    <w:p w14:paraId="3F356B1D">
      <w:pPr>
        <w:autoSpaceDE w:val="0"/>
        <w:autoSpaceDN w:val="0"/>
        <w:adjustRightInd w:val="0"/>
        <w:spacing w:line="360" w:lineRule="auto"/>
        <w:ind w:firstLine="480" w:firstLineChars="200"/>
        <w:jc w:val="left"/>
        <w:rPr>
          <w:color w:val="000000" w:themeColor="text1"/>
          <w:sz w:val="24"/>
        </w:rPr>
      </w:pPr>
      <w:r>
        <w:rPr>
          <w:b/>
          <w:color w:val="000000" w:themeColor="text1"/>
          <w:sz w:val="24"/>
        </w:rPr>
        <w:t>颗粒物：</w:t>
      </w:r>
      <w:r>
        <w:rPr>
          <w:color w:val="000000" w:themeColor="text1"/>
          <w:sz w:val="24"/>
        </w:rPr>
        <w:t>有组织颗粒物排放量为0.012t/a，排放速率</w:t>
      </w:r>
      <w:r>
        <w:rPr>
          <w:bCs/>
          <w:color w:val="000000" w:themeColor="text1"/>
          <w:sz w:val="24"/>
          <w:szCs w:val="32"/>
        </w:rPr>
        <w:t>0.0049kg/h</w:t>
      </w:r>
      <w:r>
        <w:rPr>
          <w:bCs/>
          <w:color w:val="000000" w:themeColor="text1"/>
          <w:sz w:val="24"/>
        </w:rPr>
        <w:t>，排放浓度0.61mg/m</w:t>
      </w:r>
      <w:r>
        <w:rPr>
          <w:bCs/>
          <w:color w:val="000000" w:themeColor="text1"/>
          <w:sz w:val="24"/>
          <w:vertAlign w:val="superscript"/>
        </w:rPr>
        <w:t>3</w:t>
      </w:r>
      <w:r>
        <w:rPr>
          <w:bCs/>
          <w:color w:val="000000" w:themeColor="text1"/>
          <w:sz w:val="24"/>
        </w:rPr>
        <w:t>；</w:t>
      </w:r>
      <w:r>
        <w:rPr>
          <w:color w:val="000000" w:themeColor="text1"/>
          <w:sz w:val="24"/>
        </w:rPr>
        <w:t>无组织颗粒物排放量为0.026t/a。</w:t>
      </w:r>
    </w:p>
    <w:p w14:paraId="0A8CD0EC">
      <w:pPr>
        <w:autoSpaceDE w:val="0"/>
        <w:autoSpaceDN w:val="0"/>
        <w:adjustRightInd w:val="0"/>
        <w:spacing w:line="360" w:lineRule="auto"/>
        <w:ind w:firstLine="480" w:firstLineChars="200"/>
        <w:jc w:val="left"/>
        <w:rPr>
          <w:color w:val="000000" w:themeColor="text1"/>
          <w:sz w:val="24"/>
        </w:rPr>
      </w:pPr>
      <w:r>
        <w:rPr>
          <w:b/>
          <w:color w:val="FF0000"/>
          <w:sz w:val="24"/>
        </w:rPr>
        <w:t>非甲烷总烃：</w:t>
      </w:r>
      <w:r>
        <w:rPr>
          <w:color w:val="000000" w:themeColor="text1"/>
          <w:sz w:val="24"/>
        </w:rPr>
        <w:t>有组织排放量为0.079t/a，排放速率</w:t>
      </w:r>
      <w:r>
        <w:rPr>
          <w:bCs/>
          <w:color w:val="000000" w:themeColor="text1"/>
          <w:sz w:val="24"/>
          <w:szCs w:val="32"/>
        </w:rPr>
        <w:t>0.0329kg/h</w:t>
      </w:r>
      <w:r>
        <w:rPr>
          <w:bCs/>
          <w:color w:val="000000" w:themeColor="text1"/>
          <w:sz w:val="24"/>
        </w:rPr>
        <w:t>，排放浓度4.11mg/m</w:t>
      </w:r>
      <w:r>
        <w:rPr>
          <w:bCs/>
          <w:color w:val="000000" w:themeColor="text1"/>
          <w:sz w:val="24"/>
          <w:vertAlign w:val="superscript"/>
        </w:rPr>
        <w:t>3</w:t>
      </w:r>
      <w:r>
        <w:rPr>
          <w:bCs/>
          <w:color w:val="000000" w:themeColor="text1"/>
          <w:sz w:val="24"/>
        </w:rPr>
        <w:t>；</w:t>
      </w:r>
      <w:r>
        <w:rPr>
          <w:color w:val="000000" w:themeColor="text1"/>
          <w:sz w:val="24"/>
        </w:rPr>
        <w:t>无组织非甲烷总烃排放量为0.0175t/a。</w:t>
      </w:r>
    </w:p>
    <w:p w14:paraId="0F806D8E">
      <w:pPr>
        <w:spacing w:line="360" w:lineRule="auto"/>
        <w:ind w:firstLine="480" w:firstLineChars="200"/>
        <w:rPr>
          <w:b/>
          <w:color w:val="FF0000"/>
          <w:sz w:val="24"/>
        </w:rPr>
      </w:pPr>
      <w:r>
        <w:rPr>
          <w:b/>
          <w:color w:val="FF0000"/>
          <w:sz w:val="24"/>
        </w:rPr>
        <w:t>（2）编织袋生产工序热熔挤出废气G2</w:t>
      </w:r>
    </w:p>
    <w:p w14:paraId="4E320C73">
      <w:pPr>
        <w:autoSpaceDE w:val="0"/>
        <w:autoSpaceDN w:val="0"/>
        <w:adjustRightInd w:val="0"/>
        <w:spacing w:line="360" w:lineRule="auto"/>
        <w:ind w:firstLine="480" w:firstLineChars="200"/>
        <w:jc w:val="left"/>
        <w:rPr>
          <w:color w:val="000000" w:themeColor="text1"/>
          <w:sz w:val="24"/>
        </w:rPr>
      </w:pPr>
      <w:r>
        <w:rPr>
          <w:color w:val="000000" w:themeColor="text1"/>
          <w:sz w:val="24"/>
        </w:rPr>
        <w:t>根据工艺分析，本项目编织袋生产工序热熔挤出废气主要成分为颗粒物和非甲烷总烃，因此处置措施如上（采用一套集气罩+</w:t>
      </w:r>
      <w:r>
        <w:rPr>
          <w:rFonts w:eastAsiaTheme="minorEastAsia"/>
          <w:bCs/>
          <w:color w:val="000000" w:themeColor="text1"/>
          <w:sz w:val="24"/>
          <w:szCs w:val="28"/>
        </w:rPr>
        <w:t>过滤棉+UV光解装置</w:t>
      </w:r>
      <w:r>
        <w:rPr>
          <w:color w:val="000000" w:themeColor="text1"/>
          <w:sz w:val="24"/>
        </w:rPr>
        <w:t>）。</w:t>
      </w:r>
    </w:p>
    <w:p w14:paraId="73AF566B">
      <w:pPr>
        <w:autoSpaceDE w:val="0"/>
        <w:autoSpaceDN w:val="0"/>
        <w:adjustRightInd w:val="0"/>
        <w:spacing w:line="360" w:lineRule="auto"/>
        <w:ind w:firstLine="480" w:firstLineChars="200"/>
        <w:jc w:val="left"/>
        <w:rPr>
          <w:b/>
          <w:color w:val="000000" w:themeColor="text1"/>
          <w:sz w:val="24"/>
        </w:rPr>
      </w:pPr>
      <w:r>
        <w:rPr>
          <w:rFonts w:hint="eastAsia" w:ascii="宋体" w:hAnsi="宋体" w:cs="宋体"/>
          <w:b/>
          <w:color w:val="000000" w:themeColor="text1"/>
          <w:sz w:val="24"/>
        </w:rPr>
        <w:t>①</w:t>
      </w:r>
      <w:r>
        <w:rPr>
          <w:b/>
          <w:color w:val="000000" w:themeColor="text1"/>
          <w:sz w:val="24"/>
        </w:rPr>
        <w:t>废气污染物产生源强依据及产生量</w:t>
      </w:r>
    </w:p>
    <w:p w14:paraId="725293F0">
      <w:pPr>
        <w:autoSpaceDE w:val="0"/>
        <w:autoSpaceDN w:val="0"/>
        <w:adjustRightInd w:val="0"/>
        <w:spacing w:line="360" w:lineRule="auto"/>
        <w:ind w:firstLine="480" w:firstLineChars="200"/>
        <w:jc w:val="left"/>
        <w:rPr>
          <w:color w:val="000000" w:themeColor="text1"/>
          <w:sz w:val="24"/>
        </w:rPr>
      </w:pPr>
      <w:r>
        <w:rPr>
          <w:color w:val="000000" w:themeColor="text1"/>
          <w:sz w:val="24"/>
        </w:rPr>
        <w:t>参照《空气污染物排放和控制手册 工业污染源调查与研究第二辑》（美国环境保护局编），聚丙烯、聚乙烯分解产生颗粒物产生系数为0.05kg/t塑料，非甲烷总烃（乙烯、丙烯单体）产生系数为0.35kg/t塑料。</w:t>
      </w:r>
    </w:p>
    <w:p w14:paraId="73EDDB4A">
      <w:pPr>
        <w:autoSpaceDE w:val="0"/>
        <w:autoSpaceDN w:val="0"/>
        <w:adjustRightInd w:val="0"/>
        <w:spacing w:line="360" w:lineRule="auto"/>
        <w:ind w:firstLine="480" w:firstLineChars="200"/>
        <w:jc w:val="left"/>
        <w:rPr>
          <w:color w:val="000000" w:themeColor="text1"/>
          <w:sz w:val="24"/>
        </w:rPr>
      </w:pPr>
      <w:r>
        <w:rPr>
          <w:color w:val="000000" w:themeColor="text1"/>
          <w:sz w:val="24"/>
        </w:rPr>
        <w:t>综上，本项目年用于编织袋生产的塑料颗粒为3002.1t，颗粒物产生量为0.062kg/d（0.15t/a），非甲烷总烃产生量为0.44kg/d（1.05t/a）。</w:t>
      </w:r>
    </w:p>
    <w:p w14:paraId="76F31F78">
      <w:pPr>
        <w:autoSpaceDE w:val="0"/>
        <w:autoSpaceDN w:val="0"/>
        <w:adjustRightInd w:val="0"/>
        <w:spacing w:line="360" w:lineRule="auto"/>
        <w:ind w:firstLine="480" w:firstLineChars="200"/>
        <w:jc w:val="left"/>
        <w:rPr>
          <w:b/>
          <w:color w:val="000000" w:themeColor="text1"/>
          <w:sz w:val="24"/>
        </w:rPr>
      </w:pPr>
      <w:r>
        <w:rPr>
          <w:rFonts w:hint="eastAsia" w:ascii="宋体" w:hAnsi="宋体" w:cs="宋体"/>
          <w:b/>
          <w:color w:val="000000" w:themeColor="text1"/>
          <w:sz w:val="24"/>
        </w:rPr>
        <w:t>②</w:t>
      </w:r>
      <w:r>
        <w:rPr>
          <w:b/>
          <w:color w:val="000000" w:themeColor="text1"/>
          <w:sz w:val="24"/>
        </w:rPr>
        <w:t>本项目废气排放量</w:t>
      </w:r>
    </w:p>
    <w:p w14:paraId="5DF80DBE">
      <w:pPr>
        <w:autoSpaceDE w:val="0"/>
        <w:autoSpaceDN w:val="0"/>
        <w:adjustRightInd w:val="0"/>
        <w:spacing w:line="360" w:lineRule="auto"/>
        <w:ind w:firstLine="480" w:firstLineChars="200"/>
        <w:jc w:val="left"/>
        <w:rPr>
          <w:b/>
          <w:color w:val="FF0000"/>
          <w:sz w:val="24"/>
        </w:rPr>
      </w:pPr>
      <w:r>
        <w:rPr>
          <w:b/>
          <w:color w:val="FF0000"/>
          <w:sz w:val="24"/>
        </w:rPr>
        <w:t>A、废气污染物产生量</w:t>
      </w:r>
    </w:p>
    <w:p w14:paraId="52935132">
      <w:pPr>
        <w:autoSpaceDE w:val="0"/>
        <w:autoSpaceDN w:val="0"/>
        <w:adjustRightInd w:val="0"/>
        <w:spacing w:line="360" w:lineRule="auto"/>
        <w:ind w:firstLine="480" w:firstLineChars="200"/>
        <w:jc w:val="left"/>
        <w:rPr>
          <w:color w:val="000000" w:themeColor="text1"/>
          <w:sz w:val="24"/>
        </w:rPr>
      </w:pPr>
      <w:r>
        <w:rPr>
          <w:b/>
          <w:color w:val="000000" w:themeColor="text1"/>
          <w:sz w:val="24"/>
        </w:rPr>
        <w:t>颗粒物：</w:t>
      </w:r>
      <w:r>
        <w:rPr>
          <w:color w:val="000000" w:themeColor="text1"/>
          <w:sz w:val="24"/>
        </w:rPr>
        <w:t>产生量为0.15t/a，</w:t>
      </w:r>
    </w:p>
    <w:p w14:paraId="7A7713AB">
      <w:pPr>
        <w:autoSpaceDE w:val="0"/>
        <w:autoSpaceDN w:val="0"/>
        <w:adjustRightInd w:val="0"/>
        <w:spacing w:line="360" w:lineRule="auto"/>
        <w:ind w:firstLine="480" w:firstLineChars="200"/>
        <w:jc w:val="left"/>
        <w:rPr>
          <w:color w:val="000000" w:themeColor="text1"/>
          <w:sz w:val="24"/>
        </w:rPr>
      </w:pPr>
      <w:r>
        <w:rPr>
          <w:b/>
          <w:color w:val="000000" w:themeColor="text1"/>
          <w:sz w:val="24"/>
        </w:rPr>
        <w:t>非甲烷总烃：</w:t>
      </w:r>
      <w:r>
        <w:rPr>
          <w:color w:val="000000" w:themeColor="text1"/>
          <w:sz w:val="24"/>
        </w:rPr>
        <w:t>产生量为1.05t/a；</w:t>
      </w:r>
    </w:p>
    <w:p w14:paraId="56BE3483">
      <w:pPr>
        <w:autoSpaceDE w:val="0"/>
        <w:autoSpaceDN w:val="0"/>
        <w:adjustRightInd w:val="0"/>
        <w:spacing w:line="360" w:lineRule="auto"/>
        <w:ind w:firstLine="480" w:firstLineChars="200"/>
        <w:jc w:val="left"/>
        <w:rPr>
          <w:b/>
          <w:color w:val="FF0000"/>
          <w:sz w:val="24"/>
        </w:rPr>
      </w:pPr>
      <w:r>
        <w:rPr>
          <w:b/>
          <w:color w:val="FF0000"/>
          <w:sz w:val="24"/>
        </w:rPr>
        <w:t>B、污染物排放量</w:t>
      </w:r>
    </w:p>
    <w:p w14:paraId="6865695B">
      <w:pPr>
        <w:autoSpaceDE w:val="0"/>
        <w:autoSpaceDN w:val="0"/>
        <w:adjustRightInd w:val="0"/>
        <w:spacing w:line="360" w:lineRule="auto"/>
        <w:ind w:firstLine="480" w:firstLineChars="200"/>
        <w:jc w:val="left"/>
        <w:rPr>
          <w:color w:val="000000" w:themeColor="text1"/>
          <w:sz w:val="24"/>
        </w:rPr>
      </w:pPr>
      <w:r>
        <w:rPr>
          <w:b/>
          <w:color w:val="000000" w:themeColor="text1"/>
          <w:sz w:val="24"/>
        </w:rPr>
        <w:t>颗粒物：</w:t>
      </w:r>
      <w:r>
        <w:rPr>
          <w:color w:val="000000" w:themeColor="text1"/>
          <w:sz w:val="24"/>
        </w:rPr>
        <w:t>有组织颗粒物排放量为0.007t/a，排放速率</w:t>
      </w:r>
      <w:r>
        <w:rPr>
          <w:bCs/>
          <w:color w:val="000000" w:themeColor="text1"/>
          <w:sz w:val="24"/>
          <w:szCs w:val="32"/>
        </w:rPr>
        <w:t>0.0028kg/h</w:t>
      </w:r>
      <w:r>
        <w:rPr>
          <w:bCs/>
          <w:color w:val="000000" w:themeColor="text1"/>
          <w:sz w:val="24"/>
        </w:rPr>
        <w:t>，排放浓度0.35mg/m</w:t>
      </w:r>
      <w:r>
        <w:rPr>
          <w:bCs/>
          <w:color w:val="000000" w:themeColor="text1"/>
          <w:sz w:val="24"/>
          <w:vertAlign w:val="superscript"/>
        </w:rPr>
        <w:t>3</w:t>
      </w:r>
      <w:r>
        <w:rPr>
          <w:bCs/>
          <w:color w:val="000000" w:themeColor="text1"/>
          <w:sz w:val="24"/>
        </w:rPr>
        <w:t>；</w:t>
      </w:r>
      <w:r>
        <w:rPr>
          <w:color w:val="000000" w:themeColor="text1"/>
          <w:sz w:val="24"/>
        </w:rPr>
        <w:t>无组织颗粒物排放量为0.015t/a。</w:t>
      </w:r>
    </w:p>
    <w:p w14:paraId="331E6FD9">
      <w:pPr>
        <w:autoSpaceDE w:val="0"/>
        <w:autoSpaceDN w:val="0"/>
        <w:adjustRightInd w:val="0"/>
        <w:spacing w:line="360" w:lineRule="auto"/>
        <w:ind w:firstLine="480" w:firstLineChars="200"/>
        <w:jc w:val="left"/>
        <w:rPr>
          <w:color w:val="000000" w:themeColor="text1"/>
          <w:sz w:val="24"/>
        </w:rPr>
      </w:pPr>
      <w:r>
        <w:rPr>
          <w:b/>
          <w:color w:val="FF0000"/>
          <w:sz w:val="24"/>
        </w:rPr>
        <w:t>非甲烷总烃：</w:t>
      </w:r>
      <w:r>
        <w:rPr>
          <w:color w:val="000000" w:themeColor="text1"/>
          <w:sz w:val="24"/>
        </w:rPr>
        <w:t>有组织非甲烷总烃排放量为0.047kg/d，排放速率</w:t>
      </w:r>
      <w:r>
        <w:rPr>
          <w:bCs/>
          <w:color w:val="000000" w:themeColor="text1"/>
          <w:sz w:val="24"/>
          <w:szCs w:val="32"/>
        </w:rPr>
        <w:t>0.0197kg/h</w:t>
      </w:r>
      <w:r>
        <w:rPr>
          <w:bCs/>
          <w:color w:val="000000" w:themeColor="text1"/>
          <w:sz w:val="24"/>
        </w:rPr>
        <w:t>，排放浓度2.46mg/m</w:t>
      </w:r>
      <w:r>
        <w:rPr>
          <w:bCs/>
          <w:color w:val="000000" w:themeColor="text1"/>
          <w:sz w:val="24"/>
          <w:vertAlign w:val="superscript"/>
        </w:rPr>
        <w:t>3</w:t>
      </w:r>
      <w:r>
        <w:rPr>
          <w:bCs/>
          <w:color w:val="000000" w:themeColor="text1"/>
          <w:sz w:val="24"/>
        </w:rPr>
        <w:t>；</w:t>
      </w:r>
      <w:r>
        <w:rPr>
          <w:color w:val="000000" w:themeColor="text1"/>
          <w:sz w:val="24"/>
        </w:rPr>
        <w:t>无组织非甲烷总烃排放量为0.0105t/a。</w:t>
      </w:r>
    </w:p>
    <w:p w14:paraId="3E157F84">
      <w:pPr>
        <w:spacing w:line="360" w:lineRule="auto"/>
        <w:ind w:firstLine="480" w:firstLineChars="200"/>
        <w:rPr>
          <w:b/>
          <w:color w:val="000000" w:themeColor="text1"/>
          <w:sz w:val="24"/>
        </w:rPr>
      </w:pPr>
      <w:r>
        <w:rPr>
          <w:b/>
          <w:color w:val="000000" w:themeColor="text1"/>
          <w:sz w:val="24"/>
        </w:rPr>
        <w:t>（3）食堂油烟</w:t>
      </w:r>
    </w:p>
    <w:p w14:paraId="341AC4A4">
      <w:pPr>
        <w:spacing w:line="360" w:lineRule="auto"/>
        <w:ind w:firstLine="480" w:firstLineChars="200"/>
        <w:jc w:val="left"/>
        <w:rPr>
          <w:color w:val="000000" w:themeColor="text1"/>
          <w:sz w:val="24"/>
        </w:rPr>
      </w:pPr>
      <w:r>
        <w:rPr>
          <w:color w:val="000000" w:themeColor="text1"/>
          <w:sz w:val="24"/>
        </w:rPr>
        <w:t>项目区有厨房，每天提供两餐，规模属于小型，食堂就餐人数约20人。按平衡膳食推荐的以每人每天食用25g食用油计算，则用油量为：0.499kg/d。</w:t>
      </w:r>
    </w:p>
    <w:p w14:paraId="3DD71DB7">
      <w:pPr>
        <w:spacing w:line="360" w:lineRule="auto"/>
        <w:ind w:firstLine="480" w:firstLineChars="200"/>
        <w:jc w:val="left"/>
        <w:rPr>
          <w:color w:val="000000" w:themeColor="text1"/>
          <w:sz w:val="24"/>
        </w:rPr>
      </w:pPr>
      <w:r>
        <w:rPr>
          <w:color w:val="000000" w:themeColor="text1"/>
          <w:sz w:val="24"/>
        </w:rPr>
        <w:t>据类比调查，不同的烧炸工况，油烟气中烟气浓度及挥发量均有所不同，油的平均挥发量为总耗油量的2.83%，经估算，本项目食堂产生油烟量约为0.015kg/d，0.0043t/a，高峰时段以4小时计，油烟产生量约为0.0037kg/h。</w:t>
      </w:r>
    </w:p>
    <w:p w14:paraId="534C073A">
      <w:pPr>
        <w:spacing w:line="360" w:lineRule="auto"/>
        <w:ind w:firstLine="480" w:firstLineChars="200"/>
        <w:jc w:val="left"/>
        <w:rPr>
          <w:color w:val="000000" w:themeColor="text1"/>
          <w:sz w:val="24"/>
        </w:rPr>
      </w:pPr>
      <w:r>
        <w:rPr>
          <w:color w:val="000000" w:themeColor="text1"/>
          <w:sz w:val="24"/>
        </w:rPr>
        <w:t>本环评要求建设小型油烟净化装置，总引风量为2000m</w:t>
      </w:r>
      <w:r>
        <w:rPr>
          <w:color w:val="000000" w:themeColor="text1"/>
          <w:sz w:val="24"/>
          <w:vertAlign w:val="superscript"/>
        </w:rPr>
        <w:t>3</w:t>
      </w:r>
      <w:r>
        <w:rPr>
          <w:color w:val="000000" w:themeColor="text1"/>
          <w:sz w:val="24"/>
        </w:rPr>
        <w:t>/h，净化效率60%的油烟净化设施处理后，排放量为0.00175t/a，排放浓度为0.73mg/m</w:t>
      </w:r>
      <w:r>
        <w:rPr>
          <w:color w:val="000000" w:themeColor="text1"/>
          <w:sz w:val="24"/>
          <w:vertAlign w:val="superscript"/>
        </w:rPr>
        <w:t>3</w:t>
      </w:r>
      <w:r>
        <w:rPr>
          <w:color w:val="000000" w:themeColor="text1"/>
          <w:sz w:val="24"/>
        </w:rPr>
        <w:t>，满足GB18483—2001《饮食业油烟排放标准》油烟最高允许排放浓度2mg/m</w:t>
      </w:r>
      <w:r>
        <w:rPr>
          <w:color w:val="000000" w:themeColor="text1"/>
          <w:sz w:val="24"/>
          <w:vertAlign w:val="superscript"/>
        </w:rPr>
        <w:t>3</w:t>
      </w:r>
      <w:r>
        <w:rPr>
          <w:color w:val="000000" w:themeColor="text1"/>
          <w:sz w:val="24"/>
        </w:rPr>
        <w:t>。</w:t>
      </w:r>
    </w:p>
    <w:p w14:paraId="415F3C49">
      <w:pPr>
        <w:spacing w:line="360" w:lineRule="auto"/>
        <w:ind w:firstLine="480" w:firstLineChars="200"/>
        <w:rPr>
          <w:b/>
          <w:color w:val="FF0000"/>
          <w:sz w:val="24"/>
        </w:rPr>
      </w:pPr>
      <w:r>
        <w:rPr>
          <w:b/>
          <w:color w:val="FF0000"/>
          <w:sz w:val="24"/>
        </w:rPr>
        <w:t>2、无组织废气</w:t>
      </w:r>
    </w:p>
    <w:p w14:paraId="4373437E">
      <w:pPr>
        <w:spacing w:line="360" w:lineRule="auto"/>
        <w:ind w:firstLine="480" w:firstLineChars="200"/>
        <w:rPr>
          <w:b/>
          <w:color w:val="FF0000"/>
          <w:sz w:val="24"/>
        </w:rPr>
      </w:pPr>
      <w:r>
        <w:rPr>
          <w:b/>
          <w:color w:val="FF0000"/>
          <w:sz w:val="24"/>
        </w:rPr>
        <w:t>（1）造粒工序热熔挤出无组织废气</w:t>
      </w:r>
    </w:p>
    <w:p w14:paraId="0774C2E1">
      <w:pPr>
        <w:autoSpaceDE w:val="0"/>
        <w:autoSpaceDN w:val="0"/>
        <w:adjustRightInd w:val="0"/>
        <w:spacing w:line="360" w:lineRule="auto"/>
        <w:ind w:firstLine="480" w:firstLineChars="200"/>
        <w:jc w:val="left"/>
        <w:rPr>
          <w:color w:val="FF0000"/>
          <w:sz w:val="24"/>
        </w:rPr>
      </w:pPr>
      <w:r>
        <w:rPr>
          <w:color w:val="FF0000"/>
          <w:sz w:val="24"/>
        </w:rPr>
        <w:t>根据上述分析，造粒工序热熔挤出无组织废气中无组织颗粒物排放量为0.025t/a；无组织非甲烷总烃排放量为0.0175t/a。</w:t>
      </w:r>
    </w:p>
    <w:p w14:paraId="1732067A">
      <w:pPr>
        <w:spacing w:line="360" w:lineRule="auto"/>
        <w:ind w:firstLine="480" w:firstLineChars="200"/>
        <w:rPr>
          <w:b/>
          <w:color w:val="FF0000"/>
          <w:sz w:val="24"/>
        </w:rPr>
      </w:pPr>
      <w:r>
        <w:rPr>
          <w:b/>
          <w:color w:val="FF0000"/>
          <w:sz w:val="24"/>
        </w:rPr>
        <w:t>（2）塑料编织袋生产工序热熔挤出无组织废气</w:t>
      </w:r>
    </w:p>
    <w:p w14:paraId="263CB970">
      <w:pPr>
        <w:autoSpaceDE w:val="0"/>
        <w:autoSpaceDN w:val="0"/>
        <w:adjustRightInd w:val="0"/>
        <w:spacing w:line="360" w:lineRule="auto"/>
        <w:ind w:firstLine="480" w:firstLineChars="200"/>
        <w:jc w:val="left"/>
        <w:rPr>
          <w:color w:val="FF0000"/>
          <w:sz w:val="24"/>
        </w:rPr>
      </w:pPr>
      <w:r>
        <w:rPr>
          <w:color w:val="FF0000"/>
          <w:sz w:val="24"/>
        </w:rPr>
        <w:t>根据上述分析，造粒工序热熔挤出无组织废气中无组织颗粒物排放量为0.015t/a；无组织非甲烷总烃排放量为0.0105t/a。</w:t>
      </w:r>
    </w:p>
    <w:p w14:paraId="07AB8628">
      <w:pPr>
        <w:spacing w:line="360" w:lineRule="auto"/>
        <w:ind w:firstLine="480" w:firstLineChars="200"/>
        <w:rPr>
          <w:b/>
          <w:color w:val="000000" w:themeColor="text1"/>
          <w:sz w:val="24"/>
        </w:rPr>
      </w:pPr>
      <w:r>
        <w:rPr>
          <w:b/>
          <w:color w:val="000000" w:themeColor="text1"/>
          <w:sz w:val="24"/>
        </w:rPr>
        <w:t>（3）异味</w:t>
      </w:r>
    </w:p>
    <w:p w14:paraId="6009DCC7">
      <w:pPr>
        <w:autoSpaceDE w:val="0"/>
        <w:autoSpaceDN w:val="0"/>
        <w:adjustRightInd w:val="0"/>
        <w:spacing w:line="360" w:lineRule="auto"/>
        <w:ind w:firstLine="480" w:firstLineChars="200"/>
        <w:jc w:val="left"/>
        <w:rPr>
          <w:color w:val="000000" w:themeColor="text1"/>
          <w:sz w:val="24"/>
        </w:rPr>
      </w:pPr>
      <w:r>
        <w:rPr>
          <w:color w:val="000000" w:themeColor="text1"/>
          <w:sz w:val="24"/>
        </w:rPr>
        <w:t>本项目造粒挤出过程中，会产生一定量的异味（主要为乙烯、丙烯单体等），异味对环境的影响分析见6.1章节。</w:t>
      </w:r>
    </w:p>
    <w:p w14:paraId="64AD29A7">
      <w:pPr>
        <w:adjustRightInd w:val="0"/>
        <w:snapToGrid w:val="0"/>
        <w:jc w:val="center"/>
        <w:rPr>
          <w:b/>
          <w:color w:val="000000" w:themeColor="text1"/>
        </w:rPr>
        <w:sectPr>
          <w:footerReference r:id="rId11" w:type="default"/>
          <w:type w:val="continuous"/>
          <w:pgSz w:w="11906" w:h="16838"/>
          <w:pgMar w:top="1440" w:right="1800" w:bottom="1440" w:left="1800" w:header="851" w:footer="992" w:gutter="0"/>
          <w:cols w:space="425" w:num="1"/>
          <w:docGrid w:type="linesAndChars" w:linePitch="312" w:charSpace="0"/>
        </w:sectPr>
      </w:pPr>
    </w:p>
    <w:p w14:paraId="29CCA36F">
      <w:pPr>
        <w:adjustRightInd w:val="0"/>
        <w:snapToGrid w:val="0"/>
        <w:jc w:val="center"/>
        <w:rPr>
          <w:b/>
          <w:color w:val="000000" w:themeColor="text1"/>
          <w:sz w:val="24"/>
        </w:rPr>
      </w:pPr>
      <w:r>
        <w:rPr>
          <w:b/>
          <w:color w:val="000000" w:themeColor="text1"/>
          <w:sz w:val="24"/>
        </w:rPr>
        <w:t>表3.5-1   拟建项目污染物排放情况汇总表</w:t>
      </w:r>
    </w:p>
    <w:tbl>
      <w:tblPr>
        <w:tblStyle w:val="42"/>
        <w:tblW w:w="5112" w:type="pct"/>
        <w:tblInd w:w="-318" w:type="dxa"/>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56"/>
        <w:gridCol w:w="681"/>
        <w:gridCol w:w="838"/>
        <w:gridCol w:w="980"/>
        <w:gridCol w:w="875"/>
        <w:gridCol w:w="898"/>
        <w:gridCol w:w="1985"/>
        <w:gridCol w:w="803"/>
        <w:gridCol w:w="1127"/>
        <w:gridCol w:w="1096"/>
        <w:gridCol w:w="684"/>
        <w:gridCol w:w="696"/>
        <w:gridCol w:w="861"/>
        <w:gridCol w:w="1084"/>
        <w:gridCol w:w="927"/>
      </w:tblGrid>
      <w:tr w14:paraId="4EB72EAC">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restart"/>
            <w:vAlign w:val="center"/>
          </w:tcPr>
          <w:p w14:paraId="29A01343">
            <w:pPr>
              <w:jc w:val="center"/>
              <w:rPr>
                <w:b/>
                <w:color w:val="000000" w:themeColor="text1"/>
                <w:sz w:val="18"/>
                <w:szCs w:val="18"/>
              </w:rPr>
            </w:pPr>
            <w:r>
              <w:rPr>
                <w:b/>
                <w:color w:val="000000" w:themeColor="text1"/>
                <w:sz w:val="18"/>
                <w:szCs w:val="18"/>
              </w:rPr>
              <w:t>工序</w:t>
            </w:r>
          </w:p>
        </w:tc>
        <w:tc>
          <w:tcPr>
            <w:tcW w:w="235" w:type="pct"/>
            <w:vMerge w:val="restart"/>
            <w:vAlign w:val="center"/>
          </w:tcPr>
          <w:p w14:paraId="1C4A0378">
            <w:pPr>
              <w:jc w:val="center"/>
              <w:rPr>
                <w:b/>
                <w:color w:val="000000" w:themeColor="text1"/>
                <w:sz w:val="18"/>
                <w:szCs w:val="18"/>
              </w:rPr>
            </w:pPr>
            <w:r>
              <w:rPr>
                <w:b/>
                <w:color w:val="000000" w:themeColor="text1"/>
                <w:sz w:val="18"/>
                <w:szCs w:val="18"/>
              </w:rPr>
              <w:t>编号</w:t>
            </w:r>
          </w:p>
        </w:tc>
        <w:tc>
          <w:tcPr>
            <w:tcW w:w="289" w:type="pct"/>
            <w:vMerge w:val="restart"/>
            <w:vAlign w:val="center"/>
          </w:tcPr>
          <w:p w14:paraId="55BE679F">
            <w:pPr>
              <w:jc w:val="center"/>
              <w:rPr>
                <w:b/>
                <w:color w:val="000000" w:themeColor="text1"/>
                <w:sz w:val="18"/>
                <w:szCs w:val="18"/>
              </w:rPr>
            </w:pPr>
            <w:r>
              <w:rPr>
                <w:b/>
                <w:color w:val="000000" w:themeColor="text1"/>
                <w:sz w:val="18"/>
                <w:szCs w:val="18"/>
              </w:rPr>
              <w:t>产生点</w:t>
            </w:r>
          </w:p>
        </w:tc>
        <w:tc>
          <w:tcPr>
            <w:tcW w:w="338" w:type="pct"/>
            <w:vMerge w:val="restart"/>
            <w:vAlign w:val="center"/>
          </w:tcPr>
          <w:p w14:paraId="5C02A440">
            <w:pPr>
              <w:jc w:val="center"/>
              <w:rPr>
                <w:b/>
                <w:color w:val="000000" w:themeColor="text1"/>
                <w:sz w:val="18"/>
                <w:szCs w:val="18"/>
              </w:rPr>
            </w:pPr>
            <w:r>
              <w:rPr>
                <w:b/>
                <w:color w:val="000000" w:themeColor="text1"/>
                <w:sz w:val="18"/>
                <w:szCs w:val="18"/>
              </w:rPr>
              <w:t>排气量</w:t>
            </w:r>
          </w:p>
          <w:p w14:paraId="321B8E8A">
            <w:pPr>
              <w:jc w:val="center"/>
              <w:rPr>
                <w:b/>
                <w:color w:val="000000" w:themeColor="text1"/>
                <w:sz w:val="18"/>
                <w:szCs w:val="18"/>
              </w:rPr>
            </w:pPr>
            <w:r>
              <w:rPr>
                <w:b/>
                <w:color w:val="000000" w:themeColor="text1"/>
                <w:sz w:val="18"/>
                <w:szCs w:val="18"/>
              </w:rPr>
              <w:t>(Nm</w:t>
            </w:r>
            <w:r>
              <w:rPr>
                <w:b/>
                <w:color w:val="000000" w:themeColor="text1"/>
                <w:sz w:val="18"/>
                <w:szCs w:val="18"/>
                <w:vertAlign w:val="superscript"/>
              </w:rPr>
              <w:t>3</w:t>
            </w:r>
            <w:r>
              <w:rPr>
                <w:b/>
                <w:color w:val="000000" w:themeColor="text1"/>
                <w:sz w:val="18"/>
                <w:szCs w:val="18"/>
              </w:rPr>
              <w:t>/h)</w:t>
            </w:r>
          </w:p>
        </w:tc>
        <w:tc>
          <w:tcPr>
            <w:tcW w:w="302" w:type="pct"/>
            <w:vMerge w:val="restart"/>
            <w:vAlign w:val="center"/>
          </w:tcPr>
          <w:p w14:paraId="0C4F850B">
            <w:pPr>
              <w:jc w:val="center"/>
              <w:rPr>
                <w:b/>
                <w:color w:val="000000" w:themeColor="text1"/>
                <w:sz w:val="18"/>
                <w:szCs w:val="18"/>
              </w:rPr>
            </w:pPr>
            <w:r>
              <w:rPr>
                <w:b/>
                <w:color w:val="000000" w:themeColor="text1"/>
                <w:sz w:val="18"/>
                <w:szCs w:val="18"/>
              </w:rPr>
              <w:t>污染物 名称</w:t>
            </w:r>
          </w:p>
        </w:tc>
        <w:tc>
          <w:tcPr>
            <w:tcW w:w="310" w:type="pct"/>
            <w:vMerge w:val="restart"/>
            <w:vAlign w:val="center"/>
          </w:tcPr>
          <w:p w14:paraId="59380B55">
            <w:pPr>
              <w:jc w:val="center"/>
              <w:rPr>
                <w:b/>
                <w:color w:val="000000" w:themeColor="text1"/>
                <w:sz w:val="18"/>
                <w:szCs w:val="18"/>
              </w:rPr>
            </w:pPr>
            <w:r>
              <w:rPr>
                <w:b/>
                <w:color w:val="000000" w:themeColor="text1"/>
                <w:sz w:val="18"/>
                <w:szCs w:val="18"/>
              </w:rPr>
              <w:t>产生量</w:t>
            </w:r>
          </w:p>
          <w:p w14:paraId="30A60CD0">
            <w:pPr>
              <w:jc w:val="center"/>
              <w:rPr>
                <w:b/>
                <w:color w:val="000000" w:themeColor="text1"/>
                <w:sz w:val="18"/>
                <w:szCs w:val="18"/>
              </w:rPr>
            </w:pPr>
            <w:r>
              <w:rPr>
                <w:b/>
                <w:color w:val="000000" w:themeColor="text1"/>
                <w:sz w:val="18"/>
                <w:szCs w:val="18"/>
              </w:rPr>
              <w:t>(t/a)</w:t>
            </w:r>
          </w:p>
        </w:tc>
        <w:tc>
          <w:tcPr>
            <w:tcW w:w="685" w:type="pct"/>
            <w:vMerge w:val="restart"/>
            <w:vAlign w:val="center"/>
          </w:tcPr>
          <w:p w14:paraId="3DE287D0">
            <w:pPr>
              <w:jc w:val="center"/>
              <w:rPr>
                <w:b/>
                <w:color w:val="000000" w:themeColor="text1"/>
                <w:sz w:val="18"/>
                <w:szCs w:val="18"/>
              </w:rPr>
            </w:pPr>
            <w:r>
              <w:rPr>
                <w:b/>
                <w:color w:val="000000" w:themeColor="text1"/>
                <w:sz w:val="18"/>
                <w:szCs w:val="18"/>
              </w:rPr>
              <w:t>治理措施</w:t>
            </w:r>
          </w:p>
        </w:tc>
        <w:tc>
          <w:tcPr>
            <w:tcW w:w="1044" w:type="pct"/>
            <w:gridSpan w:val="3"/>
            <w:vAlign w:val="center"/>
          </w:tcPr>
          <w:p w14:paraId="6D909E94">
            <w:pPr>
              <w:jc w:val="center"/>
              <w:rPr>
                <w:b/>
                <w:color w:val="000000" w:themeColor="text1"/>
                <w:sz w:val="18"/>
                <w:szCs w:val="18"/>
              </w:rPr>
            </w:pPr>
            <w:r>
              <w:rPr>
                <w:b/>
                <w:color w:val="000000" w:themeColor="text1"/>
                <w:sz w:val="18"/>
                <w:szCs w:val="18"/>
              </w:rPr>
              <w:t>排放情况</w:t>
            </w:r>
          </w:p>
        </w:tc>
        <w:tc>
          <w:tcPr>
            <w:tcW w:w="476" w:type="pct"/>
            <w:gridSpan w:val="2"/>
            <w:vAlign w:val="center"/>
          </w:tcPr>
          <w:p w14:paraId="4DBC29CD">
            <w:pPr>
              <w:jc w:val="center"/>
              <w:rPr>
                <w:b/>
                <w:color w:val="000000" w:themeColor="text1"/>
                <w:sz w:val="18"/>
                <w:szCs w:val="18"/>
              </w:rPr>
            </w:pPr>
            <w:r>
              <w:rPr>
                <w:b/>
                <w:color w:val="000000" w:themeColor="text1"/>
                <w:sz w:val="18"/>
                <w:szCs w:val="18"/>
              </w:rPr>
              <w:t>排气筒参数</w:t>
            </w:r>
          </w:p>
        </w:tc>
        <w:tc>
          <w:tcPr>
            <w:tcW w:w="297" w:type="pct"/>
            <w:vMerge w:val="restart"/>
            <w:vAlign w:val="center"/>
          </w:tcPr>
          <w:p w14:paraId="570F2EAA">
            <w:pPr>
              <w:jc w:val="center"/>
              <w:rPr>
                <w:b/>
                <w:color w:val="000000" w:themeColor="text1"/>
                <w:sz w:val="18"/>
                <w:szCs w:val="18"/>
              </w:rPr>
            </w:pPr>
            <w:r>
              <w:rPr>
                <w:b/>
                <w:color w:val="000000" w:themeColor="text1"/>
                <w:sz w:val="18"/>
                <w:szCs w:val="18"/>
              </w:rPr>
              <w:t>烟气温度℃</w:t>
            </w:r>
          </w:p>
        </w:tc>
        <w:tc>
          <w:tcPr>
            <w:tcW w:w="374" w:type="pct"/>
            <w:vMerge w:val="restart"/>
            <w:vAlign w:val="center"/>
          </w:tcPr>
          <w:p w14:paraId="30F946CF">
            <w:pPr>
              <w:jc w:val="center"/>
              <w:rPr>
                <w:b/>
                <w:color w:val="000000" w:themeColor="text1"/>
                <w:sz w:val="18"/>
                <w:szCs w:val="18"/>
              </w:rPr>
            </w:pPr>
            <w:r>
              <w:rPr>
                <w:b/>
                <w:color w:val="000000" w:themeColor="text1"/>
                <w:sz w:val="18"/>
                <w:szCs w:val="18"/>
              </w:rPr>
              <w:t>排放标准</w:t>
            </w:r>
          </w:p>
          <w:p w14:paraId="16F0BF30">
            <w:pPr>
              <w:jc w:val="center"/>
              <w:rPr>
                <w:b/>
                <w:color w:val="000000" w:themeColor="text1"/>
                <w:sz w:val="18"/>
                <w:szCs w:val="18"/>
              </w:rPr>
            </w:pPr>
            <w:r>
              <w:rPr>
                <w:b/>
                <w:color w:val="000000" w:themeColor="text1"/>
                <w:sz w:val="18"/>
                <w:szCs w:val="18"/>
              </w:rPr>
              <w:t>(mg/m</w:t>
            </w:r>
            <w:r>
              <w:rPr>
                <w:b/>
                <w:color w:val="000000" w:themeColor="text1"/>
                <w:sz w:val="18"/>
                <w:szCs w:val="18"/>
                <w:vertAlign w:val="superscript"/>
              </w:rPr>
              <w:t>3</w:t>
            </w:r>
            <w:r>
              <w:rPr>
                <w:b/>
                <w:color w:val="000000" w:themeColor="text1"/>
                <w:sz w:val="18"/>
                <w:szCs w:val="18"/>
              </w:rPr>
              <w:t>)</w:t>
            </w:r>
          </w:p>
        </w:tc>
        <w:tc>
          <w:tcPr>
            <w:tcW w:w="320" w:type="pct"/>
            <w:vMerge w:val="restart"/>
            <w:vAlign w:val="center"/>
          </w:tcPr>
          <w:p w14:paraId="3A7FBF82">
            <w:pPr>
              <w:jc w:val="center"/>
              <w:rPr>
                <w:b/>
                <w:color w:val="000000" w:themeColor="text1"/>
                <w:sz w:val="18"/>
                <w:szCs w:val="18"/>
              </w:rPr>
            </w:pPr>
            <w:r>
              <w:rPr>
                <w:b/>
                <w:color w:val="000000" w:themeColor="text1"/>
                <w:sz w:val="18"/>
                <w:szCs w:val="18"/>
              </w:rPr>
              <w:t>达标情 况</w:t>
            </w:r>
          </w:p>
        </w:tc>
      </w:tr>
      <w:tr w14:paraId="1A61718C">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continue"/>
            <w:vAlign w:val="center"/>
          </w:tcPr>
          <w:p w14:paraId="1FD512B8">
            <w:pPr>
              <w:jc w:val="center"/>
              <w:rPr>
                <w:color w:val="000000" w:themeColor="text1"/>
                <w:sz w:val="18"/>
                <w:szCs w:val="18"/>
              </w:rPr>
            </w:pPr>
          </w:p>
        </w:tc>
        <w:tc>
          <w:tcPr>
            <w:tcW w:w="235" w:type="pct"/>
            <w:vMerge w:val="continue"/>
            <w:vAlign w:val="center"/>
          </w:tcPr>
          <w:p w14:paraId="04AE7545">
            <w:pPr>
              <w:jc w:val="center"/>
              <w:rPr>
                <w:color w:val="000000" w:themeColor="text1"/>
                <w:sz w:val="18"/>
                <w:szCs w:val="18"/>
              </w:rPr>
            </w:pPr>
          </w:p>
        </w:tc>
        <w:tc>
          <w:tcPr>
            <w:tcW w:w="289" w:type="pct"/>
            <w:vMerge w:val="continue"/>
            <w:vAlign w:val="center"/>
          </w:tcPr>
          <w:p w14:paraId="003252EC">
            <w:pPr>
              <w:jc w:val="center"/>
              <w:rPr>
                <w:color w:val="000000" w:themeColor="text1"/>
                <w:sz w:val="18"/>
                <w:szCs w:val="18"/>
              </w:rPr>
            </w:pPr>
          </w:p>
        </w:tc>
        <w:tc>
          <w:tcPr>
            <w:tcW w:w="338" w:type="pct"/>
            <w:vMerge w:val="continue"/>
            <w:vAlign w:val="center"/>
          </w:tcPr>
          <w:p w14:paraId="16E2CE06">
            <w:pPr>
              <w:jc w:val="center"/>
              <w:rPr>
                <w:color w:val="000000" w:themeColor="text1"/>
                <w:sz w:val="18"/>
                <w:szCs w:val="18"/>
              </w:rPr>
            </w:pPr>
          </w:p>
        </w:tc>
        <w:tc>
          <w:tcPr>
            <w:tcW w:w="302" w:type="pct"/>
            <w:vMerge w:val="continue"/>
            <w:vAlign w:val="center"/>
          </w:tcPr>
          <w:p w14:paraId="53CA9D67">
            <w:pPr>
              <w:jc w:val="center"/>
              <w:rPr>
                <w:color w:val="000000" w:themeColor="text1"/>
                <w:sz w:val="18"/>
                <w:szCs w:val="18"/>
              </w:rPr>
            </w:pPr>
          </w:p>
        </w:tc>
        <w:tc>
          <w:tcPr>
            <w:tcW w:w="310" w:type="pct"/>
            <w:vMerge w:val="continue"/>
            <w:vAlign w:val="center"/>
          </w:tcPr>
          <w:p w14:paraId="0EF948CB">
            <w:pPr>
              <w:jc w:val="center"/>
              <w:rPr>
                <w:color w:val="000000" w:themeColor="text1"/>
                <w:sz w:val="18"/>
                <w:szCs w:val="18"/>
              </w:rPr>
            </w:pPr>
          </w:p>
        </w:tc>
        <w:tc>
          <w:tcPr>
            <w:tcW w:w="685" w:type="pct"/>
            <w:vMerge w:val="continue"/>
            <w:vAlign w:val="center"/>
          </w:tcPr>
          <w:p w14:paraId="1BF94C7B">
            <w:pPr>
              <w:jc w:val="center"/>
              <w:rPr>
                <w:color w:val="000000" w:themeColor="text1"/>
                <w:sz w:val="18"/>
                <w:szCs w:val="18"/>
              </w:rPr>
            </w:pPr>
          </w:p>
        </w:tc>
        <w:tc>
          <w:tcPr>
            <w:tcW w:w="277" w:type="pct"/>
            <w:vAlign w:val="center"/>
          </w:tcPr>
          <w:p w14:paraId="024C288C">
            <w:pPr>
              <w:jc w:val="center"/>
              <w:rPr>
                <w:b/>
                <w:color w:val="000000" w:themeColor="text1"/>
                <w:sz w:val="18"/>
                <w:szCs w:val="18"/>
              </w:rPr>
            </w:pPr>
            <w:r>
              <w:rPr>
                <w:b/>
                <w:color w:val="000000" w:themeColor="text1"/>
                <w:sz w:val="18"/>
                <w:szCs w:val="18"/>
              </w:rPr>
              <w:t>排放量</w:t>
            </w:r>
          </w:p>
          <w:p w14:paraId="1A3EA874">
            <w:pPr>
              <w:jc w:val="center"/>
              <w:rPr>
                <w:b/>
                <w:color w:val="000000" w:themeColor="text1"/>
                <w:sz w:val="18"/>
                <w:szCs w:val="18"/>
              </w:rPr>
            </w:pPr>
            <w:r>
              <w:rPr>
                <w:b/>
                <w:color w:val="000000" w:themeColor="text1"/>
                <w:sz w:val="18"/>
                <w:szCs w:val="18"/>
              </w:rPr>
              <w:t>(t /a)</w:t>
            </w:r>
          </w:p>
        </w:tc>
        <w:tc>
          <w:tcPr>
            <w:tcW w:w="389" w:type="pct"/>
            <w:vAlign w:val="center"/>
          </w:tcPr>
          <w:p w14:paraId="655B6562">
            <w:pPr>
              <w:jc w:val="center"/>
              <w:rPr>
                <w:b/>
                <w:color w:val="000000" w:themeColor="text1"/>
                <w:sz w:val="18"/>
                <w:szCs w:val="18"/>
              </w:rPr>
            </w:pPr>
            <w:r>
              <w:rPr>
                <w:b/>
                <w:color w:val="000000" w:themeColor="text1"/>
                <w:sz w:val="18"/>
                <w:szCs w:val="18"/>
              </w:rPr>
              <w:t>排放速 率</w:t>
            </w:r>
          </w:p>
          <w:p w14:paraId="31DD503F">
            <w:pPr>
              <w:jc w:val="center"/>
              <w:rPr>
                <w:b/>
                <w:color w:val="000000" w:themeColor="text1"/>
                <w:sz w:val="18"/>
                <w:szCs w:val="18"/>
              </w:rPr>
            </w:pPr>
            <w:r>
              <w:rPr>
                <w:b/>
                <w:color w:val="000000" w:themeColor="text1"/>
                <w:sz w:val="18"/>
                <w:szCs w:val="18"/>
              </w:rPr>
              <w:t>(kg/h)</w:t>
            </w:r>
          </w:p>
        </w:tc>
        <w:tc>
          <w:tcPr>
            <w:tcW w:w="378" w:type="pct"/>
            <w:vAlign w:val="center"/>
          </w:tcPr>
          <w:p w14:paraId="4597FDDC">
            <w:pPr>
              <w:jc w:val="center"/>
              <w:rPr>
                <w:b/>
                <w:color w:val="000000" w:themeColor="text1"/>
                <w:sz w:val="18"/>
                <w:szCs w:val="18"/>
              </w:rPr>
            </w:pPr>
            <w:r>
              <w:rPr>
                <w:b/>
                <w:color w:val="000000" w:themeColor="text1"/>
                <w:sz w:val="18"/>
                <w:szCs w:val="18"/>
              </w:rPr>
              <w:t>排放浓度</w:t>
            </w:r>
          </w:p>
          <w:p w14:paraId="227551C4">
            <w:pPr>
              <w:jc w:val="center"/>
              <w:rPr>
                <w:b/>
                <w:color w:val="000000" w:themeColor="text1"/>
                <w:sz w:val="18"/>
                <w:szCs w:val="18"/>
              </w:rPr>
            </w:pPr>
            <w:r>
              <w:rPr>
                <w:b/>
                <w:color w:val="000000" w:themeColor="text1"/>
                <w:sz w:val="18"/>
                <w:szCs w:val="18"/>
              </w:rPr>
              <w:t>(mg/m</w:t>
            </w:r>
            <w:r>
              <w:rPr>
                <w:b/>
                <w:color w:val="000000" w:themeColor="text1"/>
                <w:sz w:val="18"/>
                <w:szCs w:val="18"/>
                <w:vertAlign w:val="superscript"/>
              </w:rPr>
              <w:t>3</w:t>
            </w:r>
            <w:r>
              <w:rPr>
                <w:b/>
                <w:color w:val="000000" w:themeColor="text1"/>
                <w:sz w:val="18"/>
                <w:szCs w:val="18"/>
              </w:rPr>
              <w:t>)</w:t>
            </w:r>
          </w:p>
        </w:tc>
        <w:tc>
          <w:tcPr>
            <w:tcW w:w="236" w:type="pct"/>
            <w:vAlign w:val="center"/>
          </w:tcPr>
          <w:p w14:paraId="3C944233">
            <w:pPr>
              <w:jc w:val="center"/>
              <w:rPr>
                <w:b/>
                <w:color w:val="000000" w:themeColor="text1"/>
                <w:sz w:val="18"/>
                <w:szCs w:val="18"/>
              </w:rPr>
            </w:pPr>
            <w:r>
              <w:rPr>
                <w:b/>
                <w:color w:val="000000" w:themeColor="text1"/>
                <w:sz w:val="18"/>
                <w:szCs w:val="18"/>
              </w:rPr>
              <w:t>高 度</w:t>
            </w:r>
          </w:p>
          <w:p w14:paraId="658880E4">
            <w:pPr>
              <w:jc w:val="center"/>
              <w:rPr>
                <w:b/>
                <w:color w:val="000000" w:themeColor="text1"/>
                <w:sz w:val="18"/>
                <w:szCs w:val="18"/>
              </w:rPr>
            </w:pPr>
            <w:r>
              <w:rPr>
                <w:b/>
                <w:color w:val="000000" w:themeColor="text1"/>
                <w:sz w:val="18"/>
                <w:szCs w:val="18"/>
              </w:rPr>
              <w:t>(m)</w:t>
            </w:r>
          </w:p>
        </w:tc>
        <w:tc>
          <w:tcPr>
            <w:tcW w:w="240" w:type="pct"/>
            <w:vAlign w:val="center"/>
          </w:tcPr>
          <w:p w14:paraId="313025B0">
            <w:pPr>
              <w:jc w:val="center"/>
              <w:rPr>
                <w:b/>
                <w:color w:val="000000" w:themeColor="text1"/>
                <w:sz w:val="18"/>
                <w:szCs w:val="18"/>
              </w:rPr>
            </w:pPr>
            <w:r>
              <w:rPr>
                <w:b/>
                <w:color w:val="000000" w:themeColor="text1"/>
                <w:sz w:val="18"/>
                <w:szCs w:val="18"/>
              </w:rPr>
              <w:t>直 径</w:t>
            </w:r>
          </w:p>
          <w:p w14:paraId="5F9FFD63">
            <w:pPr>
              <w:jc w:val="center"/>
              <w:rPr>
                <w:b/>
                <w:color w:val="000000" w:themeColor="text1"/>
                <w:sz w:val="18"/>
                <w:szCs w:val="18"/>
              </w:rPr>
            </w:pPr>
            <w:r>
              <w:rPr>
                <w:b/>
                <w:color w:val="000000" w:themeColor="text1"/>
                <w:sz w:val="18"/>
                <w:szCs w:val="18"/>
              </w:rPr>
              <w:t>(m)</w:t>
            </w:r>
          </w:p>
        </w:tc>
        <w:tc>
          <w:tcPr>
            <w:tcW w:w="297" w:type="pct"/>
            <w:vMerge w:val="continue"/>
            <w:vAlign w:val="center"/>
          </w:tcPr>
          <w:p w14:paraId="36033CAA">
            <w:pPr>
              <w:jc w:val="center"/>
              <w:rPr>
                <w:color w:val="000000" w:themeColor="text1"/>
                <w:sz w:val="18"/>
                <w:szCs w:val="18"/>
              </w:rPr>
            </w:pPr>
          </w:p>
        </w:tc>
        <w:tc>
          <w:tcPr>
            <w:tcW w:w="374" w:type="pct"/>
            <w:vMerge w:val="continue"/>
            <w:vAlign w:val="center"/>
          </w:tcPr>
          <w:p w14:paraId="4296E1F7">
            <w:pPr>
              <w:jc w:val="center"/>
              <w:rPr>
                <w:color w:val="000000" w:themeColor="text1"/>
                <w:sz w:val="18"/>
                <w:szCs w:val="18"/>
              </w:rPr>
            </w:pPr>
          </w:p>
        </w:tc>
        <w:tc>
          <w:tcPr>
            <w:tcW w:w="320" w:type="pct"/>
            <w:vMerge w:val="continue"/>
            <w:vAlign w:val="center"/>
          </w:tcPr>
          <w:p w14:paraId="538E3DCA">
            <w:pPr>
              <w:jc w:val="center"/>
              <w:rPr>
                <w:color w:val="000000" w:themeColor="text1"/>
                <w:sz w:val="18"/>
                <w:szCs w:val="18"/>
              </w:rPr>
            </w:pPr>
          </w:p>
        </w:tc>
      </w:tr>
      <w:tr w14:paraId="48FCA77C">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restart"/>
            <w:vAlign w:val="center"/>
          </w:tcPr>
          <w:p w14:paraId="74C2214A">
            <w:pPr>
              <w:jc w:val="center"/>
              <w:rPr>
                <w:color w:val="000000" w:themeColor="text1"/>
                <w:sz w:val="18"/>
                <w:szCs w:val="18"/>
              </w:rPr>
            </w:pPr>
            <w:r>
              <w:rPr>
                <w:color w:val="000000" w:themeColor="text1"/>
                <w:sz w:val="18"/>
                <w:szCs w:val="18"/>
              </w:rPr>
              <w:t>造粒</w:t>
            </w:r>
            <w:r>
              <w:rPr>
                <w:b/>
                <w:color w:val="000000" w:themeColor="text1"/>
                <w:sz w:val="18"/>
                <w:szCs w:val="18"/>
              </w:rPr>
              <w:t>工序</w:t>
            </w:r>
          </w:p>
        </w:tc>
        <w:tc>
          <w:tcPr>
            <w:tcW w:w="235" w:type="pct"/>
            <w:vMerge w:val="restart"/>
            <w:vAlign w:val="center"/>
          </w:tcPr>
          <w:p w14:paraId="2EE38F82">
            <w:pPr>
              <w:jc w:val="center"/>
              <w:rPr>
                <w:color w:val="000000" w:themeColor="text1"/>
                <w:sz w:val="18"/>
                <w:szCs w:val="18"/>
              </w:rPr>
            </w:pPr>
            <w:r>
              <w:rPr>
                <w:color w:val="000000" w:themeColor="text1"/>
                <w:sz w:val="18"/>
                <w:szCs w:val="18"/>
              </w:rPr>
              <w:t>G1</w:t>
            </w:r>
          </w:p>
        </w:tc>
        <w:tc>
          <w:tcPr>
            <w:tcW w:w="289" w:type="pct"/>
            <w:vMerge w:val="restart"/>
            <w:vAlign w:val="center"/>
          </w:tcPr>
          <w:p w14:paraId="33B248C0">
            <w:pPr>
              <w:jc w:val="center"/>
              <w:rPr>
                <w:color w:val="000000" w:themeColor="text1"/>
                <w:sz w:val="18"/>
                <w:szCs w:val="18"/>
              </w:rPr>
            </w:pPr>
            <w:r>
              <w:rPr>
                <w:color w:val="000000" w:themeColor="text1"/>
                <w:kern w:val="0"/>
                <w:sz w:val="18"/>
                <w:szCs w:val="18"/>
              </w:rPr>
              <w:t>塑料挤出机</w:t>
            </w:r>
          </w:p>
        </w:tc>
        <w:tc>
          <w:tcPr>
            <w:tcW w:w="338" w:type="pct"/>
            <w:vMerge w:val="restart"/>
            <w:vAlign w:val="center"/>
          </w:tcPr>
          <w:p w14:paraId="6E82A5EA">
            <w:pPr>
              <w:jc w:val="center"/>
              <w:rPr>
                <w:color w:val="000000" w:themeColor="text1"/>
                <w:sz w:val="18"/>
                <w:szCs w:val="18"/>
              </w:rPr>
            </w:pPr>
            <w:r>
              <w:rPr>
                <w:color w:val="000000" w:themeColor="text1"/>
                <w:sz w:val="18"/>
                <w:szCs w:val="18"/>
              </w:rPr>
              <w:t>8000</w:t>
            </w:r>
          </w:p>
        </w:tc>
        <w:tc>
          <w:tcPr>
            <w:tcW w:w="302" w:type="pct"/>
            <w:vAlign w:val="center"/>
          </w:tcPr>
          <w:p w14:paraId="1FD6C608">
            <w:pPr>
              <w:pStyle w:val="59"/>
              <w:spacing w:line="240" w:lineRule="auto"/>
              <w:rPr>
                <w:color w:val="000000" w:themeColor="text1"/>
                <w:sz w:val="18"/>
                <w:szCs w:val="18"/>
              </w:rPr>
            </w:pPr>
            <w:r>
              <w:rPr>
                <w:color w:val="000000" w:themeColor="text1"/>
                <w:sz w:val="18"/>
                <w:szCs w:val="18"/>
              </w:rPr>
              <w:t>颗粒物</w:t>
            </w:r>
          </w:p>
        </w:tc>
        <w:tc>
          <w:tcPr>
            <w:tcW w:w="310" w:type="pct"/>
            <w:vAlign w:val="center"/>
          </w:tcPr>
          <w:p w14:paraId="7BF812D2">
            <w:pPr>
              <w:jc w:val="center"/>
              <w:rPr>
                <w:color w:val="000000" w:themeColor="text1"/>
                <w:sz w:val="18"/>
                <w:szCs w:val="18"/>
              </w:rPr>
            </w:pPr>
            <w:r>
              <w:rPr>
                <w:color w:val="000000" w:themeColor="text1"/>
                <w:sz w:val="18"/>
                <w:szCs w:val="18"/>
              </w:rPr>
              <w:t>0.26</w:t>
            </w:r>
          </w:p>
        </w:tc>
        <w:tc>
          <w:tcPr>
            <w:tcW w:w="685" w:type="pct"/>
            <w:vMerge w:val="restart"/>
            <w:vAlign w:val="center"/>
          </w:tcPr>
          <w:p w14:paraId="1A15C07C">
            <w:pPr>
              <w:jc w:val="center"/>
              <w:rPr>
                <w:color w:val="000000" w:themeColor="text1"/>
                <w:sz w:val="18"/>
                <w:szCs w:val="18"/>
              </w:rPr>
            </w:pPr>
            <w:r>
              <w:rPr>
                <w:bCs/>
                <w:color w:val="000000" w:themeColor="text1"/>
                <w:sz w:val="18"/>
                <w:szCs w:val="18"/>
              </w:rPr>
              <w:t>2套集气罩+1套过滤棉+1套UV光解装置+1根15m排气筒，集气效率90%，颗粒物处置效率95%，非甲烷总烃处置效率85%</w:t>
            </w:r>
          </w:p>
        </w:tc>
        <w:tc>
          <w:tcPr>
            <w:tcW w:w="277" w:type="pct"/>
            <w:vAlign w:val="center"/>
          </w:tcPr>
          <w:p w14:paraId="2B5C9745">
            <w:pPr>
              <w:widowControl/>
              <w:jc w:val="center"/>
              <w:rPr>
                <w:rFonts w:eastAsia="等线"/>
                <w:color w:val="000000"/>
                <w:kern w:val="0"/>
                <w:sz w:val="18"/>
                <w:szCs w:val="18"/>
              </w:rPr>
            </w:pPr>
            <w:r>
              <w:rPr>
                <w:rFonts w:eastAsia="等线"/>
                <w:color w:val="000000"/>
                <w:sz w:val="18"/>
                <w:szCs w:val="18"/>
              </w:rPr>
              <w:t xml:space="preserve">0.012 </w:t>
            </w:r>
          </w:p>
        </w:tc>
        <w:tc>
          <w:tcPr>
            <w:tcW w:w="389" w:type="pct"/>
            <w:vAlign w:val="center"/>
          </w:tcPr>
          <w:p w14:paraId="5CAFCDB7">
            <w:pPr>
              <w:jc w:val="center"/>
              <w:rPr>
                <w:rFonts w:eastAsia="等线"/>
                <w:color w:val="000000"/>
                <w:sz w:val="18"/>
                <w:szCs w:val="18"/>
              </w:rPr>
            </w:pPr>
            <w:r>
              <w:rPr>
                <w:rFonts w:eastAsia="等线"/>
                <w:color w:val="000000"/>
                <w:sz w:val="18"/>
                <w:szCs w:val="18"/>
              </w:rPr>
              <w:t xml:space="preserve">0.0049 </w:t>
            </w:r>
          </w:p>
        </w:tc>
        <w:tc>
          <w:tcPr>
            <w:tcW w:w="378" w:type="pct"/>
            <w:vAlign w:val="center"/>
          </w:tcPr>
          <w:p w14:paraId="7CABF9DA">
            <w:pPr>
              <w:jc w:val="center"/>
              <w:rPr>
                <w:rFonts w:eastAsia="等线"/>
                <w:color w:val="000000"/>
                <w:sz w:val="18"/>
                <w:szCs w:val="18"/>
              </w:rPr>
            </w:pPr>
            <w:r>
              <w:rPr>
                <w:rFonts w:eastAsia="等线"/>
                <w:color w:val="000000"/>
                <w:sz w:val="18"/>
                <w:szCs w:val="18"/>
              </w:rPr>
              <w:t xml:space="preserve">0.61 </w:t>
            </w:r>
          </w:p>
        </w:tc>
        <w:tc>
          <w:tcPr>
            <w:tcW w:w="236" w:type="pct"/>
            <w:vMerge w:val="restart"/>
            <w:vAlign w:val="center"/>
          </w:tcPr>
          <w:p w14:paraId="34C7B10C">
            <w:pPr>
              <w:jc w:val="center"/>
              <w:rPr>
                <w:color w:val="000000" w:themeColor="text1"/>
                <w:sz w:val="18"/>
                <w:szCs w:val="18"/>
              </w:rPr>
            </w:pPr>
            <w:r>
              <w:rPr>
                <w:color w:val="000000" w:themeColor="text1"/>
                <w:sz w:val="18"/>
                <w:szCs w:val="18"/>
              </w:rPr>
              <w:t>15</w:t>
            </w:r>
          </w:p>
        </w:tc>
        <w:tc>
          <w:tcPr>
            <w:tcW w:w="240" w:type="pct"/>
            <w:vMerge w:val="restart"/>
            <w:vAlign w:val="center"/>
          </w:tcPr>
          <w:p w14:paraId="1D156C12">
            <w:pPr>
              <w:jc w:val="center"/>
              <w:rPr>
                <w:color w:val="000000" w:themeColor="text1"/>
                <w:sz w:val="18"/>
                <w:szCs w:val="18"/>
              </w:rPr>
            </w:pPr>
            <w:r>
              <w:rPr>
                <w:color w:val="000000" w:themeColor="text1"/>
                <w:sz w:val="18"/>
                <w:szCs w:val="18"/>
              </w:rPr>
              <w:t>0.2</w:t>
            </w:r>
          </w:p>
        </w:tc>
        <w:tc>
          <w:tcPr>
            <w:tcW w:w="297" w:type="pct"/>
            <w:vMerge w:val="restart"/>
            <w:vAlign w:val="center"/>
          </w:tcPr>
          <w:p w14:paraId="36A1E95A">
            <w:pPr>
              <w:jc w:val="center"/>
              <w:rPr>
                <w:color w:val="000000" w:themeColor="text1"/>
                <w:sz w:val="18"/>
                <w:szCs w:val="18"/>
              </w:rPr>
            </w:pPr>
            <w:r>
              <w:rPr>
                <w:color w:val="000000" w:themeColor="text1"/>
                <w:sz w:val="18"/>
                <w:szCs w:val="18"/>
              </w:rPr>
              <w:t>50</w:t>
            </w:r>
          </w:p>
        </w:tc>
        <w:tc>
          <w:tcPr>
            <w:tcW w:w="374" w:type="pct"/>
            <w:vAlign w:val="center"/>
          </w:tcPr>
          <w:p w14:paraId="5DB3618C">
            <w:pPr>
              <w:pStyle w:val="59"/>
              <w:rPr>
                <w:color w:val="FF0000"/>
                <w:sz w:val="18"/>
                <w:szCs w:val="18"/>
              </w:rPr>
            </w:pPr>
            <w:r>
              <w:rPr>
                <w:color w:val="FF0000"/>
                <w:sz w:val="18"/>
                <w:szCs w:val="18"/>
              </w:rPr>
              <w:t>30</w:t>
            </w:r>
          </w:p>
        </w:tc>
        <w:tc>
          <w:tcPr>
            <w:tcW w:w="320" w:type="pct"/>
            <w:vAlign w:val="center"/>
          </w:tcPr>
          <w:p w14:paraId="047C6EF0">
            <w:pPr>
              <w:pStyle w:val="59"/>
              <w:rPr>
                <w:color w:val="000000" w:themeColor="text1"/>
                <w:sz w:val="18"/>
                <w:szCs w:val="18"/>
              </w:rPr>
            </w:pPr>
            <w:r>
              <w:rPr>
                <w:color w:val="000000" w:themeColor="text1"/>
                <w:sz w:val="18"/>
                <w:szCs w:val="18"/>
              </w:rPr>
              <w:t>达标</w:t>
            </w:r>
          </w:p>
        </w:tc>
      </w:tr>
      <w:tr w14:paraId="25D7CC58">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continue"/>
            <w:vAlign w:val="center"/>
          </w:tcPr>
          <w:p w14:paraId="31A009EC">
            <w:pPr>
              <w:jc w:val="center"/>
              <w:rPr>
                <w:color w:val="000000" w:themeColor="text1"/>
                <w:sz w:val="18"/>
                <w:szCs w:val="18"/>
              </w:rPr>
            </w:pPr>
          </w:p>
        </w:tc>
        <w:tc>
          <w:tcPr>
            <w:tcW w:w="235" w:type="pct"/>
            <w:vMerge w:val="continue"/>
            <w:vAlign w:val="center"/>
          </w:tcPr>
          <w:p w14:paraId="521EE184">
            <w:pPr>
              <w:jc w:val="center"/>
              <w:rPr>
                <w:color w:val="000000" w:themeColor="text1"/>
                <w:sz w:val="18"/>
                <w:szCs w:val="18"/>
              </w:rPr>
            </w:pPr>
          </w:p>
        </w:tc>
        <w:tc>
          <w:tcPr>
            <w:tcW w:w="289" w:type="pct"/>
            <w:vMerge w:val="continue"/>
            <w:vAlign w:val="center"/>
          </w:tcPr>
          <w:p w14:paraId="71494BCD">
            <w:pPr>
              <w:jc w:val="center"/>
              <w:rPr>
                <w:color w:val="000000" w:themeColor="text1"/>
                <w:sz w:val="18"/>
                <w:szCs w:val="18"/>
              </w:rPr>
            </w:pPr>
          </w:p>
        </w:tc>
        <w:tc>
          <w:tcPr>
            <w:tcW w:w="338" w:type="pct"/>
            <w:vMerge w:val="continue"/>
            <w:vAlign w:val="center"/>
          </w:tcPr>
          <w:p w14:paraId="7FD39A97">
            <w:pPr>
              <w:jc w:val="center"/>
              <w:rPr>
                <w:color w:val="000000" w:themeColor="text1"/>
                <w:sz w:val="18"/>
                <w:szCs w:val="18"/>
              </w:rPr>
            </w:pPr>
          </w:p>
        </w:tc>
        <w:tc>
          <w:tcPr>
            <w:tcW w:w="302" w:type="pct"/>
            <w:vAlign w:val="center"/>
          </w:tcPr>
          <w:p w14:paraId="6BEBDA78">
            <w:pPr>
              <w:pStyle w:val="59"/>
              <w:spacing w:line="240" w:lineRule="auto"/>
              <w:rPr>
                <w:color w:val="000000" w:themeColor="text1"/>
                <w:sz w:val="18"/>
                <w:szCs w:val="18"/>
              </w:rPr>
            </w:pPr>
            <w:r>
              <w:rPr>
                <w:color w:val="000000" w:themeColor="text1"/>
                <w:sz w:val="18"/>
                <w:szCs w:val="18"/>
              </w:rPr>
              <w:t>非甲烷总烃</w:t>
            </w:r>
          </w:p>
        </w:tc>
        <w:tc>
          <w:tcPr>
            <w:tcW w:w="310" w:type="pct"/>
            <w:vAlign w:val="center"/>
          </w:tcPr>
          <w:p w14:paraId="58486D54">
            <w:pPr>
              <w:jc w:val="center"/>
              <w:rPr>
                <w:color w:val="000000" w:themeColor="text1"/>
                <w:sz w:val="18"/>
                <w:szCs w:val="18"/>
              </w:rPr>
            </w:pPr>
            <w:r>
              <w:rPr>
                <w:color w:val="000000" w:themeColor="text1"/>
                <w:sz w:val="18"/>
                <w:szCs w:val="18"/>
              </w:rPr>
              <w:t>1.754</w:t>
            </w:r>
          </w:p>
        </w:tc>
        <w:tc>
          <w:tcPr>
            <w:tcW w:w="685" w:type="pct"/>
            <w:vMerge w:val="continue"/>
            <w:vAlign w:val="center"/>
          </w:tcPr>
          <w:p w14:paraId="356AF2DF">
            <w:pPr>
              <w:jc w:val="center"/>
              <w:rPr>
                <w:color w:val="000000" w:themeColor="text1"/>
                <w:sz w:val="18"/>
                <w:szCs w:val="18"/>
              </w:rPr>
            </w:pPr>
          </w:p>
        </w:tc>
        <w:tc>
          <w:tcPr>
            <w:tcW w:w="277" w:type="pct"/>
            <w:vAlign w:val="center"/>
          </w:tcPr>
          <w:p w14:paraId="1D113E12">
            <w:pPr>
              <w:jc w:val="center"/>
              <w:rPr>
                <w:rFonts w:eastAsia="等线"/>
                <w:color w:val="000000"/>
                <w:sz w:val="18"/>
                <w:szCs w:val="18"/>
              </w:rPr>
            </w:pPr>
            <w:r>
              <w:rPr>
                <w:rFonts w:eastAsia="等线"/>
                <w:color w:val="000000"/>
                <w:sz w:val="18"/>
                <w:szCs w:val="18"/>
              </w:rPr>
              <w:t xml:space="preserve">0.079 </w:t>
            </w:r>
          </w:p>
        </w:tc>
        <w:tc>
          <w:tcPr>
            <w:tcW w:w="389" w:type="pct"/>
            <w:vAlign w:val="center"/>
          </w:tcPr>
          <w:p w14:paraId="3C0C082C">
            <w:pPr>
              <w:jc w:val="center"/>
              <w:rPr>
                <w:rFonts w:eastAsia="等线"/>
                <w:color w:val="000000"/>
                <w:sz w:val="18"/>
                <w:szCs w:val="18"/>
              </w:rPr>
            </w:pPr>
            <w:r>
              <w:rPr>
                <w:rFonts w:eastAsia="等线"/>
                <w:color w:val="000000"/>
                <w:sz w:val="18"/>
                <w:szCs w:val="18"/>
              </w:rPr>
              <w:t xml:space="preserve">0.0329 </w:t>
            </w:r>
          </w:p>
        </w:tc>
        <w:tc>
          <w:tcPr>
            <w:tcW w:w="378" w:type="pct"/>
            <w:vAlign w:val="center"/>
          </w:tcPr>
          <w:p w14:paraId="5F1E73B0">
            <w:pPr>
              <w:jc w:val="center"/>
              <w:rPr>
                <w:rFonts w:eastAsia="等线"/>
                <w:color w:val="000000"/>
                <w:sz w:val="18"/>
                <w:szCs w:val="18"/>
              </w:rPr>
            </w:pPr>
            <w:r>
              <w:rPr>
                <w:rFonts w:eastAsia="等线"/>
                <w:color w:val="000000"/>
                <w:sz w:val="18"/>
                <w:szCs w:val="18"/>
              </w:rPr>
              <w:t xml:space="preserve">4.11 </w:t>
            </w:r>
          </w:p>
        </w:tc>
        <w:tc>
          <w:tcPr>
            <w:tcW w:w="236" w:type="pct"/>
            <w:vMerge w:val="continue"/>
            <w:vAlign w:val="center"/>
          </w:tcPr>
          <w:p w14:paraId="09580CF8">
            <w:pPr>
              <w:jc w:val="center"/>
              <w:rPr>
                <w:color w:val="000000" w:themeColor="text1"/>
                <w:sz w:val="18"/>
                <w:szCs w:val="18"/>
              </w:rPr>
            </w:pPr>
          </w:p>
        </w:tc>
        <w:tc>
          <w:tcPr>
            <w:tcW w:w="240" w:type="pct"/>
            <w:vMerge w:val="continue"/>
            <w:vAlign w:val="center"/>
          </w:tcPr>
          <w:p w14:paraId="107A64DA">
            <w:pPr>
              <w:jc w:val="center"/>
              <w:rPr>
                <w:color w:val="000000" w:themeColor="text1"/>
                <w:sz w:val="18"/>
                <w:szCs w:val="18"/>
              </w:rPr>
            </w:pPr>
          </w:p>
        </w:tc>
        <w:tc>
          <w:tcPr>
            <w:tcW w:w="297" w:type="pct"/>
            <w:vMerge w:val="continue"/>
            <w:vAlign w:val="center"/>
          </w:tcPr>
          <w:p w14:paraId="439D635C">
            <w:pPr>
              <w:jc w:val="center"/>
              <w:rPr>
                <w:color w:val="000000" w:themeColor="text1"/>
                <w:sz w:val="18"/>
                <w:szCs w:val="18"/>
              </w:rPr>
            </w:pPr>
          </w:p>
        </w:tc>
        <w:tc>
          <w:tcPr>
            <w:tcW w:w="374" w:type="pct"/>
            <w:vAlign w:val="center"/>
          </w:tcPr>
          <w:p w14:paraId="7D58B9D3">
            <w:pPr>
              <w:pStyle w:val="59"/>
              <w:rPr>
                <w:color w:val="FF0000"/>
                <w:sz w:val="18"/>
                <w:szCs w:val="18"/>
              </w:rPr>
            </w:pPr>
            <w:r>
              <w:rPr>
                <w:color w:val="FF0000"/>
                <w:sz w:val="18"/>
                <w:szCs w:val="18"/>
              </w:rPr>
              <w:t>100</w:t>
            </w:r>
          </w:p>
        </w:tc>
        <w:tc>
          <w:tcPr>
            <w:tcW w:w="320" w:type="pct"/>
            <w:vAlign w:val="center"/>
          </w:tcPr>
          <w:p w14:paraId="64618179">
            <w:pPr>
              <w:pStyle w:val="59"/>
              <w:rPr>
                <w:color w:val="000000" w:themeColor="text1"/>
                <w:sz w:val="18"/>
                <w:szCs w:val="18"/>
              </w:rPr>
            </w:pPr>
            <w:r>
              <w:rPr>
                <w:color w:val="000000" w:themeColor="text1"/>
                <w:sz w:val="18"/>
                <w:szCs w:val="18"/>
              </w:rPr>
              <w:t>达标</w:t>
            </w:r>
          </w:p>
        </w:tc>
      </w:tr>
      <w:tr w14:paraId="1BA190B7">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restart"/>
            <w:vAlign w:val="center"/>
          </w:tcPr>
          <w:p w14:paraId="15805DC8">
            <w:pPr>
              <w:jc w:val="center"/>
              <w:rPr>
                <w:color w:val="000000" w:themeColor="text1"/>
                <w:sz w:val="18"/>
                <w:szCs w:val="18"/>
              </w:rPr>
            </w:pPr>
            <w:r>
              <w:rPr>
                <w:color w:val="000000" w:themeColor="text1"/>
                <w:sz w:val="18"/>
                <w:szCs w:val="18"/>
              </w:rPr>
              <w:t>编织袋生产</w:t>
            </w:r>
          </w:p>
        </w:tc>
        <w:tc>
          <w:tcPr>
            <w:tcW w:w="235" w:type="pct"/>
            <w:vMerge w:val="restart"/>
            <w:vAlign w:val="center"/>
          </w:tcPr>
          <w:p w14:paraId="1DA399E0">
            <w:pPr>
              <w:jc w:val="center"/>
              <w:rPr>
                <w:color w:val="000000" w:themeColor="text1"/>
                <w:sz w:val="18"/>
                <w:szCs w:val="18"/>
              </w:rPr>
            </w:pPr>
            <w:r>
              <w:rPr>
                <w:color w:val="000000" w:themeColor="text1"/>
                <w:sz w:val="18"/>
                <w:szCs w:val="18"/>
              </w:rPr>
              <w:t>G2</w:t>
            </w:r>
          </w:p>
        </w:tc>
        <w:tc>
          <w:tcPr>
            <w:tcW w:w="289" w:type="pct"/>
            <w:vMerge w:val="restart"/>
            <w:vAlign w:val="center"/>
          </w:tcPr>
          <w:p w14:paraId="215E2573">
            <w:pPr>
              <w:jc w:val="center"/>
              <w:rPr>
                <w:color w:val="000000" w:themeColor="text1"/>
                <w:sz w:val="18"/>
                <w:szCs w:val="18"/>
              </w:rPr>
            </w:pPr>
            <w:r>
              <w:rPr>
                <w:color w:val="000000" w:themeColor="text1"/>
                <w:sz w:val="18"/>
                <w:szCs w:val="18"/>
              </w:rPr>
              <w:t>热熔挤出</w:t>
            </w:r>
          </w:p>
        </w:tc>
        <w:tc>
          <w:tcPr>
            <w:tcW w:w="338" w:type="pct"/>
            <w:vMerge w:val="restart"/>
            <w:vAlign w:val="center"/>
          </w:tcPr>
          <w:p w14:paraId="3B542D50">
            <w:pPr>
              <w:jc w:val="center"/>
              <w:rPr>
                <w:color w:val="000000" w:themeColor="text1"/>
                <w:sz w:val="18"/>
                <w:szCs w:val="18"/>
              </w:rPr>
            </w:pPr>
            <w:r>
              <w:rPr>
                <w:color w:val="000000" w:themeColor="text1"/>
                <w:sz w:val="18"/>
                <w:szCs w:val="18"/>
              </w:rPr>
              <w:t>5000</w:t>
            </w:r>
          </w:p>
        </w:tc>
        <w:tc>
          <w:tcPr>
            <w:tcW w:w="302" w:type="pct"/>
            <w:vAlign w:val="center"/>
          </w:tcPr>
          <w:p w14:paraId="2F1C8CA6">
            <w:pPr>
              <w:pStyle w:val="59"/>
              <w:spacing w:line="240" w:lineRule="auto"/>
              <w:rPr>
                <w:color w:val="000000" w:themeColor="text1"/>
                <w:sz w:val="18"/>
                <w:szCs w:val="18"/>
              </w:rPr>
            </w:pPr>
            <w:r>
              <w:rPr>
                <w:color w:val="000000" w:themeColor="text1"/>
                <w:sz w:val="18"/>
                <w:szCs w:val="18"/>
              </w:rPr>
              <w:t>颗粒物</w:t>
            </w:r>
          </w:p>
        </w:tc>
        <w:tc>
          <w:tcPr>
            <w:tcW w:w="310" w:type="pct"/>
            <w:vAlign w:val="center"/>
          </w:tcPr>
          <w:p w14:paraId="2A3074C6">
            <w:pPr>
              <w:jc w:val="center"/>
              <w:rPr>
                <w:color w:val="000000" w:themeColor="text1"/>
                <w:sz w:val="18"/>
                <w:szCs w:val="18"/>
              </w:rPr>
            </w:pPr>
            <w:r>
              <w:rPr>
                <w:color w:val="000000" w:themeColor="text1"/>
                <w:sz w:val="18"/>
                <w:szCs w:val="18"/>
              </w:rPr>
              <w:t>0.15</w:t>
            </w:r>
          </w:p>
        </w:tc>
        <w:tc>
          <w:tcPr>
            <w:tcW w:w="685" w:type="pct"/>
            <w:vMerge w:val="restart"/>
            <w:vAlign w:val="center"/>
          </w:tcPr>
          <w:p w14:paraId="2F4C385D">
            <w:pPr>
              <w:jc w:val="center"/>
              <w:rPr>
                <w:color w:val="000000" w:themeColor="text1"/>
                <w:sz w:val="18"/>
                <w:szCs w:val="18"/>
              </w:rPr>
            </w:pPr>
            <w:r>
              <w:rPr>
                <w:bCs/>
                <w:color w:val="000000" w:themeColor="text1"/>
                <w:sz w:val="18"/>
                <w:szCs w:val="18"/>
              </w:rPr>
              <w:t>1套集气罩+1套过滤棉+1套UV光解装置+1根15m排气筒，集气效率90%，颗粒物处置效率95%，非甲烷总烃处置效率85%</w:t>
            </w:r>
          </w:p>
        </w:tc>
        <w:tc>
          <w:tcPr>
            <w:tcW w:w="277" w:type="pct"/>
            <w:vAlign w:val="center"/>
          </w:tcPr>
          <w:p w14:paraId="526ED83D">
            <w:pPr>
              <w:jc w:val="center"/>
              <w:rPr>
                <w:rFonts w:eastAsia="等线"/>
                <w:color w:val="000000"/>
                <w:sz w:val="18"/>
                <w:szCs w:val="18"/>
              </w:rPr>
            </w:pPr>
            <w:r>
              <w:rPr>
                <w:rFonts w:eastAsia="等线"/>
                <w:color w:val="000000"/>
                <w:sz w:val="18"/>
                <w:szCs w:val="18"/>
              </w:rPr>
              <w:t xml:space="preserve">0.007 </w:t>
            </w:r>
          </w:p>
        </w:tc>
        <w:tc>
          <w:tcPr>
            <w:tcW w:w="389" w:type="pct"/>
            <w:vAlign w:val="center"/>
          </w:tcPr>
          <w:p w14:paraId="0F57526E">
            <w:pPr>
              <w:jc w:val="center"/>
              <w:rPr>
                <w:rFonts w:eastAsia="等线"/>
                <w:color w:val="000000"/>
                <w:sz w:val="18"/>
                <w:szCs w:val="18"/>
              </w:rPr>
            </w:pPr>
            <w:r>
              <w:rPr>
                <w:rFonts w:eastAsia="等线"/>
                <w:color w:val="000000"/>
                <w:sz w:val="18"/>
                <w:szCs w:val="18"/>
              </w:rPr>
              <w:t xml:space="preserve">0.0028 </w:t>
            </w:r>
          </w:p>
        </w:tc>
        <w:tc>
          <w:tcPr>
            <w:tcW w:w="378" w:type="pct"/>
            <w:vAlign w:val="center"/>
          </w:tcPr>
          <w:p w14:paraId="1D802C15">
            <w:pPr>
              <w:jc w:val="center"/>
              <w:rPr>
                <w:rFonts w:eastAsia="等线"/>
                <w:color w:val="000000"/>
                <w:sz w:val="18"/>
                <w:szCs w:val="18"/>
              </w:rPr>
            </w:pPr>
            <w:r>
              <w:rPr>
                <w:rFonts w:eastAsia="等线"/>
                <w:color w:val="000000"/>
                <w:sz w:val="18"/>
                <w:szCs w:val="18"/>
              </w:rPr>
              <w:t xml:space="preserve">0.35 </w:t>
            </w:r>
          </w:p>
        </w:tc>
        <w:tc>
          <w:tcPr>
            <w:tcW w:w="236" w:type="pct"/>
            <w:vMerge w:val="restart"/>
            <w:vAlign w:val="center"/>
          </w:tcPr>
          <w:p w14:paraId="135861F2">
            <w:pPr>
              <w:jc w:val="center"/>
              <w:rPr>
                <w:color w:val="000000" w:themeColor="text1"/>
                <w:sz w:val="18"/>
                <w:szCs w:val="18"/>
              </w:rPr>
            </w:pPr>
            <w:r>
              <w:rPr>
                <w:color w:val="000000" w:themeColor="text1"/>
                <w:sz w:val="18"/>
                <w:szCs w:val="18"/>
              </w:rPr>
              <w:t>15</w:t>
            </w:r>
          </w:p>
        </w:tc>
        <w:tc>
          <w:tcPr>
            <w:tcW w:w="240" w:type="pct"/>
            <w:vMerge w:val="restart"/>
            <w:vAlign w:val="center"/>
          </w:tcPr>
          <w:p w14:paraId="64B640AB">
            <w:pPr>
              <w:jc w:val="center"/>
              <w:rPr>
                <w:color w:val="000000" w:themeColor="text1"/>
                <w:sz w:val="18"/>
                <w:szCs w:val="18"/>
              </w:rPr>
            </w:pPr>
            <w:r>
              <w:rPr>
                <w:color w:val="000000" w:themeColor="text1"/>
                <w:sz w:val="18"/>
                <w:szCs w:val="18"/>
              </w:rPr>
              <w:t>0.2</w:t>
            </w:r>
          </w:p>
        </w:tc>
        <w:tc>
          <w:tcPr>
            <w:tcW w:w="297" w:type="pct"/>
            <w:vMerge w:val="restart"/>
            <w:vAlign w:val="center"/>
          </w:tcPr>
          <w:p w14:paraId="03502D48">
            <w:pPr>
              <w:jc w:val="center"/>
              <w:rPr>
                <w:color w:val="000000" w:themeColor="text1"/>
                <w:sz w:val="18"/>
                <w:szCs w:val="18"/>
              </w:rPr>
            </w:pPr>
            <w:r>
              <w:rPr>
                <w:color w:val="000000" w:themeColor="text1"/>
                <w:sz w:val="18"/>
                <w:szCs w:val="18"/>
              </w:rPr>
              <w:t>50</w:t>
            </w:r>
          </w:p>
        </w:tc>
        <w:tc>
          <w:tcPr>
            <w:tcW w:w="374" w:type="pct"/>
            <w:vAlign w:val="center"/>
          </w:tcPr>
          <w:p w14:paraId="35B25CCF">
            <w:pPr>
              <w:pStyle w:val="59"/>
              <w:rPr>
                <w:color w:val="FF0000"/>
                <w:sz w:val="18"/>
                <w:szCs w:val="18"/>
              </w:rPr>
            </w:pPr>
            <w:r>
              <w:rPr>
                <w:color w:val="FF0000"/>
                <w:sz w:val="18"/>
                <w:szCs w:val="18"/>
              </w:rPr>
              <w:t>30</w:t>
            </w:r>
          </w:p>
        </w:tc>
        <w:tc>
          <w:tcPr>
            <w:tcW w:w="320" w:type="pct"/>
            <w:vAlign w:val="center"/>
          </w:tcPr>
          <w:p w14:paraId="11508E85">
            <w:pPr>
              <w:pStyle w:val="59"/>
              <w:rPr>
                <w:color w:val="000000" w:themeColor="text1"/>
                <w:sz w:val="18"/>
                <w:szCs w:val="18"/>
              </w:rPr>
            </w:pPr>
            <w:r>
              <w:rPr>
                <w:color w:val="000000" w:themeColor="text1"/>
                <w:sz w:val="18"/>
                <w:szCs w:val="18"/>
              </w:rPr>
              <w:t>达标</w:t>
            </w:r>
          </w:p>
        </w:tc>
      </w:tr>
      <w:tr w14:paraId="72178972">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continue"/>
            <w:vAlign w:val="center"/>
          </w:tcPr>
          <w:p w14:paraId="181D363B">
            <w:pPr>
              <w:jc w:val="center"/>
              <w:rPr>
                <w:color w:val="000000" w:themeColor="text1"/>
                <w:sz w:val="18"/>
                <w:szCs w:val="18"/>
              </w:rPr>
            </w:pPr>
          </w:p>
        </w:tc>
        <w:tc>
          <w:tcPr>
            <w:tcW w:w="235" w:type="pct"/>
            <w:vMerge w:val="continue"/>
            <w:vAlign w:val="center"/>
          </w:tcPr>
          <w:p w14:paraId="1FA8F530">
            <w:pPr>
              <w:jc w:val="center"/>
              <w:rPr>
                <w:color w:val="000000" w:themeColor="text1"/>
                <w:sz w:val="18"/>
                <w:szCs w:val="18"/>
              </w:rPr>
            </w:pPr>
          </w:p>
        </w:tc>
        <w:tc>
          <w:tcPr>
            <w:tcW w:w="289" w:type="pct"/>
            <w:vMerge w:val="continue"/>
            <w:vAlign w:val="center"/>
          </w:tcPr>
          <w:p w14:paraId="64C84FA8">
            <w:pPr>
              <w:jc w:val="center"/>
              <w:rPr>
                <w:color w:val="000000" w:themeColor="text1"/>
                <w:sz w:val="18"/>
                <w:szCs w:val="18"/>
              </w:rPr>
            </w:pPr>
          </w:p>
        </w:tc>
        <w:tc>
          <w:tcPr>
            <w:tcW w:w="338" w:type="pct"/>
            <w:vMerge w:val="continue"/>
            <w:vAlign w:val="center"/>
          </w:tcPr>
          <w:p w14:paraId="04EC395D">
            <w:pPr>
              <w:jc w:val="center"/>
              <w:rPr>
                <w:color w:val="000000" w:themeColor="text1"/>
                <w:sz w:val="18"/>
                <w:szCs w:val="18"/>
              </w:rPr>
            </w:pPr>
          </w:p>
        </w:tc>
        <w:tc>
          <w:tcPr>
            <w:tcW w:w="302" w:type="pct"/>
            <w:vAlign w:val="center"/>
          </w:tcPr>
          <w:p w14:paraId="6577C567">
            <w:pPr>
              <w:pStyle w:val="59"/>
              <w:spacing w:line="240" w:lineRule="auto"/>
              <w:rPr>
                <w:color w:val="000000" w:themeColor="text1"/>
                <w:sz w:val="18"/>
                <w:szCs w:val="18"/>
              </w:rPr>
            </w:pPr>
            <w:r>
              <w:rPr>
                <w:color w:val="000000" w:themeColor="text1"/>
                <w:sz w:val="18"/>
                <w:szCs w:val="18"/>
              </w:rPr>
              <w:t>非甲烷总烃</w:t>
            </w:r>
          </w:p>
        </w:tc>
        <w:tc>
          <w:tcPr>
            <w:tcW w:w="310" w:type="pct"/>
            <w:vAlign w:val="center"/>
          </w:tcPr>
          <w:p w14:paraId="5FA2DB6F">
            <w:pPr>
              <w:jc w:val="center"/>
              <w:rPr>
                <w:color w:val="000000" w:themeColor="text1"/>
                <w:sz w:val="18"/>
                <w:szCs w:val="18"/>
              </w:rPr>
            </w:pPr>
            <w:r>
              <w:rPr>
                <w:color w:val="000000" w:themeColor="text1"/>
                <w:sz w:val="18"/>
                <w:szCs w:val="18"/>
              </w:rPr>
              <w:t>1.05</w:t>
            </w:r>
          </w:p>
        </w:tc>
        <w:tc>
          <w:tcPr>
            <w:tcW w:w="685" w:type="pct"/>
            <w:vMerge w:val="continue"/>
            <w:vAlign w:val="center"/>
          </w:tcPr>
          <w:p w14:paraId="4AFAC34D">
            <w:pPr>
              <w:jc w:val="center"/>
              <w:rPr>
                <w:color w:val="000000" w:themeColor="text1"/>
                <w:sz w:val="18"/>
                <w:szCs w:val="18"/>
              </w:rPr>
            </w:pPr>
          </w:p>
        </w:tc>
        <w:tc>
          <w:tcPr>
            <w:tcW w:w="277" w:type="pct"/>
            <w:vAlign w:val="center"/>
          </w:tcPr>
          <w:p w14:paraId="102A9A6B">
            <w:pPr>
              <w:jc w:val="center"/>
              <w:rPr>
                <w:rFonts w:eastAsia="等线"/>
                <w:color w:val="000000"/>
                <w:sz w:val="18"/>
                <w:szCs w:val="18"/>
              </w:rPr>
            </w:pPr>
            <w:r>
              <w:rPr>
                <w:rFonts w:eastAsia="等线"/>
                <w:color w:val="000000"/>
                <w:sz w:val="18"/>
                <w:szCs w:val="18"/>
              </w:rPr>
              <w:t xml:space="preserve">0.047 </w:t>
            </w:r>
          </w:p>
        </w:tc>
        <w:tc>
          <w:tcPr>
            <w:tcW w:w="389" w:type="pct"/>
            <w:vAlign w:val="center"/>
          </w:tcPr>
          <w:p w14:paraId="68E3275F">
            <w:pPr>
              <w:jc w:val="center"/>
              <w:rPr>
                <w:rFonts w:eastAsia="等线"/>
                <w:color w:val="000000"/>
                <w:sz w:val="18"/>
                <w:szCs w:val="18"/>
              </w:rPr>
            </w:pPr>
            <w:r>
              <w:rPr>
                <w:rFonts w:eastAsia="等线"/>
                <w:color w:val="000000"/>
                <w:sz w:val="18"/>
                <w:szCs w:val="18"/>
              </w:rPr>
              <w:t xml:space="preserve">0.0197 </w:t>
            </w:r>
          </w:p>
        </w:tc>
        <w:tc>
          <w:tcPr>
            <w:tcW w:w="378" w:type="pct"/>
            <w:vAlign w:val="center"/>
          </w:tcPr>
          <w:p w14:paraId="5A8FC2EE">
            <w:pPr>
              <w:jc w:val="center"/>
              <w:rPr>
                <w:rFonts w:eastAsia="等线"/>
                <w:color w:val="000000"/>
                <w:sz w:val="18"/>
                <w:szCs w:val="18"/>
              </w:rPr>
            </w:pPr>
            <w:r>
              <w:rPr>
                <w:rFonts w:eastAsia="等线"/>
                <w:color w:val="000000"/>
                <w:sz w:val="18"/>
                <w:szCs w:val="18"/>
              </w:rPr>
              <w:t xml:space="preserve">2.46 </w:t>
            </w:r>
          </w:p>
        </w:tc>
        <w:tc>
          <w:tcPr>
            <w:tcW w:w="236" w:type="pct"/>
            <w:vMerge w:val="continue"/>
            <w:vAlign w:val="center"/>
          </w:tcPr>
          <w:p w14:paraId="7902BA34">
            <w:pPr>
              <w:jc w:val="center"/>
              <w:rPr>
                <w:b/>
                <w:color w:val="000000" w:themeColor="text1"/>
                <w:sz w:val="18"/>
                <w:szCs w:val="18"/>
              </w:rPr>
            </w:pPr>
          </w:p>
        </w:tc>
        <w:tc>
          <w:tcPr>
            <w:tcW w:w="240" w:type="pct"/>
            <w:vMerge w:val="continue"/>
            <w:vAlign w:val="center"/>
          </w:tcPr>
          <w:p w14:paraId="66FDB8D8">
            <w:pPr>
              <w:jc w:val="center"/>
              <w:rPr>
                <w:b/>
                <w:color w:val="000000" w:themeColor="text1"/>
                <w:sz w:val="18"/>
                <w:szCs w:val="18"/>
              </w:rPr>
            </w:pPr>
          </w:p>
        </w:tc>
        <w:tc>
          <w:tcPr>
            <w:tcW w:w="297" w:type="pct"/>
            <w:vMerge w:val="continue"/>
            <w:vAlign w:val="center"/>
          </w:tcPr>
          <w:p w14:paraId="5018C4CD">
            <w:pPr>
              <w:jc w:val="center"/>
              <w:rPr>
                <w:color w:val="000000" w:themeColor="text1"/>
                <w:sz w:val="18"/>
                <w:szCs w:val="18"/>
              </w:rPr>
            </w:pPr>
          </w:p>
        </w:tc>
        <w:tc>
          <w:tcPr>
            <w:tcW w:w="374" w:type="pct"/>
            <w:vAlign w:val="center"/>
          </w:tcPr>
          <w:p w14:paraId="7FED95B9">
            <w:pPr>
              <w:pStyle w:val="59"/>
              <w:rPr>
                <w:color w:val="FF0000"/>
                <w:sz w:val="18"/>
                <w:szCs w:val="18"/>
              </w:rPr>
            </w:pPr>
            <w:r>
              <w:rPr>
                <w:color w:val="FF0000"/>
                <w:sz w:val="18"/>
                <w:szCs w:val="18"/>
              </w:rPr>
              <w:t>100</w:t>
            </w:r>
          </w:p>
        </w:tc>
        <w:tc>
          <w:tcPr>
            <w:tcW w:w="320" w:type="pct"/>
            <w:vAlign w:val="center"/>
          </w:tcPr>
          <w:p w14:paraId="2D839279">
            <w:pPr>
              <w:pStyle w:val="59"/>
              <w:rPr>
                <w:color w:val="000000" w:themeColor="text1"/>
                <w:sz w:val="18"/>
                <w:szCs w:val="18"/>
              </w:rPr>
            </w:pPr>
            <w:r>
              <w:rPr>
                <w:color w:val="000000" w:themeColor="text1"/>
                <w:sz w:val="18"/>
                <w:szCs w:val="18"/>
              </w:rPr>
              <w:t>达标</w:t>
            </w:r>
          </w:p>
        </w:tc>
      </w:tr>
      <w:tr w14:paraId="2DA8BD56">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Align w:val="center"/>
          </w:tcPr>
          <w:p w14:paraId="614F20CF">
            <w:pPr>
              <w:jc w:val="center"/>
              <w:rPr>
                <w:color w:val="000000" w:themeColor="text1"/>
                <w:sz w:val="18"/>
                <w:szCs w:val="18"/>
              </w:rPr>
            </w:pPr>
            <w:r>
              <w:rPr>
                <w:color w:val="000000" w:themeColor="text1"/>
                <w:sz w:val="18"/>
                <w:szCs w:val="18"/>
              </w:rPr>
              <w:t>办公区食堂</w:t>
            </w:r>
          </w:p>
        </w:tc>
        <w:tc>
          <w:tcPr>
            <w:tcW w:w="235" w:type="pct"/>
            <w:vAlign w:val="center"/>
          </w:tcPr>
          <w:p w14:paraId="7D480D9B">
            <w:pPr>
              <w:jc w:val="center"/>
              <w:rPr>
                <w:color w:val="000000" w:themeColor="text1"/>
                <w:sz w:val="18"/>
                <w:szCs w:val="18"/>
              </w:rPr>
            </w:pPr>
            <w:r>
              <w:rPr>
                <w:color w:val="000000" w:themeColor="text1"/>
                <w:sz w:val="18"/>
                <w:szCs w:val="18"/>
              </w:rPr>
              <w:t>/</w:t>
            </w:r>
          </w:p>
        </w:tc>
        <w:tc>
          <w:tcPr>
            <w:tcW w:w="289" w:type="pct"/>
            <w:vAlign w:val="center"/>
          </w:tcPr>
          <w:p w14:paraId="36600357">
            <w:pPr>
              <w:jc w:val="center"/>
              <w:rPr>
                <w:color w:val="000000" w:themeColor="text1"/>
                <w:sz w:val="18"/>
                <w:szCs w:val="18"/>
              </w:rPr>
            </w:pPr>
            <w:r>
              <w:rPr>
                <w:color w:val="000000" w:themeColor="text1"/>
                <w:sz w:val="18"/>
                <w:szCs w:val="18"/>
              </w:rPr>
              <w:t>炉灶</w:t>
            </w:r>
          </w:p>
        </w:tc>
        <w:tc>
          <w:tcPr>
            <w:tcW w:w="338" w:type="pct"/>
            <w:vAlign w:val="center"/>
          </w:tcPr>
          <w:p w14:paraId="1B70A6E1">
            <w:pPr>
              <w:jc w:val="center"/>
              <w:rPr>
                <w:color w:val="000000" w:themeColor="text1"/>
                <w:sz w:val="18"/>
                <w:szCs w:val="18"/>
              </w:rPr>
            </w:pPr>
            <w:r>
              <w:rPr>
                <w:color w:val="000000" w:themeColor="text1"/>
                <w:sz w:val="18"/>
                <w:szCs w:val="18"/>
              </w:rPr>
              <w:t>2000</w:t>
            </w:r>
          </w:p>
        </w:tc>
        <w:tc>
          <w:tcPr>
            <w:tcW w:w="302" w:type="pct"/>
            <w:vAlign w:val="center"/>
          </w:tcPr>
          <w:p w14:paraId="7F459DA1">
            <w:pPr>
              <w:jc w:val="center"/>
              <w:rPr>
                <w:color w:val="000000" w:themeColor="text1"/>
                <w:sz w:val="18"/>
                <w:szCs w:val="18"/>
              </w:rPr>
            </w:pPr>
            <w:r>
              <w:rPr>
                <w:color w:val="000000" w:themeColor="text1"/>
                <w:sz w:val="18"/>
                <w:szCs w:val="18"/>
              </w:rPr>
              <w:t>油烟</w:t>
            </w:r>
          </w:p>
        </w:tc>
        <w:tc>
          <w:tcPr>
            <w:tcW w:w="310" w:type="pct"/>
            <w:vAlign w:val="center"/>
          </w:tcPr>
          <w:p w14:paraId="72BA866D">
            <w:pPr>
              <w:jc w:val="center"/>
              <w:rPr>
                <w:color w:val="000000" w:themeColor="text1"/>
                <w:sz w:val="18"/>
                <w:szCs w:val="18"/>
              </w:rPr>
            </w:pPr>
            <w:r>
              <w:rPr>
                <w:color w:val="000000" w:themeColor="text1"/>
                <w:sz w:val="18"/>
                <w:szCs w:val="18"/>
              </w:rPr>
              <w:t>0.0043</w:t>
            </w:r>
          </w:p>
        </w:tc>
        <w:tc>
          <w:tcPr>
            <w:tcW w:w="685" w:type="pct"/>
            <w:vAlign w:val="center"/>
          </w:tcPr>
          <w:p w14:paraId="39717995">
            <w:pPr>
              <w:jc w:val="center"/>
              <w:rPr>
                <w:color w:val="000000" w:themeColor="text1"/>
                <w:sz w:val="18"/>
                <w:szCs w:val="18"/>
              </w:rPr>
            </w:pPr>
            <w:r>
              <w:rPr>
                <w:color w:val="000000" w:themeColor="text1"/>
                <w:sz w:val="18"/>
                <w:szCs w:val="18"/>
              </w:rPr>
              <w:t>净化效率60%</w:t>
            </w:r>
          </w:p>
        </w:tc>
        <w:tc>
          <w:tcPr>
            <w:tcW w:w="277" w:type="pct"/>
            <w:vAlign w:val="center"/>
          </w:tcPr>
          <w:p w14:paraId="62656EC9">
            <w:pPr>
              <w:jc w:val="center"/>
              <w:rPr>
                <w:color w:val="000000" w:themeColor="text1"/>
                <w:sz w:val="18"/>
                <w:szCs w:val="18"/>
              </w:rPr>
            </w:pPr>
            <w:r>
              <w:rPr>
                <w:color w:val="000000" w:themeColor="text1"/>
                <w:sz w:val="18"/>
                <w:szCs w:val="18"/>
              </w:rPr>
              <w:t>0.00175</w:t>
            </w:r>
          </w:p>
        </w:tc>
        <w:tc>
          <w:tcPr>
            <w:tcW w:w="389" w:type="pct"/>
            <w:vAlign w:val="center"/>
          </w:tcPr>
          <w:p w14:paraId="680996B8">
            <w:pPr>
              <w:jc w:val="center"/>
              <w:rPr>
                <w:color w:val="000000" w:themeColor="text1"/>
                <w:sz w:val="18"/>
                <w:szCs w:val="18"/>
              </w:rPr>
            </w:pPr>
            <w:r>
              <w:rPr>
                <w:color w:val="000000" w:themeColor="text1"/>
                <w:sz w:val="18"/>
                <w:szCs w:val="18"/>
              </w:rPr>
              <w:t>0.00073</w:t>
            </w:r>
          </w:p>
        </w:tc>
        <w:tc>
          <w:tcPr>
            <w:tcW w:w="378" w:type="pct"/>
            <w:vAlign w:val="center"/>
          </w:tcPr>
          <w:p w14:paraId="0BD6A7AD">
            <w:pPr>
              <w:jc w:val="center"/>
              <w:rPr>
                <w:color w:val="000000" w:themeColor="text1"/>
                <w:sz w:val="18"/>
                <w:szCs w:val="18"/>
              </w:rPr>
            </w:pPr>
            <w:r>
              <w:rPr>
                <w:color w:val="000000" w:themeColor="text1"/>
                <w:sz w:val="18"/>
                <w:szCs w:val="18"/>
              </w:rPr>
              <w:t>0.73</w:t>
            </w:r>
          </w:p>
        </w:tc>
        <w:tc>
          <w:tcPr>
            <w:tcW w:w="773" w:type="pct"/>
            <w:gridSpan w:val="3"/>
            <w:vAlign w:val="center"/>
          </w:tcPr>
          <w:p w14:paraId="7FB9FC0B">
            <w:pPr>
              <w:pStyle w:val="59"/>
              <w:rPr>
                <w:color w:val="000000" w:themeColor="text1"/>
                <w:sz w:val="18"/>
                <w:szCs w:val="18"/>
              </w:rPr>
            </w:pPr>
            <w:r>
              <w:rPr>
                <w:color w:val="000000" w:themeColor="text1"/>
                <w:sz w:val="18"/>
                <w:szCs w:val="18"/>
              </w:rPr>
              <w:t>高于屋顶</w:t>
            </w:r>
          </w:p>
        </w:tc>
        <w:tc>
          <w:tcPr>
            <w:tcW w:w="374" w:type="pct"/>
            <w:vAlign w:val="center"/>
          </w:tcPr>
          <w:p w14:paraId="66C7253B">
            <w:pPr>
              <w:jc w:val="center"/>
              <w:rPr>
                <w:color w:val="000000" w:themeColor="text1"/>
                <w:sz w:val="18"/>
                <w:szCs w:val="18"/>
              </w:rPr>
            </w:pPr>
            <w:r>
              <w:rPr>
                <w:color w:val="000000" w:themeColor="text1"/>
                <w:sz w:val="18"/>
                <w:szCs w:val="18"/>
              </w:rPr>
              <w:t>2</w:t>
            </w:r>
          </w:p>
        </w:tc>
        <w:tc>
          <w:tcPr>
            <w:tcW w:w="320" w:type="pct"/>
            <w:vAlign w:val="center"/>
          </w:tcPr>
          <w:p w14:paraId="39DB3E05">
            <w:pPr>
              <w:jc w:val="center"/>
              <w:rPr>
                <w:color w:val="000000" w:themeColor="text1"/>
                <w:sz w:val="18"/>
                <w:szCs w:val="18"/>
              </w:rPr>
            </w:pPr>
            <w:r>
              <w:rPr>
                <w:color w:val="000000" w:themeColor="text1"/>
                <w:sz w:val="18"/>
                <w:szCs w:val="18"/>
              </w:rPr>
              <w:t>达标</w:t>
            </w:r>
          </w:p>
        </w:tc>
      </w:tr>
      <w:tr w14:paraId="609D9FCF">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restart"/>
            <w:vAlign w:val="center"/>
          </w:tcPr>
          <w:p w14:paraId="4A13CF4D">
            <w:pPr>
              <w:jc w:val="center"/>
              <w:rPr>
                <w:b/>
                <w:color w:val="000000" w:themeColor="text1"/>
                <w:sz w:val="18"/>
                <w:szCs w:val="18"/>
              </w:rPr>
            </w:pPr>
            <w:r>
              <w:rPr>
                <w:b/>
                <w:color w:val="000000" w:themeColor="text1"/>
                <w:sz w:val="18"/>
                <w:szCs w:val="18"/>
              </w:rPr>
              <w:t>工序</w:t>
            </w:r>
          </w:p>
        </w:tc>
        <w:tc>
          <w:tcPr>
            <w:tcW w:w="235" w:type="pct"/>
            <w:vMerge w:val="restart"/>
            <w:vAlign w:val="center"/>
          </w:tcPr>
          <w:p w14:paraId="15C91A9E">
            <w:pPr>
              <w:jc w:val="center"/>
              <w:rPr>
                <w:b/>
                <w:color w:val="000000" w:themeColor="text1"/>
                <w:sz w:val="18"/>
                <w:szCs w:val="18"/>
              </w:rPr>
            </w:pPr>
            <w:r>
              <w:rPr>
                <w:b/>
                <w:color w:val="000000" w:themeColor="text1"/>
                <w:sz w:val="18"/>
                <w:szCs w:val="18"/>
              </w:rPr>
              <w:t>编号</w:t>
            </w:r>
          </w:p>
        </w:tc>
        <w:tc>
          <w:tcPr>
            <w:tcW w:w="289" w:type="pct"/>
            <w:vMerge w:val="restart"/>
            <w:vAlign w:val="center"/>
          </w:tcPr>
          <w:p w14:paraId="4F481CE0">
            <w:pPr>
              <w:jc w:val="center"/>
              <w:rPr>
                <w:b/>
                <w:color w:val="000000" w:themeColor="text1"/>
                <w:sz w:val="18"/>
                <w:szCs w:val="18"/>
              </w:rPr>
            </w:pPr>
            <w:r>
              <w:rPr>
                <w:b/>
                <w:color w:val="000000" w:themeColor="text1"/>
                <w:sz w:val="18"/>
                <w:szCs w:val="18"/>
              </w:rPr>
              <w:t>产生点</w:t>
            </w:r>
          </w:p>
        </w:tc>
        <w:tc>
          <w:tcPr>
            <w:tcW w:w="338" w:type="pct"/>
            <w:vMerge w:val="restart"/>
            <w:vAlign w:val="center"/>
          </w:tcPr>
          <w:p w14:paraId="076A879D">
            <w:pPr>
              <w:jc w:val="center"/>
              <w:rPr>
                <w:b/>
                <w:color w:val="000000" w:themeColor="text1"/>
                <w:sz w:val="18"/>
                <w:szCs w:val="18"/>
              </w:rPr>
            </w:pPr>
            <w:r>
              <w:rPr>
                <w:b/>
                <w:color w:val="000000" w:themeColor="text1"/>
                <w:sz w:val="18"/>
                <w:szCs w:val="18"/>
              </w:rPr>
              <w:t>排放方式</w:t>
            </w:r>
          </w:p>
        </w:tc>
        <w:tc>
          <w:tcPr>
            <w:tcW w:w="302" w:type="pct"/>
            <w:vMerge w:val="restart"/>
            <w:vAlign w:val="center"/>
          </w:tcPr>
          <w:p w14:paraId="5590AD17">
            <w:pPr>
              <w:jc w:val="center"/>
              <w:rPr>
                <w:b/>
                <w:color w:val="000000" w:themeColor="text1"/>
                <w:sz w:val="18"/>
                <w:szCs w:val="18"/>
              </w:rPr>
            </w:pPr>
            <w:r>
              <w:rPr>
                <w:b/>
                <w:color w:val="000000" w:themeColor="text1"/>
                <w:sz w:val="18"/>
                <w:szCs w:val="18"/>
              </w:rPr>
              <w:t>污染物 名称</w:t>
            </w:r>
          </w:p>
        </w:tc>
        <w:tc>
          <w:tcPr>
            <w:tcW w:w="310" w:type="pct"/>
            <w:vMerge w:val="restart"/>
            <w:vAlign w:val="center"/>
          </w:tcPr>
          <w:p w14:paraId="45DE99C1">
            <w:pPr>
              <w:jc w:val="center"/>
              <w:rPr>
                <w:b/>
                <w:color w:val="000000" w:themeColor="text1"/>
                <w:sz w:val="18"/>
                <w:szCs w:val="18"/>
              </w:rPr>
            </w:pPr>
            <w:r>
              <w:rPr>
                <w:b/>
                <w:color w:val="000000" w:themeColor="text1"/>
                <w:sz w:val="18"/>
                <w:szCs w:val="18"/>
              </w:rPr>
              <w:t>产生量</w:t>
            </w:r>
          </w:p>
          <w:p w14:paraId="67F0283F">
            <w:pPr>
              <w:jc w:val="center"/>
              <w:rPr>
                <w:b/>
                <w:color w:val="000000" w:themeColor="text1"/>
                <w:sz w:val="18"/>
                <w:szCs w:val="18"/>
              </w:rPr>
            </w:pPr>
            <w:r>
              <w:rPr>
                <w:b/>
                <w:color w:val="000000" w:themeColor="text1"/>
                <w:sz w:val="18"/>
                <w:szCs w:val="18"/>
              </w:rPr>
              <w:t>(t /a)</w:t>
            </w:r>
          </w:p>
        </w:tc>
        <w:tc>
          <w:tcPr>
            <w:tcW w:w="962" w:type="pct"/>
            <w:gridSpan w:val="2"/>
            <w:vMerge w:val="restart"/>
            <w:vAlign w:val="center"/>
          </w:tcPr>
          <w:p w14:paraId="5D396AA3">
            <w:pPr>
              <w:jc w:val="center"/>
              <w:rPr>
                <w:b/>
                <w:color w:val="000000" w:themeColor="text1"/>
                <w:sz w:val="18"/>
                <w:szCs w:val="18"/>
              </w:rPr>
            </w:pPr>
            <w:r>
              <w:rPr>
                <w:b/>
                <w:color w:val="000000" w:themeColor="text1"/>
                <w:sz w:val="18"/>
                <w:szCs w:val="18"/>
              </w:rPr>
              <w:t>治理措施</w:t>
            </w:r>
          </w:p>
        </w:tc>
        <w:tc>
          <w:tcPr>
            <w:tcW w:w="767" w:type="pct"/>
            <w:gridSpan w:val="2"/>
            <w:vAlign w:val="center"/>
          </w:tcPr>
          <w:p w14:paraId="0F119CF4">
            <w:pPr>
              <w:jc w:val="center"/>
              <w:rPr>
                <w:b/>
                <w:color w:val="000000" w:themeColor="text1"/>
                <w:sz w:val="18"/>
                <w:szCs w:val="18"/>
              </w:rPr>
            </w:pPr>
            <w:r>
              <w:rPr>
                <w:b/>
                <w:color w:val="000000" w:themeColor="text1"/>
                <w:sz w:val="18"/>
                <w:szCs w:val="18"/>
              </w:rPr>
              <w:t>排放情况</w:t>
            </w:r>
          </w:p>
        </w:tc>
        <w:tc>
          <w:tcPr>
            <w:tcW w:w="773" w:type="pct"/>
            <w:gridSpan w:val="3"/>
            <w:vAlign w:val="center"/>
          </w:tcPr>
          <w:p w14:paraId="38EA13FD">
            <w:pPr>
              <w:jc w:val="center"/>
              <w:rPr>
                <w:b/>
                <w:color w:val="000000" w:themeColor="text1"/>
                <w:sz w:val="18"/>
                <w:szCs w:val="18"/>
              </w:rPr>
            </w:pPr>
            <w:r>
              <w:rPr>
                <w:b/>
                <w:color w:val="000000" w:themeColor="text1"/>
                <w:sz w:val="18"/>
                <w:szCs w:val="18"/>
              </w:rPr>
              <w:t>面源参数</w:t>
            </w:r>
          </w:p>
        </w:tc>
        <w:tc>
          <w:tcPr>
            <w:tcW w:w="374" w:type="pct"/>
            <w:vMerge w:val="restart"/>
            <w:vAlign w:val="center"/>
          </w:tcPr>
          <w:p w14:paraId="0F09440F">
            <w:pPr>
              <w:jc w:val="center"/>
              <w:rPr>
                <w:b/>
                <w:color w:val="000000" w:themeColor="text1"/>
                <w:sz w:val="18"/>
                <w:szCs w:val="18"/>
              </w:rPr>
            </w:pPr>
            <w:r>
              <w:rPr>
                <w:b/>
                <w:color w:val="000000" w:themeColor="text1"/>
                <w:sz w:val="18"/>
                <w:szCs w:val="18"/>
              </w:rPr>
              <w:t>排放标准</w:t>
            </w:r>
          </w:p>
          <w:p w14:paraId="1136B557">
            <w:pPr>
              <w:jc w:val="center"/>
              <w:rPr>
                <w:b/>
                <w:color w:val="000000" w:themeColor="text1"/>
                <w:sz w:val="18"/>
                <w:szCs w:val="18"/>
              </w:rPr>
            </w:pPr>
            <w:r>
              <w:rPr>
                <w:b/>
                <w:color w:val="000000" w:themeColor="text1"/>
                <w:sz w:val="18"/>
                <w:szCs w:val="18"/>
              </w:rPr>
              <w:t>(mg/m</w:t>
            </w:r>
            <w:r>
              <w:rPr>
                <w:b/>
                <w:color w:val="000000" w:themeColor="text1"/>
                <w:sz w:val="18"/>
                <w:szCs w:val="18"/>
                <w:vertAlign w:val="superscript"/>
              </w:rPr>
              <w:t>3</w:t>
            </w:r>
            <w:r>
              <w:rPr>
                <w:b/>
                <w:color w:val="000000" w:themeColor="text1"/>
                <w:sz w:val="18"/>
                <w:szCs w:val="18"/>
              </w:rPr>
              <w:t>)</w:t>
            </w:r>
          </w:p>
        </w:tc>
        <w:tc>
          <w:tcPr>
            <w:tcW w:w="320" w:type="pct"/>
            <w:vMerge w:val="restart"/>
            <w:vAlign w:val="center"/>
          </w:tcPr>
          <w:p w14:paraId="18344527">
            <w:pPr>
              <w:jc w:val="center"/>
              <w:rPr>
                <w:b/>
                <w:color w:val="000000" w:themeColor="text1"/>
                <w:sz w:val="18"/>
                <w:szCs w:val="18"/>
              </w:rPr>
            </w:pPr>
            <w:r>
              <w:rPr>
                <w:b/>
                <w:color w:val="000000" w:themeColor="text1"/>
                <w:sz w:val="18"/>
                <w:szCs w:val="18"/>
              </w:rPr>
              <w:t>达标情 况</w:t>
            </w:r>
          </w:p>
        </w:tc>
      </w:tr>
      <w:tr w14:paraId="3ED57968">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continue"/>
            <w:vAlign w:val="center"/>
          </w:tcPr>
          <w:p w14:paraId="0AFDD148">
            <w:pPr>
              <w:jc w:val="center"/>
              <w:rPr>
                <w:color w:val="000000" w:themeColor="text1"/>
                <w:sz w:val="18"/>
                <w:szCs w:val="18"/>
              </w:rPr>
            </w:pPr>
          </w:p>
        </w:tc>
        <w:tc>
          <w:tcPr>
            <w:tcW w:w="235" w:type="pct"/>
            <w:vMerge w:val="continue"/>
            <w:vAlign w:val="center"/>
          </w:tcPr>
          <w:p w14:paraId="13BB6B5D">
            <w:pPr>
              <w:jc w:val="center"/>
              <w:rPr>
                <w:color w:val="000000" w:themeColor="text1"/>
                <w:sz w:val="18"/>
                <w:szCs w:val="18"/>
              </w:rPr>
            </w:pPr>
          </w:p>
        </w:tc>
        <w:tc>
          <w:tcPr>
            <w:tcW w:w="289" w:type="pct"/>
            <w:vMerge w:val="continue"/>
            <w:vAlign w:val="center"/>
          </w:tcPr>
          <w:p w14:paraId="0416B17A">
            <w:pPr>
              <w:jc w:val="center"/>
              <w:rPr>
                <w:color w:val="000000" w:themeColor="text1"/>
                <w:sz w:val="18"/>
                <w:szCs w:val="18"/>
              </w:rPr>
            </w:pPr>
          </w:p>
        </w:tc>
        <w:tc>
          <w:tcPr>
            <w:tcW w:w="338" w:type="pct"/>
            <w:vMerge w:val="continue"/>
            <w:vAlign w:val="center"/>
          </w:tcPr>
          <w:p w14:paraId="3BD516D9">
            <w:pPr>
              <w:jc w:val="center"/>
              <w:rPr>
                <w:color w:val="000000" w:themeColor="text1"/>
                <w:sz w:val="18"/>
                <w:szCs w:val="18"/>
              </w:rPr>
            </w:pPr>
          </w:p>
        </w:tc>
        <w:tc>
          <w:tcPr>
            <w:tcW w:w="302" w:type="pct"/>
            <w:vMerge w:val="continue"/>
            <w:vAlign w:val="center"/>
          </w:tcPr>
          <w:p w14:paraId="14F0377B">
            <w:pPr>
              <w:jc w:val="center"/>
              <w:rPr>
                <w:color w:val="000000" w:themeColor="text1"/>
                <w:sz w:val="18"/>
                <w:szCs w:val="18"/>
              </w:rPr>
            </w:pPr>
          </w:p>
        </w:tc>
        <w:tc>
          <w:tcPr>
            <w:tcW w:w="310" w:type="pct"/>
            <w:vMerge w:val="continue"/>
            <w:vAlign w:val="center"/>
          </w:tcPr>
          <w:p w14:paraId="3E48DDA5">
            <w:pPr>
              <w:jc w:val="center"/>
              <w:rPr>
                <w:color w:val="000000" w:themeColor="text1"/>
                <w:sz w:val="18"/>
                <w:szCs w:val="18"/>
              </w:rPr>
            </w:pPr>
          </w:p>
        </w:tc>
        <w:tc>
          <w:tcPr>
            <w:tcW w:w="962" w:type="pct"/>
            <w:gridSpan w:val="2"/>
            <w:vMerge w:val="continue"/>
            <w:vAlign w:val="center"/>
          </w:tcPr>
          <w:p w14:paraId="75F27BA8">
            <w:pPr>
              <w:jc w:val="center"/>
              <w:rPr>
                <w:color w:val="000000" w:themeColor="text1"/>
                <w:sz w:val="18"/>
                <w:szCs w:val="18"/>
              </w:rPr>
            </w:pPr>
          </w:p>
        </w:tc>
        <w:tc>
          <w:tcPr>
            <w:tcW w:w="389" w:type="pct"/>
            <w:vAlign w:val="center"/>
          </w:tcPr>
          <w:p w14:paraId="4AE940C5">
            <w:pPr>
              <w:jc w:val="center"/>
              <w:rPr>
                <w:b/>
                <w:color w:val="000000" w:themeColor="text1"/>
                <w:sz w:val="18"/>
                <w:szCs w:val="18"/>
              </w:rPr>
            </w:pPr>
            <w:r>
              <w:rPr>
                <w:b/>
                <w:color w:val="000000" w:themeColor="text1"/>
                <w:sz w:val="18"/>
                <w:szCs w:val="18"/>
              </w:rPr>
              <w:t>排放量</w:t>
            </w:r>
          </w:p>
          <w:p w14:paraId="3CAB0119">
            <w:pPr>
              <w:jc w:val="center"/>
              <w:rPr>
                <w:b/>
                <w:color w:val="000000" w:themeColor="text1"/>
                <w:sz w:val="18"/>
                <w:szCs w:val="18"/>
              </w:rPr>
            </w:pPr>
            <w:r>
              <w:rPr>
                <w:b/>
                <w:color w:val="000000" w:themeColor="text1"/>
                <w:sz w:val="18"/>
                <w:szCs w:val="18"/>
              </w:rPr>
              <w:t>(t /a)</w:t>
            </w:r>
          </w:p>
        </w:tc>
        <w:tc>
          <w:tcPr>
            <w:tcW w:w="378" w:type="pct"/>
            <w:vAlign w:val="center"/>
          </w:tcPr>
          <w:p w14:paraId="0A986425">
            <w:pPr>
              <w:jc w:val="center"/>
              <w:rPr>
                <w:b/>
                <w:color w:val="000000" w:themeColor="text1"/>
                <w:sz w:val="18"/>
                <w:szCs w:val="18"/>
              </w:rPr>
            </w:pPr>
            <w:r>
              <w:rPr>
                <w:b/>
                <w:color w:val="000000" w:themeColor="text1"/>
                <w:sz w:val="18"/>
                <w:szCs w:val="18"/>
              </w:rPr>
              <w:t>排放速率</w:t>
            </w:r>
          </w:p>
          <w:p w14:paraId="1EE02021">
            <w:pPr>
              <w:jc w:val="center"/>
              <w:rPr>
                <w:b/>
                <w:color w:val="000000" w:themeColor="text1"/>
                <w:sz w:val="18"/>
                <w:szCs w:val="18"/>
              </w:rPr>
            </w:pPr>
            <w:r>
              <w:rPr>
                <w:b/>
                <w:color w:val="000000" w:themeColor="text1"/>
                <w:sz w:val="18"/>
                <w:szCs w:val="18"/>
              </w:rPr>
              <w:t>(kg/h)</w:t>
            </w:r>
          </w:p>
        </w:tc>
        <w:tc>
          <w:tcPr>
            <w:tcW w:w="236" w:type="pct"/>
            <w:vAlign w:val="center"/>
          </w:tcPr>
          <w:p w14:paraId="5EB38378">
            <w:pPr>
              <w:jc w:val="center"/>
              <w:rPr>
                <w:b/>
                <w:color w:val="000000" w:themeColor="text1"/>
                <w:sz w:val="18"/>
                <w:szCs w:val="18"/>
              </w:rPr>
            </w:pPr>
            <w:r>
              <w:rPr>
                <w:b/>
                <w:color w:val="000000" w:themeColor="text1"/>
                <w:sz w:val="18"/>
                <w:szCs w:val="18"/>
              </w:rPr>
              <w:t>长(m)</w:t>
            </w:r>
          </w:p>
        </w:tc>
        <w:tc>
          <w:tcPr>
            <w:tcW w:w="240" w:type="pct"/>
            <w:vAlign w:val="center"/>
          </w:tcPr>
          <w:p w14:paraId="44E76B5D">
            <w:pPr>
              <w:jc w:val="center"/>
              <w:rPr>
                <w:b/>
                <w:color w:val="000000" w:themeColor="text1"/>
                <w:sz w:val="18"/>
                <w:szCs w:val="18"/>
              </w:rPr>
            </w:pPr>
            <w:r>
              <w:rPr>
                <w:b/>
                <w:color w:val="000000" w:themeColor="text1"/>
                <w:sz w:val="18"/>
                <w:szCs w:val="18"/>
              </w:rPr>
              <w:t>宽(m)</w:t>
            </w:r>
          </w:p>
        </w:tc>
        <w:tc>
          <w:tcPr>
            <w:tcW w:w="297" w:type="pct"/>
            <w:vAlign w:val="center"/>
          </w:tcPr>
          <w:p w14:paraId="522B1E90">
            <w:pPr>
              <w:jc w:val="center"/>
              <w:rPr>
                <w:b/>
                <w:color w:val="000000" w:themeColor="text1"/>
                <w:sz w:val="18"/>
                <w:szCs w:val="18"/>
              </w:rPr>
            </w:pPr>
            <w:r>
              <w:rPr>
                <w:b/>
                <w:color w:val="000000" w:themeColor="text1"/>
                <w:sz w:val="18"/>
                <w:szCs w:val="18"/>
              </w:rPr>
              <w:t>高 (m)</w:t>
            </w:r>
          </w:p>
        </w:tc>
        <w:tc>
          <w:tcPr>
            <w:tcW w:w="374" w:type="pct"/>
            <w:vMerge w:val="continue"/>
            <w:vAlign w:val="center"/>
          </w:tcPr>
          <w:p w14:paraId="30A0AFE0">
            <w:pPr>
              <w:jc w:val="center"/>
              <w:rPr>
                <w:color w:val="000000" w:themeColor="text1"/>
                <w:sz w:val="18"/>
                <w:szCs w:val="18"/>
              </w:rPr>
            </w:pPr>
          </w:p>
        </w:tc>
        <w:tc>
          <w:tcPr>
            <w:tcW w:w="320" w:type="pct"/>
            <w:vMerge w:val="continue"/>
            <w:vAlign w:val="center"/>
          </w:tcPr>
          <w:p w14:paraId="1AE94F1C">
            <w:pPr>
              <w:jc w:val="center"/>
              <w:rPr>
                <w:color w:val="000000" w:themeColor="text1"/>
                <w:sz w:val="18"/>
                <w:szCs w:val="18"/>
              </w:rPr>
            </w:pPr>
          </w:p>
        </w:tc>
      </w:tr>
      <w:tr w14:paraId="7A7E9955">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23" w:hRule="atLeast"/>
        </w:trPr>
        <w:tc>
          <w:tcPr>
            <w:tcW w:w="330" w:type="pct"/>
            <w:vMerge w:val="restart"/>
            <w:vAlign w:val="center"/>
          </w:tcPr>
          <w:p w14:paraId="2BCB08A1">
            <w:pPr>
              <w:jc w:val="center"/>
              <w:rPr>
                <w:color w:val="000000" w:themeColor="text1"/>
                <w:sz w:val="18"/>
                <w:szCs w:val="18"/>
              </w:rPr>
            </w:pPr>
            <w:r>
              <w:rPr>
                <w:color w:val="000000" w:themeColor="text1"/>
                <w:sz w:val="18"/>
                <w:szCs w:val="18"/>
              </w:rPr>
              <w:t>造粒工序</w:t>
            </w:r>
          </w:p>
        </w:tc>
        <w:tc>
          <w:tcPr>
            <w:tcW w:w="235" w:type="pct"/>
            <w:vMerge w:val="restart"/>
            <w:vAlign w:val="center"/>
          </w:tcPr>
          <w:p w14:paraId="67E7E046">
            <w:pPr>
              <w:jc w:val="center"/>
              <w:rPr>
                <w:color w:val="000000" w:themeColor="text1"/>
                <w:sz w:val="18"/>
                <w:szCs w:val="18"/>
              </w:rPr>
            </w:pPr>
            <w:r>
              <w:rPr>
                <w:color w:val="000000" w:themeColor="text1"/>
                <w:sz w:val="18"/>
                <w:szCs w:val="18"/>
              </w:rPr>
              <w:t>/</w:t>
            </w:r>
          </w:p>
        </w:tc>
        <w:tc>
          <w:tcPr>
            <w:tcW w:w="289" w:type="pct"/>
            <w:vMerge w:val="restart"/>
            <w:vAlign w:val="center"/>
          </w:tcPr>
          <w:p w14:paraId="1DE67CEB">
            <w:pPr>
              <w:jc w:val="center"/>
              <w:rPr>
                <w:color w:val="000000" w:themeColor="text1"/>
                <w:sz w:val="18"/>
                <w:szCs w:val="18"/>
              </w:rPr>
            </w:pPr>
            <w:r>
              <w:rPr>
                <w:color w:val="000000" w:themeColor="text1"/>
                <w:kern w:val="0"/>
                <w:sz w:val="18"/>
                <w:szCs w:val="18"/>
              </w:rPr>
              <w:t>塑料挤出机</w:t>
            </w:r>
          </w:p>
        </w:tc>
        <w:tc>
          <w:tcPr>
            <w:tcW w:w="338" w:type="pct"/>
            <w:vMerge w:val="restart"/>
            <w:vAlign w:val="center"/>
          </w:tcPr>
          <w:p w14:paraId="455F4A9C">
            <w:pPr>
              <w:jc w:val="center"/>
              <w:rPr>
                <w:color w:val="000000" w:themeColor="text1"/>
                <w:sz w:val="18"/>
                <w:szCs w:val="18"/>
              </w:rPr>
            </w:pPr>
            <w:r>
              <w:rPr>
                <w:color w:val="000000" w:themeColor="text1"/>
                <w:sz w:val="18"/>
                <w:szCs w:val="18"/>
              </w:rPr>
              <w:t>无组织</w:t>
            </w:r>
          </w:p>
        </w:tc>
        <w:tc>
          <w:tcPr>
            <w:tcW w:w="302" w:type="pct"/>
            <w:vAlign w:val="center"/>
          </w:tcPr>
          <w:p w14:paraId="19D59C8B">
            <w:pPr>
              <w:pStyle w:val="59"/>
              <w:spacing w:line="240" w:lineRule="auto"/>
              <w:rPr>
                <w:color w:val="000000" w:themeColor="text1"/>
                <w:sz w:val="18"/>
                <w:szCs w:val="18"/>
              </w:rPr>
            </w:pPr>
            <w:r>
              <w:rPr>
                <w:color w:val="000000" w:themeColor="text1"/>
                <w:sz w:val="18"/>
                <w:szCs w:val="18"/>
              </w:rPr>
              <w:t>颗粒物</w:t>
            </w:r>
          </w:p>
        </w:tc>
        <w:tc>
          <w:tcPr>
            <w:tcW w:w="310" w:type="pct"/>
            <w:vAlign w:val="center"/>
          </w:tcPr>
          <w:p w14:paraId="1A3711D3">
            <w:pPr>
              <w:widowControl/>
              <w:jc w:val="center"/>
              <w:rPr>
                <w:rFonts w:eastAsia="等线"/>
                <w:color w:val="000000"/>
                <w:kern w:val="0"/>
                <w:sz w:val="18"/>
                <w:szCs w:val="18"/>
              </w:rPr>
            </w:pPr>
            <w:r>
              <w:rPr>
                <w:rFonts w:eastAsia="等线"/>
                <w:color w:val="000000"/>
                <w:sz w:val="18"/>
                <w:szCs w:val="18"/>
              </w:rPr>
              <w:t xml:space="preserve">0.0026 </w:t>
            </w:r>
          </w:p>
        </w:tc>
        <w:tc>
          <w:tcPr>
            <w:tcW w:w="962" w:type="pct"/>
            <w:gridSpan w:val="2"/>
            <w:vMerge w:val="restart"/>
            <w:vAlign w:val="center"/>
          </w:tcPr>
          <w:p w14:paraId="28D02D68">
            <w:pPr>
              <w:jc w:val="center"/>
              <w:rPr>
                <w:color w:val="000000" w:themeColor="text1"/>
                <w:sz w:val="18"/>
                <w:szCs w:val="18"/>
              </w:rPr>
            </w:pPr>
            <w:r>
              <w:rPr>
                <w:color w:val="000000" w:themeColor="text1"/>
                <w:sz w:val="18"/>
                <w:szCs w:val="18"/>
              </w:rPr>
              <w:t>集气罩未收集部分</w:t>
            </w:r>
          </w:p>
        </w:tc>
        <w:tc>
          <w:tcPr>
            <w:tcW w:w="389" w:type="pct"/>
            <w:vAlign w:val="center"/>
          </w:tcPr>
          <w:p w14:paraId="63E3BA1F">
            <w:pPr>
              <w:widowControl/>
              <w:jc w:val="center"/>
              <w:rPr>
                <w:rFonts w:eastAsia="等线"/>
                <w:color w:val="000000"/>
                <w:kern w:val="0"/>
                <w:sz w:val="18"/>
                <w:szCs w:val="18"/>
              </w:rPr>
            </w:pPr>
            <w:r>
              <w:rPr>
                <w:rFonts w:eastAsia="等线"/>
                <w:color w:val="000000"/>
                <w:sz w:val="18"/>
                <w:szCs w:val="18"/>
              </w:rPr>
              <w:t xml:space="preserve">0.0026 </w:t>
            </w:r>
          </w:p>
        </w:tc>
        <w:tc>
          <w:tcPr>
            <w:tcW w:w="378" w:type="pct"/>
            <w:vAlign w:val="center"/>
          </w:tcPr>
          <w:p w14:paraId="099E82CD">
            <w:pPr>
              <w:jc w:val="center"/>
              <w:rPr>
                <w:rFonts w:eastAsia="等线"/>
                <w:color w:val="000000"/>
                <w:sz w:val="18"/>
                <w:szCs w:val="18"/>
              </w:rPr>
            </w:pPr>
            <w:r>
              <w:rPr>
                <w:rFonts w:eastAsia="等线"/>
                <w:color w:val="000000"/>
                <w:sz w:val="18"/>
                <w:szCs w:val="18"/>
              </w:rPr>
              <w:t xml:space="preserve">0.0011 </w:t>
            </w:r>
          </w:p>
        </w:tc>
        <w:tc>
          <w:tcPr>
            <w:tcW w:w="236" w:type="pct"/>
            <w:vAlign w:val="center"/>
          </w:tcPr>
          <w:p w14:paraId="39AECADB">
            <w:pPr>
              <w:jc w:val="center"/>
              <w:rPr>
                <w:rFonts w:eastAsia="等线"/>
                <w:color w:val="000000"/>
                <w:sz w:val="18"/>
                <w:szCs w:val="18"/>
              </w:rPr>
            </w:pPr>
            <w:r>
              <w:rPr>
                <w:rFonts w:eastAsia="等线"/>
                <w:color w:val="000000"/>
                <w:sz w:val="18"/>
                <w:szCs w:val="18"/>
              </w:rPr>
              <w:t>70</w:t>
            </w:r>
          </w:p>
        </w:tc>
        <w:tc>
          <w:tcPr>
            <w:tcW w:w="240" w:type="pct"/>
            <w:vAlign w:val="center"/>
          </w:tcPr>
          <w:p w14:paraId="4CE7C10F">
            <w:pPr>
              <w:jc w:val="center"/>
              <w:rPr>
                <w:rFonts w:eastAsia="等线"/>
                <w:color w:val="000000"/>
                <w:sz w:val="18"/>
                <w:szCs w:val="18"/>
              </w:rPr>
            </w:pPr>
            <w:r>
              <w:rPr>
                <w:rFonts w:eastAsia="等线"/>
                <w:color w:val="000000"/>
                <w:sz w:val="18"/>
                <w:szCs w:val="18"/>
              </w:rPr>
              <w:t>53.5</w:t>
            </w:r>
          </w:p>
        </w:tc>
        <w:tc>
          <w:tcPr>
            <w:tcW w:w="297" w:type="pct"/>
            <w:vAlign w:val="center"/>
          </w:tcPr>
          <w:p w14:paraId="6136316A">
            <w:pPr>
              <w:jc w:val="center"/>
              <w:rPr>
                <w:rFonts w:eastAsia="等线"/>
                <w:color w:val="000000"/>
                <w:sz w:val="18"/>
                <w:szCs w:val="18"/>
              </w:rPr>
            </w:pPr>
            <w:r>
              <w:rPr>
                <w:rFonts w:eastAsia="等线"/>
                <w:color w:val="000000"/>
                <w:sz w:val="18"/>
                <w:szCs w:val="18"/>
              </w:rPr>
              <w:t>8</w:t>
            </w:r>
          </w:p>
        </w:tc>
        <w:tc>
          <w:tcPr>
            <w:tcW w:w="374" w:type="pct"/>
            <w:vAlign w:val="center"/>
          </w:tcPr>
          <w:p w14:paraId="480B130C">
            <w:pPr>
              <w:jc w:val="center"/>
              <w:rPr>
                <w:rFonts w:eastAsia="等线"/>
                <w:color w:val="000000"/>
                <w:sz w:val="18"/>
                <w:szCs w:val="18"/>
              </w:rPr>
            </w:pPr>
            <w:r>
              <w:rPr>
                <w:rFonts w:eastAsia="等线"/>
                <w:color w:val="000000"/>
                <w:sz w:val="18"/>
                <w:szCs w:val="18"/>
              </w:rPr>
              <w:t>1</w:t>
            </w:r>
          </w:p>
        </w:tc>
        <w:tc>
          <w:tcPr>
            <w:tcW w:w="320" w:type="pct"/>
            <w:vAlign w:val="center"/>
          </w:tcPr>
          <w:p w14:paraId="2F1AFDB6">
            <w:pPr>
              <w:jc w:val="center"/>
              <w:rPr>
                <w:color w:val="000000" w:themeColor="text1"/>
                <w:sz w:val="18"/>
                <w:szCs w:val="18"/>
              </w:rPr>
            </w:pPr>
            <w:r>
              <w:rPr>
                <w:color w:val="000000" w:themeColor="text1"/>
                <w:sz w:val="18"/>
                <w:szCs w:val="18"/>
              </w:rPr>
              <w:t>/</w:t>
            </w:r>
          </w:p>
        </w:tc>
      </w:tr>
      <w:tr w14:paraId="287D3B7A">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continue"/>
            <w:tcBorders>
              <w:bottom w:val="single" w:color="auto" w:sz="4" w:space="0"/>
            </w:tcBorders>
            <w:vAlign w:val="center"/>
          </w:tcPr>
          <w:p w14:paraId="4F144E34">
            <w:pPr>
              <w:jc w:val="center"/>
              <w:rPr>
                <w:color w:val="000000" w:themeColor="text1"/>
                <w:sz w:val="18"/>
                <w:szCs w:val="18"/>
              </w:rPr>
            </w:pPr>
          </w:p>
        </w:tc>
        <w:tc>
          <w:tcPr>
            <w:tcW w:w="235" w:type="pct"/>
            <w:vMerge w:val="continue"/>
            <w:tcBorders>
              <w:bottom w:val="single" w:color="auto" w:sz="4" w:space="0"/>
            </w:tcBorders>
            <w:vAlign w:val="center"/>
          </w:tcPr>
          <w:p w14:paraId="64C4366D">
            <w:pPr>
              <w:jc w:val="center"/>
              <w:rPr>
                <w:color w:val="000000" w:themeColor="text1"/>
                <w:sz w:val="18"/>
                <w:szCs w:val="18"/>
              </w:rPr>
            </w:pPr>
          </w:p>
        </w:tc>
        <w:tc>
          <w:tcPr>
            <w:tcW w:w="289" w:type="pct"/>
            <w:vMerge w:val="continue"/>
            <w:tcBorders>
              <w:bottom w:val="single" w:color="auto" w:sz="4" w:space="0"/>
            </w:tcBorders>
            <w:vAlign w:val="center"/>
          </w:tcPr>
          <w:p w14:paraId="5D8A4F47">
            <w:pPr>
              <w:jc w:val="center"/>
              <w:rPr>
                <w:color w:val="000000" w:themeColor="text1"/>
                <w:sz w:val="18"/>
                <w:szCs w:val="18"/>
              </w:rPr>
            </w:pPr>
          </w:p>
        </w:tc>
        <w:tc>
          <w:tcPr>
            <w:tcW w:w="338" w:type="pct"/>
            <w:vMerge w:val="continue"/>
            <w:vAlign w:val="center"/>
          </w:tcPr>
          <w:p w14:paraId="743318F3">
            <w:pPr>
              <w:jc w:val="center"/>
              <w:rPr>
                <w:color w:val="000000" w:themeColor="text1"/>
                <w:sz w:val="18"/>
                <w:szCs w:val="18"/>
              </w:rPr>
            </w:pPr>
          </w:p>
        </w:tc>
        <w:tc>
          <w:tcPr>
            <w:tcW w:w="302" w:type="pct"/>
            <w:vAlign w:val="center"/>
          </w:tcPr>
          <w:p w14:paraId="3323352B">
            <w:pPr>
              <w:pStyle w:val="59"/>
              <w:spacing w:line="240" w:lineRule="auto"/>
              <w:rPr>
                <w:color w:val="000000" w:themeColor="text1"/>
                <w:sz w:val="18"/>
                <w:szCs w:val="18"/>
              </w:rPr>
            </w:pPr>
            <w:r>
              <w:rPr>
                <w:color w:val="000000" w:themeColor="text1"/>
                <w:sz w:val="18"/>
                <w:szCs w:val="18"/>
              </w:rPr>
              <w:t>非甲烷总烃</w:t>
            </w:r>
          </w:p>
        </w:tc>
        <w:tc>
          <w:tcPr>
            <w:tcW w:w="310" w:type="pct"/>
            <w:vAlign w:val="center"/>
          </w:tcPr>
          <w:p w14:paraId="2DB77213">
            <w:pPr>
              <w:jc w:val="center"/>
              <w:rPr>
                <w:rFonts w:eastAsia="等线"/>
                <w:color w:val="000000"/>
                <w:sz w:val="18"/>
                <w:szCs w:val="18"/>
              </w:rPr>
            </w:pPr>
            <w:r>
              <w:rPr>
                <w:rFonts w:eastAsia="等线"/>
                <w:color w:val="000000"/>
                <w:sz w:val="18"/>
                <w:szCs w:val="18"/>
              </w:rPr>
              <w:t xml:space="preserve">0.0175 </w:t>
            </w:r>
          </w:p>
        </w:tc>
        <w:tc>
          <w:tcPr>
            <w:tcW w:w="962" w:type="pct"/>
            <w:gridSpan w:val="2"/>
            <w:vMerge w:val="continue"/>
            <w:vAlign w:val="center"/>
          </w:tcPr>
          <w:p w14:paraId="2DEB2988">
            <w:pPr>
              <w:jc w:val="center"/>
              <w:rPr>
                <w:color w:val="000000" w:themeColor="text1"/>
                <w:sz w:val="18"/>
                <w:szCs w:val="18"/>
              </w:rPr>
            </w:pPr>
          </w:p>
        </w:tc>
        <w:tc>
          <w:tcPr>
            <w:tcW w:w="389" w:type="pct"/>
            <w:vAlign w:val="center"/>
          </w:tcPr>
          <w:p w14:paraId="5E3E7188">
            <w:pPr>
              <w:jc w:val="center"/>
              <w:rPr>
                <w:rFonts w:eastAsia="等线"/>
                <w:color w:val="000000"/>
                <w:sz w:val="18"/>
                <w:szCs w:val="18"/>
              </w:rPr>
            </w:pPr>
            <w:r>
              <w:rPr>
                <w:rFonts w:eastAsia="等线"/>
                <w:color w:val="000000"/>
                <w:sz w:val="18"/>
                <w:szCs w:val="18"/>
              </w:rPr>
              <w:t xml:space="preserve">0.0175 </w:t>
            </w:r>
          </w:p>
        </w:tc>
        <w:tc>
          <w:tcPr>
            <w:tcW w:w="378" w:type="pct"/>
            <w:vAlign w:val="center"/>
          </w:tcPr>
          <w:p w14:paraId="0E9E7202">
            <w:pPr>
              <w:jc w:val="center"/>
              <w:rPr>
                <w:rFonts w:eastAsia="等线"/>
                <w:color w:val="000000"/>
                <w:sz w:val="18"/>
                <w:szCs w:val="18"/>
              </w:rPr>
            </w:pPr>
            <w:r>
              <w:rPr>
                <w:rFonts w:eastAsia="等线"/>
                <w:color w:val="000000"/>
                <w:sz w:val="18"/>
                <w:szCs w:val="18"/>
              </w:rPr>
              <w:t xml:space="preserve">0.0073 </w:t>
            </w:r>
          </w:p>
        </w:tc>
        <w:tc>
          <w:tcPr>
            <w:tcW w:w="236" w:type="pct"/>
            <w:vAlign w:val="center"/>
          </w:tcPr>
          <w:p w14:paraId="3C681125">
            <w:pPr>
              <w:jc w:val="center"/>
              <w:rPr>
                <w:rFonts w:eastAsia="等线"/>
                <w:color w:val="000000"/>
                <w:sz w:val="18"/>
                <w:szCs w:val="18"/>
              </w:rPr>
            </w:pPr>
            <w:r>
              <w:rPr>
                <w:rFonts w:eastAsia="等线"/>
                <w:color w:val="000000"/>
                <w:sz w:val="18"/>
                <w:szCs w:val="18"/>
              </w:rPr>
              <w:t>70</w:t>
            </w:r>
          </w:p>
        </w:tc>
        <w:tc>
          <w:tcPr>
            <w:tcW w:w="240" w:type="pct"/>
            <w:vAlign w:val="center"/>
          </w:tcPr>
          <w:p w14:paraId="12D93EDF">
            <w:pPr>
              <w:jc w:val="center"/>
              <w:rPr>
                <w:rFonts w:eastAsia="等线"/>
                <w:color w:val="000000"/>
                <w:sz w:val="18"/>
                <w:szCs w:val="18"/>
              </w:rPr>
            </w:pPr>
            <w:r>
              <w:rPr>
                <w:rFonts w:eastAsia="等线"/>
                <w:color w:val="000000"/>
                <w:sz w:val="18"/>
                <w:szCs w:val="18"/>
              </w:rPr>
              <w:t>53.5</w:t>
            </w:r>
          </w:p>
        </w:tc>
        <w:tc>
          <w:tcPr>
            <w:tcW w:w="297" w:type="pct"/>
            <w:vAlign w:val="center"/>
          </w:tcPr>
          <w:p w14:paraId="2825D7AC">
            <w:pPr>
              <w:jc w:val="center"/>
              <w:rPr>
                <w:rFonts w:eastAsia="等线"/>
                <w:color w:val="000000"/>
                <w:sz w:val="18"/>
                <w:szCs w:val="18"/>
              </w:rPr>
            </w:pPr>
            <w:r>
              <w:rPr>
                <w:rFonts w:eastAsia="等线"/>
                <w:color w:val="000000"/>
                <w:sz w:val="18"/>
                <w:szCs w:val="18"/>
              </w:rPr>
              <w:t>8</w:t>
            </w:r>
          </w:p>
        </w:tc>
        <w:tc>
          <w:tcPr>
            <w:tcW w:w="374" w:type="pct"/>
            <w:vAlign w:val="center"/>
          </w:tcPr>
          <w:p w14:paraId="603FE5AF">
            <w:pPr>
              <w:jc w:val="center"/>
              <w:rPr>
                <w:rFonts w:eastAsia="等线"/>
                <w:color w:val="000000"/>
                <w:sz w:val="18"/>
                <w:szCs w:val="18"/>
              </w:rPr>
            </w:pPr>
            <w:r>
              <w:rPr>
                <w:rFonts w:eastAsia="等线"/>
                <w:color w:val="000000"/>
                <w:sz w:val="18"/>
                <w:szCs w:val="18"/>
              </w:rPr>
              <w:t>4</w:t>
            </w:r>
          </w:p>
        </w:tc>
        <w:tc>
          <w:tcPr>
            <w:tcW w:w="320" w:type="pct"/>
            <w:vAlign w:val="center"/>
          </w:tcPr>
          <w:p w14:paraId="15603F52">
            <w:pPr>
              <w:jc w:val="center"/>
              <w:rPr>
                <w:color w:val="000000" w:themeColor="text1"/>
                <w:sz w:val="18"/>
                <w:szCs w:val="18"/>
              </w:rPr>
            </w:pPr>
            <w:r>
              <w:rPr>
                <w:color w:val="000000" w:themeColor="text1"/>
                <w:sz w:val="18"/>
                <w:szCs w:val="18"/>
              </w:rPr>
              <w:t>/</w:t>
            </w:r>
          </w:p>
        </w:tc>
      </w:tr>
      <w:tr w14:paraId="06A5790A">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restart"/>
            <w:tcBorders>
              <w:top w:val="single" w:color="auto" w:sz="4" w:space="0"/>
            </w:tcBorders>
            <w:vAlign w:val="center"/>
          </w:tcPr>
          <w:p w14:paraId="6B0BF34D">
            <w:pPr>
              <w:jc w:val="center"/>
              <w:rPr>
                <w:color w:val="000000" w:themeColor="text1"/>
                <w:sz w:val="18"/>
                <w:szCs w:val="18"/>
              </w:rPr>
            </w:pPr>
            <w:r>
              <w:rPr>
                <w:color w:val="000000" w:themeColor="text1"/>
                <w:sz w:val="18"/>
                <w:szCs w:val="18"/>
              </w:rPr>
              <w:t>塑料编织袋</w:t>
            </w:r>
          </w:p>
        </w:tc>
        <w:tc>
          <w:tcPr>
            <w:tcW w:w="235" w:type="pct"/>
            <w:vMerge w:val="restart"/>
            <w:vAlign w:val="center"/>
          </w:tcPr>
          <w:p w14:paraId="2E1B3D8E">
            <w:pPr>
              <w:jc w:val="center"/>
              <w:rPr>
                <w:color w:val="000000" w:themeColor="text1"/>
                <w:sz w:val="18"/>
                <w:szCs w:val="18"/>
              </w:rPr>
            </w:pPr>
            <w:r>
              <w:rPr>
                <w:color w:val="000000" w:themeColor="text1"/>
                <w:sz w:val="18"/>
                <w:szCs w:val="18"/>
              </w:rPr>
              <w:t>/</w:t>
            </w:r>
          </w:p>
        </w:tc>
        <w:tc>
          <w:tcPr>
            <w:tcW w:w="289" w:type="pct"/>
            <w:vMerge w:val="restart"/>
            <w:tcBorders>
              <w:top w:val="single" w:color="auto" w:sz="4" w:space="0"/>
            </w:tcBorders>
            <w:vAlign w:val="center"/>
          </w:tcPr>
          <w:p w14:paraId="407A9558">
            <w:pPr>
              <w:jc w:val="center"/>
              <w:rPr>
                <w:color w:val="000000" w:themeColor="text1"/>
                <w:sz w:val="18"/>
                <w:szCs w:val="18"/>
              </w:rPr>
            </w:pPr>
            <w:r>
              <w:rPr>
                <w:color w:val="000000" w:themeColor="text1"/>
                <w:sz w:val="18"/>
                <w:szCs w:val="18"/>
              </w:rPr>
              <w:t>平模拉丝机</w:t>
            </w:r>
          </w:p>
        </w:tc>
        <w:tc>
          <w:tcPr>
            <w:tcW w:w="338" w:type="pct"/>
            <w:vMerge w:val="continue"/>
            <w:vAlign w:val="center"/>
          </w:tcPr>
          <w:p w14:paraId="2BB74548">
            <w:pPr>
              <w:jc w:val="center"/>
              <w:rPr>
                <w:color w:val="000000" w:themeColor="text1"/>
                <w:sz w:val="18"/>
                <w:szCs w:val="18"/>
              </w:rPr>
            </w:pPr>
          </w:p>
        </w:tc>
        <w:tc>
          <w:tcPr>
            <w:tcW w:w="302" w:type="pct"/>
            <w:vAlign w:val="center"/>
          </w:tcPr>
          <w:p w14:paraId="648C9F74">
            <w:pPr>
              <w:pStyle w:val="59"/>
              <w:spacing w:line="240" w:lineRule="auto"/>
              <w:rPr>
                <w:color w:val="000000" w:themeColor="text1"/>
                <w:sz w:val="18"/>
                <w:szCs w:val="18"/>
              </w:rPr>
            </w:pPr>
            <w:r>
              <w:rPr>
                <w:color w:val="000000" w:themeColor="text1"/>
                <w:sz w:val="18"/>
                <w:szCs w:val="18"/>
              </w:rPr>
              <w:t>颗粒物</w:t>
            </w:r>
          </w:p>
        </w:tc>
        <w:tc>
          <w:tcPr>
            <w:tcW w:w="310" w:type="pct"/>
            <w:vAlign w:val="center"/>
          </w:tcPr>
          <w:p w14:paraId="64FF4819">
            <w:pPr>
              <w:jc w:val="center"/>
              <w:rPr>
                <w:rFonts w:eastAsia="等线"/>
                <w:color w:val="000000"/>
                <w:sz w:val="18"/>
                <w:szCs w:val="18"/>
              </w:rPr>
            </w:pPr>
            <w:r>
              <w:rPr>
                <w:rFonts w:eastAsia="等线"/>
                <w:color w:val="000000"/>
                <w:sz w:val="18"/>
                <w:szCs w:val="18"/>
              </w:rPr>
              <w:t xml:space="preserve">0.0015 </w:t>
            </w:r>
          </w:p>
        </w:tc>
        <w:tc>
          <w:tcPr>
            <w:tcW w:w="962" w:type="pct"/>
            <w:gridSpan w:val="2"/>
            <w:vMerge w:val="continue"/>
            <w:vAlign w:val="center"/>
          </w:tcPr>
          <w:p w14:paraId="2E08B7F4">
            <w:pPr>
              <w:jc w:val="center"/>
              <w:rPr>
                <w:color w:val="000000" w:themeColor="text1"/>
                <w:sz w:val="18"/>
                <w:szCs w:val="18"/>
              </w:rPr>
            </w:pPr>
          </w:p>
        </w:tc>
        <w:tc>
          <w:tcPr>
            <w:tcW w:w="389" w:type="pct"/>
            <w:vAlign w:val="center"/>
          </w:tcPr>
          <w:p w14:paraId="4C016976">
            <w:pPr>
              <w:jc w:val="center"/>
              <w:rPr>
                <w:rFonts w:eastAsia="等线"/>
                <w:color w:val="000000"/>
                <w:sz w:val="18"/>
                <w:szCs w:val="18"/>
              </w:rPr>
            </w:pPr>
            <w:r>
              <w:rPr>
                <w:rFonts w:eastAsia="等线"/>
                <w:color w:val="000000"/>
                <w:sz w:val="18"/>
                <w:szCs w:val="18"/>
              </w:rPr>
              <w:t xml:space="preserve">0.0015 </w:t>
            </w:r>
          </w:p>
        </w:tc>
        <w:tc>
          <w:tcPr>
            <w:tcW w:w="378" w:type="pct"/>
            <w:vAlign w:val="center"/>
          </w:tcPr>
          <w:p w14:paraId="7FAB854D">
            <w:pPr>
              <w:jc w:val="center"/>
              <w:rPr>
                <w:rFonts w:eastAsia="等线"/>
                <w:color w:val="000000"/>
                <w:sz w:val="18"/>
                <w:szCs w:val="18"/>
              </w:rPr>
            </w:pPr>
            <w:r>
              <w:rPr>
                <w:rFonts w:eastAsia="等线"/>
                <w:color w:val="000000"/>
                <w:sz w:val="18"/>
                <w:szCs w:val="18"/>
              </w:rPr>
              <w:t xml:space="preserve">0.0006 </w:t>
            </w:r>
          </w:p>
        </w:tc>
        <w:tc>
          <w:tcPr>
            <w:tcW w:w="236" w:type="pct"/>
            <w:vAlign w:val="center"/>
          </w:tcPr>
          <w:p w14:paraId="541D4C47">
            <w:pPr>
              <w:jc w:val="center"/>
              <w:rPr>
                <w:rFonts w:eastAsia="等线"/>
                <w:color w:val="000000"/>
                <w:sz w:val="18"/>
                <w:szCs w:val="18"/>
              </w:rPr>
            </w:pPr>
            <w:r>
              <w:rPr>
                <w:rFonts w:eastAsia="等线"/>
                <w:color w:val="000000"/>
                <w:sz w:val="18"/>
                <w:szCs w:val="18"/>
              </w:rPr>
              <w:t>70</w:t>
            </w:r>
          </w:p>
        </w:tc>
        <w:tc>
          <w:tcPr>
            <w:tcW w:w="240" w:type="pct"/>
            <w:vAlign w:val="center"/>
          </w:tcPr>
          <w:p w14:paraId="7C039742">
            <w:pPr>
              <w:jc w:val="center"/>
              <w:rPr>
                <w:rFonts w:eastAsia="等线"/>
                <w:color w:val="000000"/>
                <w:sz w:val="18"/>
                <w:szCs w:val="18"/>
              </w:rPr>
            </w:pPr>
            <w:r>
              <w:rPr>
                <w:rFonts w:eastAsia="等线"/>
                <w:color w:val="000000"/>
                <w:sz w:val="18"/>
                <w:szCs w:val="18"/>
              </w:rPr>
              <w:t>53.5</w:t>
            </w:r>
          </w:p>
        </w:tc>
        <w:tc>
          <w:tcPr>
            <w:tcW w:w="297" w:type="pct"/>
            <w:vAlign w:val="center"/>
          </w:tcPr>
          <w:p w14:paraId="65CECA2F">
            <w:pPr>
              <w:jc w:val="center"/>
              <w:rPr>
                <w:rFonts w:eastAsia="等线"/>
                <w:color w:val="000000"/>
                <w:sz w:val="18"/>
                <w:szCs w:val="18"/>
              </w:rPr>
            </w:pPr>
            <w:r>
              <w:rPr>
                <w:rFonts w:eastAsia="等线"/>
                <w:color w:val="000000"/>
                <w:sz w:val="18"/>
                <w:szCs w:val="18"/>
              </w:rPr>
              <w:t>8</w:t>
            </w:r>
          </w:p>
        </w:tc>
        <w:tc>
          <w:tcPr>
            <w:tcW w:w="374" w:type="pct"/>
            <w:vAlign w:val="center"/>
          </w:tcPr>
          <w:p w14:paraId="53E80B16">
            <w:pPr>
              <w:jc w:val="center"/>
              <w:rPr>
                <w:rFonts w:eastAsia="等线"/>
                <w:color w:val="000000"/>
                <w:sz w:val="18"/>
                <w:szCs w:val="18"/>
              </w:rPr>
            </w:pPr>
            <w:r>
              <w:rPr>
                <w:rFonts w:eastAsia="等线"/>
                <w:color w:val="000000"/>
                <w:sz w:val="18"/>
                <w:szCs w:val="18"/>
              </w:rPr>
              <w:t>1</w:t>
            </w:r>
          </w:p>
        </w:tc>
        <w:tc>
          <w:tcPr>
            <w:tcW w:w="320" w:type="pct"/>
            <w:vAlign w:val="center"/>
          </w:tcPr>
          <w:p w14:paraId="66D5D4C6">
            <w:pPr>
              <w:jc w:val="center"/>
              <w:rPr>
                <w:color w:val="000000" w:themeColor="text1"/>
                <w:sz w:val="18"/>
                <w:szCs w:val="18"/>
              </w:rPr>
            </w:pPr>
            <w:r>
              <w:rPr>
                <w:color w:val="000000" w:themeColor="text1"/>
                <w:sz w:val="18"/>
                <w:szCs w:val="18"/>
              </w:rPr>
              <w:t>/</w:t>
            </w:r>
          </w:p>
        </w:tc>
      </w:tr>
      <w:tr w14:paraId="3E993B8E">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vMerge w:val="continue"/>
            <w:tcBorders>
              <w:bottom w:val="single" w:color="auto" w:sz="4" w:space="0"/>
            </w:tcBorders>
            <w:vAlign w:val="center"/>
          </w:tcPr>
          <w:p w14:paraId="271DB771">
            <w:pPr>
              <w:jc w:val="center"/>
              <w:rPr>
                <w:color w:val="000000" w:themeColor="text1"/>
                <w:sz w:val="18"/>
                <w:szCs w:val="18"/>
              </w:rPr>
            </w:pPr>
          </w:p>
        </w:tc>
        <w:tc>
          <w:tcPr>
            <w:tcW w:w="235" w:type="pct"/>
            <w:vMerge w:val="continue"/>
            <w:vAlign w:val="center"/>
          </w:tcPr>
          <w:p w14:paraId="11C31DBC">
            <w:pPr>
              <w:jc w:val="center"/>
              <w:rPr>
                <w:color w:val="000000" w:themeColor="text1"/>
                <w:sz w:val="18"/>
                <w:szCs w:val="18"/>
              </w:rPr>
            </w:pPr>
          </w:p>
        </w:tc>
        <w:tc>
          <w:tcPr>
            <w:tcW w:w="289" w:type="pct"/>
            <w:vMerge w:val="continue"/>
            <w:tcBorders>
              <w:bottom w:val="single" w:color="auto" w:sz="4" w:space="0"/>
            </w:tcBorders>
            <w:vAlign w:val="center"/>
          </w:tcPr>
          <w:p w14:paraId="1606AF1E">
            <w:pPr>
              <w:jc w:val="center"/>
              <w:rPr>
                <w:color w:val="000000" w:themeColor="text1"/>
                <w:sz w:val="18"/>
                <w:szCs w:val="18"/>
              </w:rPr>
            </w:pPr>
          </w:p>
        </w:tc>
        <w:tc>
          <w:tcPr>
            <w:tcW w:w="338" w:type="pct"/>
            <w:vMerge w:val="continue"/>
            <w:vAlign w:val="center"/>
          </w:tcPr>
          <w:p w14:paraId="4E1CFDB3">
            <w:pPr>
              <w:jc w:val="center"/>
              <w:rPr>
                <w:color w:val="000000" w:themeColor="text1"/>
                <w:sz w:val="18"/>
                <w:szCs w:val="18"/>
              </w:rPr>
            </w:pPr>
          </w:p>
        </w:tc>
        <w:tc>
          <w:tcPr>
            <w:tcW w:w="302" w:type="pct"/>
            <w:vAlign w:val="center"/>
          </w:tcPr>
          <w:p w14:paraId="55FD4794">
            <w:pPr>
              <w:pStyle w:val="59"/>
              <w:spacing w:line="240" w:lineRule="auto"/>
              <w:rPr>
                <w:color w:val="000000" w:themeColor="text1"/>
                <w:sz w:val="18"/>
                <w:szCs w:val="18"/>
              </w:rPr>
            </w:pPr>
            <w:r>
              <w:rPr>
                <w:color w:val="000000" w:themeColor="text1"/>
                <w:sz w:val="18"/>
                <w:szCs w:val="18"/>
              </w:rPr>
              <w:t>非甲烷总烃</w:t>
            </w:r>
          </w:p>
        </w:tc>
        <w:tc>
          <w:tcPr>
            <w:tcW w:w="310" w:type="pct"/>
            <w:vAlign w:val="center"/>
          </w:tcPr>
          <w:p w14:paraId="40E216FE">
            <w:pPr>
              <w:jc w:val="center"/>
              <w:rPr>
                <w:rFonts w:eastAsia="等线"/>
                <w:color w:val="000000"/>
                <w:sz w:val="18"/>
                <w:szCs w:val="18"/>
              </w:rPr>
            </w:pPr>
            <w:r>
              <w:rPr>
                <w:rFonts w:eastAsia="等线"/>
                <w:color w:val="000000"/>
                <w:sz w:val="18"/>
                <w:szCs w:val="18"/>
              </w:rPr>
              <w:t xml:space="preserve">0.0105 </w:t>
            </w:r>
          </w:p>
        </w:tc>
        <w:tc>
          <w:tcPr>
            <w:tcW w:w="962" w:type="pct"/>
            <w:gridSpan w:val="2"/>
            <w:vMerge w:val="continue"/>
            <w:vAlign w:val="center"/>
          </w:tcPr>
          <w:p w14:paraId="37FD2438">
            <w:pPr>
              <w:jc w:val="center"/>
              <w:rPr>
                <w:color w:val="000000" w:themeColor="text1"/>
                <w:sz w:val="18"/>
                <w:szCs w:val="18"/>
              </w:rPr>
            </w:pPr>
          </w:p>
        </w:tc>
        <w:tc>
          <w:tcPr>
            <w:tcW w:w="389" w:type="pct"/>
            <w:vAlign w:val="center"/>
          </w:tcPr>
          <w:p w14:paraId="536E5E63">
            <w:pPr>
              <w:jc w:val="center"/>
              <w:rPr>
                <w:rFonts w:eastAsia="等线"/>
                <w:color w:val="000000"/>
                <w:sz w:val="18"/>
                <w:szCs w:val="18"/>
              </w:rPr>
            </w:pPr>
            <w:r>
              <w:rPr>
                <w:rFonts w:eastAsia="等线"/>
                <w:color w:val="000000"/>
                <w:sz w:val="18"/>
                <w:szCs w:val="18"/>
              </w:rPr>
              <w:t xml:space="preserve">0.0105 </w:t>
            </w:r>
          </w:p>
        </w:tc>
        <w:tc>
          <w:tcPr>
            <w:tcW w:w="378" w:type="pct"/>
            <w:vAlign w:val="center"/>
          </w:tcPr>
          <w:p w14:paraId="3FD8873A">
            <w:pPr>
              <w:jc w:val="center"/>
              <w:rPr>
                <w:rFonts w:eastAsia="等线"/>
                <w:color w:val="000000"/>
                <w:sz w:val="18"/>
                <w:szCs w:val="18"/>
              </w:rPr>
            </w:pPr>
            <w:r>
              <w:rPr>
                <w:rFonts w:eastAsia="等线"/>
                <w:color w:val="000000"/>
                <w:sz w:val="18"/>
                <w:szCs w:val="18"/>
              </w:rPr>
              <w:t xml:space="preserve">0.0044 </w:t>
            </w:r>
          </w:p>
        </w:tc>
        <w:tc>
          <w:tcPr>
            <w:tcW w:w="236" w:type="pct"/>
            <w:vAlign w:val="center"/>
          </w:tcPr>
          <w:p w14:paraId="23B0588A">
            <w:pPr>
              <w:jc w:val="center"/>
              <w:rPr>
                <w:rFonts w:eastAsia="等线"/>
                <w:color w:val="000000"/>
                <w:sz w:val="18"/>
                <w:szCs w:val="18"/>
              </w:rPr>
            </w:pPr>
            <w:r>
              <w:rPr>
                <w:rFonts w:eastAsia="等线"/>
                <w:color w:val="000000"/>
                <w:sz w:val="18"/>
                <w:szCs w:val="18"/>
              </w:rPr>
              <w:t>70</w:t>
            </w:r>
          </w:p>
        </w:tc>
        <w:tc>
          <w:tcPr>
            <w:tcW w:w="240" w:type="pct"/>
            <w:vAlign w:val="center"/>
          </w:tcPr>
          <w:p w14:paraId="09B0A29D">
            <w:pPr>
              <w:jc w:val="center"/>
              <w:rPr>
                <w:rFonts w:eastAsia="等线"/>
                <w:color w:val="000000"/>
                <w:sz w:val="18"/>
                <w:szCs w:val="18"/>
              </w:rPr>
            </w:pPr>
            <w:r>
              <w:rPr>
                <w:rFonts w:eastAsia="等线"/>
                <w:color w:val="000000"/>
                <w:sz w:val="18"/>
                <w:szCs w:val="18"/>
              </w:rPr>
              <w:t>53.5</w:t>
            </w:r>
          </w:p>
        </w:tc>
        <w:tc>
          <w:tcPr>
            <w:tcW w:w="297" w:type="pct"/>
            <w:vAlign w:val="center"/>
          </w:tcPr>
          <w:p w14:paraId="2FBD59FA">
            <w:pPr>
              <w:jc w:val="center"/>
              <w:rPr>
                <w:rFonts w:eastAsia="等线"/>
                <w:color w:val="000000"/>
                <w:sz w:val="18"/>
                <w:szCs w:val="18"/>
              </w:rPr>
            </w:pPr>
            <w:r>
              <w:rPr>
                <w:rFonts w:eastAsia="等线"/>
                <w:color w:val="000000"/>
                <w:sz w:val="18"/>
                <w:szCs w:val="18"/>
              </w:rPr>
              <w:t>8</w:t>
            </w:r>
          </w:p>
        </w:tc>
        <w:tc>
          <w:tcPr>
            <w:tcW w:w="374" w:type="pct"/>
            <w:vAlign w:val="center"/>
          </w:tcPr>
          <w:p w14:paraId="049D6972">
            <w:pPr>
              <w:jc w:val="center"/>
              <w:rPr>
                <w:rFonts w:eastAsia="等线"/>
                <w:color w:val="000000"/>
                <w:sz w:val="18"/>
                <w:szCs w:val="18"/>
              </w:rPr>
            </w:pPr>
            <w:r>
              <w:rPr>
                <w:rFonts w:eastAsia="等线"/>
                <w:color w:val="000000"/>
                <w:sz w:val="18"/>
                <w:szCs w:val="18"/>
              </w:rPr>
              <w:t>4</w:t>
            </w:r>
          </w:p>
        </w:tc>
        <w:tc>
          <w:tcPr>
            <w:tcW w:w="320" w:type="pct"/>
            <w:vAlign w:val="center"/>
          </w:tcPr>
          <w:p w14:paraId="0596EADF">
            <w:pPr>
              <w:jc w:val="center"/>
              <w:rPr>
                <w:color w:val="000000" w:themeColor="text1"/>
                <w:sz w:val="18"/>
                <w:szCs w:val="18"/>
              </w:rPr>
            </w:pPr>
            <w:r>
              <w:rPr>
                <w:color w:val="000000" w:themeColor="text1"/>
                <w:sz w:val="18"/>
                <w:szCs w:val="18"/>
              </w:rPr>
              <w:t>/</w:t>
            </w:r>
          </w:p>
        </w:tc>
      </w:tr>
      <w:tr w14:paraId="249EE203">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30" w:type="pct"/>
            <w:tcBorders>
              <w:top w:val="single" w:color="auto" w:sz="4" w:space="0"/>
            </w:tcBorders>
            <w:vAlign w:val="center"/>
          </w:tcPr>
          <w:p w14:paraId="44A3AD97">
            <w:pPr>
              <w:jc w:val="center"/>
              <w:rPr>
                <w:color w:val="000000" w:themeColor="text1"/>
                <w:sz w:val="18"/>
                <w:szCs w:val="18"/>
              </w:rPr>
            </w:pPr>
            <w:r>
              <w:rPr>
                <w:color w:val="000000" w:themeColor="text1"/>
                <w:sz w:val="18"/>
                <w:szCs w:val="18"/>
              </w:rPr>
              <w:t>生产</w:t>
            </w:r>
          </w:p>
        </w:tc>
        <w:tc>
          <w:tcPr>
            <w:tcW w:w="235" w:type="pct"/>
            <w:vAlign w:val="center"/>
          </w:tcPr>
          <w:p w14:paraId="6B577390">
            <w:pPr>
              <w:jc w:val="center"/>
              <w:rPr>
                <w:color w:val="000000" w:themeColor="text1"/>
                <w:sz w:val="18"/>
                <w:szCs w:val="18"/>
              </w:rPr>
            </w:pPr>
            <w:r>
              <w:rPr>
                <w:color w:val="000000" w:themeColor="text1"/>
                <w:sz w:val="18"/>
                <w:szCs w:val="18"/>
              </w:rPr>
              <w:t>/</w:t>
            </w:r>
          </w:p>
        </w:tc>
        <w:tc>
          <w:tcPr>
            <w:tcW w:w="289" w:type="pct"/>
            <w:tcBorders>
              <w:top w:val="single" w:color="auto" w:sz="4" w:space="0"/>
            </w:tcBorders>
            <w:vAlign w:val="center"/>
          </w:tcPr>
          <w:p w14:paraId="3F0B325C">
            <w:pPr>
              <w:jc w:val="center"/>
              <w:rPr>
                <w:color w:val="000000" w:themeColor="text1"/>
                <w:sz w:val="18"/>
                <w:szCs w:val="18"/>
              </w:rPr>
            </w:pPr>
            <w:r>
              <w:rPr>
                <w:color w:val="000000" w:themeColor="text1"/>
                <w:sz w:val="18"/>
                <w:szCs w:val="18"/>
              </w:rPr>
              <w:t>生产</w:t>
            </w:r>
          </w:p>
        </w:tc>
        <w:tc>
          <w:tcPr>
            <w:tcW w:w="338" w:type="pct"/>
            <w:vMerge w:val="continue"/>
            <w:vAlign w:val="center"/>
          </w:tcPr>
          <w:p w14:paraId="32F8AF5B">
            <w:pPr>
              <w:jc w:val="center"/>
              <w:rPr>
                <w:color w:val="000000" w:themeColor="text1"/>
                <w:sz w:val="18"/>
                <w:szCs w:val="18"/>
              </w:rPr>
            </w:pPr>
          </w:p>
        </w:tc>
        <w:tc>
          <w:tcPr>
            <w:tcW w:w="302" w:type="pct"/>
            <w:vAlign w:val="center"/>
          </w:tcPr>
          <w:p w14:paraId="2CBAC939">
            <w:pPr>
              <w:jc w:val="center"/>
              <w:rPr>
                <w:color w:val="000000" w:themeColor="text1"/>
                <w:sz w:val="18"/>
                <w:szCs w:val="18"/>
              </w:rPr>
            </w:pPr>
            <w:r>
              <w:rPr>
                <w:color w:val="000000" w:themeColor="text1"/>
                <w:sz w:val="18"/>
                <w:szCs w:val="18"/>
              </w:rPr>
              <w:t>异味</w:t>
            </w:r>
          </w:p>
        </w:tc>
        <w:tc>
          <w:tcPr>
            <w:tcW w:w="310" w:type="pct"/>
            <w:vAlign w:val="center"/>
          </w:tcPr>
          <w:p w14:paraId="4640D37C">
            <w:pPr>
              <w:jc w:val="center"/>
              <w:rPr>
                <w:color w:val="000000" w:themeColor="text1"/>
                <w:sz w:val="18"/>
                <w:szCs w:val="18"/>
              </w:rPr>
            </w:pPr>
            <w:r>
              <w:rPr>
                <w:color w:val="000000" w:themeColor="text1"/>
                <w:sz w:val="18"/>
                <w:szCs w:val="18"/>
              </w:rPr>
              <w:t>/</w:t>
            </w:r>
          </w:p>
        </w:tc>
        <w:tc>
          <w:tcPr>
            <w:tcW w:w="962" w:type="pct"/>
            <w:gridSpan w:val="2"/>
            <w:vAlign w:val="center"/>
          </w:tcPr>
          <w:p w14:paraId="7DA4D017">
            <w:pPr>
              <w:jc w:val="center"/>
              <w:rPr>
                <w:color w:val="000000" w:themeColor="text1"/>
                <w:sz w:val="18"/>
                <w:szCs w:val="18"/>
              </w:rPr>
            </w:pPr>
            <w:r>
              <w:rPr>
                <w:color w:val="000000" w:themeColor="text1"/>
                <w:sz w:val="18"/>
                <w:szCs w:val="18"/>
              </w:rPr>
              <w:t>/</w:t>
            </w:r>
          </w:p>
        </w:tc>
        <w:tc>
          <w:tcPr>
            <w:tcW w:w="389" w:type="pct"/>
            <w:vAlign w:val="center"/>
          </w:tcPr>
          <w:p w14:paraId="2A308FA8">
            <w:pPr>
              <w:jc w:val="center"/>
              <w:rPr>
                <w:color w:val="000000" w:themeColor="text1"/>
                <w:sz w:val="18"/>
                <w:szCs w:val="18"/>
              </w:rPr>
            </w:pPr>
            <w:r>
              <w:rPr>
                <w:color w:val="000000" w:themeColor="text1"/>
                <w:sz w:val="18"/>
                <w:szCs w:val="18"/>
              </w:rPr>
              <w:t>/</w:t>
            </w:r>
          </w:p>
        </w:tc>
        <w:tc>
          <w:tcPr>
            <w:tcW w:w="378" w:type="pct"/>
            <w:vAlign w:val="center"/>
          </w:tcPr>
          <w:p w14:paraId="65007422">
            <w:pPr>
              <w:jc w:val="center"/>
              <w:rPr>
                <w:color w:val="000000" w:themeColor="text1"/>
                <w:sz w:val="18"/>
                <w:szCs w:val="18"/>
              </w:rPr>
            </w:pPr>
            <w:r>
              <w:rPr>
                <w:color w:val="000000" w:themeColor="text1"/>
                <w:sz w:val="18"/>
                <w:szCs w:val="18"/>
              </w:rPr>
              <w:t>/</w:t>
            </w:r>
          </w:p>
        </w:tc>
        <w:tc>
          <w:tcPr>
            <w:tcW w:w="236" w:type="pct"/>
            <w:vAlign w:val="center"/>
          </w:tcPr>
          <w:p w14:paraId="32FA5758">
            <w:pPr>
              <w:jc w:val="center"/>
              <w:rPr>
                <w:color w:val="000000" w:themeColor="text1"/>
                <w:sz w:val="18"/>
                <w:szCs w:val="18"/>
              </w:rPr>
            </w:pPr>
            <w:r>
              <w:rPr>
                <w:color w:val="000000" w:themeColor="text1"/>
                <w:sz w:val="18"/>
                <w:szCs w:val="18"/>
              </w:rPr>
              <w:t>/</w:t>
            </w:r>
          </w:p>
        </w:tc>
        <w:tc>
          <w:tcPr>
            <w:tcW w:w="240" w:type="pct"/>
            <w:vAlign w:val="center"/>
          </w:tcPr>
          <w:p w14:paraId="7C4F4BEA">
            <w:pPr>
              <w:jc w:val="center"/>
              <w:rPr>
                <w:color w:val="000000" w:themeColor="text1"/>
                <w:sz w:val="18"/>
                <w:szCs w:val="18"/>
              </w:rPr>
            </w:pPr>
            <w:r>
              <w:rPr>
                <w:color w:val="000000" w:themeColor="text1"/>
                <w:sz w:val="18"/>
                <w:szCs w:val="18"/>
              </w:rPr>
              <w:t>/</w:t>
            </w:r>
          </w:p>
        </w:tc>
        <w:tc>
          <w:tcPr>
            <w:tcW w:w="297" w:type="pct"/>
            <w:vAlign w:val="center"/>
          </w:tcPr>
          <w:p w14:paraId="24BF71C0">
            <w:pPr>
              <w:jc w:val="center"/>
              <w:rPr>
                <w:color w:val="000000" w:themeColor="text1"/>
                <w:sz w:val="18"/>
                <w:szCs w:val="18"/>
              </w:rPr>
            </w:pPr>
            <w:r>
              <w:rPr>
                <w:color w:val="000000" w:themeColor="text1"/>
                <w:sz w:val="18"/>
                <w:szCs w:val="18"/>
              </w:rPr>
              <w:t>/</w:t>
            </w:r>
          </w:p>
        </w:tc>
        <w:tc>
          <w:tcPr>
            <w:tcW w:w="374" w:type="pct"/>
            <w:vAlign w:val="center"/>
          </w:tcPr>
          <w:p w14:paraId="72A0D94A">
            <w:pPr>
              <w:jc w:val="center"/>
              <w:rPr>
                <w:color w:val="000000" w:themeColor="text1"/>
                <w:sz w:val="18"/>
                <w:szCs w:val="18"/>
              </w:rPr>
            </w:pPr>
            <w:r>
              <w:rPr>
                <w:color w:val="000000" w:themeColor="text1"/>
                <w:sz w:val="18"/>
                <w:szCs w:val="18"/>
              </w:rPr>
              <w:t>/</w:t>
            </w:r>
          </w:p>
        </w:tc>
        <w:tc>
          <w:tcPr>
            <w:tcW w:w="320" w:type="pct"/>
            <w:vAlign w:val="center"/>
          </w:tcPr>
          <w:p w14:paraId="0FC3A624">
            <w:pPr>
              <w:jc w:val="center"/>
              <w:rPr>
                <w:color w:val="000000" w:themeColor="text1"/>
                <w:sz w:val="18"/>
                <w:szCs w:val="18"/>
              </w:rPr>
            </w:pPr>
            <w:r>
              <w:rPr>
                <w:color w:val="000000" w:themeColor="text1"/>
                <w:sz w:val="18"/>
                <w:szCs w:val="18"/>
              </w:rPr>
              <w:t>/</w:t>
            </w:r>
          </w:p>
        </w:tc>
      </w:tr>
    </w:tbl>
    <w:p w14:paraId="0A6A407A">
      <w:pPr>
        <w:spacing w:line="360" w:lineRule="auto"/>
        <w:ind w:firstLine="422" w:firstLineChars="200"/>
        <w:rPr>
          <w:b/>
          <w:color w:val="000000" w:themeColor="text1"/>
        </w:rPr>
        <w:sectPr>
          <w:pgSz w:w="16838" w:h="11906" w:orient="landscape"/>
          <w:pgMar w:top="1230" w:right="1440" w:bottom="1230" w:left="1440" w:header="851" w:footer="992" w:gutter="0"/>
          <w:cols w:space="425" w:num="1"/>
          <w:docGrid w:type="lines" w:linePitch="312" w:charSpace="0"/>
        </w:sectPr>
      </w:pPr>
    </w:p>
    <w:p w14:paraId="24545AA8">
      <w:pPr>
        <w:pStyle w:val="105"/>
        <w:rPr>
          <w:rFonts w:cs="Times New Roman"/>
          <w:color w:val="000000" w:themeColor="text1"/>
        </w:rPr>
      </w:pPr>
      <w:r>
        <w:rPr>
          <w:rFonts w:cs="Times New Roman"/>
          <w:color w:val="000000" w:themeColor="text1"/>
        </w:rPr>
        <w:t>3.5.2 废水</w:t>
      </w:r>
    </w:p>
    <w:p w14:paraId="6CD1FE8D">
      <w:pPr>
        <w:spacing w:line="360" w:lineRule="auto"/>
        <w:ind w:firstLine="352" w:firstLineChars="147"/>
        <w:rPr>
          <w:b/>
          <w:color w:val="000000" w:themeColor="text1"/>
          <w:sz w:val="24"/>
        </w:rPr>
      </w:pPr>
      <w:r>
        <w:rPr>
          <w:b/>
          <w:color w:val="000000" w:themeColor="text1"/>
          <w:sz w:val="24"/>
        </w:rPr>
        <w:t>1、废水产排情况小结</w:t>
      </w:r>
    </w:p>
    <w:p w14:paraId="3ECC8C36">
      <w:pPr>
        <w:spacing w:line="360" w:lineRule="auto"/>
        <w:ind w:firstLine="480" w:firstLineChars="200"/>
        <w:rPr>
          <w:color w:val="000000" w:themeColor="text1"/>
          <w:sz w:val="24"/>
        </w:rPr>
      </w:pPr>
      <w:r>
        <w:rPr>
          <w:color w:val="000000" w:themeColor="text1"/>
          <w:sz w:val="24"/>
        </w:rPr>
        <w:t>根据3.3章节，本项目总废水产生量为31.42m</w:t>
      </w:r>
      <w:r>
        <w:rPr>
          <w:color w:val="000000" w:themeColor="text1"/>
          <w:sz w:val="24"/>
          <w:vertAlign w:val="superscript"/>
        </w:rPr>
        <w:t>3</w:t>
      </w:r>
      <w:r>
        <w:rPr>
          <w:color w:val="000000" w:themeColor="text1"/>
          <w:sz w:val="24"/>
        </w:rPr>
        <w:t>/d；</w:t>
      </w:r>
    </w:p>
    <w:p w14:paraId="7A5FE752">
      <w:pPr>
        <w:adjustRightInd w:val="0"/>
        <w:spacing w:line="360" w:lineRule="auto"/>
        <w:ind w:firstLine="480" w:firstLineChars="200"/>
        <w:rPr>
          <w:snapToGrid w:val="0"/>
          <w:color w:val="000000" w:themeColor="text1"/>
          <w:kern w:val="0"/>
          <w:sz w:val="24"/>
          <w:szCs w:val="20"/>
        </w:rPr>
      </w:pPr>
      <w:r>
        <w:rPr>
          <w:color w:val="000000" w:themeColor="text1"/>
          <w:sz w:val="24"/>
        </w:rPr>
        <w:t>其中</w:t>
      </w:r>
      <w:r>
        <w:rPr>
          <w:b/>
          <w:color w:val="000000" w:themeColor="text1"/>
          <w:sz w:val="24"/>
        </w:rPr>
        <w:t>生产废水</w:t>
      </w:r>
      <w:r>
        <w:rPr>
          <w:color w:val="000000" w:themeColor="text1"/>
          <w:sz w:val="24"/>
        </w:rPr>
        <w:t>：清洗破碎废水产生量为29.66m</w:t>
      </w:r>
      <w:r>
        <w:rPr>
          <w:color w:val="000000" w:themeColor="text1"/>
          <w:sz w:val="24"/>
          <w:vertAlign w:val="superscript"/>
        </w:rPr>
        <w:t>3</w:t>
      </w:r>
      <w:r>
        <w:rPr>
          <w:color w:val="000000" w:themeColor="text1"/>
          <w:sz w:val="24"/>
        </w:rPr>
        <w:t>/d，</w:t>
      </w:r>
      <w:r>
        <w:rPr>
          <w:snapToGrid w:val="0"/>
          <w:color w:val="000000" w:themeColor="text1"/>
          <w:kern w:val="0"/>
          <w:sz w:val="24"/>
          <w:szCs w:val="20"/>
        </w:rPr>
        <w:t>经</w:t>
      </w:r>
      <w:r>
        <w:rPr>
          <w:color w:val="000000" w:themeColor="text1"/>
          <w:sz w:val="24"/>
        </w:rPr>
        <w:t>污水处理设施（隔油池+沉淀池）</w:t>
      </w:r>
      <w:r>
        <w:rPr>
          <w:snapToGrid w:val="0"/>
          <w:color w:val="000000" w:themeColor="text1"/>
          <w:kern w:val="0"/>
          <w:sz w:val="24"/>
          <w:szCs w:val="20"/>
        </w:rPr>
        <w:t>处理后，回用于生产。</w:t>
      </w:r>
    </w:p>
    <w:p w14:paraId="130A65B9">
      <w:pPr>
        <w:adjustRightInd w:val="0"/>
        <w:spacing w:line="360" w:lineRule="auto"/>
        <w:ind w:firstLine="480" w:firstLineChars="200"/>
        <w:rPr>
          <w:snapToGrid w:val="0"/>
          <w:color w:val="000000" w:themeColor="text1"/>
          <w:kern w:val="0"/>
          <w:sz w:val="24"/>
          <w:szCs w:val="20"/>
        </w:rPr>
      </w:pPr>
      <w:r>
        <w:rPr>
          <w:snapToGrid w:val="0"/>
          <w:color w:val="000000" w:themeColor="text1"/>
          <w:kern w:val="0"/>
          <w:sz w:val="24"/>
          <w:szCs w:val="20"/>
        </w:rPr>
        <w:t>造粒、编织袋拉丝冷却水循环使用，不外排。</w:t>
      </w:r>
    </w:p>
    <w:p w14:paraId="52FF0B19">
      <w:pPr>
        <w:spacing w:line="360" w:lineRule="auto"/>
        <w:ind w:firstLine="480" w:firstLineChars="200"/>
        <w:rPr>
          <w:color w:val="000000" w:themeColor="text1"/>
          <w:sz w:val="24"/>
        </w:rPr>
      </w:pPr>
      <w:r>
        <w:rPr>
          <w:b/>
          <w:color w:val="000000" w:themeColor="text1"/>
          <w:sz w:val="24"/>
        </w:rPr>
        <w:t>生活废水</w:t>
      </w:r>
      <w:r>
        <w:rPr>
          <w:color w:val="000000" w:themeColor="text1"/>
          <w:sz w:val="24"/>
        </w:rPr>
        <w:t>：产生量为1.76m</w:t>
      </w:r>
      <w:r>
        <w:rPr>
          <w:color w:val="000000" w:themeColor="text1"/>
          <w:sz w:val="24"/>
          <w:vertAlign w:val="superscript"/>
        </w:rPr>
        <w:t>3</w:t>
      </w:r>
      <w:r>
        <w:rPr>
          <w:color w:val="000000" w:themeColor="text1"/>
          <w:sz w:val="24"/>
        </w:rPr>
        <w:t>/d，</w:t>
      </w:r>
      <w:r>
        <w:rPr>
          <w:snapToGrid w:val="0"/>
          <w:color w:val="000000" w:themeColor="text1"/>
          <w:kern w:val="0"/>
          <w:sz w:val="24"/>
          <w:szCs w:val="20"/>
        </w:rPr>
        <w:t>经化粪池、隔油池处理后，定期委托周边村民清掏，用于农作物施肥。</w:t>
      </w:r>
    </w:p>
    <w:p w14:paraId="777E147F">
      <w:pPr>
        <w:spacing w:line="360" w:lineRule="auto"/>
        <w:ind w:firstLine="480" w:firstLineChars="200"/>
        <w:rPr>
          <w:b/>
          <w:color w:val="000000" w:themeColor="text1"/>
          <w:sz w:val="24"/>
        </w:rPr>
      </w:pPr>
      <w:r>
        <w:rPr>
          <w:b/>
          <w:color w:val="000000" w:themeColor="text1"/>
          <w:sz w:val="24"/>
        </w:rPr>
        <w:t>2、废水处置措施</w:t>
      </w:r>
    </w:p>
    <w:p w14:paraId="5874BC3E">
      <w:pPr>
        <w:pStyle w:val="15"/>
        <w:adjustRightInd w:val="0"/>
        <w:snapToGrid w:val="0"/>
        <w:spacing w:line="360" w:lineRule="auto"/>
        <w:ind w:firstLine="480" w:firstLineChars="200"/>
        <w:jc w:val="both"/>
        <w:rPr>
          <w:b/>
          <w:color w:val="000000" w:themeColor="text1"/>
          <w:sz w:val="24"/>
        </w:rPr>
      </w:pPr>
      <w:r>
        <w:rPr>
          <w:b/>
          <w:color w:val="000000" w:themeColor="text1"/>
          <w:sz w:val="24"/>
        </w:rPr>
        <w:t>（1）处置方式</w:t>
      </w:r>
    </w:p>
    <w:p w14:paraId="76C9ED09">
      <w:pPr>
        <w:pStyle w:val="15"/>
        <w:adjustRightInd w:val="0"/>
        <w:snapToGrid w:val="0"/>
        <w:spacing w:line="360" w:lineRule="auto"/>
        <w:ind w:firstLine="480" w:firstLineChars="200"/>
        <w:jc w:val="both"/>
        <w:rPr>
          <w:color w:val="000000" w:themeColor="text1"/>
          <w:sz w:val="24"/>
        </w:rPr>
      </w:pPr>
      <w:r>
        <w:rPr>
          <w:color w:val="000000" w:themeColor="text1"/>
          <w:sz w:val="24"/>
        </w:rPr>
        <w:t>项目所在地属于无市政雨污管网，距城市较远。</w:t>
      </w:r>
    </w:p>
    <w:p w14:paraId="44364DB6">
      <w:pPr>
        <w:pStyle w:val="15"/>
        <w:adjustRightInd w:val="0"/>
        <w:snapToGrid w:val="0"/>
        <w:spacing w:line="360" w:lineRule="auto"/>
        <w:ind w:firstLine="480" w:firstLineChars="200"/>
        <w:jc w:val="both"/>
        <w:rPr>
          <w:b/>
          <w:color w:val="000000" w:themeColor="text1"/>
          <w:kern w:val="0"/>
          <w:sz w:val="24"/>
        </w:rPr>
      </w:pPr>
      <w:r>
        <w:rPr>
          <w:rFonts w:hint="eastAsia" w:ascii="宋体" w:hAnsi="宋体" w:cs="宋体"/>
          <w:b/>
          <w:color w:val="000000" w:themeColor="text1"/>
          <w:kern w:val="0"/>
          <w:sz w:val="24"/>
        </w:rPr>
        <w:t>①</w:t>
      </w:r>
      <w:r>
        <w:rPr>
          <w:b/>
          <w:color w:val="000000" w:themeColor="text1"/>
          <w:kern w:val="0"/>
          <w:sz w:val="24"/>
        </w:rPr>
        <w:t>雨水处置方式</w:t>
      </w:r>
    </w:p>
    <w:p w14:paraId="50633F6A">
      <w:pPr>
        <w:pStyle w:val="15"/>
        <w:adjustRightInd w:val="0"/>
        <w:snapToGrid w:val="0"/>
        <w:spacing w:line="360" w:lineRule="auto"/>
        <w:ind w:firstLine="480" w:firstLineChars="200"/>
        <w:jc w:val="both"/>
        <w:rPr>
          <w:color w:val="000000" w:themeColor="text1"/>
          <w:kern w:val="0"/>
          <w:sz w:val="24"/>
        </w:rPr>
      </w:pPr>
      <w:r>
        <w:rPr>
          <w:color w:val="000000" w:themeColor="text1"/>
          <w:kern w:val="0"/>
          <w:sz w:val="24"/>
        </w:rPr>
        <w:t>项目采用雨污分流的排水方式；</w:t>
      </w:r>
    </w:p>
    <w:p w14:paraId="587569D7">
      <w:pPr>
        <w:pStyle w:val="15"/>
        <w:adjustRightInd w:val="0"/>
        <w:snapToGrid w:val="0"/>
        <w:spacing w:line="360" w:lineRule="auto"/>
        <w:ind w:firstLine="480" w:firstLineChars="200"/>
        <w:jc w:val="both"/>
        <w:rPr>
          <w:color w:val="000000" w:themeColor="text1"/>
          <w:kern w:val="0"/>
          <w:sz w:val="24"/>
        </w:rPr>
      </w:pPr>
      <w:r>
        <w:rPr>
          <w:color w:val="000000" w:themeColor="text1"/>
          <w:sz w:val="24"/>
        </w:rPr>
        <w:t>收集前1h的雨水进入本项目</w:t>
      </w:r>
      <w:r>
        <w:rPr>
          <w:bCs/>
          <w:color w:val="000000" w:themeColor="text1"/>
          <w:sz w:val="24"/>
        </w:rPr>
        <w:t>雨水收集池</w:t>
      </w:r>
      <w:r>
        <w:rPr>
          <w:color w:val="000000" w:themeColor="text1"/>
          <w:sz w:val="24"/>
        </w:rPr>
        <w:t>进行处理，回用于生产，其余经沉淀后外排</w:t>
      </w:r>
      <w:r>
        <w:rPr>
          <w:color w:val="000000" w:themeColor="text1"/>
          <w:kern w:val="0"/>
          <w:sz w:val="24"/>
        </w:rPr>
        <w:t>。</w:t>
      </w:r>
    </w:p>
    <w:p w14:paraId="312DD578">
      <w:pPr>
        <w:spacing w:line="360" w:lineRule="auto"/>
        <w:ind w:firstLine="480" w:firstLineChars="200"/>
        <w:rPr>
          <w:color w:val="000000" w:themeColor="text1"/>
          <w:sz w:val="24"/>
        </w:rPr>
      </w:pPr>
      <w:r>
        <w:rPr>
          <w:rFonts w:hint="eastAsia" w:ascii="宋体" w:hAnsi="宋体" w:cs="宋体"/>
          <w:b/>
          <w:color w:val="000000" w:themeColor="text1"/>
          <w:sz w:val="24"/>
        </w:rPr>
        <w:t>②</w:t>
      </w:r>
      <w:r>
        <w:rPr>
          <w:b/>
          <w:color w:val="000000" w:themeColor="text1"/>
          <w:sz w:val="24"/>
        </w:rPr>
        <w:t>生活废水处置方式</w:t>
      </w:r>
    </w:p>
    <w:p w14:paraId="0A9A92C0">
      <w:pPr>
        <w:spacing w:line="360" w:lineRule="auto"/>
        <w:ind w:firstLine="480" w:firstLineChars="200"/>
        <w:rPr>
          <w:snapToGrid w:val="0"/>
          <w:color w:val="000000" w:themeColor="text1"/>
          <w:kern w:val="0"/>
          <w:sz w:val="24"/>
          <w:szCs w:val="20"/>
        </w:rPr>
      </w:pPr>
      <w:r>
        <w:rPr>
          <w:snapToGrid w:val="0"/>
          <w:color w:val="000000" w:themeColor="text1"/>
          <w:kern w:val="0"/>
          <w:sz w:val="24"/>
          <w:szCs w:val="20"/>
        </w:rPr>
        <w:t>经化粪池、隔油池处理后，定期委托周边村民清掏，用于农作物施肥。</w:t>
      </w:r>
    </w:p>
    <w:p w14:paraId="515780AB">
      <w:pPr>
        <w:spacing w:line="360" w:lineRule="auto"/>
        <w:ind w:firstLine="480" w:firstLineChars="200"/>
        <w:rPr>
          <w:b/>
          <w:color w:val="000000" w:themeColor="text1"/>
          <w:sz w:val="24"/>
        </w:rPr>
      </w:pPr>
      <w:r>
        <w:rPr>
          <w:rFonts w:hint="eastAsia" w:ascii="宋体" w:hAnsi="宋体" w:cs="宋体"/>
          <w:b/>
          <w:color w:val="000000" w:themeColor="text1"/>
          <w:sz w:val="24"/>
        </w:rPr>
        <w:t>③</w:t>
      </w:r>
      <w:r>
        <w:rPr>
          <w:b/>
          <w:color w:val="000000" w:themeColor="text1"/>
          <w:sz w:val="24"/>
        </w:rPr>
        <w:t>生产废水处置措施</w:t>
      </w:r>
    </w:p>
    <w:p w14:paraId="40B32671">
      <w:pPr>
        <w:adjustRightInd w:val="0"/>
        <w:spacing w:line="360" w:lineRule="auto"/>
        <w:ind w:firstLine="480" w:firstLineChars="200"/>
        <w:rPr>
          <w:snapToGrid w:val="0"/>
          <w:color w:val="000000" w:themeColor="text1"/>
          <w:kern w:val="0"/>
          <w:sz w:val="24"/>
          <w:szCs w:val="20"/>
        </w:rPr>
      </w:pPr>
      <w:r>
        <w:rPr>
          <w:color w:val="000000" w:themeColor="text1"/>
          <w:sz w:val="24"/>
        </w:rPr>
        <w:t>清洗破碎废水产生量为29.66m</w:t>
      </w:r>
      <w:r>
        <w:rPr>
          <w:color w:val="000000" w:themeColor="text1"/>
          <w:sz w:val="24"/>
          <w:vertAlign w:val="superscript"/>
        </w:rPr>
        <w:t>3</w:t>
      </w:r>
      <w:r>
        <w:rPr>
          <w:color w:val="000000" w:themeColor="text1"/>
          <w:sz w:val="24"/>
        </w:rPr>
        <w:t>/d，</w:t>
      </w:r>
      <w:r>
        <w:rPr>
          <w:snapToGrid w:val="0"/>
          <w:color w:val="000000" w:themeColor="text1"/>
          <w:kern w:val="0"/>
          <w:sz w:val="24"/>
          <w:szCs w:val="20"/>
        </w:rPr>
        <w:t>经</w:t>
      </w:r>
      <w:r>
        <w:rPr>
          <w:color w:val="000000" w:themeColor="text1"/>
          <w:sz w:val="24"/>
        </w:rPr>
        <w:t>污水处理设施（隔油池+沉淀池）</w:t>
      </w:r>
      <w:r>
        <w:rPr>
          <w:snapToGrid w:val="0"/>
          <w:color w:val="000000" w:themeColor="text1"/>
          <w:kern w:val="0"/>
          <w:sz w:val="24"/>
          <w:szCs w:val="20"/>
        </w:rPr>
        <w:t>处理后，回用于生产。</w:t>
      </w:r>
    </w:p>
    <w:p w14:paraId="426BE9B2">
      <w:pPr>
        <w:adjustRightInd w:val="0"/>
        <w:spacing w:line="360" w:lineRule="auto"/>
        <w:ind w:firstLine="480" w:firstLineChars="200"/>
        <w:rPr>
          <w:b/>
          <w:snapToGrid w:val="0"/>
          <w:color w:val="FF0000"/>
          <w:kern w:val="0"/>
          <w:sz w:val="24"/>
          <w:szCs w:val="20"/>
        </w:rPr>
      </w:pPr>
      <w:r>
        <w:rPr>
          <w:rFonts w:hint="eastAsia" w:ascii="宋体" w:hAnsi="宋体" w:cs="宋体"/>
          <w:b/>
          <w:snapToGrid w:val="0"/>
          <w:color w:val="FF0000"/>
          <w:kern w:val="0"/>
          <w:sz w:val="24"/>
          <w:szCs w:val="20"/>
        </w:rPr>
        <w:t>④</w:t>
      </w:r>
      <w:r>
        <w:rPr>
          <w:b/>
          <w:snapToGrid w:val="0"/>
          <w:color w:val="FF0000"/>
          <w:kern w:val="0"/>
          <w:sz w:val="24"/>
          <w:szCs w:val="20"/>
        </w:rPr>
        <w:t>冷却循环水</w:t>
      </w:r>
    </w:p>
    <w:p w14:paraId="187BFB88">
      <w:pPr>
        <w:adjustRightInd w:val="0"/>
        <w:spacing w:line="360" w:lineRule="auto"/>
        <w:ind w:firstLine="480" w:firstLineChars="200"/>
        <w:rPr>
          <w:snapToGrid w:val="0"/>
          <w:color w:val="000000" w:themeColor="text1"/>
          <w:kern w:val="0"/>
          <w:sz w:val="24"/>
          <w:szCs w:val="20"/>
        </w:rPr>
      </w:pPr>
      <w:r>
        <w:rPr>
          <w:snapToGrid w:val="0"/>
          <w:color w:val="000000" w:themeColor="text1"/>
          <w:kern w:val="0"/>
          <w:sz w:val="24"/>
          <w:szCs w:val="20"/>
        </w:rPr>
        <w:t>造粒、编织袋拉丝冷却水循环使用，不外排。</w:t>
      </w:r>
    </w:p>
    <w:p w14:paraId="10FC87BD">
      <w:pPr>
        <w:spacing w:line="360" w:lineRule="auto"/>
        <w:ind w:firstLine="480" w:firstLineChars="200"/>
        <w:rPr>
          <w:b/>
          <w:color w:val="000000" w:themeColor="text1"/>
          <w:kern w:val="0"/>
          <w:sz w:val="24"/>
        </w:rPr>
      </w:pPr>
      <w:r>
        <w:rPr>
          <w:b/>
          <w:color w:val="000000" w:themeColor="text1"/>
          <w:kern w:val="0"/>
          <w:sz w:val="24"/>
        </w:rPr>
        <w:t>（2）废水污染物浓度</w:t>
      </w:r>
    </w:p>
    <w:p w14:paraId="13681BD0">
      <w:pPr>
        <w:adjustRightInd w:val="0"/>
        <w:spacing w:line="360" w:lineRule="auto"/>
        <w:ind w:firstLine="480" w:firstLineChars="200"/>
        <w:rPr>
          <w:color w:val="000000" w:themeColor="text1"/>
          <w:sz w:val="24"/>
          <w:lang w:val="zh-CN"/>
        </w:rPr>
      </w:pPr>
      <w:r>
        <w:rPr>
          <w:b/>
          <w:color w:val="000000" w:themeColor="text1"/>
          <w:sz w:val="24"/>
          <w:lang w:val="zh-CN"/>
        </w:rPr>
        <w:t>生产废水浓度：</w:t>
      </w:r>
      <w:r>
        <w:rPr>
          <w:color w:val="000000" w:themeColor="text1"/>
          <w:sz w:val="24"/>
          <w:lang w:val="zh-CN"/>
        </w:rPr>
        <w:t>类比《河源宏彩塑料制品有限公司年加工</w:t>
      </w:r>
      <w:r>
        <w:rPr>
          <w:color w:val="000000" w:themeColor="text1"/>
          <w:sz w:val="24"/>
        </w:rPr>
        <w:t>7.8</w:t>
      </w:r>
      <w:r>
        <w:rPr>
          <w:color w:val="000000" w:themeColor="text1"/>
          <w:sz w:val="24"/>
          <w:lang w:val="zh-CN"/>
        </w:rPr>
        <w:t>万吨废塑料项目》及</w:t>
      </w:r>
      <w:r>
        <w:rPr>
          <w:color w:val="000000" w:themeColor="text1"/>
          <w:kern w:val="0"/>
          <w:sz w:val="24"/>
        </w:rPr>
        <w:t>《临沂鸿泰塑业有限公司废旧塑料回收综合利用项目环保竣工验收报告》</w:t>
      </w:r>
      <w:r>
        <w:rPr>
          <w:color w:val="000000" w:themeColor="text1"/>
          <w:sz w:val="24"/>
          <w:lang w:val="zh-CN"/>
        </w:rPr>
        <w:t>中污水中污染物的浓度，该项目</w:t>
      </w:r>
      <w:r>
        <w:rPr>
          <w:color w:val="000000" w:themeColor="text1"/>
          <w:kern w:val="0"/>
          <w:sz w:val="24"/>
        </w:rPr>
        <w:t>原辅料及工艺与本项目大体一致；</w:t>
      </w:r>
    </w:p>
    <w:p w14:paraId="4E446182">
      <w:pPr>
        <w:adjustRightInd w:val="0"/>
        <w:spacing w:line="360" w:lineRule="auto"/>
        <w:ind w:firstLine="480" w:firstLineChars="200"/>
        <w:rPr>
          <w:color w:val="000000" w:themeColor="text1"/>
          <w:sz w:val="24"/>
        </w:rPr>
      </w:pPr>
      <w:r>
        <w:rPr>
          <w:color w:val="000000" w:themeColor="text1"/>
          <w:sz w:val="24"/>
        </w:rPr>
        <w:t>PH＞7，COD：1200mg/L、BOD</w:t>
      </w:r>
      <w:r>
        <w:rPr>
          <w:color w:val="000000" w:themeColor="text1"/>
          <w:sz w:val="24"/>
          <w:vertAlign w:val="subscript"/>
        </w:rPr>
        <w:t>5</w:t>
      </w:r>
      <w:r>
        <w:rPr>
          <w:color w:val="000000" w:themeColor="text1"/>
          <w:sz w:val="24"/>
        </w:rPr>
        <w:t>：850mg/L、氨氮：25mg/L、</w:t>
      </w:r>
      <w:r>
        <w:rPr>
          <w:color w:val="000000" w:themeColor="text1"/>
          <w:kern w:val="0"/>
          <w:sz w:val="24"/>
        </w:rPr>
        <w:t>总磷15</w:t>
      </w:r>
      <w:r>
        <w:rPr>
          <w:color w:val="000000" w:themeColor="text1"/>
          <w:sz w:val="24"/>
        </w:rPr>
        <w:t xml:space="preserve"> mg/L</w:t>
      </w:r>
      <w:r>
        <w:rPr>
          <w:color w:val="000000" w:themeColor="text1"/>
          <w:kern w:val="0"/>
          <w:sz w:val="24"/>
        </w:rPr>
        <w:t>、</w:t>
      </w:r>
      <w:r>
        <w:rPr>
          <w:color w:val="000000" w:themeColor="text1"/>
          <w:sz w:val="24"/>
        </w:rPr>
        <w:t>SS：800mg/L；</w:t>
      </w:r>
    </w:p>
    <w:p w14:paraId="3E9F2884">
      <w:pPr>
        <w:adjustRightInd w:val="0"/>
        <w:spacing w:line="360" w:lineRule="auto"/>
        <w:ind w:firstLine="480" w:firstLineChars="200"/>
        <w:rPr>
          <w:color w:val="000000" w:themeColor="text1"/>
          <w:sz w:val="24"/>
        </w:rPr>
      </w:pPr>
      <w:r>
        <w:rPr>
          <w:b/>
          <w:color w:val="000000" w:themeColor="text1"/>
          <w:sz w:val="24"/>
        </w:rPr>
        <w:t>生活废水浓度：</w:t>
      </w:r>
      <w:r>
        <w:rPr>
          <w:color w:val="000000" w:themeColor="text1"/>
          <w:sz w:val="24"/>
        </w:rPr>
        <w:t>COD：350mg/L、BOD</w:t>
      </w:r>
      <w:r>
        <w:rPr>
          <w:color w:val="000000" w:themeColor="text1"/>
          <w:sz w:val="24"/>
          <w:vertAlign w:val="subscript"/>
        </w:rPr>
        <w:t>5</w:t>
      </w:r>
      <w:r>
        <w:rPr>
          <w:color w:val="000000" w:themeColor="text1"/>
          <w:sz w:val="24"/>
        </w:rPr>
        <w:t>：200mg/L、氨氮：40mg/L、</w:t>
      </w:r>
      <w:r>
        <w:rPr>
          <w:color w:val="000000" w:themeColor="text1"/>
          <w:kern w:val="0"/>
          <w:sz w:val="24"/>
        </w:rPr>
        <w:t>总磷10</w:t>
      </w:r>
      <w:r>
        <w:rPr>
          <w:color w:val="000000" w:themeColor="text1"/>
          <w:sz w:val="24"/>
        </w:rPr>
        <w:t>mg/L</w:t>
      </w:r>
      <w:r>
        <w:rPr>
          <w:color w:val="000000" w:themeColor="text1"/>
          <w:kern w:val="0"/>
          <w:sz w:val="24"/>
        </w:rPr>
        <w:t>、</w:t>
      </w:r>
      <w:r>
        <w:rPr>
          <w:color w:val="000000" w:themeColor="text1"/>
          <w:sz w:val="24"/>
        </w:rPr>
        <w:t>SS：220mg/L；</w:t>
      </w:r>
    </w:p>
    <w:p w14:paraId="285B4484">
      <w:pPr>
        <w:jc w:val="center"/>
        <w:rPr>
          <w:b/>
          <w:color w:val="000000" w:themeColor="text1"/>
          <w:kern w:val="0"/>
          <w:sz w:val="24"/>
        </w:rPr>
      </w:pPr>
      <w:r>
        <w:rPr>
          <w:b/>
          <w:color w:val="000000" w:themeColor="text1"/>
          <w:kern w:val="0"/>
          <w:sz w:val="24"/>
        </w:rPr>
        <w:t>表3.5-2  项目废水污染物源强产排情况表</w:t>
      </w:r>
    </w:p>
    <w:tbl>
      <w:tblPr>
        <w:tblStyle w:val="42"/>
        <w:tblW w:w="5000" w:type="pct"/>
        <w:tblInd w:w="0" w:type="dxa"/>
        <w:tblLayout w:type="autofit"/>
        <w:tblCellMar>
          <w:top w:w="0" w:type="dxa"/>
          <w:left w:w="108" w:type="dxa"/>
          <w:bottom w:w="0" w:type="dxa"/>
          <w:right w:w="108" w:type="dxa"/>
        </w:tblCellMar>
      </w:tblPr>
      <w:tblGrid>
        <w:gridCol w:w="903"/>
        <w:gridCol w:w="1474"/>
        <w:gridCol w:w="1133"/>
        <w:gridCol w:w="1002"/>
        <w:gridCol w:w="1002"/>
        <w:gridCol w:w="1002"/>
        <w:gridCol w:w="1003"/>
        <w:gridCol w:w="1003"/>
      </w:tblGrid>
      <w:tr w14:paraId="47923926">
        <w:tblPrEx>
          <w:tblCellMar>
            <w:top w:w="0" w:type="dxa"/>
            <w:left w:w="108" w:type="dxa"/>
            <w:bottom w:w="0" w:type="dxa"/>
            <w:right w:w="108" w:type="dxa"/>
          </w:tblCellMar>
        </w:tblPrEx>
        <w:trPr>
          <w:trHeight w:val="20" w:hRule="atLeast"/>
        </w:trPr>
        <w:tc>
          <w:tcPr>
            <w:tcW w:w="1395" w:type="pct"/>
            <w:gridSpan w:val="2"/>
            <w:vMerge w:val="restart"/>
            <w:tcBorders>
              <w:top w:val="single" w:color="auto" w:sz="12" w:space="0"/>
              <w:left w:val="nil"/>
              <w:bottom w:val="single" w:color="000000" w:sz="8" w:space="0"/>
              <w:right w:val="single" w:color="000000" w:sz="8" w:space="0"/>
            </w:tcBorders>
            <w:shd w:val="clear" w:color="auto" w:fill="auto"/>
            <w:vAlign w:val="center"/>
          </w:tcPr>
          <w:p w14:paraId="631DDD46">
            <w:pPr>
              <w:widowControl/>
              <w:jc w:val="center"/>
              <w:rPr>
                <w:b/>
                <w:bCs/>
                <w:color w:val="000000"/>
                <w:kern w:val="0"/>
                <w:szCs w:val="21"/>
              </w:rPr>
            </w:pPr>
            <w:r>
              <w:rPr>
                <w:b/>
                <w:bCs/>
                <w:color w:val="000000"/>
                <w:kern w:val="0"/>
                <w:szCs w:val="21"/>
              </w:rPr>
              <w:t>污水来源</w:t>
            </w:r>
          </w:p>
        </w:tc>
        <w:tc>
          <w:tcPr>
            <w:tcW w:w="665" w:type="pct"/>
            <w:tcBorders>
              <w:top w:val="single" w:color="auto" w:sz="12" w:space="0"/>
              <w:left w:val="nil"/>
              <w:bottom w:val="nil"/>
              <w:right w:val="single" w:color="auto" w:sz="8" w:space="0"/>
            </w:tcBorders>
            <w:shd w:val="clear" w:color="auto" w:fill="auto"/>
            <w:vAlign w:val="center"/>
          </w:tcPr>
          <w:p w14:paraId="3114E942">
            <w:pPr>
              <w:widowControl/>
              <w:jc w:val="center"/>
              <w:rPr>
                <w:b/>
                <w:bCs/>
                <w:color w:val="000000"/>
                <w:kern w:val="0"/>
                <w:szCs w:val="21"/>
              </w:rPr>
            </w:pPr>
            <w:r>
              <w:rPr>
                <w:b/>
                <w:bCs/>
                <w:color w:val="000000"/>
                <w:kern w:val="0"/>
                <w:szCs w:val="21"/>
              </w:rPr>
              <w:t>排放量</w:t>
            </w:r>
          </w:p>
        </w:tc>
        <w:tc>
          <w:tcPr>
            <w:tcW w:w="2941" w:type="pct"/>
            <w:gridSpan w:val="5"/>
            <w:tcBorders>
              <w:top w:val="single" w:color="auto" w:sz="12" w:space="0"/>
              <w:left w:val="nil"/>
              <w:bottom w:val="single" w:color="auto" w:sz="8" w:space="0"/>
            </w:tcBorders>
            <w:shd w:val="clear" w:color="auto" w:fill="auto"/>
            <w:vAlign w:val="center"/>
          </w:tcPr>
          <w:p w14:paraId="46ABF840">
            <w:pPr>
              <w:widowControl/>
              <w:jc w:val="center"/>
              <w:rPr>
                <w:b/>
                <w:bCs/>
                <w:color w:val="000000"/>
                <w:kern w:val="0"/>
                <w:szCs w:val="21"/>
              </w:rPr>
            </w:pPr>
            <w:r>
              <w:rPr>
                <w:b/>
                <w:bCs/>
                <w:color w:val="000000"/>
                <w:kern w:val="0"/>
                <w:szCs w:val="21"/>
              </w:rPr>
              <w:t>水质（mg/L）</w:t>
            </w:r>
          </w:p>
        </w:tc>
      </w:tr>
      <w:tr w14:paraId="0C2281CB">
        <w:tblPrEx>
          <w:tblCellMar>
            <w:top w:w="0" w:type="dxa"/>
            <w:left w:w="108" w:type="dxa"/>
            <w:bottom w:w="0" w:type="dxa"/>
            <w:right w:w="108" w:type="dxa"/>
          </w:tblCellMar>
        </w:tblPrEx>
        <w:trPr>
          <w:trHeight w:val="20" w:hRule="atLeast"/>
        </w:trPr>
        <w:tc>
          <w:tcPr>
            <w:tcW w:w="1395" w:type="pct"/>
            <w:gridSpan w:val="2"/>
            <w:vMerge w:val="continue"/>
            <w:tcBorders>
              <w:top w:val="single" w:color="auto" w:sz="12" w:space="0"/>
              <w:left w:val="nil"/>
              <w:bottom w:val="single" w:color="000000" w:sz="8" w:space="0"/>
              <w:right w:val="single" w:color="000000" w:sz="8" w:space="0"/>
            </w:tcBorders>
            <w:vAlign w:val="center"/>
          </w:tcPr>
          <w:p w14:paraId="58C55E4E">
            <w:pPr>
              <w:widowControl/>
              <w:jc w:val="left"/>
              <w:rPr>
                <w:b/>
                <w:bCs/>
                <w:color w:val="000000"/>
                <w:kern w:val="0"/>
                <w:szCs w:val="21"/>
              </w:rPr>
            </w:pPr>
          </w:p>
        </w:tc>
        <w:tc>
          <w:tcPr>
            <w:tcW w:w="665" w:type="pct"/>
            <w:tcBorders>
              <w:top w:val="nil"/>
              <w:left w:val="nil"/>
              <w:bottom w:val="single" w:color="auto" w:sz="8" w:space="0"/>
              <w:right w:val="single" w:color="auto" w:sz="8" w:space="0"/>
            </w:tcBorders>
            <w:shd w:val="clear" w:color="auto" w:fill="auto"/>
            <w:vAlign w:val="center"/>
          </w:tcPr>
          <w:p w14:paraId="3250D414">
            <w:pPr>
              <w:widowControl/>
              <w:jc w:val="center"/>
              <w:rPr>
                <w:b/>
                <w:bCs/>
                <w:color w:val="000000"/>
                <w:kern w:val="0"/>
                <w:szCs w:val="21"/>
              </w:rPr>
            </w:pPr>
            <w:r>
              <w:rPr>
                <w:b/>
                <w:bCs/>
                <w:color w:val="000000"/>
                <w:kern w:val="0"/>
                <w:szCs w:val="21"/>
              </w:rPr>
              <w:t>万m</w:t>
            </w:r>
            <w:r>
              <w:rPr>
                <w:b/>
                <w:bCs/>
                <w:color w:val="000000"/>
                <w:kern w:val="0"/>
                <w:szCs w:val="21"/>
                <w:vertAlign w:val="superscript"/>
              </w:rPr>
              <w:t>3</w:t>
            </w:r>
            <w:r>
              <w:rPr>
                <w:b/>
                <w:bCs/>
                <w:color w:val="000000"/>
                <w:kern w:val="0"/>
                <w:szCs w:val="21"/>
              </w:rPr>
              <w:t>/a</w:t>
            </w:r>
          </w:p>
        </w:tc>
        <w:tc>
          <w:tcPr>
            <w:tcW w:w="588" w:type="pct"/>
            <w:tcBorders>
              <w:top w:val="nil"/>
              <w:left w:val="nil"/>
              <w:bottom w:val="single" w:color="auto" w:sz="8" w:space="0"/>
              <w:right w:val="single" w:color="auto" w:sz="8" w:space="0"/>
            </w:tcBorders>
            <w:shd w:val="clear" w:color="auto" w:fill="auto"/>
            <w:vAlign w:val="center"/>
          </w:tcPr>
          <w:p w14:paraId="584F3579">
            <w:pPr>
              <w:widowControl/>
              <w:jc w:val="center"/>
              <w:rPr>
                <w:rFonts w:eastAsia="等线"/>
                <w:color w:val="000000"/>
                <w:kern w:val="0"/>
                <w:szCs w:val="21"/>
              </w:rPr>
            </w:pPr>
            <w:r>
              <w:rPr>
                <w:rFonts w:eastAsia="等线"/>
                <w:color w:val="000000"/>
                <w:kern w:val="0"/>
                <w:szCs w:val="21"/>
              </w:rPr>
              <w:t>CODcr</w:t>
            </w:r>
          </w:p>
        </w:tc>
        <w:tc>
          <w:tcPr>
            <w:tcW w:w="588" w:type="pct"/>
            <w:tcBorders>
              <w:top w:val="nil"/>
              <w:left w:val="nil"/>
              <w:bottom w:val="single" w:color="auto" w:sz="8" w:space="0"/>
              <w:right w:val="single" w:color="auto" w:sz="8" w:space="0"/>
            </w:tcBorders>
            <w:shd w:val="clear" w:color="auto" w:fill="auto"/>
            <w:vAlign w:val="center"/>
          </w:tcPr>
          <w:p w14:paraId="6308420C">
            <w:pPr>
              <w:widowControl/>
              <w:jc w:val="center"/>
              <w:rPr>
                <w:rFonts w:eastAsia="等线"/>
                <w:color w:val="000000"/>
                <w:kern w:val="0"/>
                <w:szCs w:val="21"/>
              </w:rPr>
            </w:pPr>
            <w:r>
              <w:rPr>
                <w:rFonts w:eastAsia="等线"/>
                <w:color w:val="000000"/>
                <w:kern w:val="0"/>
                <w:szCs w:val="21"/>
              </w:rPr>
              <w:t>BOD</w:t>
            </w:r>
            <w:r>
              <w:rPr>
                <w:rFonts w:eastAsia="等线"/>
                <w:color w:val="000000"/>
                <w:kern w:val="0"/>
                <w:szCs w:val="21"/>
                <w:vertAlign w:val="subscript"/>
              </w:rPr>
              <w:t>5</w:t>
            </w:r>
          </w:p>
        </w:tc>
        <w:tc>
          <w:tcPr>
            <w:tcW w:w="588" w:type="pct"/>
            <w:tcBorders>
              <w:top w:val="nil"/>
              <w:left w:val="nil"/>
              <w:bottom w:val="single" w:color="auto" w:sz="8" w:space="0"/>
              <w:right w:val="single" w:color="auto" w:sz="8" w:space="0"/>
            </w:tcBorders>
            <w:shd w:val="clear" w:color="auto" w:fill="auto"/>
            <w:vAlign w:val="center"/>
          </w:tcPr>
          <w:p w14:paraId="1422FE95">
            <w:pPr>
              <w:widowControl/>
              <w:jc w:val="center"/>
              <w:rPr>
                <w:rFonts w:eastAsia="等线"/>
                <w:color w:val="000000"/>
                <w:kern w:val="0"/>
                <w:szCs w:val="21"/>
              </w:rPr>
            </w:pPr>
            <w:r>
              <w:rPr>
                <w:rFonts w:eastAsia="等线"/>
                <w:color w:val="000000"/>
                <w:kern w:val="0"/>
                <w:szCs w:val="21"/>
              </w:rPr>
              <w:t>SS</w:t>
            </w:r>
          </w:p>
        </w:tc>
        <w:tc>
          <w:tcPr>
            <w:tcW w:w="588" w:type="pct"/>
            <w:tcBorders>
              <w:top w:val="nil"/>
              <w:left w:val="nil"/>
              <w:bottom w:val="single" w:color="auto" w:sz="8" w:space="0"/>
              <w:right w:val="single" w:color="auto" w:sz="8" w:space="0"/>
            </w:tcBorders>
            <w:shd w:val="clear" w:color="auto" w:fill="auto"/>
            <w:vAlign w:val="center"/>
          </w:tcPr>
          <w:p w14:paraId="39DBFCE7">
            <w:pPr>
              <w:widowControl/>
              <w:jc w:val="center"/>
              <w:rPr>
                <w:rFonts w:eastAsia="等线"/>
                <w:color w:val="000000"/>
                <w:kern w:val="0"/>
                <w:szCs w:val="21"/>
              </w:rPr>
            </w:pPr>
            <w:r>
              <w:rPr>
                <w:rFonts w:eastAsia="等线"/>
                <w:color w:val="000000"/>
                <w:kern w:val="0"/>
                <w:szCs w:val="21"/>
              </w:rPr>
              <w:t>NH</w:t>
            </w:r>
            <w:r>
              <w:rPr>
                <w:rFonts w:eastAsia="等线"/>
                <w:color w:val="000000"/>
                <w:kern w:val="0"/>
                <w:szCs w:val="21"/>
                <w:vertAlign w:val="subscript"/>
              </w:rPr>
              <w:t>3</w:t>
            </w:r>
            <w:r>
              <w:rPr>
                <w:rFonts w:eastAsia="等线"/>
                <w:color w:val="000000"/>
                <w:kern w:val="0"/>
                <w:szCs w:val="21"/>
              </w:rPr>
              <w:t>-N</w:t>
            </w:r>
          </w:p>
        </w:tc>
        <w:tc>
          <w:tcPr>
            <w:tcW w:w="588" w:type="pct"/>
            <w:tcBorders>
              <w:top w:val="nil"/>
              <w:left w:val="nil"/>
              <w:bottom w:val="single" w:color="auto" w:sz="8" w:space="0"/>
            </w:tcBorders>
            <w:shd w:val="clear" w:color="auto" w:fill="auto"/>
            <w:vAlign w:val="center"/>
          </w:tcPr>
          <w:p w14:paraId="0180A831">
            <w:pPr>
              <w:widowControl/>
              <w:jc w:val="center"/>
              <w:rPr>
                <w:color w:val="000000"/>
                <w:kern w:val="0"/>
                <w:szCs w:val="21"/>
              </w:rPr>
            </w:pPr>
            <w:r>
              <w:rPr>
                <w:color w:val="000000"/>
                <w:kern w:val="0"/>
                <w:szCs w:val="21"/>
              </w:rPr>
              <w:t>总磷</w:t>
            </w:r>
          </w:p>
        </w:tc>
      </w:tr>
      <w:tr w14:paraId="3A0E0B39">
        <w:tblPrEx>
          <w:tblCellMar>
            <w:top w:w="0" w:type="dxa"/>
            <w:left w:w="108" w:type="dxa"/>
            <w:bottom w:w="0" w:type="dxa"/>
            <w:right w:w="108" w:type="dxa"/>
          </w:tblCellMar>
        </w:tblPrEx>
        <w:trPr>
          <w:trHeight w:val="20" w:hRule="atLeast"/>
        </w:trPr>
        <w:tc>
          <w:tcPr>
            <w:tcW w:w="530" w:type="pct"/>
            <w:vMerge w:val="restart"/>
            <w:tcBorders>
              <w:top w:val="nil"/>
              <w:left w:val="nil"/>
              <w:bottom w:val="single" w:color="000000" w:sz="8" w:space="0"/>
              <w:right w:val="single" w:color="auto" w:sz="8" w:space="0"/>
            </w:tcBorders>
            <w:shd w:val="clear" w:color="auto" w:fill="auto"/>
            <w:vAlign w:val="center"/>
          </w:tcPr>
          <w:p w14:paraId="498ECE2A">
            <w:pPr>
              <w:widowControl/>
              <w:jc w:val="center"/>
              <w:rPr>
                <w:color w:val="000000"/>
                <w:kern w:val="0"/>
                <w:szCs w:val="21"/>
              </w:rPr>
            </w:pPr>
            <w:r>
              <w:rPr>
                <w:color w:val="000000"/>
                <w:kern w:val="0"/>
                <w:szCs w:val="21"/>
              </w:rPr>
              <w:t>生活废水</w:t>
            </w:r>
          </w:p>
        </w:tc>
        <w:tc>
          <w:tcPr>
            <w:tcW w:w="865" w:type="pct"/>
            <w:tcBorders>
              <w:top w:val="nil"/>
              <w:left w:val="nil"/>
              <w:bottom w:val="single" w:color="auto" w:sz="8" w:space="0"/>
              <w:right w:val="single" w:color="auto" w:sz="8" w:space="0"/>
            </w:tcBorders>
            <w:shd w:val="clear" w:color="auto" w:fill="auto"/>
            <w:vAlign w:val="center"/>
          </w:tcPr>
          <w:p w14:paraId="4144E5F6">
            <w:pPr>
              <w:widowControl/>
              <w:jc w:val="center"/>
              <w:rPr>
                <w:color w:val="000000"/>
                <w:kern w:val="0"/>
                <w:szCs w:val="21"/>
              </w:rPr>
            </w:pPr>
            <w:r>
              <w:rPr>
                <w:color w:val="000000"/>
                <w:kern w:val="0"/>
                <w:szCs w:val="21"/>
              </w:rPr>
              <w:t>产生浓度</w:t>
            </w:r>
          </w:p>
        </w:tc>
        <w:tc>
          <w:tcPr>
            <w:tcW w:w="665" w:type="pct"/>
            <w:vMerge w:val="restart"/>
            <w:tcBorders>
              <w:top w:val="nil"/>
              <w:left w:val="single" w:color="auto" w:sz="8" w:space="0"/>
              <w:bottom w:val="single" w:color="000000" w:sz="8" w:space="0"/>
              <w:right w:val="single" w:color="auto" w:sz="8" w:space="0"/>
            </w:tcBorders>
            <w:shd w:val="clear" w:color="auto" w:fill="auto"/>
            <w:vAlign w:val="center"/>
          </w:tcPr>
          <w:p w14:paraId="347E176A">
            <w:pPr>
              <w:widowControl/>
              <w:jc w:val="center"/>
              <w:rPr>
                <w:rFonts w:eastAsia="等线"/>
                <w:b/>
                <w:bCs/>
                <w:color w:val="000000"/>
                <w:kern w:val="0"/>
                <w:szCs w:val="21"/>
              </w:rPr>
            </w:pPr>
            <w:r>
              <w:rPr>
                <w:rFonts w:eastAsia="等线"/>
                <w:b/>
                <w:bCs/>
                <w:color w:val="000000"/>
                <w:kern w:val="0"/>
                <w:szCs w:val="21"/>
              </w:rPr>
              <w:t>0.0528</w:t>
            </w:r>
          </w:p>
        </w:tc>
        <w:tc>
          <w:tcPr>
            <w:tcW w:w="588" w:type="pct"/>
            <w:tcBorders>
              <w:top w:val="nil"/>
              <w:left w:val="nil"/>
              <w:bottom w:val="single" w:color="auto" w:sz="8" w:space="0"/>
              <w:right w:val="single" w:color="auto" w:sz="8" w:space="0"/>
            </w:tcBorders>
            <w:shd w:val="clear" w:color="auto" w:fill="auto"/>
            <w:vAlign w:val="center"/>
          </w:tcPr>
          <w:p w14:paraId="24D4B75A">
            <w:pPr>
              <w:widowControl/>
              <w:jc w:val="center"/>
              <w:rPr>
                <w:rFonts w:eastAsia="等线"/>
                <w:color w:val="000000"/>
                <w:kern w:val="0"/>
                <w:szCs w:val="21"/>
              </w:rPr>
            </w:pPr>
            <w:r>
              <w:rPr>
                <w:rFonts w:eastAsia="等线"/>
                <w:color w:val="000000"/>
                <w:kern w:val="0"/>
                <w:szCs w:val="21"/>
              </w:rPr>
              <w:t>350</w:t>
            </w:r>
          </w:p>
        </w:tc>
        <w:tc>
          <w:tcPr>
            <w:tcW w:w="588" w:type="pct"/>
            <w:tcBorders>
              <w:top w:val="nil"/>
              <w:left w:val="nil"/>
              <w:bottom w:val="single" w:color="auto" w:sz="8" w:space="0"/>
              <w:right w:val="single" w:color="auto" w:sz="8" w:space="0"/>
            </w:tcBorders>
            <w:shd w:val="clear" w:color="auto" w:fill="auto"/>
            <w:vAlign w:val="center"/>
          </w:tcPr>
          <w:p w14:paraId="5FFAB21C">
            <w:pPr>
              <w:widowControl/>
              <w:jc w:val="center"/>
              <w:rPr>
                <w:rFonts w:eastAsia="等线"/>
                <w:color w:val="000000"/>
                <w:kern w:val="0"/>
                <w:szCs w:val="21"/>
              </w:rPr>
            </w:pPr>
            <w:r>
              <w:rPr>
                <w:rFonts w:eastAsia="等线"/>
                <w:color w:val="000000"/>
                <w:kern w:val="0"/>
                <w:szCs w:val="21"/>
              </w:rPr>
              <w:t>200</w:t>
            </w:r>
          </w:p>
        </w:tc>
        <w:tc>
          <w:tcPr>
            <w:tcW w:w="588" w:type="pct"/>
            <w:tcBorders>
              <w:top w:val="nil"/>
              <w:left w:val="nil"/>
              <w:bottom w:val="single" w:color="auto" w:sz="8" w:space="0"/>
              <w:right w:val="single" w:color="auto" w:sz="8" w:space="0"/>
            </w:tcBorders>
            <w:shd w:val="clear" w:color="auto" w:fill="auto"/>
            <w:vAlign w:val="center"/>
          </w:tcPr>
          <w:p w14:paraId="1198DCE8">
            <w:pPr>
              <w:widowControl/>
              <w:jc w:val="center"/>
              <w:rPr>
                <w:rFonts w:eastAsia="等线"/>
                <w:color w:val="000000"/>
                <w:kern w:val="0"/>
                <w:szCs w:val="21"/>
              </w:rPr>
            </w:pPr>
            <w:r>
              <w:rPr>
                <w:rFonts w:eastAsia="等线"/>
                <w:color w:val="000000"/>
                <w:kern w:val="0"/>
                <w:szCs w:val="21"/>
              </w:rPr>
              <w:t>220</w:t>
            </w:r>
          </w:p>
        </w:tc>
        <w:tc>
          <w:tcPr>
            <w:tcW w:w="588" w:type="pct"/>
            <w:tcBorders>
              <w:top w:val="nil"/>
              <w:left w:val="nil"/>
              <w:bottom w:val="single" w:color="auto" w:sz="8" w:space="0"/>
              <w:right w:val="single" w:color="auto" w:sz="8" w:space="0"/>
            </w:tcBorders>
            <w:shd w:val="clear" w:color="auto" w:fill="auto"/>
            <w:vAlign w:val="center"/>
          </w:tcPr>
          <w:p w14:paraId="6E1FA27C">
            <w:pPr>
              <w:widowControl/>
              <w:jc w:val="center"/>
              <w:rPr>
                <w:rFonts w:eastAsia="等线"/>
                <w:color w:val="000000"/>
                <w:kern w:val="0"/>
                <w:szCs w:val="21"/>
              </w:rPr>
            </w:pPr>
            <w:r>
              <w:rPr>
                <w:rFonts w:eastAsia="等线"/>
                <w:color w:val="000000"/>
                <w:kern w:val="0"/>
                <w:szCs w:val="21"/>
              </w:rPr>
              <w:t>40</w:t>
            </w:r>
          </w:p>
        </w:tc>
        <w:tc>
          <w:tcPr>
            <w:tcW w:w="588" w:type="pct"/>
            <w:tcBorders>
              <w:top w:val="nil"/>
              <w:left w:val="nil"/>
              <w:bottom w:val="single" w:color="auto" w:sz="8" w:space="0"/>
            </w:tcBorders>
            <w:shd w:val="clear" w:color="auto" w:fill="auto"/>
            <w:vAlign w:val="center"/>
          </w:tcPr>
          <w:p w14:paraId="7F795666">
            <w:pPr>
              <w:widowControl/>
              <w:jc w:val="center"/>
              <w:rPr>
                <w:rFonts w:eastAsia="等线"/>
                <w:color w:val="000000"/>
                <w:kern w:val="0"/>
                <w:szCs w:val="21"/>
              </w:rPr>
            </w:pPr>
            <w:r>
              <w:rPr>
                <w:rFonts w:eastAsia="等线"/>
                <w:color w:val="000000"/>
                <w:kern w:val="0"/>
                <w:szCs w:val="21"/>
              </w:rPr>
              <w:t>10</w:t>
            </w:r>
          </w:p>
        </w:tc>
      </w:tr>
      <w:tr w14:paraId="533F0D80">
        <w:tblPrEx>
          <w:tblCellMar>
            <w:top w:w="0" w:type="dxa"/>
            <w:left w:w="108" w:type="dxa"/>
            <w:bottom w:w="0" w:type="dxa"/>
            <w:right w:w="108" w:type="dxa"/>
          </w:tblCellMar>
        </w:tblPrEx>
        <w:trPr>
          <w:trHeight w:val="20" w:hRule="atLeast"/>
        </w:trPr>
        <w:tc>
          <w:tcPr>
            <w:tcW w:w="530" w:type="pct"/>
            <w:vMerge w:val="continue"/>
            <w:tcBorders>
              <w:top w:val="nil"/>
              <w:left w:val="nil"/>
              <w:bottom w:val="single" w:color="000000" w:sz="8" w:space="0"/>
              <w:right w:val="single" w:color="auto" w:sz="8" w:space="0"/>
            </w:tcBorders>
            <w:vAlign w:val="center"/>
          </w:tcPr>
          <w:p w14:paraId="0633AF49">
            <w:pPr>
              <w:widowControl/>
              <w:jc w:val="left"/>
              <w:rPr>
                <w:color w:val="000000"/>
                <w:kern w:val="0"/>
                <w:szCs w:val="21"/>
              </w:rPr>
            </w:pPr>
          </w:p>
        </w:tc>
        <w:tc>
          <w:tcPr>
            <w:tcW w:w="865" w:type="pct"/>
            <w:tcBorders>
              <w:top w:val="nil"/>
              <w:left w:val="nil"/>
              <w:bottom w:val="single" w:color="auto" w:sz="8" w:space="0"/>
              <w:right w:val="single" w:color="auto" w:sz="8" w:space="0"/>
            </w:tcBorders>
            <w:shd w:val="clear" w:color="auto" w:fill="auto"/>
            <w:vAlign w:val="center"/>
          </w:tcPr>
          <w:p w14:paraId="4717A5D5">
            <w:pPr>
              <w:widowControl/>
              <w:jc w:val="center"/>
              <w:rPr>
                <w:color w:val="000000"/>
                <w:kern w:val="0"/>
                <w:szCs w:val="21"/>
              </w:rPr>
            </w:pPr>
            <w:r>
              <w:rPr>
                <w:color w:val="000000"/>
                <w:kern w:val="0"/>
                <w:szCs w:val="21"/>
              </w:rPr>
              <w:t>产生量（t/a）</w:t>
            </w:r>
          </w:p>
        </w:tc>
        <w:tc>
          <w:tcPr>
            <w:tcW w:w="665" w:type="pct"/>
            <w:vMerge w:val="continue"/>
            <w:tcBorders>
              <w:top w:val="nil"/>
              <w:left w:val="single" w:color="auto" w:sz="8" w:space="0"/>
              <w:bottom w:val="single" w:color="000000" w:sz="8" w:space="0"/>
              <w:right w:val="single" w:color="auto" w:sz="8" w:space="0"/>
            </w:tcBorders>
            <w:vAlign w:val="center"/>
          </w:tcPr>
          <w:p w14:paraId="3A726B97">
            <w:pPr>
              <w:widowControl/>
              <w:jc w:val="left"/>
              <w:rPr>
                <w:rFonts w:eastAsia="等线"/>
                <w:b/>
                <w:bCs/>
                <w:color w:val="000000"/>
                <w:kern w:val="0"/>
                <w:szCs w:val="21"/>
              </w:rPr>
            </w:pPr>
          </w:p>
        </w:tc>
        <w:tc>
          <w:tcPr>
            <w:tcW w:w="588" w:type="pct"/>
            <w:tcBorders>
              <w:top w:val="nil"/>
              <w:left w:val="nil"/>
              <w:bottom w:val="single" w:color="auto" w:sz="8" w:space="0"/>
              <w:right w:val="single" w:color="auto" w:sz="8" w:space="0"/>
            </w:tcBorders>
            <w:shd w:val="clear" w:color="auto" w:fill="auto"/>
            <w:vAlign w:val="center"/>
          </w:tcPr>
          <w:p w14:paraId="6621A4D4">
            <w:pPr>
              <w:widowControl/>
              <w:jc w:val="center"/>
              <w:rPr>
                <w:rFonts w:eastAsia="等线"/>
                <w:color w:val="000000"/>
                <w:kern w:val="0"/>
                <w:szCs w:val="21"/>
              </w:rPr>
            </w:pPr>
            <w:r>
              <w:rPr>
                <w:rFonts w:eastAsia="等线"/>
                <w:color w:val="000000"/>
                <w:kern w:val="0"/>
                <w:szCs w:val="21"/>
              </w:rPr>
              <w:t xml:space="preserve">0.185 </w:t>
            </w:r>
          </w:p>
        </w:tc>
        <w:tc>
          <w:tcPr>
            <w:tcW w:w="588" w:type="pct"/>
            <w:tcBorders>
              <w:top w:val="nil"/>
              <w:left w:val="nil"/>
              <w:bottom w:val="single" w:color="auto" w:sz="8" w:space="0"/>
              <w:right w:val="single" w:color="auto" w:sz="8" w:space="0"/>
            </w:tcBorders>
            <w:shd w:val="clear" w:color="auto" w:fill="auto"/>
            <w:vAlign w:val="center"/>
          </w:tcPr>
          <w:p w14:paraId="7F8F1144">
            <w:pPr>
              <w:widowControl/>
              <w:jc w:val="center"/>
              <w:rPr>
                <w:rFonts w:eastAsia="等线"/>
                <w:color w:val="000000"/>
                <w:kern w:val="0"/>
                <w:szCs w:val="21"/>
              </w:rPr>
            </w:pPr>
            <w:r>
              <w:rPr>
                <w:rFonts w:eastAsia="等线"/>
                <w:color w:val="000000"/>
                <w:kern w:val="0"/>
                <w:szCs w:val="21"/>
              </w:rPr>
              <w:t xml:space="preserve">0.106 </w:t>
            </w:r>
          </w:p>
        </w:tc>
        <w:tc>
          <w:tcPr>
            <w:tcW w:w="588" w:type="pct"/>
            <w:tcBorders>
              <w:top w:val="nil"/>
              <w:left w:val="nil"/>
              <w:bottom w:val="single" w:color="auto" w:sz="8" w:space="0"/>
              <w:right w:val="single" w:color="auto" w:sz="8" w:space="0"/>
            </w:tcBorders>
            <w:shd w:val="clear" w:color="auto" w:fill="auto"/>
            <w:vAlign w:val="center"/>
          </w:tcPr>
          <w:p w14:paraId="586D8A5F">
            <w:pPr>
              <w:widowControl/>
              <w:jc w:val="center"/>
              <w:rPr>
                <w:rFonts w:eastAsia="等线"/>
                <w:color w:val="000000"/>
                <w:kern w:val="0"/>
                <w:szCs w:val="21"/>
              </w:rPr>
            </w:pPr>
            <w:r>
              <w:rPr>
                <w:rFonts w:eastAsia="等线"/>
                <w:color w:val="000000"/>
                <w:kern w:val="0"/>
                <w:szCs w:val="21"/>
              </w:rPr>
              <w:t xml:space="preserve">0.116 </w:t>
            </w:r>
          </w:p>
        </w:tc>
        <w:tc>
          <w:tcPr>
            <w:tcW w:w="588" w:type="pct"/>
            <w:tcBorders>
              <w:top w:val="nil"/>
              <w:left w:val="nil"/>
              <w:bottom w:val="single" w:color="auto" w:sz="8" w:space="0"/>
              <w:right w:val="single" w:color="auto" w:sz="8" w:space="0"/>
            </w:tcBorders>
            <w:shd w:val="clear" w:color="auto" w:fill="auto"/>
            <w:vAlign w:val="center"/>
          </w:tcPr>
          <w:p w14:paraId="60FF046B">
            <w:pPr>
              <w:widowControl/>
              <w:jc w:val="center"/>
              <w:rPr>
                <w:rFonts w:eastAsia="等线"/>
                <w:color w:val="000000"/>
                <w:kern w:val="0"/>
                <w:szCs w:val="21"/>
              </w:rPr>
            </w:pPr>
            <w:r>
              <w:rPr>
                <w:rFonts w:eastAsia="等线"/>
                <w:color w:val="000000"/>
                <w:kern w:val="0"/>
                <w:szCs w:val="21"/>
              </w:rPr>
              <w:t xml:space="preserve">0.021 </w:t>
            </w:r>
          </w:p>
        </w:tc>
        <w:tc>
          <w:tcPr>
            <w:tcW w:w="588" w:type="pct"/>
            <w:tcBorders>
              <w:top w:val="nil"/>
              <w:left w:val="nil"/>
              <w:bottom w:val="single" w:color="auto" w:sz="8" w:space="0"/>
            </w:tcBorders>
            <w:shd w:val="clear" w:color="auto" w:fill="auto"/>
            <w:vAlign w:val="center"/>
          </w:tcPr>
          <w:p w14:paraId="1D1C2E73">
            <w:pPr>
              <w:widowControl/>
              <w:jc w:val="center"/>
              <w:rPr>
                <w:rFonts w:eastAsia="等线"/>
                <w:color w:val="000000"/>
                <w:kern w:val="0"/>
                <w:szCs w:val="21"/>
              </w:rPr>
            </w:pPr>
            <w:r>
              <w:rPr>
                <w:rFonts w:eastAsia="等线"/>
                <w:color w:val="000000"/>
                <w:kern w:val="0"/>
                <w:szCs w:val="21"/>
              </w:rPr>
              <w:t xml:space="preserve">0.005 </w:t>
            </w:r>
          </w:p>
        </w:tc>
      </w:tr>
      <w:tr w14:paraId="041E80CC">
        <w:tblPrEx>
          <w:tblCellMar>
            <w:top w:w="0" w:type="dxa"/>
            <w:left w:w="108" w:type="dxa"/>
            <w:bottom w:w="0" w:type="dxa"/>
            <w:right w:w="108" w:type="dxa"/>
          </w:tblCellMar>
        </w:tblPrEx>
        <w:trPr>
          <w:trHeight w:val="20" w:hRule="atLeast"/>
        </w:trPr>
        <w:tc>
          <w:tcPr>
            <w:tcW w:w="530" w:type="pct"/>
            <w:vMerge w:val="restart"/>
            <w:tcBorders>
              <w:top w:val="nil"/>
              <w:left w:val="nil"/>
              <w:bottom w:val="single" w:color="000000" w:sz="8" w:space="0"/>
              <w:right w:val="single" w:color="auto" w:sz="8" w:space="0"/>
            </w:tcBorders>
            <w:shd w:val="clear" w:color="auto" w:fill="auto"/>
            <w:vAlign w:val="center"/>
          </w:tcPr>
          <w:p w14:paraId="5B829B37">
            <w:pPr>
              <w:widowControl/>
              <w:jc w:val="center"/>
              <w:rPr>
                <w:color w:val="000000"/>
                <w:kern w:val="0"/>
                <w:szCs w:val="21"/>
              </w:rPr>
            </w:pPr>
            <w:r>
              <w:rPr>
                <w:color w:val="000000"/>
                <w:kern w:val="0"/>
                <w:szCs w:val="21"/>
              </w:rPr>
              <w:t>生产废水</w:t>
            </w:r>
          </w:p>
        </w:tc>
        <w:tc>
          <w:tcPr>
            <w:tcW w:w="865" w:type="pct"/>
            <w:tcBorders>
              <w:top w:val="nil"/>
              <w:left w:val="nil"/>
              <w:bottom w:val="single" w:color="auto" w:sz="8" w:space="0"/>
              <w:right w:val="single" w:color="auto" w:sz="8" w:space="0"/>
            </w:tcBorders>
            <w:shd w:val="clear" w:color="auto" w:fill="auto"/>
            <w:vAlign w:val="center"/>
          </w:tcPr>
          <w:p w14:paraId="3EC9F4E4">
            <w:pPr>
              <w:widowControl/>
              <w:jc w:val="center"/>
              <w:rPr>
                <w:color w:val="000000"/>
                <w:kern w:val="0"/>
                <w:szCs w:val="21"/>
              </w:rPr>
            </w:pPr>
            <w:r>
              <w:rPr>
                <w:color w:val="000000"/>
                <w:kern w:val="0"/>
                <w:szCs w:val="21"/>
              </w:rPr>
              <w:t>产生浓度</w:t>
            </w:r>
          </w:p>
        </w:tc>
        <w:tc>
          <w:tcPr>
            <w:tcW w:w="665" w:type="pct"/>
            <w:vMerge w:val="restart"/>
            <w:tcBorders>
              <w:top w:val="nil"/>
              <w:left w:val="single" w:color="auto" w:sz="8" w:space="0"/>
              <w:bottom w:val="single" w:color="000000" w:sz="8" w:space="0"/>
              <w:right w:val="single" w:color="auto" w:sz="8" w:space="0"/>
            </w:tcBorders>
            <w:shd w:val="clear" w:color="auto" w:fill="auto"/>
            <w:vAlign w:val="center"/>
          </w:tcPr>
          <w:p w14:paraId="2E616FDA">
            <w:pPr>
              <w:widowControl/>
              <w:jc w:val="center"/>
              <w:rPr>
                <w:rFonts w:eastAsia="等线"/>
                <w:b/>
                <w:bCs/>
                <w:color w:val="000000"/>
                <w:kern w:val="0"/>
                <w:szCs w:val="21"/>
              </w:rPr>
            </w:pPr>
            <w:r>
              <w:rPr>
                <w:rFonts w:eastAsia="等线"/>
                <w:b/>
                <w:bCs/>
                <w:color w:val="000000"/>
                <w:kern w:val="0"/>
                <w:szCs w:val="21"/>
              </w:rPr>
              <w:t>0.8898</w:t>
            </w:r>
          </w:p>
        </w:tc>
        <w:tc>
          <w:tcPr>
            <w:tcW w:w="588" w:type="pct"/>
            <w:tcBorders>
              <w:top w:val="nil"/>
              <w:left w:val="nil"/>
              <w:bottom w:val="single" w:color="auto" w:sz="8" w:space="0"/>
              <w:right w:val="single" w:color="auto" w:sz="8" w:space="0"/>
            </w:tcBorders>
            <w:shd w:val="clear" w:color="auto" w:fill="auto"/>
            <w:vAlign w:val="center"/>
          </w:tcPr>
          <w:p w14:paraId="673F506B">
            <w:pPr>
              <w:widowControl/>
              <w:jc w:val="center"/>
              <w:rPr>
                <w:rFonts w:eastAsia="等线"/>
                <w:color w:val="000000"/>
                <w:kern w:val="0"/>
                <w:szCs w:val="21"/>
              </w:rPr>
            </w:pPr>
            <w:r>
              <w:rPr>
                <w:rFonts w:eastAsia="等线"/>
                <w:color w:val="000000"/>
                <w:kern w:val="0"/>
                <w:szCs w:val="21"/>
              </w:rPr>
              <w:t>1200</w:t>
            </w:r>
          </w:p>
        </w:tc>
        <w:tc>
          <w:tcPr>
            <w:tcW w:w="588" w:type="pct"/>
            <w:tcBorders>
              <w:top w:val="nil"/>
              <w:left w:val="nil"/>
              <w:bottom w:val="single" w:color="auto" w:sz="8" w:space="0"/>
              <w:right w:val="single" w:color="auto" w:sz="8" w:space="0"/>
            </w:tcBorders>
            <w:shd w:val="clear" w:color="auto" w:fill="auto"/>
            <w:vAlign w:val="center"/>
          </w:tcPr>
          <w:p w14:paraId="64B11632">
            <w:pPr>
              <w:widowControl/>
              <w:jc w:val="center"/>
              <w:rPr>
                <w:rFonts w:eastAsia="等线"/>
                <w:color w:val="000000"/>
                <w:kern w:val="0"/>
                <w:szCs w:val="21"/>
              </w:rPr>
            </w:pPr>
            <w:r>
              <w:rPr>
                <w:rFonts w:eastAsia="等线"/>
                <w:color w:val="000000"/>
                <w:kern w:val="0"/>
                <w:szCs w:val="21"/>
              </w:rPr>
              <w:t>850</w:t>
            </w:r>
          </w:p>
        </w:tc>
        <w:tc>
          <w:tcPr>
            <w:tcW w:w="588" w:type="pct"/>
            <w:tcBorders>
              <w:top w:val="nil"/>
              <w:left w:val="nil"/>
              <w:bottom w:val="single" w:color="auto" w:sz="8" w:space="0"/>
              <w:right w:val="single" w:color="auto" w:sz="8" w:space="0"/>
            </w:tcBorders>
            <w:shd w:val="clear" w:color="auto" w:fill="auto"/>
            <w:vAlign w:val="center"/>
          </w:tcPr>
          <w:p w14:paraId="2B545253">
            <w:pPr>
              <w:widowControl/>
              <w:jc w:val="center"/>
              <w:rPr>
                <w:rFonts w:eastAsia="等线"/>
                <w:color w:val="000000"/>
                <w:kern w:val="0"/>
                <w:szCs w:val="21"/>
              </w:rPr>
            </w:pPr>
            <w:r>
              <w:rPr>
                <w:rFonts w:eastAsia="等线"/>
                <w:color w:val="000000"/>
                <w:kern w:val="0"/>
                <w:szCs w:val="21"/>
              </w:rPr>
              <w:t>800</w:t>
            </w:r>
          </w:p>
        </w:tc>
        <w:tc>
          <w:tcPr>
            <w:tcW w:w="588" w:type="pct"/>
            <w:tcBorders>
              <w:top w:val="nil"/>
              <w:left w:val="nil"/>
              <w:bottom w:val="single" w:color="auto" w:sz="8" w:space="0"/>
              <w:right w:val="single" w:color="auto" w:sz="8" w:space="0"/>
            </w:tcBorders>
            <w:shd w:val="clear" w:color="auto" w:fill="auto"/>
            <w:vAlign w:val="center"/>
          </w:tcPr>
          <w:p w14:paraId="0B8D2CCC">
            <w:pPr>
              <w:widowControl/>
              <w:jc w:val="center"/>
              <w:rPr>
                <w:rFonts w:eastAsia="等线"/>
                <w:color w:val="000000"/>
                <w:kern w:val="0"/>
                <w:szCs w:val="21"/>
              </w:rPr>
            </w:pPr>
            <w:r>
              <w:rPr>
                <w:rFonts w:eastAsia="等线"/>
                <w:color w:val="000000"/>
                <w:kern w:val="0"/>
                <w:szCs w:val="21"/>
              </w:rPr>
              <w:t>25</w:t>
            </w:r>
          </w:p>
        </w:tc>
        <w:tc>
          <w:tcPr>
            <w:tcW w:w="588" w:type="pct"/>
            <w:tcBorders>
              <w:top w:val="nil"/>
              <w:left w:val="nil"/>
              <w:bottom w:val="single" w:color="auto" w:sz="8" w:space="0"/>
            </w:tcBorders>
            <w:shd w:val="clear" w:color="auto" w:fill="auto"/>
            <w:vAlign w:val="center"/>
          </w:tcPr>
          <w:p w14:paraId="18737509">
            <w:pPr>
              <w:widowControl/>
              <w:jc w:val="center"/>
              <w:rPr>
                <w:rFonts w:eastAsia="等线"/>
                <w:color w:val="000000"/>
                <w:kern w:val="0"/>
                <w:szCs w:val="21"/>
              </w:rPr>
            </w:pPr>
            <w:r>
              <w:rPr>
                <w:rFonts w:eastAsia="等线"/>
                <w:color w:val="000000"/>
                <w:kern w:val="0"/>
                <w:szCs w:val="21"/>
              </w:rPr>
              <w:t>15</w:t>
            </w:r>
          </w:p>
        </w:tc>
      </w:tr>
      <w:tr w14:paraId="2750C82B">
        <w:tblPrEx>
          <w:tblCellMar>
            <w:top w:w="0" w:type="dxa"/>
            <w:left w:w="108" w:type="dxa"/>
            <w:bottom w:w="0" w:type="dxa"/>
            <w:right w:w="108" w:type="dxa"/>
          </w:tblCellMar>
        </w:tblPrEx>
        <w:trPr>
          <w:trHeight w:val="20" w:hRule="atLeast"/>
        </w:trPr>
        <w:tc>
          <w:tcPr>
            <w:tcW w:w="530" w:type="pct"/>
            <w:vMerge w:val="continue"/>
            <w:tcBorders>
              <w:top w:val="nil"/>
              <w:left w:val="nil"/>
              <w:bottom w:val="single" w:color="000000" w:sz="8" w:space="0"/>
              <w:right w:val="single" w:color="auto" w:sz="8" w:space="0"/>
            </w:tcBorders>
            <w:vAlign w:val="center"/>
          </w:tcPr>
          <w:p w14:paraId="300F9D74">
            <w:pPr>
              <w:widowControl/>
              <w:jc w:val="left"/>
              <w:rPr>
                <w:color w:val="000000"/>
                <w:kern w:val="0"/>
                <w:szCs w:val="21"/>
              </w:rPr>
            </w:pPr>
          </w:p>
        </w:tc>
        <w:tc>
          <w:tcPr>
            <w:tcW w:w="865" w:type="pct"/>
            <w:tcBorders>
              <w:top w:val="nil"/>
              <w:left w:val="nil"/>
              <w:bottom w:val="single" w:color="auto" w:sz="8" w:space="0"/>
              <w:right w:val="single" w:color="auto" w:sz="8" w:space="0"/>
            </w:tcBorders>
            <w:shd w:val="clear" w:color="auto" w:fill="auto"/>
            <w:vAlign w:val="center"/>
          </w:tcPr>
          <w:p w14:paraId="3AC9D8D6">
            <w:pPr>
              <w:widowControl/>
              <w:jc w:val="center"/>
              <w:rPr>
                <w:color w:val="000000"/>
                <w:kern w:val="0"/>
                <w:szCs w:val="21"/>
              </w:rPr>
            </w:pPr>
            <w:r>
              <w:rPr>
                <w:color w:val="000000"/>
                <w:kern w:val="0"/>
                <w:szCs w:val="21"/>
              </w:rPr>
              <w:t>产生量（t/a）</w:t>
            </w:r>
          </w:p>
        </w:tc>
        <w:tc>
          <w:tcPr>
            <w:tcW w:w="665" w:type="pct"/>
            <w:vMerge w:val="continue"/>
            <w:tcBorders>
              <w:top w:val="nil"/>
              <w:left w:val="single" w:color="auto" w:sz="8" w:space="0"/>
              <w:bottom w:val="single" w:color="000000" w:sz="8" w:space="0"/>
              <w:right w:val="single" w:color="auto" w:sz="8" w:space="0"/>
            </w:tcBorders>
            <w:vAlign w:val="center"/>
          </w:tcPr>
          <w:p w14:paraId="7050F988">
            <w:pPr>
              <w:widowControl/>
              <w:jc w:val="left"/>
              <w:rPr>
                <w:rFonts w:eastAsia="等线"/>
                <w:b/>
                <w:bCs/>
                <w:color w:val="000000"/>
                <w:kern w:val="0"/>
                <w:szCs w:val="21"/>
              </w:rPr>
            </w:pPr>
          </w:p>
        </w:tc>
        <w:tc>
          <w:tcPr>
            <w:tcW w:w="588" w:type="pct"/>
            <w:tcBorders>
              <w:top w:val="nil"/>
              <w:left w:val="nil"/>
              <w:bottom w:val="single" w:color="auto" w:sz="8" w:space="0"/>
              <w:right w:val="single" w:color="auto" w:sz="8" w:space="0"/>
            </w:tcBorders>
            <w:shd w:val="clear" w:color="auto" w:fill="auto"/>
            <w:vAlign w:val="center"/>
          </w:tcPr>
          <w:p w14:paraId="0CCC2910">
            <w:pPr>
              <w:widowControl/>
              <w:jc w:val="center"/>
              <w:rPr>
                <w:rFonts w:eastAsia="等线"/>
                <w:color w:val="000000"/>
                <w:kern w:val="0"/>
                <w:szCs w:val="21"/>
              </w:rPr>
            </w:pPr>
            <w:r>
              <w:rPr>
                <w:rFonts w:eastAsia="等线"/>
                <w:color w:val="000000"/>
                <w:kern w:val="0"/>
                <w:szCs w:val="21"/>
              </w:rPr>
              <w:t xml:space="preserve">10.678 </w:t>
            </w:r>
          </w:p>
        </w:tc>
        <w:tc>
          <w:tcPr>
            <w:tcW w:w="588" w:type="pct"/>
            <w:tcBorders>
              <w:top w:val="nil"/>
              <w:left w:val="nil"/>
              <w:bottom w:val="single" w:color="auto" w:sz="8" w:space="0"/>
              <w:right w:val="single" w:color="auto" w:sz="8" w:space="0"/>
            </w:tcBorders>
            <w:shd w:val="clear" w:color="auto" w:fill="auto"/>
            <w:vAlign w:val="center"/>
          </w:tcPr>
          <w:p w14:paraId="50BC2171">
            <w:pPr>
              <w:widowControl/>
              <w:jc w:val="center"/>
              <w:rPr>
                <w:rFonts w:eastAsia="等线"/>
                <w:color w:val="000000"/>
                <w:kern w:val="0"/>
                <w:szCs w:val="21"/>
              </w:rPr>
            </w:pPr>
            <w:r>
              <w:rPr>
                <w:rFonts w:eastAsia="等线"/>
                <w:color w:val="000000"/>
                <w:kern w:val="0"/>
                <w:szCs w:val="21"/>
              </w:rPr>
              <w:t xml:space="preserve">7.563 </w:t>
            </w:r>
          </w:p>
        </w:tc>
        <w:tc>
          <w:tcPr>
            <w:tcW w:w="588" w:type="pct"/>
            <w:tcBorders>
              <w:top w:val="nil"/>
              <w:left w:val="nil"/>
              <w:bottom w:val="single" w:color="auto" w:sz="8" w:space="0"/>
              <w:right w:val="single" w:color="auto" w:sz="8" w:space="0"/>
            </w:tcBorders>
            <w:shd w:val="clear" w:color="auto" w:fill="auto"/>
            <w:vAlign w:val="center"/>
          </w:tcPr>
          <w:p w14:paraId="0248341D">
            <w:pPr>
              <w:widowControl/>
              <w:jc w:val="center"/>
              <w:rPr>
                <w:rFonts w:eastAsia="等线"/>
                <w:color w:val="000000"/>
                <w:kern w:val="0"/>
                <w:szCs w:val="21"/>
              </w:rPr>
            </w:pPr>
            <w:r>
              <w:rPr>
                <w:rFonts w:eastAsia="等线"/>
                <w:color w:val="000000"/>
                <w:kern w:val="0"/>
                <w:szCs w:val="21"/>
              </w:rPr>
              <w:t xml:space="preserve">7.118 </w:t>
            </w:r>
          </w:p>
        </w:tc>
        <w:tc>
          <w:tcPr>
            <w:tcW w:w="588" w:type="pct"/>
            <w:tcBorders>
              <w:top w:val="nil"/>
              <w:left w:val="nil"/>
              <w:bottom w:val="single" w:color="auto" w:sz="8" w:space="0"/>
              <w:right w:val="single" w:color="auto" w:sz="8" w:space="0"/>
            </w:tcBorders>
            <w:shd w:val="clear" w:color="auto" w:fill="auto"/>
            <w:vAlign w:val="center"/>
          </w:tcPr>
          <w:p w14:paraId="52FAA88D">
            <w:pPr>
              <w:widowControl/>
              <w:jc w:val="center"/>
              <w:rPr>
                <w:rFonts w:eastAsia="等线"/>
                <w:color w:val="000000"/>
                <w:kern w:val="0"/>
                <w:szCs w:val="21"/>
              </w:rPr>
            </w:pPr>
            <w:r>
              <w:rPr>
                <w:rFonts w:eastAsia="等线"/>
                <w:color w:val="000000"/>
                <w:kern w:val="0"/>
                <w:szCs w:val="21"/>
              </w:rPr>
              <w:t xml:space="preserve">0.222 </w:t>
            </w:r>
          </w:p>
        </w:tc>
        <w:tc>
          <w:tcPr>
            <w:tcW w:w="588" w:type="pct"/>
            <w:tcBorders>
              <w:top w:val="nil"/>
              <w:left w:val="nil"/>
              <w:bottom w:val="single" w:color="auto" w:sz="8" w:space="0"/>
            </w:tcBorders>
            <w:shd w:val="clear" w:color="auto" w:fill="auto"/>
            <w:vAlign w:val="center"/>
          </w:tcPr>
          <w:p w14:paraId="476DDE11">
            <w:pPr>
              <w:widowControl/>
              <w:jc w:val="center"/>
              <w:rPr>
                <w:rFonts w:eastAsia="等线"/>
                <w:color w:val="000000"/>
                <w:kern w:val="0"/>
                <w:szCs w:val="21"/>
              </w:rPr>
            </w:pPr>
            <w:r>
              <w:rPr>
                <w:rFonts w:eastAsia="等线"/>
                <w:color w:val="000000"/>
                <w:kern w:val="0"/>
                <w:szCs w:val="21"/>
              </w:rPr>
              <w:t xml:space="preserve">0.133 </w:t>
            </w:r>
          </w:p>
        </w:tc>
      </w:tr>
      <w:tr w14:paraId="0EDFBAFD">
        <w:tblPrEx>
          <w:tblCellMar>
            <w:top w:w="0" w:type="dxa"/>
            <w:left w:w="108" w:type="dxa"/>
            <w:bottom w:w="0" w:type="dxa"/>
            <w:right w:w="108" w:type="dxa"/>
          </w:tblCellMar>
        </w:tblPrEx>
        <w:trPr>
          <w:trHeight w:val="20" w:hRule="atLeast"/>
        </w:trPr>
        <w:tc>
          <w:tcPr>
            <w:tcW w:w="530" w:type="pct"/>
            <w:vMerge w:val="restart"/>
            <w:tcBorders>
              <w:top w:val="nil"/>
              <w:left w:val="nil"/>
              <w:bottom w:val="single" w:color="000000" w:sz="12" w:space="0"/>
              <w:right w:val="single" w:color="auto" w:sz="8" w:space="0"/>
            </w:tcBorders>
            <w:shd w:val="clear" w:color="auto" w:fill="auto"/>
            <w:vAlign w:val="center"/>
          </w:tcPr>
          <w:p w14:paraId="227B5BD2">
            <w:pPr>
              <w:widowControl/>
              <w:jc w:val="center"/>
              <w:rPr>
                <w:color w:val="000000"/>
                <w:kern w:val="0"/>
                <w:szCs w:val="21"/>
              </w:rPr>
            </w:pPr>
            <w:r>
              <w:rPr>
                <w:color w:val="000000"/>
                <w:kern w:val="0"/>
                <w:szCs w:val="21"/>
              </w:rPr>
              <w:t>合计</w:t>
            </w:r>
          </w:p>
        </w:tc>
        <w:tc>
          <w:tcPr>
            <w:tcW w:w="865" w:type="pct"/>
            <w:tcBorders>
              <w:top w:val="nil"/>
              <w:left w:val="nil"/>
              <w:bottom w:val="single" w:color="auto" w:sz="8" w:space="0"/>
              <w:right w:val="single" w:color="auto" w:sz="8" w:space="0"/>
            </w:tcBorders>
            <w:shd w:val="clear" w:color="auto" w:fill="auto"/>
            <w:vAlign w:val="center"/>
          </w:tcPr>
          <w:p w14:paraId="5989C776">
            <w:pPr>
              <w:widowControl/>
              <w:jc w:val="center"/>
              <w:rPr>
                <w:color w:val="000000"/>
                <w:kern w:val="0"/>
                <w:szCs w:val="21"/>
              </w:rPr>
            </w:pPr>
            <w:r>
              <w:rPr>
                <w:color w:val="000000"/>
                <w:kern w:val="0"/>
                <w:szCs w:val="21"/>
              </w:rPr>
              <w:t>产生浓度</w:t>
            </w:r>
          </w:p>
        </w:tc>
        <w:tc>
          <w:tcPr>
            <w:tcW w:w="665" w:type="pct"/>
            <w:vMerge w:val="restart"/>
            <w:tcBorders>
              <w:top w:val="nil"/>
              <w:left w:val="single" w:color="auto" w:sz="8" w:space="0"/>
              <w:bottom w:val="single" w:color="000000" w:sz="8" w:space="0"/>
              <w:right w:val="single" w:color="auto" w:sz="8" w:space="0"/>
            </w:tcBorders>
            <w:shd w:val="clear" w:color="auto" w:fill="auto"/>
            <w:vAlign w:val="center"/>
          </w:tcPr>
          <w:p w14:paraId="0486A4AE">
            <w:pPr>
              <w:widowControl/>
              <w:jc w:val="center"/>
              <w:rPr>
                <w:rFonts w:eastAsia="等线"/>
                <w:b/>
                <w:bCs/>
                <w:color w:val="000000"/>
                <w:kern w:val="0"/>
                <w:szCs w:val="21"/>
              </w:rPr>
            </w:pPr>
            <w:r>
              <w:rPr>
                <w:rFonts w:eastAsia="等线"/>
                <w:b/>
                <w:bCs/>
                <w:color w:val="000000"/>
                <w:kern w:val="0"/>
                <w:szCs w:val="21"/>
              </w:rPr>
              <w:t>0.9426</w:t>
            </w:r>
          </w:p>
        </w:tc>
        <w:tc>
          <w:tcPr>
            <w:tcW w:w="588" w:type="pct"/>
            <w:tcBorders>
              <w:top w:val="nil"/>
              <w:left w:val="nil"/>
              <w:bottom w:val="single" w:color="auto" w:sz="8" w:space="0"/>
              <w:right w:val="single" w:color="auto" w:sz="8" w:space="0"/>
            </w:tcBorders>
            <w:shd w:val="clear" w:color="auto" w:fill="auto"/>
            <w:vAlign w:val="center"/>
          </w:tcPr>
          <w:p w14:paraId="37B67919">
            <w:pPr>
              <w:widowControl/>
              <w:jc w:val="center"/>
              <w:rPr>
                <w:rFonts w:eastAsia="等线"/>
                <w:color w:val="000000"/>
                <w:kern w:val="0"/>
                <w:szCs w:val="21"/>
              </w:rPr>
            </w:pPr>
            <w:r>
              <w:rPr>
                <w:rFonts w:eastAsia="等线"/>
                <w:color w:val="000000"/>
                <w:kern w:val="0"/>
                <w:szCs w:val="21"/>
              </w:rPr>
              <w:t xml:space="preserve">1152.39 </w:t>
            </w:r>
          </w:p>
        </w:tc>
        <w:tc>
          <w:tcPr>
            <w:tcW w:w="588" w:type="pct"/>
            <w:tcBorders>
              <w:top w:val="nil"/>
              <w:left w:val="nil"/>
              <w:bottom w:val="single" w:color="auto" w:sz="8" w:space="0"/>
              <w:right w:val="single" w:color="auto" w:sz="8" w:space="0"/>
            </w:tcBorders>
            <w:shd w:val="clear" w:color="auto" w:fill="auto"/>
            <w:vAlign w:val="center"/>
          </w:tcPr>
          <w:p w14:paraId="595894C5">
            <w:pPr>
              <w:widowControl/>
              <w:jc w:val="center"/>
              <w:rPr>
                <w:rFonts w:eastAsia="等线"/>
                <w:color w:val="000000"/>
                <w:kern w:val="0"/>
                <w:szCs w:val="21"/>
              </w:rPr>
            </w:pPr>
            <w:r>
              <w:rPr>
                <w:rFonts w:eastAsia="等线"/>
                <w:color w:val="000000"/>
                <w:kern w:val="0"/>
                <w:szCs w:val="21"/>
              </w:rPr>
              <w:t xml:space="preserve">813.59 </w:t>
            </w:r>
          </w:p>
        </w:tc>
        <w:tc>
          <w:tcPr>
            <w:tcW w:w="588" w:type="pct"/>
            <w:tcBorders>
              <w:top w:val="nil"/>
              <w:left w:val="nil"/>
              <w:bottom w:val="single" w:color="auto" w:sz="8" w:space="0"/>
              <w:right w:val="single" w:color="auto" w:sz="8" w:space="0"/>
            </w:tcBorders>
            <w:shd w:val="clear" w:color="auto" w:fill="auto"/>
            <w:vAlign w:val="center"/>
          </w:tcPr>
          <w:p w14:paraId="6D52F064">
            <w:pPr>
              <w:widowControl/>
              <w:jc w:val="center"/>
              <w:rPr>
                <w:rFonts w:eastAsia="等线"/>
                <w:color w:val="000000"/>
                <w:kern w:val="0"/>
                <w:szCs w:val="21"/>
              </w:rPr>
            </w:pPr>
            <w:r>
              <w:rPr>
                <w:rFonts w:eastAsia="等线"/>
                <w:color w:val="000000"/>
                <w:kern w:val="0"/>
                <w:szCs w:val="21"/>
              </w:rPr>
              <w:t xml:space="preserve">767.51 </w:t>
            </w:r>
          </w:p>
        </w:tc>
        <w:tc>
          <w:tcPr>
            <w:tcW w:w="588" w:type="pct"/>
            <w:tcBorders>
              <w:top w:val="nil"/>
              <w:left w:val="nil"/>
              <w:bottom w:val="single" w:color="auto" w:sz="8" w:space="0"/>
              <w:right w:val="single" w:color="auto" w:sz="8" w:space="0"/>
            </w:tcBorders>
            <w:shd w:val="clear" w:color="auto" w:fill="auto"/>
            <w:vAlign w:val="center"/>
          </w:tcPr>
          <w:p w14:paraId="40CA3822">
            <w:pPr>
              <w:widowControl/>
              <w:jc w:val="center"/>
              <w:rPr>
                <w:rFonts w:eastAsia="等线"/>
                <w:color w:val="000000"/>
                <w:kern w:val="0"/>
                <w:szCs w:val="21"/>
              </w:rPr>
            </w:pPr>
            <w:r>
              <w:rPr>
                <w:rFonts w:eastAsia="等线"/>
                <w:color w:val="000000"/>
                <w:kern w:val="0"/>
                <w:szCs w:val="21"/>
              </w:rPr>
              <w:t xml:space="preserve">25.84 </w:t>
            </w:r>
          </w:p>
        </w:tc>
        <w:tc>
          <w:tcPr>
            <w:tcW w:w="588" w:type="pct"/>
            <w:tcBorders>
              <w:top w:val="nil"/>
              <w:left w:val="nil"/>
              <w:bottom w:val="single" w:color="auto" w:sz="8" w:space="0"/>
            </w:tcBorders>
            <w:shd w:val="clear" w:color="auto" w:fill="auto"/>
            <w:vAlign w:val="center"/>
          </w:tcPr>
          <w:p w14:paraId="7943E965">
            <w:pPr>
              <w:widowControl/>
              <w:jc w:val="center"/>
              <w:rPr>
                <w:rFonts w:eastAsia="等线"/>
                <w:color w:val="000000"/>
                <w:kern w:val="0"/>
                <w:szCs w:val="21"/>
              </w:rPr>
            </w:pPr>
            <w:r>
              <w:rPr>
                <w:rFonts w:eastAsia="等线"/>
                <w:color w:val="000000"/>
                <w:kern w:val="0"/>
                <w:szCs w:val="21"/>
              </w:rPr>
              <w:t xml:space="preserve">14.72 </w:t>
            </w:r>
          </w:p>
        </w:tc>
      </w:tr>
      <w:tr w14:paraId="33FD4E7D">
        <w:tblPrEx>
          <w:tblCellMar>
            <w:top w:w="0" w:type="dxa"/>
            <w:left w:w="108" w:type="dxa"/>
            <w:bottom w:w="0" w:type="dxa"/>
            <w:right w:w="108" w:type="dxa"/>
          </w:tblCellMar>
        </w:tblPrEx>
        <w:trPr>
          <w:trHeight w:val="20" w:hRule="atLeast"/>
        </w:trPr>
        <w:tc>
          <w:tcPr>
            <w:tcW w:w="530" w:type="pct"/>
            <w:vMerge w:val="continue"/>
            <w:tcBorders>
              <w:top w:val="nil"/>
              <w:left w:val="nil"/>
              <w:bottom w:val="single" w:color="000000" w:sz="12" w:space="0"/>
              <w:right w:val="single" w:color="auto" w:sz="8" w:space="0"/>
            </w:tcBorders>
            <w:vAlign w:val="center"/>
          </w:tcPr>
          <w:p w14:paraId="2394DE1D">
            <w:pPr>
              <w:widowControl/>
              <w:jc w:val="left"/>
              <w:rPr>
                <w:color w:val="000000"/>
                <w:kern w:val="0"/>
                <w:szCs w:val="21"/>
              </w:rPr>
            </w:pPr>
          </w:p>
        </w:tc>
        <w:tc>
          <w:tcPr>
            <w:tcW w:w="865" w:type="pct"/>
            <w:tcBorders>
              <w:top w:val="nil"/>
              <w:left w:val="nil"/>
              <w:bottom w:val="single" w:color="auto" w:sz="8" w:space="0"/>
              <w:right w:val="single" w:color="auto" w:sz="8" w:space="0"/>
            </w:tcBorders>
            <w:shd w:val="clear" w:color="auto" w:fill="auto"/>
            <w:vAlign w:val="center"/>
          </w:tcPr>
          <w:p w14:paraId="5F657797">
            <w:pPr>
              <w:widowControl/>
              <w:jc w:val="center"/>
              <w:rPr>
                <w:color w:val="000000"/>
                <w:kern w:val="0"/>
                <w:szCs w:val="21"/>
              </w:rPr>
            </w:pPr>
            <w:r>
              <w:rPr>
                <w:color w:val="000000"/>
                <w:kern w:val="0"/>
                <w:szCs w:val="21"/>
              </w:rPr>
              <w:t>产生量（t/a）</w:t>
            </w:r>
          </w:p>
        </w:tc>
        <w:tc>
          <w:tcPr>
            <w:tcW w:w="665" w:type="pct"/>
            <w:vMerge w:val="continue"/>
            <w:tcBorders>
              <w:top w:val="nil"/>
              <w:left w:val="single" w:color="auto" w:sz="8" w:space="0"/>
              <w:bottom w:val="single" w:color="000000" w:sz="8" w:space="0"/>
              <w:right w:val="single" w:color="auto" w:sz="8" w:space="0"/>
            </w:tcBorders>
            <w:vAlign w:val="center"/>
          </w:tcPr>
          <w:p w14:paraId="7C407798">
            <w:pPr>
              <w:widowControl/>
              <w:jc w:val="left"/>
              <w:rPr>
                <w:rFonts w:eastAsia="等线"/>
                <w:b/>
                <w:bCs/>
                <w:color w:val="000000"/>
                <w:kern w:val="0"/>
                <w:szCs w:val="21"/>
              </w:rPr>
            </w:pPr>
          </w:p>
        </w:tc>
        <w:tc>
          <w:tcPr>
            <w:tcW w:w="588" w:type="pct"/>
            <w:tcBorders>
              <w:top w:val="nil"/>
              <w:left w:val="nil"/>
              <w:bottom w:val="single" w:color="auto" w:sz="8" w:space="0"/>
              <w:right w:val="single" w:color="auto" w:sz="8" w:space="0"/>
            </w:tcBorders>
            <w:shd w:val="clear" w:color="auto" w:fill="auto"/>
            <w:vAlign w:val="center"/>
          </w:tcPr>
          <w:p w14:paraId="278077BA">
            <w:pPr>
              <w:widowControl/>
              <w:jc w:val="center"/>
              <w:rPr>
                <w:rFonts w:eastAsia="等线"/>
                <w:color w:val="000000"/>
                <w:kern w:val="0"/>
                <w:szCs w:val="21"/>
              </w:rPr>
            </w:pPr>
            <w:r>
              <w:rPr>
                <w:rFonts w:eastAsia="等线"/>
                <w:color w:val="000000"/>
                <w:kern w:val="0"/>
                <w:szCs w:val="21"/>
              </w:rPr>
              <w:t xml:space="preserve">10.862 </w:t>
            </w:r>
          </w:p>
        </w:tc>
        <w:tc>
          <w:tcPr>
            <w:tcW w:w="588" w:type="pct"/>
            <w:tcBorders>
              <w:top w:val="nil"/>
              <w:left w:val="nil"/>
              <w:bottom w:val="single" w:color="auto" w:sz="8" w:space="0"/>
              <w:right w:val="single" w:color="auto" w:sz="8" w:space="0"/>
            </w:tcBorders>
            <w:shd w:val="clear" w:color="auto" w:fill="auto"/>
            <w:vAlign w:val="center"/>
          </w:tcPr>
          <w:p w14:paraId="2A5A63FC">
            <w:pPr>
              <w:widowControl/>
              <w:jc w:val="center"/>
              <w:rPr>
                <w:rFonts w:eastAsia="等线"/>
                <w:color w:val="000000"/>
                <w:kern w:val="0"/>
                <w:szCs w:val="21"/>
              </w:rPr>
            </w:pPr>
            <w:r>
              <w:rPr>
                <w:rFonts w:eastAsia="等线"/>
                <w:color w:val="000000"/>
                <w:kern w:val="0"/>
                <w:szCs w:val="21"/>
              </w:rPr>
              <w:t xml:space="preserve">7.669 </w:t>
            </w:r>
          </w:p>
        </w:tc>
        <w:tc>
          <w:tcPr>
            <w:tcW w:w="588" w:type="pct"/>
            <w:tcBorders>
              <w:top w:val="nil"/>
              <w:left w:val="nil"/>
              <w:bottom w:val="single" w:color="auto" w:sz="8" w:space="0"/>
              <w:right w:val="single" w:color="auto" w:sz="8" w:space="0"/>
            </w:tcBorders>
            <w:shd w:val="clear" w:color="auto" w:fill="auto"/>
            <w:vAlign w:val="center"/>
          </w:tcPr>
          <w:p w14:paraId="2508C0A8">
            <w:pPr>
              <w:widowControl/>
              <w:jc w:val="center"/>
              <w:rPr>
                <w:rFonts w:eastAsia="等线"/>
                <w:color w:val="000000"/>
                <w:kern w:val="0"/>
                <w:szCs w:val="21"/>
              </w:rPr>
            </w:pPr>
            <w:r>
              <w:rPr>
                <w:rFonts w:eastAsia="等线"/>
                <w:color w:val="000000"/>
                <w:kern w:val="0"/>
                <w:szCs w:val="21"/>
              </w:rPr>
              <w:t xml:space="preserve">7.235 </w:t>
            </w:r>
          </w:p>
        </w:tc>
        <w:tc>
          <w:tcPr>
            <w:tcW w:w="588" w:type="pct"/>
            <w:tcBorders>
              <w:top w:val="nil"/>
              <w:left w:val="nil"/>
              <w:bottom w:val="single" w:color="auto" w:sz="8" w:space="0"/>
              <w:right w:val="single" w:color="auto" w:sz="8" w:space="0"/>
            </w:tcBorders>
            <w:shd w:val="clear" w:color="auto" w:fill="auto"/>
            <w:vAlign w:val="center"/>
          </w:tcPr>
          <w:p w14:paraId="3AE5D9E9">
            <w:pPr>
              <w:widowControl/>
              <w:jc w:val="center"/>
              <w:rPr>
                <w:rFonts w:eastAsia="等线"/>
                <w:color w:val="000000"/>
                <w:kern w:val="0"/>
                <w:szCs w:val="21"/>
              </w:rPr>
            </w:pPr>
            <w:r>
              <w:rPr>
                <w:rFonts w:eastAsia="等线"/>
                <w:color w:val="000000"/>
                <w:kern w:val="0"/>
                <w:szCs w:val="21"/>
              </w:rPr>
              <w:t xml:space="preserve">0.244 </w:t>
            </w:r>
          </w:p>
        </w:tc>
        <w:tc>
          <w:tcPr>
            <w:tcW w:w="588" w:type="pct"/>
            <w:tcBorders>
              <w:top w:val="nil"/>
              <w:left w:val="nil"/>
              <w:bottom w:val="single" w:color="auto" w:sz="8" w:space="0"/>
            </w:tcBorders>
            <w:shd w:val="clear" w:color="auto" w:fill="auto"/>
            <w:vAlign w:val="center"/>
          </w:tcPr>
          <w:p w14:paraId="6FD1B4CE">
            <w:pPr>
              <w:widowControl/>
              <w:jc w:val="center"/>
              <w:rPr>
                <w:rFonts w:eastAsia="等线"/>
                <w:color w:val="000000"/>
                <w:kern w:val="0"/>
                <w:szCs w:val="21"/>
              </w:rPr>
            </w:pPr>
            <w:r>
              <w:rPr>
                <w:rFonts w:eastAsia="等线"/>
                <w:color w:val="000000"/>
                <w:kern w:val="0"/>
                <w:szCs w:val="21"/>
              </w:rPr>
              <w:t xml:space="preserve">0.139 </w:t>
            </w:r>
          </w:p>
        </w:tc>
      </w:tr>
      <w:tr w14:paraId="7B2A2D3F">
        <w:tblPrEx>
          <w:tblCellMar>
            <w:top w:w="0" w:type="dxa"/>
            <w:left w:w="108" w:type="dxa"/>
            <w:bottom w:w="0" w:type="dxa"/>
            <w:right w:w="108" w:type="dxa"/>
          </w:tblCellMar>
        </w:tblPrEx>
        <w:trPr>
          <w:trHeight w:val="20" w:hRule="atLeast"/>
        </w:trPr>
        <w:tc>
          <w:tcPr>
            <w:tcW w:w="530" w:type="pct"/>
            <w:vMerge w:val="continue"/>
            <w:tcBorders>
              <w:top w:val="nil"/>
              <w:left w:val="nil"/>
              <w:bottom w:val="single" w:color="000000" w:sz="12" w:space="0"/>
              <w:right w:val="single" w:color="auto" w:sz="8" w:space="0"/>
            </w:tcBorders>
            <w:vAlign w:val="center"/>
          </w:tcPr>
          <w:p w14:paraId="7E5F48E0">
            <w:pPr>
              <w:widowControl/>
              <w:jc w:val="left"/>
              <w:rPr>
                <w:color w:val="000000"/>
                <w:kern w:val="0"/>
                <w:szCs w:val="21"/>
              </w:rPr>
            </w:pPr>
          </w:p>
        </w:tc>
        <w:tc>
          <w:tcPr>
            <w:tcW w:w="865" w:type="pct"/>
            <w:tcBorders>
              <w:top w:val="nil"/>
              <w:left w:val="nil"/>
              <w:bottom w:val="single" w:color="auto" w:sz="8" w:space="0"/>
              <w:right w:val="single" w:color="auto" w:sz="8" w:space="0"/>
            </w:tcBorders>
            <w:shd w:val="clear" w:color="auto" w:fill="auto"/>
            <w:vAlign w:val="center"/>
          </w:tcPr>
          <w:p w14:paraId="46A4EA1F">
            <w:pPr>
              <w:widowControl/>
              <w:jc w:val="center"/>
              <w:rPr>
                <w:color w:val="000000"/>
                <w:kern w:val="0"/>
                <w:szCs w:val="21"/>
              </w:rPr>
            </w:pPr>
            <w:r>
              <w:rPr>
                <w:color w:val="000000"/>
                <w:kern w:val="0"/>
                <w:szCs w:val="21"/>
              </w:rPr>
              <w:t>排放量</w:t>
            </w:r>
          </w:p>
        </w:tc>
        <w:tc>
          <w:tcPr>
            <w:tcW w:w="665" w:type="pct"/>
            <w:tcBorders>
              <w:top w:val="nil"/>
              <w:left w:val="nil"/>
              <w:bottom w:val="single" w:color="auto" w:sz="8" w:space="0"/>
              <w:right w:val="single" w:color="auto" w:sz="8" w:space="0"/>
            </w:tcBorders>
            <w:shd w:val="clear" w:color="auto" w:fill="auto"/>
            <w:vAlign w:val="center"/>
          </w:tcPr>
          <w:p w14:paraId="72FCB32B">
            <w:pPr>
              <w:widowControl/>
              <w:jc w:val="center"/>
              <w:rPr>
                <w:rFonts w:eastAsia="等线"/>
                <w:b/>
                <w:bCs/>
                <w:color w:val="000000"/>
                <w:kern w:val="0"/>
                <w:szCs w:val="21"/>
              </w:rPr>
            </w:pPr>
            <w:r>
              <w:rPr>
                <w:rFonts w:eastAsia="等线"/>
                <w:b/>
                <w:bCs/>
                <w:color w:val="000000"/>
                <w:kern w:val="0"/>
                <w:szCs w:val="21"/>
              </w:rPr>
              <w:t>0</w:t>
            </w:r>
          </w:p>
        </w:tc>
        <w:tc>
          <w:tcPr>
            <w:tcW w:w="588" w:type="pct"/>
            <w:tcBorders>
              <w:top w:val="nil"/>
              <w:left w:val="nil"/>
              <w:bottom w:val="single" w:color="auto" w:sz="8" w:space="0"/>
              <w:right w:val="single" w:color="auto" w:sz="8" w:space="0"/>
            </w:tcBorders>
            <w:shd w:val="clear" w:color="auto" w:fill="auto"/>
            <w:vAlign w:val="center"/>
          </w:tcPr>
          <w:p w14:paraId="65F11F70">
            <w:pPr>
              <w:widowControl/>
              <w:jc w:val="center"/>
              <w:rPr>
                <w:rFonts w:eastAsia="等线"/>
                <w:color w:val="000000"/>
                <w:kern w:val="0"/>
                <w:szCs w:val="21"/>
              </w:rPr>
            </w:pPr>
            <w:r>
              <w:rPr>
                <w:rFonts w:eastAsia="等线"/>
                <w:color w:val="000000"/>
                <w:kern w:val="0"/>
                <w:szCs w:val="21"/>
              </w:rPr>
              <w:t>0</w:t>
            </w:r>
          </w:p>
        </w:tc>
        <w:tc>
          <w:tcPr>
            <w:tcW w:w="588" w:type="pct"/>
            <w:tcBorders>
              <w:top w:val="nil"/>
              <w:left w:val="nil"/>
              <w:bottom w:val="single" w:color="auto" w:sz="8" w:space="0"/>
              <w:right w:val="single" w:color="auto" w:sz="8" w:space="0"/>
            </w:tcBorders>
            <w:shd w:val="clear" w:color="auto" w:fill="auto"/>
            <w:vAlign w:val="center"/>
          </w:tcPr>
          <w:p w14:paraId="0771C62B">
            <w:pPr>
              <w:widowControl/>
              <w:jc w:val="center"/>
              <w:rPr>
                <w:rFonts w:eastAsia="等线"/>
                <w:color w:val="000000"/>
                <w:kern w:val="0"/>
                <w:szCs w:val="21"/>
              </w:rPr>
            </w:pPr>
            <w:r>
              <w:rPr>
                <w:rFonts w:eastAsia="等线"/>
                <w:color w:val="000000"/>
                <w:kern w:val="0"/>
                <w:szCs w:val="21"/>
              </w:rPr>
              <w:t>0</w:t>
            </w:r>
          </w:p>
        </w:tc>
        <w:tc>
          <w:tcPr>
            <w:tcW w:w="588" w:type="pct"/>
            <w:tcBorders>
              <w:top w:val="nil"/>
              <w:left w:val="nil"/>
              <w:bottom w:val="single" w:color="auto" w:sz="8" w:space="0"/>
              <w:right w:val="single" w:color="auto" w:sz="8" w:space="0"/>
            </w:tcBorders>
            <w:shd w:val="clear" w:color="auto" w:fill="auto"/>
            <w:vAlign w:val="center"/>
          </w:tcPr>
          <w:p w14:paraId="72DAF1FD">
            <w:pPr>
              <w:widowControl/>
              <w:jc w:val="center"/>
              <w:rPr>
                <w:rFonts w:eastAsia="等线"/>
                <w:color w:val="000000"/>
                <w:kern w:val="0"/>
                <w:szCs w:val="21"/>
              </w:rPr>
            </w:pPr>
            <w:r>
              <w:rPr>
                <w:rFonts w:eastAsia="等线"/>
                <w:color w:val="000000"/>
                <w:kern w:val="0"/>
                <w:szCs w:val="21"/>
              </w:rPr>
              <w:t>0</w:t>
            </w:r>
          </w:p>
        </w:tc>
        <w:tc>
          <w:tcPr>
            <w:tcW w:w="588" w:type="pct"/>
            <w:tcBorders>
              <w:top w:val="nil"/>
              <w:left w:val="nil"/>
              <w:bottom w:val="single" w:color="auto" w:sz="8" w:space="0"/>
              <w:right w:val="single" w:color="auto" w:sz="8" w:space="0"/>
            </w:tcBorders>
            <w:shd w:val="clear" w:color="auto" w:fill="auto"/>
            <w:vAlign w:val="center"/>
          </w:tcPr>
          <w:p w14:paraId="3215AA54">
            <w:pPr>
              <w:widowControl/>
              <w:jc w:val="center"/>
              <w:rPr>
                <w:rFonts w:eastAsia="等线"/>
                <w:color w:val="000000"/>
                <w:kern w:val="0"/>
                <w:szCs w:val="21"/>
              </w:rPr>
            </w:pPr>
            <w:r>
              <w:rPr>
                <w:rFonts w:eastAsia="等线"/>
                <w:color w:val="000000"/>
                <w:kern w:val="0"/>
                <w:szCs w:val="21"/>
              </w:rPr>
              <w:t>0</w:t>
            </w:r>
          </w:p>
        </w:tc>
        <w:tc>
          <w:tcPr>
            <w:tcW w:w="588" w:type="pct"/>
            <w:tcBorders>
              <w:top w:val="nil"/>
              <w:left w:val="nil"/>
              <w:bottom w:val="single" w:color="auto" w:sz="8" w:space="0"/>
            </w:tcBorders>
            <w:shd w:val="clear" w:color="auto" w:fill="auto"/>
            <w:vAlign w:val="center"/>
          </w:tcPr>
          <w:p w14:paraId="511F8DFA">
            <w:pPr>
              <w:widowControl/>
              <w:jc w:val="center"/>
              <w:rPr>
                <w:rFonts w:eastAsia="等线"/>
                <w:color w:val="000000"/>
                <w:kern w:val="0"/>
                <w:szCs w:val="21"/>
              </w:rPr>
            </w:pPr>
            <w:r>
              <w:rPr>
                <w:rFonts w:eastAsia="等线"/>
                <w:color w:val="000000"/>
                <w:kern w:val="0"/>
                <w:szCs w:val="21"/>
              </w:rPr>
              <w:t>0</w:t>
            </w:r>
          </w:p>
        </w:tc>
      </w:tr>
      <w:tr w14:paraId="2D4CEBD8">
        <w:tblPrEx>
          <w:tblCellMar>
            <w:top w:w="0" w:type="dxa"/>
            <w:left w:w="108" w:type="dxa"/>
            <w:bottom w:w="0" w:type="dxa"/>
            <w:right w:w="108" w:type="dxa"/>
          </w:tblCellMar>
        </w:tblPrEx>
        <w:trPr>
          <w:trHeight w:val="20" w:hRule="atLeast"/>
        </w:trPr>
        <w:tc>
          <w:tcPr>
            <w:tcW w:w="530" w:type="pct"/>
            <w:vMerge w:val="continue"/>
            <w:tcBorders>
              <w:top w:val="nil"/>
              <w:left w:val="nil"/>
              <w:bottom w:val="single" w:color="000000" w:sz="12" w:space="0"/>
              <w:right w:val="single" w:color="auto" w:sz="8" w:space="0"/>
            </w:tcBorders>
            <w:vAlign w:val="center"/>
          </w:tcPr>
          <w:p w14:paraId="545B46D1">
            <w:pPr>
              <w:widowControl/>
              <w:jc w:val="left"/>
              <w:rPr>
                <w:color w:val="000000"/>
                <w:kern w:val="0"/>
                <w:szCs w:val="21"/>
              </w:rPr>
            </w:pPr>
          </w:p>
        </w:tc>
        <w:tc>
          <w:tcPr>
            <w:tcW w:w="865" w:type="pct"/>
            <w:tcBorders>
              <w:top w:val="nil"/>
              <w:left w:val="nil"/>
              <w:bottom w:val="single" w:color="auto" w:sz="12" w:space="0"/>
              <w:right w:val="single" w:color="auto" w:sz="8" w:space="0"/>
            </w:tcBorders>
            <w:shd w:val="clear" w:color="auto" w:fill="auto"/>
            <w:vAlign w:val="center"/>
          </w:tcPr>
          <w:p w14:paraId="6AFAB067">
            <w:pPr>
              <w:widowControl/>
              <w:jc w:val="center"/>
              <w:rPr>
                <w:color w:val="000000"/>
                <w:kern w:val="0"/>
                <w:szCs w:val="21"/>
              </w:rPr>
            </w:pPr>
            <w:r>
              <w:rPr>
                <w:color w:val="000000"/>
                <w:kern w:val="0"/>
                <w:szCs w:val="21"/>
              </w:rPr>
              <w:t>消减量</w:t>
            </w:r>
          </w:p>
        </w:tc>
        <w:tc>
          <w:tcPr>
            <w:tcW w:w="665" w:type="pct"/>
            <w:tcBorders>
              <w:top w:val="nil"/>
              <w:left w:val="nil"/>
              <w:bottom w:val="single" w:color="auto" w:sz="12" w:space="0"/>
              <w:right w:val="single" w:color="auto" w:sz="8" w:space="0"/>
            </w:tcBorders>
            <w:shd w:val="clear" w:color="auto" w:fill="auto"/>
            <w:vAlign w:val="center"/>
          </w:tcPr>
          <w:p w14:paraId="21E86335">
            <w:pPr>
              <w:widowControl/>
              <w:jc w:val="center"/>
              <w:rPr>
                <w:rFonts w:eastAsia="等线"/>
                <w:b/>
                <w:bCs/>
                <w:color w:val="000000"/>
                <w:kern w:val="0"/>
                <w:szCs w:val="21"/>
              </w:rPr>
            </w:pPr>
            <w:r>
              <w:rPr>
                <w:rFonts w:eastAsia="等线"/>
                <w:b/>
                <w:bCs/>
                <w:color w:val="000000"/>
                <w:kern w:val="0"/>
                <w:szCs w:val="21"/>
              </w:rPr>
              <w:t>0.9426</w:t>
            </w:r>
          </w:p>
        </w:tc>
        <w:tc>
          <w:tcPr>
            <w:tcW w:w="588" w:type="pct"/>
            <w:tcBorders>
              <w:top w:val="nil"/>
              <w:left w:val="nil"/>
              <w:bottom w:val="single" w:color="auto" w:sz="12" w:space="0"/>
              <w:right w:val="single" w:color="auto" w:sz="8" w:space="0"/>
            </w:tcBorders>
            <w:shd w:val="clear" w:color="auto" w:fill="auto"/>
            <w:vAlign w:val="center"/>
          </w:tcPr>
          <w:p w14:paraId="45995C05">
            <w:pPr>
              <w:widowControl/>
              <w:jc w:val="center"/>
              <w:rPr>
                <w:rFonts w:eastAsia="等线"/>
                <w:color w:val="000000"/>
                <w:kern w:val="0"/>
                <w:szCs w:val="21"/>
              </w:rPr>
            </w:pPr>
            <w:r>
              <w:rPr>
                <w:rFonts w:eastAsia="等线"/>
                <w:color w:val="000000"/>
                <w:kern w:val="0"/>
                <w:szCs w:val="21"/>
              </w:rPr>
              <w:t xml:space="preserve">10.862 </w:t>
            </w:r>
          </w:p>
        </w:tc>
        <w:tc>
          <w:tcPr>
            <w:tcW w:w="588" w:type="pct"/>
            <w:tcBorders>
              <w:top w:val="nil"/>
              <w:left w:val="nil"/>
              <w:bottom w:val="single" w:color="auto" w:sz="12" w:space="0"/>
              <w:right w:val="single" w:color="auto" w:sz="8" w:space="0"/>
            </w:tcBorders>
            <w:shd w:val="clear" w:color="auto" w:fill="auto"/>
            <w:vAlign w:val="center"/>
          </w:tcPr>
          <w:p w14:paraId="56D5E4D3">
            <w:pPr>
              <w:widowControl/>
              <w:jc w:val="center"/>
              <w:rPr>
                <w:rFonts w:eastAsia="等线"/>
                <w:color w:val="000000"/>
                <w:kern w:val="0"/>
                <w:szCs w:val="21"/>
              </w:rPr>
            </w:pPr>
            <w:r>
              <w:rPr>
                <w:rFonts w:eastAsia="等线"/>
                <w:color w:val="000000"/>
                <w:kern w:val="0"/>
                <w:szCs w:val="21"/>
              </w:rPr>
              <w:t xml:space="preserve">7.669 </w:t>
            </w:r>
          </w:p>
        </w:tc>
        <w:tc>
          <w:tcPr>
            <w:tcW w:w="588" w:type="pct"/>
            <w:tcBorders>
              <w:top w:val="nil"/>
              <w:left w:val="nil"/>
              <w:bottom w:val="single" w:color="auto" w:sz="12" w:space="0"/>
              <w:right w:val="single" w:color="auto" w:sz="8" w:space="0"/>
            </w:tcBorders>
            <w:shd w:val="clear" w:color="auto" w:fill="auto"/>
            <w:vAlign w:val="center"/>
          </w:tcPr>
          <w:p w14:paraId="4B5382B8">
            <w:pPr>
              <w:widowControl/>
              <w:jc w:val="center"/>
              <w:rPr>
                <w:rFonts w:eastAsia="等线"/>
                <w:color w:val="000000"/>
                <w:kern w:val="0"/>
                <w:szCs w:val="21"/>
              </w:rPr>
            </w:pPr>
            <w:r>
              <w:rPr>
                <w:rFonts w:eastAsia="等线"/>
                <w:color w:val="000000"/>
                <w:kern w:val="0"/>
                <w:szCs w:val="21"/>
              </w:rPr>
              <w:t xml:space="preserve">7.235 </w:t>
            </w:r>
          </w:p>
        </w:tc>
        <w:tc>
          <w:tcPr>
            <w:tcW w:w="588" w:type="pct"/>
            <w:tcBorders>
              <w:top w:val="nil"/>
              <w:left w:val="nil"/>
              <w:bottom w:val="single" w:color="auto" w:sz="12" w:space="0"/>
              <w:right w:val="single" w:color="auto" w:sz="8" w:space="0"/>
            </w:tcBorders>
            <w:shd w:val="clear" w:color="auto" w:fill="auto"/>
            <w:vAlign w:val="center"/>
          </w:tcPr>
          <w:p w14:paraId="0B5D0930">
            <w:pPr>
              <w:widowControl/>
              <w:jc w:val="center"/>
              <w:rPr>
                <w:rFonts w:eastAsia="等线"/>
                <w:color w:val="000000"/>
                <w:kern w:val="0"/>
                <w:szCs w:val="21"/>
              </w:rPr>
            </w:pPr>
            <w:r>
              <w:rPr>
                <w:rFonts w:eastAsia="等线"/>
                <w:color w:val="000000"/>
                <w:kern w:val="0"/>
                <w:szCs w:val="21"/>
              </w:rPr>
              <w:t xml:space="preserve">0.244 </w:t>
            </w:r>
          </w:p>
        </w:tc>
        <w:tc>
          <w:tcPr>
            <w:tcW w:w="588" w:type="pct"/>
            <w:tcBorders>
              <w:top w:val="nil"/>
              <w:left w:val="nil"/>
              <w:bottom w:val="single" w:color="auto" w:sz="12" w:space="0"/>
            </w:tcBorders>
            <w:shd w:val="clear" w:color="auto" w:fill="auto"/>
            <w:vAlign w:val="center"/>
          </w:tcPr>
          <w:p w14:paraId="2A85FE9F">
            <w:pPr>
              <w:widowControl/>
              <w:jc w:val="center"/>
              <w:rPr>
                <w:rFonts w:eastAsia="等线"/>
                <w:color w:val="000000"/>
                <w:kern w:val="0"/>
                <w:szCs w:val="21"/>
              </w:rPr>
            </w:pPr>
            <w:r>
              <w:rPr>
                <w:rFonts w:eastAsia="等线"/>
                <w:color w:val="000000"/>
                <w:kern w:val="0"/>
                <w:szCs w:val="21"/>
              </w:rPr>
              <w:t xml:space="preserve">0.139 </w:t>
            </w:r>
          </w:p>
        </w:tc>
      </w:tr>
    </w:tbl>
    <w:p w14:paraId="46B3FB7B">
      <w:pPr>
        <w:pStyle w:val="105"/>
        <w:rPr>
          <w:rFonts w:cs="Times New Roman"/>
          <w:color w:val="000000" w:themeColor="text1"/>
        </w:rPr>
      </w:pPr>
      <w:r>
        <w:rPr>
          <w:rFonts w:cs="Times New Roman"/>
          <w:color w:val="000000" w:themeColor="text1"/>
        </w:rPr>
        <w:t>3.5.3 固废</w:t>
      </w:r>
    </w:p>
    <w:p w14:paraId="03DE425F">
      <w:pPr>
        <w:spacing w:line="360" w:lineRule="auto"/>
        <w:ind w:firstLine="480" w:firstLineChars="200"/>
        <w:rPr>
          <w:color w:val="000000" w:themeColor="text1"/>
          <w:kern w:val="0"/>
          <w:sz w:val="24"/>
        </w:rPr>
      </w:pPr>
      <w:r>
        <w:rPr>
          <w:color w:val="000000" w:themeColor="text1"/>
          <w:kern w:val="0"/>
          <w:sz w:val="24"/>
        </w:rPr>
        <w:t>项目运营期固体废物主要包括生产过程中产生的手选杂物、员工日常生活产生的生活垃圾、</w:t>
      </w:r>
      <w:r>
        <w:rPr>
          <w:color w:val="000000" w:themeColor="text1"/>
          <w:sz w:val="24"/>
        </w:rPr>
        <w:t>污水处理设施（隔油池+沉淀池）</w:t>
      </w:r>
      <w:r>
        <w:rPr>
          <w:color w:val="000000" w:themeColor="text1"/>
          <w:kern w:val="0"/>
          <w:sz w:val="24"/>
        </w:rPr>
        <w:t>污泥。</w:t>
      </w:r>
    </w:p>
    <w:p w14:paraId="4E855458">
      <w:pPr>
        <w:spacing w:line="360" w:lineRule="auto"/>
        <w:ind w:firstLine="480" w:firstLineChars="200"/>
        <w:rPr>
          <w:b/>
          <w:color w:val="000000" w:themeColor="text1"/>
          <w:kern w:val="0"/>
          <w:sz w:val="24"/>
        </w:rPr>
      </w:pPr>
      <w:r>
        <w:rPr>
          <w:b/>
          <w:color w:val="000000" w:themeColor="text1"/>
          <w:kern w:val="0"/>
          <w:sz w:val="24"/>
        </w:rPr>
        <w:t>1、一般工业固废</w:t>
      </w:r>
    </w:p>
    <w:p w14:paraId="6219E3BA">
      <w:pPr>
        <w:spacing w:line="360" w:lineRule="auto"/>
        <w:ind w:firstLine="480" w:firstLineChars="200"/>
        <w:jc w:val="left"/>
        <w:rPr>
          <w:b/>
          <w:color w:val="000000" w:themeColor="text1"/>
          <w:kern w:val="0"/>
          <w:sz w:val="24"/>
        </w:rPr>
      </w:pPr>
      <w:r>
        <w:rPr>
          <w:rFonts w:hint="eastAsia" w:ascii="宋体" w:hAnsi="宋体" w:cs="宋体"/>
          <w:b/>
          <w:color w:val="000000" w:themeColor="text1"/>
          <w:kern w:val="0"/>
          <w:sz w:val="24"/>
        </w:rPr>
        <w:t>①</w:t>
      </w:r>
      <w:r>
        <w:rPr>
          <w:b/>
          <w:color w:val="000000" w:themeColor="text1"/>
          <w:kern w:val="0"/>
          <w:sz w:val="24"/>
        </w:rPr>
        <w:t>拆包、人工分选杂物</w:t>
      </w:r>
    </w:p>
    <w:p w14:paraId="71392D0C">
      <w:pPr>
        <w:spacing w:line="360" w:lineRule="auto"/>
        <w:ind w:firstLine="480" w:firstLineChars="200"/>
        <w:rPr>
          <w:color w:val="000000" w:themeColor="text1"/>
          <w:kern w:val="0"/>
          <w:sz w:val="24"/>
        </w:rPr>
      </w:pPr>
      <w:r>
        <w:rPr>
          <w:color w:val="000000" w:themeColor="text1"/>
          <w:kern w:val="0"/>
          <w:sz w:val="24"/>
        </w:rPr>
        <w:t>本项目经拆包、人工分选出的杂物约</w:t>
      </w:r>
      <w:r>
        <w:rPr>
          <w:color w:val="FF0000"/>
          <w:kern w:val="0"/>
          <w:sz w:val="24"/>
        </w:rPr>
        <w:t>3t/a</w:t>
      </w:r>
      <w:r>
        <w:rPr>
          <w:color w:val="000000" w:themeColor="text1"/>
          <w:kern w:val="0"/>
          <w:sz w:val="24"/>
        </w:rPr>
        <w:t>，杂物主要为金属、大块砂渣等，属于一般工业固体废物，分类收集后，一部分外卖，其余外运至最近村庄垃圾收集点处理，禁止随意丢弃。</w:t>
      </w:r>
    </w:p>
    <w:p w14:paraId="794E2CE2">
      <w:pPr>
        <w:spacing w:line="360" w:lineRule="auto"/>
        <w:ind w:firstLine="480" w:firstLineChars="200"/>
        <w:rPr>
          <w:b/>
          <w:color w:val="000000" w:themeColor="text1"/>
          <w:kern w:val="0"/>
          <w:sz w:val="24"/>
        </w:rPr>
      </w:pPr>
      <w:r>
        <w:rPr>
          <w:rFonts w:hint="eastAsia" w:ascii="宋体" w:hAnsi="宋体" w:cs="宋体"/>
          <w:b/>
          <w:color w:val="000000" w:themeColor="text1"/>
          <w:kern w:val="0"/>
          <w:sz w:val="24"/>
        </w:rPr>
        <w:t>②</w:t>
      </w:r>
      <w:r>
        <w:rPr>
          <w:b/>
          <w:color w:val="000000" w:themeColor="text1"/>
          <w:kern w:val="0"/>
          <w:sz w:val="24"/>
        </w:rPr>
        <w:t>剥离废标签纸</w:t>
      </w:r>
    </w:p>
    <w:p w14:paraId="61B54533">
      <w:pPr>
        <w:spacing w:line="360" w:lineRule="auto"/>
        <w:ind w:firstLine="480" w:firstLineChars="200"/>
        <w:rPr>
          <w:color w:val="000000" w:themeColor="text1"/>
          <w:sz w:val="24"/>
        </w:rPr>
      </w:pPr>
      <w:r>
        <w:rPr>
          <w:color w:val="000000" w:themeColor="text1"/>
          <w:kern w:val="0"/>
          <w:sz w:val="24"/>
        </w:rPr>
        <w:t>项目生产过程会产生约</w:t>
      </w:r>
      <w:r>
        <w:rPr>
          <w:color w:val="FF0000"/>
          <w:kern w:val="0"/>
          <w:sz w:val="24"/>
        </w:rPr>
        <w:t>1t/a的剥离废标签纸</w:t>
      </w:r>
      <w:r>
        <w:rPr>
          <w:color w:val="000000" w:themeColor="text1"/>
          <w:kern w:val="0"/>
          <w:sz w:val="24"/>
        </w:rPr>
        <w:t>，</w:t>
      </w:r>
      <w:r>
        <w:rPr>
          <w:color w:val="000000" w:themeColor="text1"/>
          <w:sz w:val="24"/>
        </w:rPr>
        <w:t>这部分废标签纸外卖处理。</w:t>
      </w:r>
    </w:p>
    <w:p w14:paraId="2EBD63B2">
      <w:pPr>
        <w:spacing w:line="360" w:lineRule="auto"/>
        <w:ind w:firstLine="480" w:firstLineChars="200"/>
        <w:rPr>
          <w:b/>
          <w:color w:val="000000" w:themeColor="text1"/>
          <w:kern w:val="0"/>
          <w:sz w:val="24"/>
        </w:rPr>
      </w:pPr>
      <w:r>
        <w:rPr>
          <w:rFonts w:hint="eastAsia" w:ascii="宋体" w:hAnsi="宋体" w:cs="宋体"/>
          <w:b/>
          <w:color w:val="000000" w:themeColor="text1"/>
          <w:kern w:val="0"/>
          <w:sz w:val="24"/>
        </w:rPr>
        <w:t>③</w:t>
      </w:r>
      <w:r>
        <w:rPr>
          <w:b/>
          <w:color w:val="000000" w:themeColor="text1"/>
          <w:kern w:val="0"/>
          <w:sz w:val="24"/>
        </w:rPr>
        <w:t>污水处理设施（隔油池+沉淀池）污泥</w:t>
      </w:r>
    </w:p>
    <w:p w14:paraId="0D3707E4">
      <w:pPr>
        <w:spacing w:line="360" w:lineRule="auto"/>
        <w:ind w:firstLine="480" w:firstLineChars="200"/>
        <w:rPr>
          <w:color w:val="000000" w:themeColor="text1"/>
          <w:sz w:val="24"/>
        </w:rPr>
      </w:pPr>
      <w:r>
        <w:rPr>
          <w:color w:val="000000" w:themeColor="text1"/>
          <w:sz w:val="24"/>
        </w:rPr>
        <w:t>本项目生产废水进入污水处理设施（隔油池+沉淀池）处理，需处理的生产废水量为8898</w:t>
      </w:r>
      <w:r>
        <w:rPr>
          <w:color w:val="000000" w:themeColor="text1"/>
          <w:sz w:val="24"/>
          <w:lang w:val="zh-CN"/>
        </w:rPr>
        <w:t>t/a，根据表3.5-2</w:t>
      </w:r>
      <w:r>
        <w:rPr>
          <w:color w:val="000000" w:themeColor="text1"/>
          <w:sz w:val="24"/>
        </w:rPr>
        <w:t>，SS产量为7.118t/a，去除率为95%，则污泥产生量为6.77t/a，该部分污泥经收集后，外运至最近村庄垃圾收集点处理。</w:t>
      </w:r>
    </w:p>
    <w:p w14:paraId="44CB8D8C">
      <w:pPr>
        <w:spacing w:line="360" w:lineRule="auto"/>
        <w:ind w:firstLine="480" w:firstLineChars="200"/>
        <w:rPr>
          <w:b/>
          <w:color w:val="FF0000"/>
          <w:kern w:val="0"/>
          <w:sz w:val="24"/>
        </w:rPr>
      </w:pPr>
      <w:r>
        <w:rPr>
          <w:rFonts w:hint="eastAsia" w:ascii="宋体" w:hAnsi="宋体" w:cs="宋体"/>
          <w:b/>
          <w:color w:val="FF0000"/>
          <w:kern w:val="0"/>
          <w:sz w:val="24"/>
        </w:rPr>
        <w:t>④</w:t>
      </w:r>
      <w:r>
        <w:rPr>
          <w:b/>
          <w:color w:val="FF0000"/>
          <w:kern w:val="0"/>
          <w:sz w:val="24"/>
        </w:rPr>
        <w:t>废过滤网</w:t>
      </w:r>
    </w:p>
    <w:p w14:paraId="0047C0D4">
      <w:pPr>
        <w:spacing w:line="360" w:lineRule="auto"/>
        <w:ind w:firstLine="480" w:firstLineChars="200"/>
        <w:rPr>
          <w:color w:val="000000" w:themeColor="text1"/>
          <w:sz w:val="24"/>
        </w:rPr>
      </w:pPr>
      <w:r>
        <w:rPr>
          <w:color w:val="FF0000"/>
          <w:kern w:val="0"/>
          <w:sz w:val="24"/>
        </w:rPr>
        <w:t>热熔挤出工序所使用的滤网随着使用时间的延长，网眼会逐渐变大，直至不能使用。塑料挤出机废过滤网产生量0.4t/a，</w:t>
      </w:r>
      <w:r>
        <w:rPr>
          <w:color w:val="000000" w:themeColor="text1"/>
          <w:sz w:val="24"/>
        </w:rPr>
        <w:t>2~3月更换一次，外运至最近村庄垃圾收集点处理。</w:t>
      </w:r>
    </w:p>
    <w:p w14:paraId="1A77684E">
      <w:pPr>
        <w:spacing w:line="360" w:lineRule="auto"/>
        <w:ind w:firstLine="480" w:firstLineChars="200"/>
        <w:rPr>
          <w:b/>
          <w:color w:val="000000" w:themeColor="text1"/>
          <w:sz w:val="24"/>
        </w:rPr>
      </w:pPr>
      <w:r>
        <w:rPr>
          <w:b/>
          <w:color w:val="000000" w:themeColor="text1"/>
          <w:sz w:val="24"/>
        </w:rPr>
        <w:t>2、</w:t>
      </w:r>
      <w:r>
        <w:rPr>
          <w:b/>
          <w:color w:val="000000" w:themeColor="text1"/>
          <w:kern w:val="0"/>
          <w:sz w:val="24"/>
        </w:rPr>
        <w:t>生活垃圾</w:t>
      </w:r>
    </w:p>
    <w:p w14:paraId="12931E25">
      <w:pPr>
        <w:spacing w:line="360" w:lineRule="auto"/>
        <w:ind w:firstLine="480" w:firstLineChars="200"/>
        <w:rPr>
          <w:b/>
          <w:color w:val="000000" w:themeColor="text1"/>
          <w:sz w:val="24"/>
        </w:rPr>
      </w:pPr>
      <w:r>
        <w:rPr>
          <w:b/>
          <w:color w:val="000000" w:themeColor="text1"/>
          <w:sz w:val="24"/>
        </w:rPr>
        <w:t>（1）生活垃圾</w:t>
      </w:r>
    </w:p>
    <w:p w14:paraId="0EC32BD5">
      <w:pPr>
        <w:spacing w:line="360" w:lineRule="auto"/>
        <w:ind w:firstLine="480" w:firstLineChars="200"/>
        <w:rPr>
          <w:color w:val="000000" w:themeColor="text1"/>
          <w:sz w:val="24"/>
        </w:rPr>
      </w:pPr>
      <w:r>
        <w:rPr>
          <w:color w:val="000000" w:themeColor="text1"/>
          <w:sz w:val="24"/>
        </w:rPr>
        <w:t>项目有员工20人，生活垃圾产生量按0.5kg/（d·人）考虑，则生活垃圾产生量为10kg/d，3t/a，设置有若干生活垃圾收集桶，清外运至最近村庄垃圾收集点处理，集中处置。</w:t>
      </w:r>
    </w:p>
    <w:p w14:paraId="768E628D">
      <w:pPr>
        <w:spacing w:line="360" w:lineRule="auto"/>
        <w:ind w:firstLine="480" w:firstLineChars="200"/>
        <w:rPr>
          <w:b/>
          <w:color w:val="000000" w:themeColor="text1"/>
          <w:sz w:val="24"/>
        </w:rPr>
      </w:pPr>
      <w:r>
        <w:rPr>
          <w:b/>
          <w:color w:val="000000" w:themeColor="text1"/>
          <w:sz w:val="24"/>
        </w:rPr>
        <w:t>（2）食堂泔水</w:t>
      </w:r>
    </w:p>
    <w:p w14:paraId="0AD90076">
      <w:pPr>
        <w:spacing w:line="360" w:lineRule="auto"/>
        <w:ind w:firstLine="555"/>
        <w:jc w:val="left"/>
        <w:rPr>
          <w:color w:val="FF0000"/>
          <w:kern w:val="0"/>
          <w:sz w:val="24"/>
        </w:rPr>
      </w:pPr>
      <w:r>
        <w:rPr>
          <w:color w:val="000000" w:themeColor="text1"/>
          <w:sz w:val="24"/>
        </w:rPr>
        <w:t>食堂泔水主要是剩汤、剩饭菜等，产生量按0.2kg/人·d计，每天就餐人数按20人计，则每天的产生量为4kg/d，年产生1.2t/a，</w:t>
      </w:r>
      <w:r>
        <w:rPr>
          <w:color w:val="FF0000"/>
          <w:kern w:val="0"/>
          <w:sz w:val="24"/>
        </w:rPr>
        <w:t>外运至最近村庄垃圾收集点处理。</w:t>
      </w:r>
    </w:p>
    <w:p w14:paraId="3E863DBF">
      <w:pPr>
        <w:spacing w:line="360" w:lineRule="auto"/>
        <w:ind w:firstLine="555"/>
        <w:jc w:val="left"/>
        <w:rPr>
          <w:b/>
          <w:color w:val="000000" w:themeColor="text1"/>
          <w:kern w:val="0"/>
          <w:sz w:val="24"/>
        </w:rPr>
      </w:pPr>
      <w:r>
        <w:rPr>
          <w:b/>
          <w:color w:val="000000" w:themeColor="text1"/>
          <w:kern w:val="0"/>
          <w:sz w:val="24"/>
        </w:rPr>
        <w:t>（3）化粪池污泥</w:t>
      </w:r>
    </w:p>
    <w:p w14:paraId="01804433">
      <w:pPr>
        <w:spacing w:line="360" w:lineRule="auto"/>
        <w:ind w:firstLine="555"/>
        <w:jc w:val="left"/>
        <w:rPr>
          <w:color w:val="000000" w:themeColor="text1"/>
          <w:sz w:val="24"/>
        </w:rPr>
      </w:pPr>
      <w:r>
        <w:rPr>
          <w:color w:val="000000" w:themeColor="text1"/>
          <w:sz w:val="24"/>
        </w:rPr>
        <w:t>按照SS削减量来计算，则化粪池污泥产生量为0.116t/a。</w:t>
      </w:r>
    </w:p>
    <w:p w14:paraId="6FE48FF1">
      <w:pPr>
        <w:spacing w:line="360" w:lineRule="auto"/>
        <w:ind w:firstLine="480" w:firstLineChars="200"/>
        <w:rPr>
          <w:b/>
          <w:color w:val="000000" w:themeColor="text1"/>
          <w:sz w:val="24"/>
        </w:rPr>
      </w:pPr>
      <w:r>
        <w:rPr>
          <w:b/>
          <w:color w:val="000000" w:themeColor="text1"/>
          <w:sz w:val="24"/>
        </w:rPr>
        <w:t>3、危险废物</w:t>
      </w:r>
    </w:p>
    <w:p w14:paraId="13DA89E7">
      <w:pPr>
        <w:spacing w:line="360" w:lineRule="auto"/>
        <w:ind w:firstLine="476" w:firstLineChars="200"/>
        <w:rPr>
          <w:b/>
          <w:color w:val="000000" w:themeColor="text1"/>
          <w:spacing w:val="-1"/>
          <w:kern w:val="0"/>
          <w:sz w:val="24"/>
          <w:szCs w:val="22"/>
        </w:rPr>
      </w:pPr>
      <w:r>
        <w:rPr>
          <w:rFonts w:hint="eastAsia" w:ascii="宋体" w:hAnsi="宋体" w:cs="宋体"/>
          <w:b/>
          <w:color w:val="000000" w:themeColor="text1"/>
          <w:spacing w:val="-1"/>
          <w:kern w:val="0"/>
          <w:sz w:val="24"/>
          <w:szCs w:val="22"/>
        </w:rPr>
        <w:t>①</w:t>
      </w:r>
      <w:r>
        <w:rPr>
          <w:b/>
          <w:color w:val="000000" w:themeColor="text1"/>
          <w:spacing w:val="-1"/>
          <w:kern w:val="0"/>
          <w:sz w:val="24"/>
          <w:szCs w:val="22"/>
        </w:rPr>
        <w:t>废过滤棉</w:t>
      </w:r>
    </w:p>
    <w:p w14:paraId="03EB12E3">
      <w:pPr>
        <w:spacing w:line="360" w:lineRule="auto"/>
        <w:ind w:firstLine="480" w:firstLineChars="200"/>
        <w:rPr>
          <w:color w:val="FF0000"/>
          <w:sz w:val="24"/>
        </w:rPr>
      </w:pPr>
      <w:r>
        <w:rPr>
          <w:color w:val="FF0000"/>
          <w:sz w:val="24"/>
        </w:rPr>
        <w:t>本项目热熔挤出工艺废气经过滤棉和UV光解吸附处理，为保证吸附效率，需定期更换过滤棉，其废过滤棉产生量如下：</w:t>
      </w:r>
    </w:p>
    <w:p w14:paraId="6A912294">
      <w:pPr>
        <w:spacing w:line="360" w:lineRule="auto"/>
        <w:ind w:firstLine="480" w:firstLineChars="200"/>
        <w:rPr>
          <w:color w:val="000000" w:themeColor="text1"/>
          <w:sz w:val="24"/>
        </w:rPr>
      </w:pPr>
      <w:r>
        <w:rPr>
          <w:color w:val="000000" w:themeColor="text1"/>
          <w:sz w:val="24"/>
        </w:rPr>
        <w:t>过滤棉吸附容量为0.4kg/kg-过滤棉，过滤棉吸附颗粒物0.41t/a，核算废过滤棉产生量约0.164t/a；</w:t>
      </w:r>
    </w:p>
    <w:p w14:paraId="303F3BAD">
      <w:pPr>
        <w:spacing w:line="360" w:lineRule="auto"/>
        <w:ind w:firstLine="480" w:firstLineChars="200"/>
        <w:rPr>
          <w:color w:val="000000" w:themeColor="text1"/>
          <w:sz w:val="24"/>
        </w:rPr>
      </w:pPr>
      <w:r>
        <w:rPr>
          <w:color w:val="000000" w:themeColor="text1"/>
          <w:sz w:val="24"/>
        </w:rPr>
        <w:t>1~2月更换一次，更换下来的废过滤棉，暂存于危废收集间，交由有资质的单位进行处置。</w:t>
      </w:r>
    </w:p>
    <w:p w14:paraId="4731EB04">
      <w:pPr>
        <w:spacing w:line="360" w:lineRule="auto"/>
        <w:ind w:firstLine="480" w:firstLineChars="200"/>
        <w:rPr>
          <w:b/>
          <w:color w:val="000000" w:themeColor="text1"/>
          <w:sz w:val="24"/>
        </w:rPr>
      </w:pPr>
      <w:r>
        <w:rPr>
          <w:rFonts w:hint="eastAsia" w:ascii="宋体" w:hAnsi="宋体" w:cs="宋体"/>
          <w:b/>
          <w:color w:val="000000" w:themeColor="text1"/>
          <w:sz w:val="24"/>
        </w:rPr>
        <w:t>②</w:t>
      </w:r>
      <w:r>
        <w:rPr>
          <w:b/>
          <w:color w:val="000000" w:themeColor="text1"/>
          <w:sz w:val="24"/>
        </w:rPr>
        <w:t>光解废气处理灯</w:t>
      </w:r>
    </w:p>
    <w:p w14:paraId="1532C905">
      <w:pPr>
        <w:spacing w:line="360" w:lineRule="auto"/>
        <w:ind w:firstLine="480" w:firstLineChars="200"/>
        <w:rPr>
          <w:color w:val="000000" w:themeColor="text1"/>
          <w:sz w:val="24"/>
        </w:rPr>
      </w:pPr>
      <w:r>
        <w:rPr>
          <w:color w:val="000000" w:themeColor="text1"/>
          <w:sz w:val="24"/>
        </w:rPr>
        <w:t>光解废气处理灯的正常寿命是10000小时以上，按本项目生产时间，可使用4年左右</w:t>
      </w:r>
      <w:r>
        <w:rPr>
          <w:rFonts w:hint="eastAsia"/>
          <w:color w:val="000000" w:themeColor="text1"/>
          <w:sz w:val="24"/>
        </w:rPr>
        <w:t>，每次更换量为8支左右</w:t>
      </w:r>
      <w:r>
        <w:rPr>
          <w:color w:val="000000" w:themeColor="text1"/>
          <w:sz w:val="24"/>
        </w:rPr>
        <w:t>，产生量约为0.05kg，交由有资质的单位进行处置。</w:t>
      </w:r>
    </w:p>
    <w:p w14:paraId="699BE65C">
      <w:pPr>
        <w:spacing w:line="360" w:lineRule="auto"/>
        <w:ind w:firstLine="480" w:firstLineChars="200"/>
        <w:rPr>
          <w:b/>
          <w:color w:val="000000" w:themeColor="text1"/>
          <w:sz w:val="24"/>
        </w:rPr>
      </w:pPr>
      <w:r>
        <w:rPr>
          <w:b/>
          <w:color w:val="000000" w:themeColor="text1"/>
          <w:sz w:val="24"/>
        </w:rPr>
        <w:t>4、固废小结</w:t>
      </w:r>
    </w:p>
    <w:p w14:paraId="0D9BF18E">
      <w:pPr>
        <w:jc w:val="center"/>
        <w:rPr>
          <w:b/>
          <w:color w:val="000000" w:themeColor="text1"/>
          <w:sz w:val="24"/>
        </w:rPr>
      </w:pPr>
      <w:r>
        <w:rPr>
          <w:b/>
          <w:color w:val="000000" w:themeColor="text1"/>
          <w:sz w:val="24"/>
        </w:rPr>
        <w:t>表3.5-3  建设项目固体废物产生及处置情况</w:t>
      </w:r>
    </w:p>
    <w:tbl>
      <w:tblPr>
        <w:tblStyle w:val="42"/>
        <w:tblW w:w="5187" w:type="pct"/>
        <w:tblInd w:w="-318" w:type="dxa"/>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59"/>
        <w:gridCol w:w="2603"/>
        <w:gridCol w:w="1277"/>
        <w:gridCol w:w="2688"/>
        <w:gridCol w:w="1614"/>
      </w:tblGrid>
      <w:tr w14:paraId="7D9CE84C">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73" w:type="pct"/>
            <w:vAlign w:val="center"/>
          </w:tcPr>
          <w:p w14:paraId="7ABC052B">
            <w:pPr>
              <w:jc w:val="center"/>
              <w:rPr>
                <w:b/>
                <w:color w:val="000000" w:themeColor="text1"/>
                <w:szCs w:val="21"/>
              </w:rPr>
            </w:pPr>
            <w:r>
              <w:rPr>
                <w:b/>
                <w:color w:val="000000" w:themeColor="text1"/>
                <w:szCs w:val="21"/>
              </w:rPr>
              <w:t>名称</w:t>
            </w:r>
          </w:p>
        </w:tc>
        <w:tc>
          <w:tcPr>
            <w:tcW w:w="1472" w:type="pct"/>
            <w:vAlign w:val="center"/>
          </w:tcPr>
          <w:p w14:paraId="1639F7BC">
            <w:pPr>
              <w:jc w:val="center"/>
              <w:rPr>
                <w:b/>
                <w:color w:val="000000" w:themeColor="text1"/>
                <w:szCs w:val="21"/>
              </w:rPr>
            </w:pPr>
            <w:r>
              <w:rPr>
                <w:b/>
                <w:color w:val="000000" w:themeColor="text1"/>
                <w:szCs w:val="21"/>
              </w:rPr>
              <w:t>固废名称</w:t>
            </w:r>
          </w:p>
        </w:tc>
        <w:tc>
          <w:tcPr>
            <w:tcW w:w="722" w:type="pct"/>
            <w:vAlign w:val="center"/>
          </w:tcPr>
          <w:p w14:paraId="5DB5724C">
            <w:pPr>
              <w:jc w:val="center"/>
              <w:rPr>
                <w:b/>
                <w:color w:val="000000" w:themeColor="text1"/>
                <w:szCs w:val="21"/>
              </w:rPr>
            </w:pPr>
            <w:r>
              <w:rPr>
                <w:b/>
                <w:color w:val="000000" w:themeColor="text1"/>
                <w:szCs w:val="21"/>
              </w:rPr>
              <w:t>产生量t/a</w:t>
            </w:r>
          </w:p>
        </w:tc>
        <w:tc>
          <w:tcPr>
            <w:tcW w:w="1520" w:type="pct"/>
            <w:vAlign w:val="center"/>
          </w:tcPr>
          <w:p w14:paraId="6161FCD6">
            <w:pPr>
              <w:jc w:val="center"/>
              <w:rPr>
                <w:b/>
                <w:color w:val="000000" w:themeColor="text1"/>
                <w:szCs w:val="21"/>
              </w:rPr>
            </w:pPr>
            <w:r>
              <w:rPr>
                <w:b/>
                <w:color w:val="000000" w:themeColor="text1"/>
                <w:szCs w:val="21"/>
              </w:rPr>
              <w:t>治理措施</w:t>
            </w:r>
          </w:p>
        </w:tc>
        <w:tc>
          <w:tcPr>
            <w:tcW w:w="913" w:type="pct"/>
            <w:vAlign w:val="center"/>
          </w:tcPr>
          <w:p w14:paraId="4296BB84">
            <w:pPr>
              <w:jc w:val="center"/>
              <w:rPr>
                <w:b/>
                <w:color w:val="000000" w:themeColor="text1"/>
                <w:szCs w:val="21"/>
              </w:rPr>
            </w:pPr>
            <w:r>
              <w:rPr>
                <w:b/>
                <w:color w:val="000000" w:themeColor="text1"/>
                <w:szCs w:val="21"/>
              </w:rPr>
              <w:t>备注</w:t>
            </w:r>
          </w:p>
        </w:tc>
      </w:tr>
      <w:tr w14:paraId="7CDB5D4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09" w:hRule="atLeast"/>
        </w:trPr>
        <w:tc>
          <w:tcPr>
            <w:tcW w:w="373" w:type="pct"/>
            <w:vMerge w:val="restart"/>
            <w:vAlign w:val="center"/>
          </w:tcPr>
          <w:p w14:paraId="2565C248">
            <w:pPr>
              <w:jc w:val="center"/>
              <w:rPr>
                <w:b/>
                <w:color w:val="000000" w:themeColor="text1"/>
                <w:szCs w:val="21"/>
              </w:rPr>
            </w:pPr>
            <w:r>
              <w:rPr>
                <w:b/>
                <w:color w:val="000000" w:themeColor="text1"/>
                <w:szCs w:val="21"/>
              </w:rPr>
              <w:t>一般固废</w:t>
            </w:r>
          </w:p>
        </w:tc>
        <w:tc>
          <w:tcPr>
            <w:tcW w:w="1472" w:type="pct"/>
            <w:vAlign w:val="center"/>
          </w:tcPr>
          <w:p w14:paraId="65D36737">
            <w:pPr>
              <w:jc w:val="center"/>
              <w:rPr>
                <w:color w:val="000000" w:themeColor="text1"/>
                <w:szCs w:val="21"/>
              </w:rPr>
            </w:pPr>
            <w:r>
              <w:rPr>
                <w:color w:val="000000" w:themeColor="text1"/>
                <w:szCs w:val="21"/>
              </w:rPr>
              <w:t>拆包、人工分选杂物</w:t>
            </w:r>
          </w:p>
        </w:tc>
        <w:tc>
          <w:tcPr>
            <w:tcW w:w="722" w:type="pct"/>
            <w:vAlign w:val="center"/>
          </w:tcPr>
          <w:p w14:paraId="301AE814">
            <w:pPr>
              <w:jc w:val="center"/>
              <w:rPr>
                <w:color w:val="000000" w:themeColor="text1"/>
                <w:szCs w:val="21"/>
              </w:rPr>
            </w:pPr>
            <w:r>
              <w:rPr>
                <w:color w:val="000000" w:themeColor="text1"/>
                <w:szCs w:val="21"/>
              </w:rPr>
              <w:t>3</w:t>
            </w:r>
          </w:p>
        </w:tc>
        <w:tc>
          <w:tcPr>
            <w:tcW w:w="1520" w:type="pct"/>
            <w:vMerge w:val="restart"/>
            <w:vAlign w:val="center"/>
          </w:tcPr>
          <w:p w14:paraId="4B09109F">
            <w:pPr>
              <w:jc w:val="center"/>
              <w:rPr>
                <w:color w:val="000000" w:themeColor="text1"/>
                <w:szCs w:val="21"/>
              </w:rPr>
            </w:pPr>
            <w:r>
              <w:rPr>
                <w:color w:val="000000" w:themeColor="text1"/>
                <w:szCs w:val="21"/>
              </w:rPr>
              <w:t>收集后外卖</w:t>
            </w:r>
          </w:p>
        </w:tc>
        <w:tc>
          <w:tcPr>
            <w:tcW w:w="913" w:type="pct"/>
            <w:vAlign w:val="center"/>
          </w:tcPr>
          <w:p w14:paraId="29F69F63">
            <w:pPr>
              <w:jc w:val="center"/>
              <w:rPr>
                <w:color w:val="000000" w:themeColor="text1"/>
                <w:szCs w:val="21"/>
              </w:rPr>
            </w:pPr>
            <w:r>
              <w:rPr>
                <w:color w:val="000000" w:themeColor="text1"/>
                <w:szCs w:val="21"/>
              </w:rPr>
              <w:t>/</w:t>
            </w:r>
          </w:p>
        </w:tc>
      </w:tr>
      <w:tr w14:paraId="4C7C570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09" w:hRule="atLeast"/>
        </w:trPr>
        <w:tc>
          <w:tcPr>
            <w:tcW w:w="373" w:type="pct"/>
            <w:vMerge w:val="continue"/>
            <w:vAlign w:val="center"/>
          </w:tcPr>
          <w:p w14:paraId="7200EBAD">
            <w:pPr>
              <w:jc w:val="center"/>
              <w:rPr>
                <w:b/>
                <w:color w:val="000000" w:themeColor="text1"/>
                <w:szCs w:val="21"/>
              </w:rPr>
            </w:pPr>
          </w:p>
        </w:tc>
        <w:tc>
          <w:tcPr>
            <w:tcW w:w="1472" w:type="pct"/>
            <w:vAlign w:val="center"/>
          </w:tcPr>
          <w:p w14:paraId="5C6F364A">
            <w:pPr>
              <w:jc w:val="center"/>
              <w:rPr>
                <w:color w:val="000000" w:themeColor="text1"/>
                <w:szCs w:val="21"/>
              </w:rPr>
            </w:pPr>
            <w:r>
              <w:rPr>
                <w:color w:val="000000" w:themeColor="text1"/>
                <w:szCs w:val="21"/>
              </w:rPr>
              <w:t>剥离废标签纸</w:t>
            </w:r>
          </w:p>
        </w:tc>
        <w:tc>
          <w:tcPr>
            <w:tcW w:w="722" w:type="pct"/>
            <w:vAlign w:val="center"/>
          </w:tcPr>
          <w:p w14:paraId="26C53FC1">
            <w:pPr>
              <w:jc w:val="center"/>
              <w:rPr>
                <w:color w:val="000000" w:themeColor="text1"/>
                <w:szCs w:val="21"/>
              </w:rPr>
            </w:pPr>
            <w:r>
              <w:rPr>
                <w:color w:val="000000" w:themeColor="text1"/>
                <w:szCs w:val="21"/>
              </w:rPr>
              <w:t>1</w:t>
            </w:r>
          </w:p>
        </w:tc>
        <w:tc>
          <w:tcPr>
            <w:tcW w:w="1520" w:type="pct"/>
            <w:vMerge w:val="continue"/>
            <w:vAlign w:val="center"/>
          </w:tcPr>
          <w:p w14:paraId="01BA374E">
            <w:pPr>
              <w:jc w:val="center"/>
              <w:rPr>
                <w:color w:val="000000" w:themeColor="text1"/>
                <w:szCs w:val="21"/>
              </w:rPr>
            </w:pPr>
          </w:p>
        </w:tc>
        <w:tc>
          <w:tcPr>
            <w:tcW w:w="913" w:type="pct"/>
            <w:vAlign w:val="center"/>
          </w:tcPr>
          <w:p w14:paraId="73AA86BD">
            <w:pPr>
              <w:jc w:val="center"/>
              <w:rPr>
                <w:color w:val="000000" w:themeColor="text1"/>
                <w:szCs w:val="21"/>
              </w:rPr>
            </w:pPr>
            <w:r>
              <w:rPr>
                <w:color w:val="000000" w:themeColor="text1"/>
                <w:szCs w:val="21"/>
              </w:rPr>
              <w:t>/</w:t>
            </w:r>
          </w:p>
        </w:tc>
      </w:tr>
      <w:tr w14:paraId="43A7D74C">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09" w:hRule="atLeast"/>
        </w:trPr>
        <w:tc>
          <w:tcPr>
            <w:tcW w:w="373" w:type="pct"/>
            <w:vMerge w:val="continue"/>
            <w:vAlign w:val="center"/>
          </w:tcPr>
          <w:p w14:paraId="4527BE61">
            <w:pPr>
              <w:jc w:val="center"/>
              <w:rPr>
                <w:b/>
                <w:color w:val="000000" w:themeColor="text1"/>
                <w:szCs w:val="21"/>
              </w:rPr>
            </w:pPr>
          </w:p>
        </w:tc>
        <w:tc>
          <w:tcPr>
            <w:tcW w:w="1472" w:type="pct"/>
            <w:vAlign w:val="center"/>
          </w:tcPr>
          <w:p w14:paraId="10D77FC9">
            <w:pPr>
              <w:jc w:val="center"/>
              <w:rPr>
                <w:color w:val="000000" w:themeColor="text1"/>
                <w:szCs w:val="21"/>
              </w:rPr>
            </w:pPr>
            <w:r>
              <w:rPr>
                <w:color w:val="000000" w:themeColor="text1"/>
                <w:szCs w:val="21"/>
              </w:rPr>
              <w:t>废过滤网</w:t>
            </w:r>
          </w:p>
        </w:tc>
        <w:tc>
          <w:tcPr>
            <w:tcW w:w="722" w:type="pct"/>
            <w:vAlign w:val="center"/>
          </w:tcPr>
          <w:p w14:paraId="14DE625F">
            <w:pPr>
              <w:jc w:val="center"/>
              <w:rPr>
                <w:color w:val="000000" w:themeColor="text1"/>
                <w:szCs w:val="21"/>
              </w:rPr>
            </w:pPr>
            <w:r>
              <w:rPr>
                <w:color w:val="000000" w:themeColor="text1"/>
                <w:szCs w:val="21"/>
              </w:rPr>
              <w:t>0.4</w:t>
            </w:r>
          </w:p>
        </w:tc>
        <w:tc>
          <w:tcPr>
            <w:tcW w:w="1520" w:type="pct"/>
            <w:vMerge w:val="restart"/>
            <w:vAlign w:val="center"/>
          </w:tcPr>
          <w:p w14:paraId="7C54A2FF">
            <w:pPr>
              <w:jc w:val="center"/>
              <w:rPr>
                <w:color w:val="000000" w:themeColor="text1"/>
                <w:szCs w:val="21"/>
              </w:rPr>
            </w:pPr>
            <w:r>
              <w:rPr>
                <w:color w:val="FF0000"/>
                <w:szCs w:val="21"/>
              </w:rPr>
              <w:t>外运至最近村庄垃圾收集点处理</w:t>
            </w:r>
          </w:p>
        </w:tc>
        <w:tc>
          <w:tcPr>
            <w:tcW w:w="913" w:type="pct"/>
            <w:vAlign w:val="center"/>
          </w:tcPr>
          <w:p w14:paraId="682ABA1B">
            <w:pPr>
              <w:jc w:val="center"/>
              <w:rPr>
                <w:color w:val="000000" w:themeColor="text1"/>
                <w:szCs w:val="21"/>
              </w:rPr>
            </w:pPr>
            <w:r>
              <w:rPr>
                <w:color w:val="000000" w:themeColor="text1"/>
                <w:szCs w:val="21"/>
              </w:rPr>
              <w:t>/</w:t>
            </w:r>
          </w:p>
        </w:tc>
      </w:tr>
      <w:tr w14:paraId="0670C467">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73" w:type="pct"/>
            <w:vMerge w:val="continue"/>
            <w:vAlign w:val="center"/>
          </w:tcPr>
          <w:p w14:paraId="6A8CFFF4">
            <w:pPr>
              <w:jc w:val="center"/>
              <w:rPr>
                <w:b/>
                <w:color w:val="000000" w:themeColor="text1"/>
                <w:szCs w:val="21"/>
              </w:rPr>
            </w:pPr>
          </w:p>
        </w:tc>
        <w:tc>
          <w:tcPr>
            <w:tcW w:w="1472" w:type="pct"/>
            <w:vAlign w:val="center"/>
          </w:tcPr>
          <w:p w14:paraId="471D0453">
            <w:pPr>
              <w:jc w:val="center"/>
              <w:rPr>
                <w:color w:val="000000" w:themeColor="text1"/>
                <w:szCs w:val="21"/>
              </w:rPr>
            </w:pPr>
            <w:r>
              <w:rPr>
                <w:color w:val="000000" w:themeColor="text1"/>
                <w:szCs w:val="21"/>
              </w:rPr>
              <w:t>污水处理设施（隔油池+沉淀池）污泥</w:t>
            </w:r>
          </w:p>
        </w:tc>
        <w:tc>
          <w:tcPr>
            <w:tcW w:w="722" w:type="pct"/>
            <w:vAlign w:val="center"/>
          </w:tcPr>
          <w:p w14:paraId="18BD2B19">
            <w:pPr>
              <w:jc w:val="center"/>
              <w:rPr>
                <w:color w:val="000000" w:themeColor="text1"/>
                <w:szCs w:val="21"/>
              </w:rPr>
            </w:pPr>
            <w:r>
              <w:rPr>
                <w:color w:val="000000" w:themeColor="text1"/>
                <w:szCs w:val="21"/>
              </w:rPr>
              <w:t>6.77</w:t>
            </w:r>
          </w:p>
        </w:tc>
        <w:tc>
          <w:tcPr>
            <w:tcW w:w="1520" w:type="pct"/>
            <w:vMerge w:val="continue"/>
            <w:vAlign w:val="center"/>
          </w:tcPr>
          <w:p w14:paraId="783F0B8E">
            <w:pPr>
              <w:jc w:val="center"/>
              <w:rPr>
                <w:color w:val="000000" w:themeColor="text1"/>
                <w:szCs w:val="21"/>
              </w:rPr>
            </w:pPr>
          </w:p>
        </w:tc>
        <w:tc>
          <w:tcPr>
            <w:tcW w:w="913" w:type="pct"/>
            <w:vAlign w:val="center"/>
          </w:tcPr>
          <w:p w14:paraId="5330429C">
            <w:pPr>
              <w:jc w:val="center"/>
              <w:rPr>
                <w:color w:val="000000" w:themeColor="text1"/>
                <w:szCs w:val="21"/>
              </w:rPr>
            </w:pPr>
            <w:r>
              <w:rPr>
                <w:color w:val="000000" w:themeColor="text1"/>
                <w:szCs w:val="21"/>
              </w:rPr>
              <w:t>/</w:t>
            </w:r>
          </w:p>
        </w:tc>
      </w:tr>
      <w:tr w14:paraId="2F35419F">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73" w:type="pct"/>
            <w:vMerge w:val="restart"/>
            <w:vAlign w:val="center"/>
          </w:tcPr>
          <w:p w14:paraId="28D80DDA">
            <w:pPr>
              <w:jc w:val="center"/>
              <w:rPr>
                <w:b/>
                <w:color w:val="000000" w:themeColor="text1"/>
                <w:szCs w:val="21"/>
              </w:rPr>
            </w:pPr>
            <w:r>
              <w:rPr>
                <w:b/>
                <w:color w:val="000000" w:themeColor="text1"/>
                <w:szCs w:val="21"/>
              </w:rPr>
              <w:t>危险废物</w:t>
            </w:r>
          </w:p>
        </w:tc>
        <w:tc>
          <w:tcPr>
            <w:tcW w:w="1472" w:type="pct"/>
            <w:vAlign w:val="center"/>
          </w:tcPr>
          <w:p w14:paraId="49391318">
            <w:pPr>
              <w:jc w:val="center"/>
              <w:rPr>
                <w:color w:val="000000" w:themeColor="text1"/>
                <w:szCs w:val="21"/>
              </w:rPr>
            </w:pPr>
            <w:r>
              <w:rPr>
                <w:color w:val="000000" w:themeColor="text1"/>
                <w:szCs w:val="21"/>
              </w:rPr>
              <w:t>废过滤棉</w:t>
            </w:r>
          </w:p>
        </w:tc>
        <w:tc>
          <w:tcPr>
            <w:tcW w:w="722" w:type="pct"/>
            <w:vAlign w:val="center"/>
          </w:tcPr>
          <w:p w14:paraId="1E9FA3FD">
            <w:pPr>
              <w:jc w:val="center"/>
              <w:rPr>
                <w:color w:val="000000" w:themeColor="text1"/>
                <w:szCs w:val="21"/>
              </w:rPr>
            </w:pPr>
            <w:r>
              <w:rPr>
                <w:color w:val="000000" w:themeColor="text1"/>
                <w:szCs w:val="21"/>
              </w:rPr>
              <w:t>0.164</w:t>
            </w:r>
          </w:p>
        </w:tc>
        <w:tc>
          <w:tcPr>
            <w:tcW w:w="1520" w:type="pct"/>
            <w:vMerge w:val="restart"/>
            <w:vAlign w:val="center"/>
          </w:tcPr>
          <w:p w14:paraId="7A7CCB23">
            <w:pPr>
              <w:jc w:val="center"/>
              <w:rPr>
                <w:color w:val="000000" w:themeColor="text1"/>
                <w:szCs w:val="21"/>
              </w:rPr>
            </w:pPr>
            <w:r>
              <w:rPr>
                <w:color w:val="000000" w:themeColor="text1"/>
                <w:szCs w:val="21"/>
              </w:rPr>
              <w:t>暂存于危废收集间5m</w:t>
            </w:r>
            <w:r>
              <w:rPr>
                <w:color w:val="000000" w:themeColor="text1"/>
                <w:szCs w:val="21"/>
                <w:vertAlign w:val="superscript"/>
              </w:rPr>
              <w:t>2</w:t>
            </w:r>
            <w:r>
              <w:rPr>
                <w:color w:val="000000" w:themeColor="text1"/>
                <w:szCs w:val="21"/>
              </w:rPr>
              <w:t>，交由有资质的单位进行处置</w:t>
            </w:r>
          </w:p>
        </w:tc>
        <w:tc>
          <w:tcPr>
            <w:tcW w:w="913" w:type="pct"/>
            <w:vAlign w:val="center"/>
          </w:tcPr>
          <w:p w14:paraId="7E025858">
            <w:pPr>
              <w:jc w:val="center"/>
              <w:rPr>
                <w:bCs/>
                <w:color w:val="000000" w:themeColor="text1"/>
                <w:szCs w:val="21"/>
              </w:rPr>
            </w:pPr>
            <w:r>
              <w:rPr>
                <w:bCs/>
                <w:color w:val="000000" w:themeColor="text1"/>
                <w:szCs w:val="21"/>
              </w:rPr>
              <w:t>HW06</w:t>
            </w:r>
          </w:p>
          <w:p w14:paraId="352955F4">
            <w:pPr>
              <w:jc w:val="center"/>
              <w:rPr>
                <w:color w:val="000000" w:themeColor="text1"/>
                <w:szCs w:val="21"/>
              </w:rPr>
            </w:pPr>
            <w:r>
              <w:rPr>
                <w:bCs/>
                <w:color w:val="000000" w:themeColor="text1"/>
                <w:szCs w:val="21"/>
              </w:rPr>
              <w:t>900-406-06</w:t>
            </w:r>
          </w:p>
        </w:tc>
      </w:tr>
      <w:tr w14:paraId="1C1ED382">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73" w:type="pct"/>
            <w:vMerge w:val="continue"/>
            <w:vAlign w:val="center"/>
          </w:tcPr>
          <w:p w14:paraId="0B8FF87A">
            <w:pPr>
              <w:jc w:val="center"/>
              <w:rPr>
                <w:b/>
                <w:color w:val="000000" w:themeColor="text1"/>
                <w:szCs w:val="21"/>
              </w:rPr>
            </w:pPr>
          </w:p>
        </w:tc>
        <w:tc>
          <w:tcPr>
            <w:tcW w:w="1472" w:type="pct"/>
            <w:vAlign w:val="center"/>
          </w:tcPr>
          <w:p w14:paraId="23FF06BA">
            <w:pPr>
              <w:jc w:val="center"/>
              <w:rPr>
                <w:color w:val="FF0000"/>
                <w:szCs w:val="21"/>
              </w:rPr>
            </w:pPr>
            <w:r>
              <w:rPr>
                <w:color w:val="FF0000"/>
                <w:szCs w:val="21"/>
              </w:rPr>
              <w:t>光解废气处理灯</w:t>
            </w:r>
          </w:p>
        </w:tc>
        <w:tc>
          <w:tcPr>
            <w:tcW w:w="722" w:type="pct"/>
            <w:vAlign w:val="center"/>
          </w:tcPr>
          <w:p w14:paraId="445A2478">
            <w:pPr>
              <w:jc w:val="center"/>
              <w:rPr>
                <w:color w:val="000000" w:themeColor="text1"/>
                <w:szCs w:val="21"/>
              </w:rPr>
            </w:pPr>
            <w:r>
              <w:rPr>
                <w:color w:val="000000" w:themeColor="text1"/>
                <w:szCs w:val="21"/>
              </w:rPr>
              <w:t>0.05</w:t>
            </w:r>
          </w:p>
        </w:tc>
        <w:tc>
          <w:tcPr>
            <w:tcW w:w="1520" w:type="pct"/>
            <w:vMerge w:val="continue"/>
            <w:vAlign w:val="center"/>
          </w:tcPr>
          <w:p w14:paraId="1948AD82">
            <w:pPr>
              <w:jc w:val="center"/>
              <w:rPr>
                <w:color w:val="000000" w:themeColor="text1"/>
                <w:szCs w:val="21"/>
              </w:rPr>
            </w:pPr>
          </w:p>
        </w:tc>
        <w:tc>
          <w:tcPr>
            <w:tcW w:w="913" w:type="pct"/>
            <w:vAlign w:val="center"/>
          </w:tcPr>
          <w:p w14:paraId="32606049">
            <w:pPr>
              <w:jc w:val="center"/>
              <w:rPr>
                <w:bCs/>
                <w:color w:val="000000" w:themeColor="text1"/>
                <w:szCs w:val="21"/>
              </w:rPr>
            </w:pPr>
            <w:r>
              <w:rPr>
                <w:bCs/>
                <w:color w:val="000000" w:themeColor="text1"/>
                <w:szCs w:val="21"/>
              </w:rPr>
              <w:t>HW29</w:t>
            </w:r>
            <w:r>
              <w:rPr>
                <w:kern w:val="0"/>
                <w:szCs w:val="21"/>
              </w:rPr>
              <w:t xml:space="preserve"> </w:t>
            </w:r>
            <w:r>
              <w:rPr>
                <w:bCs/>
                <w:color w:val="000000" w:themeColor="text1"/>
                <w:szCs w:val="21"/>
              </w:rPr>
              <w:t>900-023-29</w:t>
            </w:r>
          </w:p>
        </w:tc>
      </w:tr>
      <w:tr w14:paraId="7FACBC1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73" w:type="pct"/>
            <w:vMerge w:val="restart"/>
            <w:vAlign w:val="center"/>
          </w:tcPr>
          <w:p w14:paraId="399499A9">
            <w:pPr>
              <w:jc w:val="center"/>
              <w:rPr>
                <w:b/>
                <w:color w:val="000000" w:themeColor="text1"/>
                <w:szCs w:val="21"/>
              </w:rPr>
            </w:pPr>
            <w:r>
              <w:rPr>
                <w:b/>
                <w:color w:val="000000" w:themeColor="text1"/>
                <w:szCs w:val="21"/>
              </w:rPr>
              <w:t>生活固废</w:t>
            </w:r>
          </w:p>
        </w:tc>
        <w:tc>
          <w:tcPr>
            <w:tcW w:w="1472" w:type="pct"/>
            <w:vAlign w:val="center"/>
          </w:tcPr>
          <w:p w14:paraId="222086DE">
            <w:pPr>
              <w:jc w:val="center"/>
              <w:rPr>
                <w:color w:val="000000" w:themeColor="text1"/>
                <w:szCs w:val="21"/>
              </w:rPr>
            </w:pPr>
            <w:r>
              <w:rPr>
                <w:color w:val="000000" w:themeColor="text1"/>
                <w:szCs w:val="21"/>
              </w:rPr>
              <w:t>生活垃圾</w:t>
            </w:r>
          </w:p>
        </w:tc>
        <w:tc>
          <w:tcPr>
            <w:tcW w:w="722" w:type="pct"/>
            <w:vAlign w:val="center"/>
          </w:tcPr>
          <w:p w14:paraId="6979210D">
            <w:pPr>
              <w:jc w:val="center"/>
              <w:rPr>
                <w:color w:val="000000" w:themeColor="text1"/>
                <w:szCs w:val="21"/>
              </w:rPr>
            </w:pPr>
            <w:r>
              <w:rPr>
                <w:color w:val="000000" w:themeColor="text1"/>
                <w:szCs w:val="21"/>
              </w:rPr>
              <w:t>3</w:t>
            </w:r>
          </w:p>
        </w:tc>
        <w:tc>
          <w:tcPr>
            <w:tcW w:w="1520" w:type="pct"/>
            <w:vMerge w:val="restart"/>
            <w:vAlign w:val="center"/>
          </w:tcPr>
          <w:p w14:paraId="799477B5">
            <w:pPr>
              <w:jc w:val="center"/>
              <w:rPr>
                <w:color w:val="000000" w:themeColor="text1"/>
                <w:szCs w:val="21"/>
              </w:rPr>
            </w:pPr>
            <w:r>
              <w:rPr>
                <w:color w:val="FF0000"/>
                <w:szCs w:val="21"/>
              </w:rPr>
              <w:t>外运至最近村庄垃圾收集点处理</w:t>
            </w:r>
          </w:p>
        </w:tc>
        <w:tc>
          <w:tcPr>
            <w:tcW w:w="913" w:type="pct"/>
            <w:vAlign w:val="center"/>
          </w:tcPr>
          <w:p w14:paraId="243531FE">
            <w:pPr>
              <w:jc w:val="center"/>
              <w:rPr>
                <w:iCs/>
                <w:color w:val="000000" w:themeColor="text1"/>
                <w:szCs w:val="21"/>
              </w:rPr>
            </w:pPr>
            <w:r>
              <w:rPr>
                <w:iCs/>
                <w:color w:val="000000" w:themeColor="text1"/>
                <w:szCs w:val="21"/>
              </w:rPr>
              <w:t>/</w:t>
            </w:r>
          </w:p>
        </w:tc>
      </w:tr>
      <w:tr w14:paraId="725AD5AD">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73" w:type="pct"/>
            <w:vMerge w:val="continue"/>
            <w:vAlign w:val="center"/>
          </w:tcPr>
          <w:p w14:paraId="52CB9E88">
            <w:pPr>
              <w:jc w:val="center"/>
              <w:rPr>
                <w:b/>
                <w:color w:val="000000" w:themeColor="text1"/>
                <w:szCs w:val="21"/>
              </w:rPr>
            </w:pPr>
          </w:p>
        </w:tc>
        <w:tc>
          <w:tcPr>
            <w:tcW w:w="1472" w:type="pct"/>
            <w:vAlign w:val="center"/>
          </w:tcPr>
          <w:p w14:paraId="6D1D6D37">
            <w:pPr>
              <w:jc w:val="center"/>
              <w:rPr>
                <w:color w:val="000000" w:themeColor="text1"/>
                <w:szCs w:val="21"/>
              </w:rPr>
            </w:pPr>
            <w:r>
              <w:rPr>
                <w:color w:val="000000" w:themeColor="text1"/>
                <w:szCs w:val="21"/>
              </w:rPr>
              <w:t>食堂泔水</w:t>
            </w:r>
          </w:p>
        </w:tc>
        <w:tc>
          <w:tcPr>
            <w:tcW w:w="722" w:type="pct"/>
            <w:vAlign w:val="center"/>
          </w:tcPr>
          <w:p w14:paraId="146EAE44">
            <w:pPr>
              <w:jc w:val="center"/>
              <w:rPr>
                <w:color w:val="000000" w:themeColor="text1"/>
                <w:szCs w:val="21"/>
              </w:rPr>
            </w:pPr>
            <w:r>
              <w:rPr>
                <w:color w:val="000000" w:themeColor="text1"/>
                <w:szCs w:val="21"/>
              </w:rPr>
              <w:t>1</w:t>
            </w:r>
          </w:p>
        </w:tc>
        <w:tc>
          <w:tcPr>
            <w:tcW w:w="1520" w:type="pct"/>
            <w:vMerge w:val="continue"/>
            <w:tcBorders>
              <w:bottom w:val="single" w:color="auto" w:sz="4" w:space="0"/>
            </w:tcBorders>
            <w:vAlign w:val="center"/>
          </w:tcPr>
          <w:p w14:paraId="21E65716">
            <w:pPr>
              <w:jc w:val="center"/>
              <w:rPr>
                <w:color w:val="000000" w:themeColor="text1"/>
                <w:szCs w:val="21"/>
              </w:rPr>
            </w:pPr>
          </w:p>
        </w:tc>
        <w:tc>
          <w:tcPr>
            <w:tcW w:w="913" w:type="pct"/>
            <w:vAlign w:val="center"/>
          </w:tcPr>
          <w:p w14:paraId="07ADAF42">
            <w:pPr>
              <w:jc w:val="center"/>
              <w:rPr>
                <w:iCs/>
                <w:color w:val="000000" w:themeColor="text1"/>
                <w:szCs w:val="21"/>
              </w:rPr>
            </w:pPr>
          </w:p>
        </w:tc>
      </w:tr>
      <w:tr w14:paraId="5CF66AC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373" w:type="pct"/>
            <w:vMerge w:val="continue"/>
            <w:vAlign w:val="center"/>
          </w:tcPr>
          <w:p w14:paraId="595CAE6B">
            <w:pPr>
              <w:jc w:val="center"/>
              <w:rPr>
                <w:b/>
                <w:color w:val="000000" w:themeColor="text1"/>
                <w:szCs w:val="21"/>
              </w:rPr>
            </w:pPr>
          </w:p>
        </w:tc>
        <w:tc>
          <w:tcPr>
            <w:tcW w:w="1472" w:type="pct"/>
            <w:vAlign w:val="center"/>
          </w:tcPr>
          <w:p w14:paraId="3F6DF7E8">
            <w:pPr>
              <w:jc w:val="center"/>
              <w:rPr>
                <w:color w:val="000000" w:themeColor="text1"/>
                <w:szCs w:val="21"/>
              </w:rPr>
            </w:pPr>
            <w:r>
              <w:rPr>
                <w:color w:val="000000" w:themeColor="text1"/>
                <w:szCs w:val="21"/>
              </w:rPr>
              <w:t>化粪池污泥</w:t>
            </w:r>
          </w:p>
        </w:tc>
        <w:tc>
          <w:tcPr>
            <w:tcW w:w="722" w:type="pct"/>
            <w:vAlign w:val="center"/>
          </w:tcPr>
          <w:p w14:paraId="090738C5">
            <w:pPr>
              <w:jc w:val="center"/>
              <w:rPr>
                <w:color w:val="000000" w:themeColor="text1"/>
                <w:szCs w:val="21"/>
              </w:rPr>
            </w:pPr>
            <w:r>
              <w:rPr>
                <w:color w:val="000000" w:themeColor="text1"/>
                <w:szCs w:val="21"/>
              </w:rPr>
              <w:t>0.116</w:t>
            </w:r>
          </w:p>
        </w:tc>
        <w:tc>
          <w:tcPr>
            <w:tcW w:w="1520" w:type="pct"/>
            <w:tcBorders>
              <w:top w:val="single" w:color="auto" w:sz="4" w:space="0"/>
            </w:tcBorders>
            <w:vAlign w:val="center"/>
          </w:tcPr>
          <w:p w14:paraId="48405181">
            <w:pPr>
              <w:jc w:val="center"/>
              <w:rPr>
                <w:color w:val="000000" w:themeColor="text1"/>
                <w:szCs w:val="21"/>
              </w:rPr>
            </w:pPr>
            <w:r>
              <w:rPr>
                <w:color w:val="000000" w:themeColor="text1"/>
                <w:szCs w:val="21"/>
              </w:rPr>
              <w:t>作为农作物施肥</w:t>
            </w:r>
          </w:p>
        </w:tc>
        <w:tc>
          <w:tcPr>
            <w:tcW w:w="913" w:type="pct"/>
            <w:vAlign w:val="center"/>
          </w:tcPr>
          <w:p w14:paraId="1CBB4ECC">
            <w:pPr>
              <w:jc w:val="center"/>
              <w:rPr>
                <w:color w:val="000000" w:themeColor="text1"/>
                <w:szCs w:val="21"/>
              </w:rPr>
            </w:pPr>
            <w:r>
              <w:rPr>
                <w:color w:val="000000" w:themeColor="text1"/>
                <w:szCs w:val="21"/>
              </w:rPr>
              <w:t>/</w:t>
            </w:r>
          </w:p>
        </w:tc>
      </w:tr>
    </w:tbl>
    <w:p w14:paraId="0DEBA6DE">
      <w:pPr>
        <w:pStyle w:val="105"/>
        <w:rPr>
          <w:rFonts w:cs="Times New Roman"/>
          <w:color w:val="000000" w:themeColor="text1"/>
        </w:rPr>
      </w:pPr>
      <w:r>
        <w:rPr>
          <w:rFonts w:cs="Times New Roman"/>
          <w:color w:val="000000" w:themeColor="text1"/>
        </w:rPr>
        <w:t>3.5.4 噪声</w:t>
      </w:r>
    </w:p>
    <w:p w14:paraId="0AE44A0C">
      <w:pPr>
        <w:pStyle w:val="116"/>
        <w:ind w:firstLine="480"/>
        <w:rPr>
          <w:color w:val="000000" w:themeColor="text1"/>
        </w:rPr>
      </w:pPr>
      <w:r>
        <w:rPr>
          <w:color w:val="000000" w:themeColor="text1"/>
        </w:rPr>
        <w:t>项目运营期噪声主要来自机械设备运行时产生的噪声，噪声源强见下表。</w:t>
      </w:r>
    </w:p>
    <w:p w14:paraId="2D78D107">
      <w:pPr>
        <w:jc w:val="center"/>
        <w:rPr>
          <w:b/>
          <w:bCs/>
          <w:color w:val="000000" w:themeColor="text1"/>
          <w:sz w:val="24"/>
        </w:rPr>
      </w:pPr>
      <w:r>
        <w:rPr>
          <w:b/>
          <w:bCs/>
          <w:color w:val="000000" w:themeColor="text1"/>
          <w:sz w:val="24"/>
        </w:rPr>
        <w:t>表3.5-4    运营期噪声源强</w:t>
      </w:r>
    </w:p>
    <w:tbl>
      <w:tblPr>
        <w:tblStyle w:val="42"/>
        <w:tblW w:w="5000" w:type="pct"/>
        <w:tblInd w:w="0" w:type="dxa"/>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73"/>
        <w:gridCol w:w="1987"/>
        <w:gridCol w:w="1133"/>
        <w:gridCol w:w="2125"/>
        <w:gridCol w:w="2604"/>
      </w:tblGrid>
      <w:tr w14:paraId="29108EAE">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95" w:type="pct"/>
            <w:vAlign w:val="center"/>
          </w:tcPr>
          <w:p w14:paraId="6D39CA91">
            <w:pPr>
              <w:widowControl/>
              <w:jc w:val="center"/>
              <w:rPr>
                <w:color w:val="000000"/>
                <w:kern w:val="0"/>
                <w:szCs w:val="21"/>
              </w:rPr>
            </w:pPr>
            <w:r>
              <w:rPr>
                <w:color w:val="000000"/>
                <w:kern w:val="0"/>
                <w:szCs w:val="21"/>
              </w:rPr>
              <w:t>车间</w:t>
            </w:r>
          </w:p>
        </w:tc>
        <w:tc>
          <w:tcPr>
            <w:tcW w:w="1166" w:type="pct"/>
            <w:vAlign w:val="center"/>
          </w:tcPr>
          <w:p w14:paraId="5E39FB90">
            <w:pPr>
              <w:widowControl/>
              <w:jc w:val="center"/>
              <w:rPr>
                <w:color w:val="000000"/>
                <w:kern w:val="0"/>
                <w:szCs w:val="21"/>
              </w:rPr>
            </w:pPr>
            <w:r>
              <w:rPr>
                <w:color w:val="000000"/>
                <w:kern w:val="0"/>
                <w:szCs w:val="21"/>
              </w:rPr>
              <w:t>设备名称</w:t>
            </w:r>
          </w:p>
        </w:tc>
        <w:tc>
          <w:tcPr>
            <w:tcW w:w="665" w:type="pct"/>
            <w:vAlign w:val="center"/>
          </w:tcPr>
          <w:p w14:paraId="0D7C51B5">
            <w:pPr>
              <w:widowControl/>
              <w:jc w:val="center"/>
              <w:rPr>
                <w:color w:val="000000"/>
                <w:kern w:val="0"/>
                <w:szCs w:val="21"/>
              </w:rPr>
            </w:pPr>
            <w:r>
              <w:rPr>
                <w:color w:val="000000"/>
                <w:kern w:val="0"/>
                <w:szCs w:val="21"/>
              </w:rPr>
              <w:t>数量（台）</w:t>
            </w:r>
          </w:p>
        </w:tc>
        <w:tc>
          <w:tcPr>
            <w:tcW w:w="1247" w:type="pct"/>
            <w:vAlign w:val="center"/>
          </w:tcPr>
          <w:p w14:paraId="58EF526C">
            <w:pPr>
              <w:widowControl/>
              <w:jc w:val="center"/>
              <w:rPr>
                <w:color w:val="000000"/>
                <w:kern w:val="0"/>
                <w:szCs w:val="21"/>
              </w:rPr>
            </w:pPr>
            <w:r>
              <w:rPr>
                <w:color w:val="000000"/>
                <w:kern w:val="0"/>
                <w:szCs w:val="21"/>
              </w:rPr>
              <w:t>噪声源强 dB(A)</w:t>
            </w:r>
          </w:p>
        </w:tc>
        <w:tc>
          <w:tcPr>
            <w:tcW w:w="1527" w:type="pct"/>
            <w:vAlign w:val="center"/>
          </w:tcPr>
          <w:p w14:paraId="4F1F94D1">
            <w:pPr>
              <w:widowControl/>
              <w:jc w:val="center"/>
              <w:rPr>
                <w:color w:val="000000"/>
                <w:kern w:val="0"/>
                <w:szCs w:val="21"/>
              </w:rPr>
            </w:pPr>
            <w:r>
              <w:rPr>
                <w:color w:val="000000"/>
                <w:kern w:val="0"/>
                <w:szCs w:val="21"/>
              </w:rPr>
              <w:t>治理措施</w:t>
            </w:r>
          </w:p>
        </w:tc>
      </w:tr>
      <w:tr w14:paraId="554E5122">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95" w:type="pct"/>
            <w:vMerge w:val="restart"/>
            <w:vAlign w:val="center"/>
          </w:tcPr>
          <w:p w14:paraId="64E346B6">
            <w:pPr>
              <w:widowControl/>
              <w:jc w:val="center"/>
              <w:rPr>
                <w:color w:val="000000"/>
                <w:kern w:val="0"/>
                <w:szCs w:val="21"/>
              </w:rPr>
            </w:pPr>
            <w:r>
              <w:rPr>
                <w:color w:val="000000"/>
                <w:kern w:val="0"/>
                <w:szCs w:val="21"/>
              </w:rPr>
              <w:t>生产区</w:t>
            </w:r>
          </w:p>
        </w:tc>
        <w:tc>
          <w:tcPr>
            <w:tcW w:w="1166" w:type="pct"/>
            <w:vAlign w:val="center"/>
          </w:tcPr>
          <w:p w14:paraId="53366A34">
            <w:pPr>
              <w:widowControl/>
              <w:jc w:val="center"/>
              <w:rPr>
                <w:color w:val="000000"/>
              </w:rPr>
            </w:pPr>
            <w:r>
              <w:rPr>
                <w:color w:val="000000"/>
                <w:kern w:val="0"/>
                <w:szCs w:val="21"/>
              </w:rPr>
              <w:t>带洗重型粉料机</w:t>
            </w:r>
          </w:p>
        </w:tc>
        <w:tc>
          <w:tcPr>
            <w:tcW w:w="665" w:type="pct"/>
            <w:vAlign w:val="center"/>
          </w:tcPr>
          <w:p w14:paraId="6CE38582">
            <w:pPr>
              <w:widowControl/>
              <w:jc w:val="center"/>
              <w:rPr>
                <w:color w:val="000000"/>
                <w:kern w:val="0"/>
                <w:szCs w:val="21"/>
              </w:rPr>
            </w:pPr>
            <w:r>
              <w:rPr>
                <w:color w:val="000000"/>
                <w:kern w:val="0"/>
                <w:szCs w:val="21"/>
              </w:rPr>
              <w:t>2</w:t>
            </w:r>
          </w:p>
        </w:tc>
        <w:tc>
          <w:tcPr>
            <w:tcW w:w="1247" w:type="pct"/>
            <w:vAlign w:val="center"/>
          </w:tcPr>
          <w:p w14:paraId="24EF8D36">
            <w:pPr>
              <w:widowControl/>
              <w:jc w:val="center"/>
              <w:rPr>
                <w:color w:val="000000"/>
                <w:kern w:val="0"/>
                <w:szCs w:val="21"/>
              </w:rPr>
            </w:pPr>
            <w:r>
              <w:rPr>
                <w:color w:val="000000"/>
                <w:kern w:val="0"/>
                <w:szCs w:val="21"/>
              </w:rPr>
              <w:t>85~90</w:t>
            </w:r>
          </w:p>
        </w:tc>
        <w:tc>
          <w:tcPr>
            <w:tcW w:w="1527" w:type="pct"/>
            <w:vMerge w:val="restart"/>
            <w:vAlign w:val="center"/>
          </w:tcPr>
          <w:p w14:paraId="41AC514E">
            <w:pPr>
              <w:widowControl/>
              <w:jc w:val="center"/>
              <w:rPr>
                <w:color w:val="000000"/>
                <w:kern w:val="0"/>
                <w:szCs w:val="21"/>
              </w:rPr>
            </w:pPr>
            <w:r>
              <w:rPr>
                <w:color w:val="000000"/>
                <w:kern w:val="0"/>
                <w:szCs w:val="21"/>
              </w:rPr>
              <w:t>通过设备合理布设，并采取隔音、吸声、减震、加强生产管理等降噪措施</w:t>
            </w:r>
          </w:p>
        </w:tc>
      </w:tr>
      <w:tr w14:paraId="215E7362">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95" w:type="pct"/>
            <w:vMerge w:val="continue"/>
            <w:vAlign w:val="center"/>
          </w:tcPr>
          <w:p w14:paraId="78DC7CD4">
            <w:pPr>
              <w:widowControl/>
              <w:jc w:val="center"/>
              <w:rPr>
                <w:color w:val="000000"/>
                <w:kern w:val="0"/>
                <w:szCs w:val="21"/>
              </w:rPr>
            </w:pPr>
          </w:p>
        </w:tc>
        <w:tc>
          <w:tcPr>
            <w:tcW w:w="1166" w:type="pct"/>
            <w:vAlign w:val="center"/>
          </w:tcPr>
          <w:p w14:paraId="5C8DEF9A">
            <w:pPr>
              <w:widowControl/>
              <w:jc w:val="center"/>
              <w:rPr>
                <w:color w:val="000000"/>
              </w:rPr>
            </w:pPr>
            <w:r>
              <w:rPr>
                <w:color w:val="000000"/>
                <w:kern w:val="0"/>
                <w:szCs w:val="21"/>
              </w:rPr>
              <w:t>风干机</w:t>
            </w:r>
          </w:p>
        </w:tc>
        <w:tc>
          <w:tcPr>
            <w:tcW w:w="665" w:type="pct"/>
            <w:vAlign w:val="center"/>
          </w:tcPr>
          <w:p w14:paraId="2A03AAB4">
            <w:pPr>
              <w:widowControl/>
              <w:jc w:val="center"/>
              <w:rPr>
                <w:color w:val="000000"/>
                <w:kern w:val="0"/>
                <w:szCs w:val="21"/>
              </w:rPr>
            </w:pPr>
            <w:r>
              <w:rPr>
                <w:color w:val="000000"/>
                <w:kern w:val="0"/>
                <w:szCs w:val="21"/>
              </w:rPr>
              <w:t>2</w:t>
            </w:r>
          </w:p>
        </w:tc>
        <w:tc>
          <w:tcPr>
            <w:tcW w:w="1247" w:type="pct"/>
            <w:vAlign w:val="center"/>
          </w:tcPr>
          <w:p w14:paraId="69CE86E8">
            <w:pPr>
              <w:widowControl/>
              <w:jc w:val="center"/>
              <w:rPr>
                <w:color w:val="000000"/>
                <w:kern w:val="0"/>
                <w:szCs w:val="21"/>
              </w:rPr>
            </w:pPr>
            <w:r>
              <w:rPr>
                <w:color w:val="000000"/>
                <w:kern w:val="0"/>
                <w:szCs w:val="21"/>
              </w:rPr>
              <w:t>70~75</w:t>
            </w:r>
          </w:p>
        </w:tc>
        <w:tc>
          <w:tcPr>
            <w:tcW w:w="1527" w:type="pct"/>
            <w:vMerge w:val="continue"/>
            <w:vAlign w:val="center"/>
          </w:tcPr>
          <w:p w14:paraId="7C1D52D7">
            <w:pPr>
              <w:widowControl/>
              <w:jc w:val="center"/>
              <w:rPr>
                <w:color w:val="000000"/>
                <w:kern w:val="0"/>
                <w:szCs w:val="21"/>
              </w:rPr>
            </w:pPr>
          </w:p>
        </w:tc>
      </w:tr>
      <w:tr w14:paraId="11EC9189">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95" w:type="pct"/>
            <w:vMerge w:val="continue"/>
            <w:vAlign w:val="center"/>
          </w:tcPr>
          <w:p w14:paraId="3FB38563">
            <w:pPr>
              <w:widowControl/>
              <w:jc w:val="center"/>
              <w:rPr>
                <w:color w:val="000000"/>
                <w:kern w:val="0"/>
                <w:szCs w:val="21"/>
              </w:rPr>
            </w:pPr>
          </w:p>
        </w:tc>
        <w:tc>
          <w:tcPr>
            <w:tcW w:w="1166" w:type="pct"/>
            <w:vAlign w:val="center"/>
          </w:tcPr>
          <w:p w14:paraId="19FDD18C">
            <w:pPr>
              <w:widowControl/>
              <w:jc w:val="center"/>
              <w:rPr>
                <w:color w:val="000000"/>
              </w:rPr>
            </w:pPr>
            <w:r>
              <w:rPr>
                <w:color w:val="000000"/>
                <w:kern w:val="0"/>
                <w:szCs w:val="21"/>
              </w:rPr>
              <w:t>10T造粒机</w:t>
            </w:r>
          </w:p>
        </w:tc>
        <w:tc>
          <w:tcPr>
            <w:tcW w:w="665" w:type="pct"/>
            <w:vAlign w:val="center"/>
          </w:tcPr>
          <w:p w14:paraId="53289A4E">
            <w:pPr>
              <w:widowControl/>
              <w:jc w:val="center"/>
              <w:rPr>
                <w:color w:val="000000"/>
                <w:kern w:val="0"/>
                <w:szCs w:val="21"/>
              </w:rPr>
            </w:pPr>
            <w:r>
              <w:rPr>
                <w:color w:val="000000"/>
                <w:kern w:val="0"/>
                <w:szCs w:val="21"/>
              </w:rPr>
              <w:t>2</w:t>
            </w:r>
          </w:p>
        </w:tc>
        <w:tc>
          <w:tcPr>
            <w:tcW w:w="1247" w:type="pct"/>
            <w:vAlign w:val="center"/>
          </w:tcPr>
          <w:p w14:paraId="0DE2E777">
            <w:pPr>
              <w:widowControl/>
              <w:jc w:val="center"/>
              <w:rPr>
                <w:color w:val="000000"/>
                <w:kern w:val="0"/>
                <w:szCs w:val="21"/>
              </w:rPr>
            </w:pPr>
            <w:r>
              <w:rPr>
                <w:color w:val="000000"/>
                <w:kern w:val="0"/>
                <w:szCs w:val="21"/>
              </w:rPr>
              <w:t>70</w:t>
            </w:r>
          </w:p>
        </w:tc>
        <w:tc>
          <w:tcPr>
            <w:tcW w:w="1527" w:type="pct"/>
            <w:vMerge w:val="continue"/>
            <w:vAlign w:val="center"/>
          </w:tcPr>
          <w:p w14:paraId="376FEA15">
            <w:pPr>
              <w:widowControl/>
              <w:jc w:val="center"/>
              <w:rPr>
                <w:color w:val="000000"/>
                <w:kern w:val="0"/>
                <w:szCs w:val="21"/>
              </w:rPr>
            </w:pPr>
          </w:p>
        </w:tc>
      </w:tr>
      <w:tr w14:paraId="498DB4F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95" w:type="pct"/>
            <w:vMerge w:val="continue"/>
            <w:vAlign w:val="center"/>
          </w:tcPr>
          <w:p w14:paraId="24B248F9">
            <w:pPr>
              <w:widowControl/>
              <w:jc w:val="center"/>
              <w:rPr>
                <w:color w:val="000000"/>
                <w:kern w:val="0"/>
                <w:szCs w:val="21"/>
              </w:rPr>
            </w:pPr>
          </w:p>
        </w:tc>
        <w:tc>
          <w:tcPr>
            <w:tcW w:w="1166" w:type="pct"/>
            <w:vAlign w:val="center"/>
          </w:tcPr>
          <w:p w14:paraId="24EDD52F">
            <w:pPr>
              <w:widowControl/>
              <w:jc w:val="center"/>
              <w:rPr>
                <w:color w:val="000000"/>
              </w:rPr>
            </w:pPr>
            <w:r>
              <w:t>平模拉丝机组</w:t>
            </w:r>
          </w:p>
        </w:tc>
        <w:tc>
          <w:tcPr>
            <w:tcW w:w="665" w:type="pct"/>
            <w:vAlign w:val="center"/>
          </w:tcPr>
          <w:p w14:paraId="12FDF01E">
            <w:pPr>
              <w:widowControl/>
              <w:jc w:val="center"/>
              <w:rPr>
                <w:color w:val="000000"/>
                <w:kern w:val="0"/>
                <w:szCs w:val="21"/>
              </w:rPr>
            </w:pPr>
            <w:r>
              <w:rPr>
                <w:color w:val="000000"/>
                <w:kern w:val="0"/>
                <w:szCs w:val="21"/>
              </w:rPr>
              <w:t>2</w:t>
            </w:r>
          </w:p>
        </w:tc>
        <w:tc>
          <w:tcPr>
            <w:tcW w:w="1247" w:type="pct"/>
            <w:vAlign w:val="center"/>
          </w:tcPr>
          <w:p w14:paraId="68E4403B">
            <w:pPr>
              <w:widowControl/>
              <w:jc w:val="center"/>
              <w:rPr>
                <w:color w:val="000000"/>
                <w:kern w:val="0"/>
                <w:szCs w:val="21"/>
              </w:rPr>
            </w:pPr>
            <w:r>
              <w:rPr>
                <w:color w:val="000000"/>
                <w:kern w:val="0"/>
                <w:szCs w:val="21"/>
              </w:rPr>
              <w:t>75~80</w:t>
            </w:r>
          </w:p>
        </w:tc>
        <w:tc>
          <w:tcPr>
            <w:tcW w:w="1527" w:type="pct"/>
            <w:vMerge w:val="continue"/>
            <w:vAlign w:val="center"/>
          </w:tcPr>
          <w:p w14:paraId="568F7434">
            <w:pPr>
              <w:widowControl/>
              <w:jc w:val="center"/>
              <w:rPr>
                <w:color w:val="000000"/>
                <w:kern w:val="0"/>
                <w:szCs w:val="21"/>
              </w:rPr>
            </w:pPr>
          </w:p>
        </w:tc>
      </w:tr>
      <w:tr w14:paraId="7501B864">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95" w:type="pct"/>
            <w:vMerge w:val="continue"/>
            <w:vAlign w:val="center"/>
          </w:tcPr>
          <w:p w14:paraId="6546EEC2">
            <w:pPr>
              <w:widowControl/>
              <w:jc w:val="center"/>
              <w:rPr>
                <w:color w:val="000000"/>
                <w:kern w:val="0"/>
                <w:szCs w:val="21"/>
              </w:rPr>
            </w:pPr>
          </w:p>
        </w:tc>
        <w:tc>
          <w:tcPr>
            <w:tcW w:w="1166" w:type="pct"/>
            <w:vAlign w:val="center"/>
          </w:tcPr>
          <w:p w14:paraId="767C28AD">
            <w:pPr>
              <w:widowControl/>
              <w:jc w:val="center"/>
            </w:pPr>
            <w:r>
              <w:t>切缝一体机</w:t>
            </w:r>
          </w:p>
        </w:tc>
        <w:tc>
          <w:tcPr>
            <w:tcW w:w="665" w:type="pct"/>
            <w:vAlign w:val="center"/>
          </w:tcPr>
          <w:p w14:paraId="6A0787AF">
            <w:pPr>
              <w:widowControl/>
              <w:jc w:val="center"/>
              <w:rPr>
                <w:color w:val="000000"/>
                <w:kern w:val="0"/>
                <w:szCs w:val="21"/>
              </w:rPr>
            </w:pPr>
            <w:r>
              <w:rPr>
                <w:color w:val="000000"/>
                <w:kern w:val="0"/>
                <w:szCs w:val="21"/>
              </w:rPr>
              <w:t>8</w:t>
            </w:r>
          </w:p>
        </w:tc>
        <w:tc>
          <w:tcPr>
            <w:tcW w:w="1247" w:type="pct"/>
            <w:vAlign w:val="center"/>
          </w:tcPr>
          <w:p w14:paraId="4ACE60B8">
            <w:pPr>
              <w:widowControl/>
              <w:jc w:val="center"/>
              <w:rPr>
                <w:color w:val="000000"/>
                <w:kern w:val="0"/>
                <w:szCs w:val="21"/>
              </w:rPr>
            </w:pPr>
            <w:r>
              <w:rPr>
                <w:color w:val="000000"/>
                <w:kern w:val="0"/>
                <w:szCs w:val="21"/>
              </w:rPr>
              <w:t>70~75</w:t>
            </w:r>
          </w:p>
        </w:tc>
        <w:tc>
          <w:tcPr>
            <w:tcW w:w="1527" w:type="pct"/>
            <w:vMerge w:val="continue"/>
            <w:vAlign w:val="center"/>
          </w:tcPr>
          <w:p w14:paraId="11090866">
            <w:pPr>
              <w:widowControl/>
              <w:jc w:val="center"/>
              <w:rPr>
                <w:color w:val="000000"/>
                <w:kern w:val="0"/>
                <w:szCs w:val="21"/>
              </w:rPr>
            </w:pPr>
          </w:p>
        </w:tc>
      </w:tr>
      <w:tr w14:paraId="120B34D9">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95" w:type="pct"/>
            <w:vMerge w:val="continue"/>
            <w:vAlign w:val="center"/>
          </w:tcPr>
          <w:p w14:paraId="40C1E20C">
            <w:pPr>
              <w:widowControl/>
              <w:jc w:val="center"/>
              <w:rPr>
                <w:color w:val="000000"/>
                <w:kern w:val="0"/>
                <w:szCs w:val="21"/>
              </w:rPr>
            </w:pPr>
          </w:p>
        </w:tc>
        <w:tc>
          <w:tcPr>
            <w:tcW w:w="1166" w:type="pct"/>
            <w:vAlign w:val="center"/>
          </w:tcPr>
          <w:p w14:paraId="7530D8FD">
            <w:pPr>
              <w:widowControl/>
              <w:jc w:val="center"/>
            </w:pPr>
            <w:r>
              <w:t>吸烟机（集气罩）</w:t>
            </w:r>
          </w:p>
        </w:tc>
        <w:tc>
          <w:tcPr>
            <w:tcW w:w="665" w:type="pct"/>
            <w:vAlign w:val="center"/>
          </w:tcPr>
          <w:p w14:paraId="7AF448BA">
            <w:pPr>
              <w:widowControl/>
              <w:jc w:val="center"/>
              <w:rPr>
                <w:color w:val="000000"/>
                <w:kern w:val="0"/>
                <w:szCs w:val="21"/>
              </w:rPr>
            </w:pPr>
            <w:r>
              <w:rPr>
                <w:color w:val="000000"/>
                <w:kern w:val="0"/>
                <w:szCs w:val="21"/>
              </w:rPr>
              <w:t>3</w:t>
            </w:r>
          </w:p>
        </w:tc>
        <w:tc>
          <w:tcPr>
            <w:tcW w:w="1247" w:type="pct"/>
            <w:vAlign w:val="center"/>
          </w:tcPr>
          <w:p w14:paraId="06D31145">
            <w:pPr>
              <w:widowControl/>
              <w:jc w:val="center"/>
              <w:rPr>
                <w:color w:val="000000"/>
                <w:kern w:val="0"/>
                <w:szCs w:val="21"/>
              </w:rPr>
            </w:pPr>
            <w:r>
              <w:rPr>
                <w:color w:val="000000"/>
                <w:kern w:val="0"/>
                <w:szCs w:val="21"/>
              </w:rPr>
              <w:t>80~85</w:t>
            </w:r>
          </w:p>
        </w:tc>
        <w:tc>
          <w:tcPr>
            <w:tcW w:w="1527" w:type="pct"/>
            <w:vMerge w:val="continue"/>
            <w:vAlign w:val="center"/>
          </w:tcPr>
          <w:p w14:paraId="05C22F71">
            <w:pPr>
              <w:widowControl/>
              <w:jc w:val="center"/>
              <w:rPr>
                <w:color w:val="000000"/>
                <w:kern w:val="0"/>
                <w:szCs w:val="21"/>
              </w:rPr>
            </w:pPr>
          </w:p>
        </w:tc>
      </w:tr>
      <w:tr w14:paraId="1D144A95">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95" w:type="pct"/>
            <w:vMerge w:val="continue"/>
            <w:vAlign w:val="center"/>
          </w:tcPr>
          <w:p w14:paraId="0C4E81A8">
            <w:pPr>
              <w:widowControl/>
              <w:jc w:val="center"/>
              <w:rPr>
                <w:color w:val="000000"/>
                <w:kern w:val="0"/>
                <w:szCs w:val="21"/>
              </w:rPr>
            </w:pPr>
          </w:p>
        </w:tc>
        <w:tc>
          <w:tcPr>
            <w:tcW w:w="1166" w:type="pct"/>
            <w:vAlign w:val="center"/>
          </w:tcPr>
          <w:p w14:paraId="11F490A1">
            <w:pPr>
              <w:widowControl/>
              <w:jc w:val="center"/>
              <w:rPr>
                <w:color w:val="000000"/>
              </w:rPr>
            </w:pPr>
            <w:r>
              <w:rPr>
                <w:color w:val="000000"/>
                <w:kern w:val="0"/>
              </w:rPr>
              <w:t>循环水泵</w:t>
            </w:r>
          </w:p>
        </w:tc>
        <w:tc>
          <w:tcPr>
            <w:tcW w:w="665" w:type="pct"/>
            <w:vAlign w:val="center"/>
          </w:tcPr>
          <w:p w14:paraId="23D86C10">
            <w:pPr>
              <w:widowControl/>
              <w:jc w:val="center"/>
              <w:rPr>
                <w:color w:val="000000"/>
                <w:kern w:val="0"/>
                <w:szCs w:val="21"/>
              </w:rPr>
            </w:pPr>
            <w:r>
              <w:rPr>
                <w:color w:val="000000"/>
                <w:kern w:val="0"/>
                <w:szCs w:val="21"/>
              </w:rPr>
              <w:t>2</w:t>
            </w:r>
          </w:p>
        </w:tc>
        <w:tc>
          <w:tcPr>
            <w:tcW w:w="1247" w:type="pct"/>
            <w:vAlign w:val="center"/>
          </w:tcPr>
          <w:p w14:paraId="1B9559E7">
            <w:pPr>
              <w:widowControl/>
              <w:jc w:val="center"/>
              <w:rPr>
                <w:color w:val="000000"/>
                <w:kern w:val="0"/>
                <w:szCs w:val="21"/>
              </w:rPr>
            </w:pPr>
            <w:r>
              <w:rPr>
                <w:color w:val="000000"/>
                <w:kern w:val="0"/>
                <w:szCs w:val="21"/>
              </w:rPr>
              <w:t>75~80</w:t>
            </w:r>
          </w:p>
        </w:tc>
        <w:tc>
          <w:tcPr>
            <w:tcW w:w="1527" w:type="pct"/>
            <w:vMerge w:val="continue"/>
            <w:vAlign w:val="center"/>
          </w:tcPr>
          <w:p w14:paraId="2A077DB3">
            <w:pPr>
              <w:widowControl/>
              <w:jc w:val="center"/>
              <w:rPr>
                <w:color w:val="000000"/>
                <w:kern w:val="0"/>
                <w:szCs w:val="21"/>
              </w:rPr>
            </w:pPr>
          </w:p>
        </w:tc>
      </w:tr>
    </w:tbl>
    <w:p w14:paraId="0A95694A">
      <w:pPr>
        <w:pStyle w:val="4"/>
        <w:rPr>
          <w:rFonts w:ascii="Times New Roman" w:hAnsi="Times New Roman"/>
          <w:color w:val="000000" w:themeColor="text1"/>
        </w:rPr>
        <w:sectPr>
          <w:pgSz w:w="11906" w:h="16838"/>
          <w:pgMar w:top="1440" w:right="1800" w:bottom="1440" w:left="1800" w:header="851" w:footer="992" w:gutter="0"/>
          <w:cols w:space="425" w:num="1"/>
          <w:docGrid w:type="linesAndChars" w:linePitch="312" w:charSpace="0"/>
        </w:sectPr>
      </w:pPr>
      <w:bookmarkStart w:id="318" w:name="_Toc345326868"/>
      <w:bookmarkStart w:id="319" w:name="_Toc348861043"/>
    </w:p>
    <w:p w14:paraId="7366AD29">
      <w:pPr>
        <w:pStyle w:val="4"/>
        <w:rPr>
          <w:rFonts w:ascii="Times New Roman" w:hAnsi="Times New Roman"/>
          <w:color w:val="000000" w:themeColor="text1"/>
        </w:rPr>
      </w:pPr>
      <w:bookmarkStart w:id="320" w:name="_Toc28117699"/>
      <w:r>
        <w:rPr>
          <w:rFonts w:ascii="Times New Roman" w:hAnsi="Times New Roman"/>
          <w:color w:val="000000" w:themeColor="text1"/>
        </w:rPr>
        <w:t>3.6本项目”三废”排污核算汇总</w:t>
      </w:r>
      <w:bookmarkEnd w:id="318"/>
      <w:bookmarkEnd w:id="319"/>
      <w:bookmarkEnd w:id="320"/>
    </w:p>
    <w:p w14:paraId="65D6BFA8">
      <w:pPr>
        <w:spacing w:line="360" w:lineRule="auto"/>
        <w:ind w:firstLine="480" w:firstLineChars="200"/>
        <w:rPr>
          <w:color w:val="000000" w:themeColor="text1"/>
          <w:sz w:val="24"/>
        </w:rPr>
      </w:pPr>
      <w:r>
        <w:rPr>
          <w:color w:val="000000" w:themeColor="text1"/>
          <w:sz w:val="24"/>
        </w:rPr>
        <w:t>本项目”三废”排污核算汇总见表3.6-1。</w:t>
      </w:r>
    </w:p>
    <w:p w14:paraId="4B562D14">
      <w:pPr>
        <w:spacing w:line="360" w:lineRule="auto"/>
        <w:jc w:val="center"/>
        <w:rPr>
          <w:b/>
          <w:bCs/>
          <w:color w:val="000000" w:themeColor="text1"/>
          <w:kern w:val="0"/>
          <w:sz w:val="24"/>
        </w:rPr>
      </w:pPr>
      <w:r>
        <w:rPr>
          <w:b/>
          <w:bCs/>
          <w:color w:val="000000" w:themeColor="text1"/>
          <w:sz w:val="24"/>
        </w:rPr>
        <w:t>表3.6-1  “三废”排污汇总表</w:t>
      </w:r>
    </w:p>
    <w:tbl>
      <w:tblPr>
        <w:tblStyle w:val="42"/>
        <w:tblW w:w="5000" w:type="pct"/>
        <w:jc w:val="center"/>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03"/>
        <w:gridCol w:w="426"/>
        <w:gridCol w:w="971"/>
        <w:gridCol w:w="1810"/>
        <w:gridCol w:w="1116"/>
        <w:gridCol w:w="1369"/>
        <w:gridCol w:w="1099"/>
        <w:gridCol w:w="1383"/>
        <w:gridCol w:w="1099"/>
        <w:gridCol w:w="4098"/>
      </w:tblGrid>
      <w:tr w14:paraId="5381C327">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blHeader/>
          <w:jc w:val="center"/>
        </w:trPr>
        <w:tc>
          <w:tcPr>
            <w:tcW w:w="283" w:type="pct"/>
            <w:vMerge w:val="restart"/>
            <w:vAlign w:val="center"/>
          </w:tcPr>
          <w:p w14:paraId="178F831B">
            <w:pPr>
              <w:jc w:val="center"/>
              <w:rPr>
                <w:rFonts w:eastAsiaTheme="minorEastAsia"/>
                <w:b/>
                <w:color w:val="000000" w:themeColor="text1"/>
                <w:szCs w:val="21"/>
              </w:rPr>
            </w:pPr>
            <w:bookmarkStart w:id="321" w:name="_Hlt39717372"/>
            <w:bookmarkEnd w:id="321"/>
            <w:bookmarkStart w:id="322" w:name="_Hlt40195139"/>
            <w:bookmarkEnd w:id="322"/>
            <w:bookmarkStart w:id="323" w:name="_Hlt7338707"/>
            <w:bookmarkEnd w:id="323"/>
            <w:bookmarkStart w:id="324" w:name="_Hlt532281917"/>
            <w:bookmarkEnd w:id="324"/>
            <w:r>
              <w:rPr>
                <w:rFonts w:eastAsiaTheme="minorEastAsia"/>
                <w:b/>
                <w:color w:val="000000" w:themeColor="text1"/>
                <w:szCs w:val="21"/>
              </w:rPr>
              <w:t>分类</w:t>
            </w:r>
          </w:p>
        </w:tc>
        <w:tc>
          <w:tcPr>
            <w:tcW w:w="458" w:type="pct"/>
            <w:gridSpan w:val="2"/>
            <w:vMerge w:val="restart"/>
            <w:vAlign w:val="center"/>
          </w:tcPr>
          <w:p w14:paraId="7B23A44B">
            <w:pPr>
              <w:jc w:val="center"/>
              <w:rPr>
                <w:rFonts w:eastAsiaTheme="minorEastAsia"/>
                <w:b/>
                <w:color w:val="000000" w:themeColor="text1"/>
                <w:szCs w:val="21"/>
              </w:rPr>
            </w:pPr>
            <w:r>
              <w:rPr>
                <w:rFonts w:eastAsiaTheme="minorEastAsia"/>
                <w:b/>
                <w:color w:val="000000" w:themeColor="text1"/>
                <w:szCs w:val="21"/>
              </w:rPr>
              <w:t>排放源</w:t>
            </w:r>
          </w:p>
        </w:tc>
        <w:tc>
          <w:tcPr>
            <w:tcW w:w="638" w:type="pct"/>
            <w:vMerge w:val="restart"/>
            <w:vAlign w:val="center"/>
          </w:tcPr>
          <w:p w14:paraId="2E9D320E">
            <w:pPr>
              <w:jc w:val="center"/>
              <w:rPr>
                <w:rFonts w:eastAsiaTheme="minorEastAsia"/>
                <w:b/>
                <w:color w:val="000000" w:themeColor="text1"/>
                <w:szCs w:val="21"/>
              </w:rPr>
            </w:pPr>
            <w:r>
              <w:rPr>
                <w:rFonts w:eastAsiaTheme="minorEastAsia"/>
                <w:b/>
                <w:color w:val="000000" w:themeColor="text1"/>
                <w:szCs w:val="21"/>
              </w:rPr>
              <w:t>污染物</w:t>
            </w:r>
          </w:p>
        </w:tc>
        <w:tc>
          <w:tcPr>
            <w:tcW w:w="2140" w:type="pct"/>
            <w:gridSpan w:val="5"/>
            <w:vAlign w:val="center"/>
          </w:tcPr>
          <w:p w14:paraId="414F09EC">
            <w:pPr>
              <w:jc w:val="center"/>
              <w:rPr>
                <w:rFonts w:eastAsiaTheme="minorEastAsia"/>
                <w:b/>
                <w:color w:val="000000" w:themeColor="text1"/>
                <w:szCs w:val="21"/>
              </w:rPr>
            </w:pPr>
            <w:r>
              <w:rPr>
                <w:rFonts w:eastAsiaTheme="minorEastAsia"/>
                <w:b/>
                <w:color w:val="000000" w:themeColor="text1"/>
                <w:szCs w:val="21"/>
              </w:rPr>
              <w:t>本工程</w:t>
            </w:r>
          </w:p>
        </w:tc>
        <w:tc>
          <w:tcPr>
            <w:tcW w:w="1481" w:type="pct"/>
            <w:vMerge w:val="restart"/>
            <w:vAlign w:val="center"/>
          </w:tcPr>
          <w:p w14:paraId="53B16ACA">
            <w:pPr>
              <w:jc w:val="center"/>
              <w:rPr>
                <w:rFonts w:eastAsiaTheme="minorEastAsia"/>
                <w:b/>
                <w:color w:val="000000" w:themeColor="text1"/>
                <w:szCs w:val="21"/>
              </w:rPr>
            </w:pPr>
            <w:r>
              <w:rPr>
                <w:rFonts w:eastAsiaTheme="minorEastAsia"/>
                <w:b/>
                <w:color w:val="000000" w:themeColor="text1"/>
                <w:szCs w:val="21"/>
              </w:rPr>
              <w:t>备注</w:t>
            </w:r>
          </w:p>
        </w:tc>
      </w:tr>
      <w:tr w14:paraId="594BF72E">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tblHeader/>
          <w:jc w:val="center"/>
        </w:trPr>
        <w:tc>
          <w:tcPr>
            <w:tcW w:w="288" w:type="pct"/>
            <w:vMerge w:val="continue"/>
            <w:tcBorders>
              <w:bottom w:val="single" w:color="auto" w:sz="4" w:space="0"/>
            </w:tcBorders>
            <w:vAlign w:val="center"/>
          </w:tcPr>
          <w:p w14:paraId="721A9833">
            <w:pPr>
              <w:jc w:val="center"/>
              <w:rPr>
                <w:rFonts w:eastAsiaTheme="minorEastAsia"/>
                <w:b/>
                <w:color w:val="000000" w:themeColor="text1"/>
                <w:szCs w:val="21"/>
              </w:rPr>
            </w:pPr>
          </w:p>
        </w:tc>
        <w:tc>
          <w:tcPr>
            <w:tcW w:w="353" w:type="pct"/>
            <w:gridSpan w:val="2"/>
            <w:vMerge w:val="continue"/>
            <w:vAlign w:val="center"/>
          </w:tcPr>
          <w:p w14:paraId="61DCF063">
            <w:pPr>
              <w:jc w:val="center"/>
              <w:rPr>
                <w:rFonts w:eastAsiaTheme="minorEastAsia"/>
                <w:b/>
                <w:color w:val="000000" w:themeColor="text1"/>
                <w:szCs w:val="21"/>
              </w:rPr>
            </w:pPr>
          </w:p>
        </w:tc>
        <w:tc>
          <w:tcPr>
            <w:tcW w:w="643" w:type="pct"/>
            <w:vMerge w:val="continue"/>
            <w:vAlign w:val="center"/>
          </w:tcPr>
          <w:p w14:paraId="684E6263">
            <w:pPr>
              <w:jc w:val="center"/>
              <w:rPr>
                <w:rFonts w:eastAsiaTheme="minorEastAsia"/>
                <w:b/>
                <w:color w:val="000000" w:themeColor="text1"/>
                <w:szCs w:val="21"/>
              </w:rPr>
            </w:pPr>
          </w:p>
        </w:tc>
        <w:tc>
          <w:tcPr>
            <w:tcW w:w="394" w:type="pct"/>
            <w:vAlign w:val="center"/>
          </w:tcPr>
          <w:p w14:paraId="5BB6A025">
            <w:pPr>
              <w:jc w:val="center"/>
              <w:rPr>
                <w:rFonts w:eastAsiaTheme="minorEastAsia"/>
                <w:b/>
                <w:color w:val="000000" w:themeColor="text1"/>
                <w:szCs w:val="21"/>
              </w:rPr>
            </w:pPr>
            <w:r>
              <w:rPr>
                <w:rFonts w:eastAsiaTheme="minorEastAsia"/>
                <w:b/>
                <w:color w:val="000000" w:themeColor="text1"/>
                <w:szCs w:val="21"/>
              </w:rPr>
              <w:t>产生浓度（mg/L）</w:t>
            </w:r>
          </w:p>
        </w:tc>
        <w:tc>
          <w:tcPr>
            <w:tcW w:w="491" w:type="pct"/>
            <w:vAlign w:val="center"/>
          </w:tcPr>
          <w:p w14:paraId="085062EB">
            <w:pPr>
              <w:jc w:val="center"/>
              <w:rPr>
                <w:rFonts w:eastAsiaTheme="minorEastAsia"/>
                <w:b/>
                <w:color w:val="000000" w:themeColor="text1"/>
                <w:szCs w:val="21"/>
              </w:rPr>
            </w:pPr>
            <w:r>
              <w:rPr>
                <w:rFonts w:eastAsiaTheme="minorEastAsia"/>
                <w:b/>
                <w:color w:val="000000" w:themeColor="text1"/>
                <w:szCs w:val="21"/>
              </w:rPr>
              <w:t>产生量</w:t>
            </w:r>
          </w:p>
          <w:p w14:paraId="173607BF">
            <w:pPr>
              <w:jc w:val="center"/>
              <w:rPr>
                <w:rFonts w:eastAsiaTheme="minorEastAsia"/>
                <w:b/>
                <w:color w:val="000000" w:themeColor="text1"/>
                <w:szCs w:val="21"/>
              </w:rPr>
            </w:pPr>
            <w:r>
              <w:rPr>
                <w:rFonts w:eastAsiaTheme="minorEastAsia"/>
                <w:color w:val="000000" w:themeColor="text1"/>
                <w:szCs w:val="21"/>
              </w:rPr>
              <w:t>（t/a）</w:t>
            </w:r>
          </w:p>
        </w:tc>
        <w:tc>
          <w:tcPr>
            <w:tcW w:w="392" w:type="pct"/>
            <w:vAlign w:val="center"/>
          </w:tcPr>
          <w:p w14:paraId="6825CB65">
            <w:pPr>
              <w:jc w:val="center"/>
              <w:rPr>
                <w:rFonts w:eastAsiaTheme="minorEastAsia"/>
                <w:b/>
                <w:color w:val="000000" w:themeColor="text1"/>
                <w:szCs w:val="21"/>
              </w:rPr>
            </w:pPr>
            <w:r>
              <w:rPr>
                <w:rFonts w:eastAsiaTheme="minorEastAsia"/>
                <w:b/>
                <w:color w:val="000000" w:themeColor="text1"/>
                <w:szCs w:val="21"/>
              </w:rPr>
              <w:t>自身削减量</w:t>
            </w:r>
            <w:r>
              <w:rPr>
                <w:rFonts w:eastAsiaTheme="minorEastAsia"/>
                <w:color w:val="000000" w:themeColor="text1"/>
                <w:szCs w:val="21"/>
              </w:rPr>
              <w:t>（t/a）</w:t>
            </w:r>
          </w:p>
        </w:tc>
        <w:tc>
          <w:tcPr>
            <w:tcW w:w="492" w:type="pct"/>
            <w:vAlign w:val="center"/>
          </w:tcPr>
          <w:p w14:paraId="0BEDCC4A">
            <w:pPr>
              <w:jc w:val="center"/>
              <w:rPr>
                <w:rFonts w:eastAsiaTheme="minorEastAsia"/>
                <w:b/>
                <w:color w:val="000000" w:themeColor="text1"/>
                <w:szCs w:val="21"/>
              </w:rPr>
            </w:pPr>
            <w:r>
              <w:rPr>
                <w:rFonts w:eastAsiaTheme="minorEastAsia"/>
                <w:b/>
                <w:color w:val="000000" w:themeColor="text1"/>
                <w:szCs w:val="21"/>
              </w:rPr>
              <w:t>排放浓度（mg/L）</w:t>
            </w:r>
          </w:p>
        </w:tc>
        <w:tc>
          <w:tcPr>
            <w:tcW w:w="392" w:type="pct"/>
            <w:vAlign w:val="center"/>
          </w:tcPr>
          <w:p w14:paraId="49E53B8C">
            <w:pPr>
              <w:jc w:val="center"/>
              <w:rPr>
                <w:rFonts w:eastAsiaTheme="minorEastAsia"/>
                <w:b/>
                <w:color w:val="000000" w:themeColor="text1"/>
                <w:szCs w:val="21"/>
              </w:rPr>
            </w:pPr>
            <w:r>
              <w:rPr>
                <w:rFonts w:eastAsiaTheme="minorEastAsia"/>
                <w:b/>
                <w:color w:val="000000" w:themeColor="text1"/>
                <w:szCs w:val="21"/>
              </w:rPr>
              <w:t>排放量</w:t>
            </w:r>
            <w:r>
              <w:rPr>
                <w:rFonts w:eastAsiaTheme="minorEastAsia"/>
                <w:color w:val="000000" w:themeColor="text1"/>
                <w:szCs w:val="21"/>
              </w:rPr>
              <w:t>（t/a）</w:t>
            </w:r>
          </w:p>
        </w:tc>
        <w:tc>
          <w:tcPr>
            <w:tcW w:w="1555" w:type="pct"/>
            <w:vMerge w:val="continue"/>
            <w:vAlign w:val="center"/>
          </w:tcPr>
          <w:p w14:paraId="01992ECD">
            <w:pPr>
              <w:jc w:val="center"/>
              <w:rPr>
                <w:rFonts w:eastAsiaTheme="minorEastAsia"/>
                <w:b/>
                <w:color w:val="000000" w:themeColor="text1"/>
                <w:szCs w:val="21"/>
              </w:rPr>
            </w:pPr>
          </w:p>
        </w:tc>
      </w:tr>
      <w:tr w14:paraId="5EA8D7DE">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8" w:type="pct"/>
            <w:vMerge w:val="restart"/>
            <w:tcBorders>
              <w:top w:val="single" w:color="auto" w:sz="4" w:space="0"/>
            </w:tcBorders>
            <w:vAlign w:val="center"/>
          </w:tcPr>
          <w:p w14:paraId="3B838C13">
            <w:pPr>
              <w:jc w:val="center"/>
              <w:rPr>
                <w:rFonts w:eastAsiaTheme="minorEastAsia"/>
                <w:b/>
                <w:color w:val="FF0000"/>
                <w:szCs w:val="21"/>
              </w:rPr>
            </w:pPr>
            <w:r>
              <w:rPr>
                <w:rFonts w:eastAsiaTheme="minorEastAsia"/>
                <w:b/>
                <w:color w:val="FF0000"/>
                <w:szCs w:val="21"/>
              </w:rPr>
              <w:t>废气</w:t>
            </w:r>
          </w:p>
        </w:tc>
        <w:tc>
          <w:tcPr>
            <w:tcW w:w="111" w:type="pct"/>
            <w:vMerge w:val="restart"/>
            <w:vAlign w:val="center"/>
          </w:tcPr>
          <w:p w14:paraId="2FA062C0">
            <w:pPr>
              <w:widowControl/>
              <w:jc w:val="center"/>
              <w:rPr>
                <w:rFonts w:eastAsiaTheme="minorEastAsia"/>
                <w:color w:val="000000" w:themeColor="text1"/>
                <w:kern w:val="0"/>
                <w:szCs w:val="21"/>
              </w:rPr>
            </w:pPr>
            <w:r>
              <w:rPr>
                <w:rFonts w:eastAsiaTheme="minorEastAsia"/>
                <w:color w:val="000000" w:themeColor="text1"/>
                <w:kern w:val="0"/>
                <w:szCs w:val="21"/>
              </w:rPr>
              <w:t>有组织</w:t>
            </w:r>
          </w:p>
        </w:tc>
        <w:tc>
          <w:tcPr>
            <w:tcW w:w="242" w:type="pct"/>
            <w:vMerge w:val="restart"/>
            <w:vAlign w:val="center"/>
          </w:tcPr>
          <w:p w14:paraId="7585876D">
            <w:pPr>
              <w:jc w:val="center"/>
              <w:rPr>
                <w:rFonts w:eastAsiaTheme="minorEastAsia"/>
                <w:color w:val="000000" w:themeColor="text1"/>
                <w:kern w:val="0"/>
                <w:szCs w:val="21"/>
              </w:rPr>
            </w:pPr>
            <w:r>
              <w:rPr>
                <w:rFonts w:eastAsiaTheme="minorEastAsia"/>
                <w:color w:val="000000" w:themeColor="text1"/>
                <w:kern w:val="0"/>
                <w:szCs w:val="21"/>
              </w:rPr>
              <w:t>造粒工序</w:t>
            </w:r>
          </w:p>
        </w:tc>
        <w:tc>
          <w:tcPr>
            <w:tcW w:w="643" w:type="pct"/>
            <w:vAlign w:val="center"/>
          </w:tcPr>
          <w:p w14:paraId="674C97B4">
            <w:pPr>
              <w:pStyle w:val="59"/>
              <w:spacing w:line="240" w:lineRule="auto"/>
              <w:rPr>
                <w:color w:val="000000" w:themeColor="text1"/>
                <w:sz w:val="21"/>
                <w:szCs w:val="21"/>
              </w:rPr>
            </w:pPr>
            <w:r>
              <w:rPr>
                <w:color w:val="000000" w:themeColor="text1"/>
                <w:sz w:val="21"/>
                <w:szCs w:val="21"/>
              </w:rPr>
              <w:t>颗粒物</w:t>
            </w:r>
          </w:p>
        </w:tc>
        <w:tc>
          <w:tcPr>
            <w:tcW w:w="394" w:type="pct"/>
            <w:vAlign w:val="center"/>
          </w:tcPr>
          <w:p w14:paraId="6DF02A2C">
            <w:pPr>
              <w:jc w:val="center"/>
              <w:rPr>
                <w:color w:val="000000" w:themeColor="text1"/>
                <w:szCs w:val="21"/>
              </w:rPr>
            </w:pPr>
            <w:r>
              <w:rPr>
                <w:color w:val="000000" w:themeColor="text1"/>
                <w:szCs w:val="21"/>
              </w:rPr>
              <w:t>/</w:t>
            </w:r>
          </w:p>
        </w:tc>
        <w:tc>
          <w:tcPr>
            <w:tcW w:w="491" w:type="pct"/>
            <w:vAlign w:val="center"/>
          </w:tcPr>
          <w:p w14:paraId="1A43F752">
            <w:pPr>
              <w:jc w:val="center"/>
              <w:rPr>
                <w:color w:val="000000" w:themeColor="text1"/>
                <w:szCs w:val="21"/>
              </w:rPr>
            </w:pPr>
            <w:r>
              <w:rPr>
                <w:color w:val="000000" w:themeColor="text1"/>
                <w:szCs w:val="21"/>
              </w:rPr>
              <w:t>0.26</w:t>
            </w:r>
          </w:p>
        </w:tc>
        <w:tc>
          <w:tcPr>
            <w:tcW w:w="392" w:type="pct"/>
            <w:vAlign w:val="center"/>
          </w:tcPr>
          <w:p w14:paraId="09321D0F">
            <w:pPr>
              <w:widowControl/>
              <w:jc w:val="center"/>
              <w:rPr>
                <w:rFonts w:eastAsia="等线"/>
                <w:color w:val="000000"/>
                <w:kern w:val="0"/>
                <w:szCs w:val="21"/>
              </w:rPr>
            </w:pPr>
          </w:p>
        </w:tc>
        <w:tc>
          <w:tcPr>
            <w:tcW w:w="492" w:type="pct"/>
            <w:vAlign w:val="center"/>
          </w:tcPr>
          <w:p w14:paraId="44BFDB07">
            <w:pPr>
              <w:jc w:val="center"/>
              <w:rPr>
                <w:rFonts w:eastAsia="等线"/>
                <w:color w:val="000000"/>
                <w:szCs w:val="21"/>
              </w:rPr>
            </w:pPr>
            <w:r>
              <w:rPr>
                <w:rFonts w:eastAsia="等线"/>
                <w:color w:val="000000"/>
                <w:szCs w:val="21"/>
              </w:rPr>
              <w:t xml:space="preserve">0.61 </w:t>
            </w:r>
          </w:p>
        </w:tc>
        <w:tc>
          <w:tcPr>
            <w:tcW w:w="392" w:type="pct"/>
            <w:vAlign w:val="center"/>
          </w:tcPr>
          <w:p w14:paraId="09173B7B">
            <w:pPr>
              <w:widowControl/>
              <w:jc w:val="center"/>
              <w:rPr>
                <w:rFonts w:eastAsia="等线"/>
                <w:color w:val="000000"/>
                <w:kern w:val="0"/>
                <w:szCs w:val="21"/>
              </w:rPr>
            </w:pPr>
            <w:r>
              <w:rPr>
                <w:rFonts w:eastAsia="等线"/>
                <w:color w:val="000000"/>
                <w:szCs w:val="21"/>
              </w:rPr>
              <w:t xml:space="preserve">0.012 </w:t>
            </w:r>
          </w:p>
        </w:tc>
        <w:tc>
          <w:tcPr>
            <w:tcW w:w="1555" w:type="pct"/>
            <w:vMerge w:val="restart"/>
            <w:vAlign w:val="center"/>
          </w:tcPr>
          <w:p w14:paraId="32938F70">
            <w:pPr>
              <w:jc w:val="center"/>
              <w:rPr>
                <w:color w:val="000000" w:themeColor="text1"/>
                <w:szCs w:val="21"/>
              </w:rPr>
            </w:pPr>
            <w:r>
              <w:rPr>
                <w:bCs/>
                <w:color w:val="000000" w:themeColor="text1"/>
                <w:szCs w:val="21"/>
              </w:rPr>
              <w:t>设置2套集气罩对废气进行收集，然后经”过滤棉+UV光催化净化装置”处理后（收集效率90%，非甲烷总烃处理效率85%，颗粒物处理效率95%），通过15m高排气筒排放。</w:t>
            </w:r>
          </w:p>
        </w:tc>
      </w:tr>
      <w:tr w14:paraId="3E9D4938">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8" w:type="pct"/>
            <w:vMerge w:val="continue"/>
            <w:vAlign w:val="center"/>
          </w:tcPr>
          <w:p w14:paraId="5EF99028">
            <w:pPr>
              <w:jc w:val="center"/>
              <w:rPr>
                <w:rFonts w:eastAsiaTheme="minorEastAsia"/>
                <w:b/>
                <w:color w:val="000000" w:themeColor="text1"/>
                <w:szCs w:val="21"/>
              </w:rPr>
            </w:pPr>
          </w:p>
        </w:tc>
        <w:tc>
          <w:tcPr>
            <w:tcW w:w="111" w:type="pct"/>
            <w:vMerge w:val="continue"/>
            <w:vAlign w:val="center"/>
          </w:tcPr>
          <w:p w14:paraId="62C505AB">
            <w:pPr>
              <w:widowControl/>
              <w:jc w:val="center"/>
              <w:rPr>
                <w:rFonts w:eastAsiaTheme="minorEastAsia"/>
                <w:color w:val="000000" w:themeColor="text1"/>
                <w:kern w:val="0"/>
                <w:szCs w:val="21"/>
              </w:rPr>
            </w:pPr>
          </w:p>
        </w:tc>
        <w:tc>
          <w:tcPr>
            <w:tcW w:w="242" w:type="pct"/>
            <w:vMerge w:val="continue"/>
            <w:vAlign w:val="center"/>
          </w:tcPr>
          <w:p w14:paraId="25F916A1">
            <w:pPr>
              <w:jc w:val="center"/>
              <w:rPr>
                <w:rFonts w:eastAsiaTheme="minorEastAsia"/>
                <w:color w:val="000000" w:themeColor="text1"/>
                <w:kern w:val="0"/>
                <w:szCs w:val="21"/>
              </w:rPr>
            </w:pPr>
          </w:p>
        </w:tc>
        <w:tc>
          <w:tcPr>
            <w:tcW w:w="643" w:type="pct"/>
            <w:vAlign w:val="center"/>
          </w:tcPr>
          <w:p w14:paraId="477DE11A">
            <w:pPr>
              <w:pStyle w:val="59"/>
              <w:spacing w:line="240" w:lineRule="auto"/>
              <w:rPr>
                <w:color w:val="000000" w:themeColor="text1"/>
                <w:sz w:val="21"/>
                <w:szCs w:val="21"/>
              </w:rPr>
            </w:pPr>
            <w:r>
              <w:rPr>
                <w:color w:val="000000" w:themeColor="text1"/>
                <w:sz w:val="21"/>
                <w:szCs w:val="21"/>
              </w:rPr>
              <w:t>非甲烷总烃</w:t>
            </w:r>
          </w:p>
        </w:tc>
        <w:tc>
          <w:tcPr>
            <w:tcW w:w="394" w:type="pct"/>
            <w:vAlign w:val="center"/>
          </w:tcPr>
          <w:p w14:paraId="7400C690">
            <w:pPr>
              <w:jc w:val="center"/>
              <w:rPr>
                <w:color w:val="000000" w:themeColor="text1"/>
                <w:szCs w:val="21"/>
              </w:rPr>
            </w:pPr>
            <w:r>
              <w:rPr>
                <w:color w:val="000000" w:themeColor="text1"/>
                <w:szCs w:val="21"/>
              </w:rPr>
              <w:t>/</w:t>
            </w:r>
          </w:p>
        </w:tc>
        <w:tc>
          <w:tcPr>
            <w:tcW w:w="491" w:type="pct"/>
            <w:vAlign w:val="center"/>
          </w:tcPr>
          <w:p w14:paraId="2EEB3582">
            <w:pPr>
              <w:jc w:val="center"/>
              <w:rPr>
                <w:color w:val="000000" w:themeColor="text1"/>
                <w:szCs w:val="21"/>
              </w:rPr>
            </w:pPr>
            <w:r>
              <w:rPr>
                <w:color w:val="000000" w:themeColor="text1"/>
                <w:szCs w:val="21"/>
              </w:rPr>
              <w:t>1.754</w:t>
            </w:r>
          </w:p>
        </w:tc>
        <w:tc>
          <w:tcPr>
            <w:tcW w:w="392" w:type="pct"/>
            <w:vAlign w:val="center"/>
          </w:tcPr>
          <w:p w14:paraId="47F7A0DB">
            <w:pPr>
              <w:jc w:val="center"/>
              <w:rPr>
                <w:rFonts w:eastAsia="等线"/>
                <w:color w:val="000000"/>
                <w:szCs w:val="21"/>
              </w:rPr>
            </w:pPr>
          </w:p>
        </w:tc>
        <w:tc>
          <w:tcPr>
            <w:tcW w:w="492" w:type="pct"/>
            <w:vAlign w:val="center"/>
          </w:tcPr>
          <w:p w14:paraId="233B062B">
            <w:pPr>
              <w:jc w:val="center"/>
              <w:rPr>
                <w:rFonts w:eastAsia="等线"/>
                <w:color w:val="000000"/>
                <w:szCs w:val="21"/>
              </w:rPr>
            </w:pPr>
            <w:r>
              <w:rPr>
                <w:rFonts w:eastAsia="等线"/>
                <w:color w:val="000000"/>
                <w:szCs w:val="21"/>
              </w:rPr>
              <w:t xml:space="preserve">4.11 </w:t>
            </w:r>
          </w:p>
        </w:tc>
        <w:tc>
          <w:tcPr>
            <w:tcW w:w="392" w:type="pct"/>
            <w:vAlign w:val="center"/>
          </w:tcPr>
          <w:p w14:paraId="555413EF">
            <w:pPr>
              <w:jc w:val="center"/>
              <w:rPr>
                <w:rFonts w:eastAsia="等线"/>
                <w:color w:val="000000"/>
                <w:szCs w:val="21"/>
              </w:rPr>
            </w:pPr>
            <w:r>
              <w:rPr>
                <w:rFonts w:eastAsia="等线"/>
                <w:color w:val="000000"/>
                <w:szCs w:val="21"/>
              </w:rPr>
              <w:t xml:space="preserve">0.079 </w:t>
            </w:r>
          </w:p>
        </w:tc>
        <w:tc>
          <w:tcPr>
            <w:tcW w:w="1555" w:type="pct"/>
            <w:vMerge w:val="continue"/>
            <w:vAlign w:val="center"/>
          </w:tcPr>
          <w:p w14:paraId="72B14403">
            <w:pPr>
              <w:jc w:val="center"/>
              <w:rPr>
                <w:color w:val="000000" w:themeColor="text1"/>
                <w:szCs w:val="21"/>
              </w:rPr>
            </w:pPr>
          </w:p>
        </w:tc>
      </w:tr>
      <w:tr w14:paraId="3C71251D">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8" w:type="pct"/>
            <w:vMerge w:val="continue"/>
            <w:vAlign w:val="center"/>
          </w:tcPr>
          <w:p w14:paraId="3E1CD21B">
            <w:pPr>
              <w:jc w:val="center"/>
              <w:rPr>
                <w:rFonts w:eastAsiaTheme="minorEastAsia"/>
                <w:b/>
                <w:color w:val="000000" w:themeColor="text1"/>
                <w:szCs w:val="21"/>
              </w:rPr>
            </w:pPr>
          </w:p>
        </w:tc>
        <w:tc>
          <w:tcPr>
            <w:tcW w:w="111" w:type="pct"/>
            <w:vMerge w:val="continue"/>
            <w:vAlign w:val="center"/>
          </w:tcPr>
          <w:p w14:paraId="1F70A257">
            <w:pPr>
              <w:widowControl/>
              <w:jc w:val="center"/>
              <w:rPr>
                <w:rFonts w:eastAsiaTheme="minorEastAsia"/>
                <w:color w:val="000000" w:themeColor="text1"/>
                <w:kern w:val="0"/>
                <w:szCs w:val="21"/>
              </w:rPr>
            </w:pPr>
          </w:p>
        </w:tc>
        <w:tc>
          <w:tcPr>
            <w:tcW w:w="242" w:type="pct"/>
            <w:vMerge w:val="restart"/>
            <w:vAlign w:val="center"/>
          </w:tcPr>
          <w:p w14:paraId="1162B353">
            <w:pPr>
              <w:jc w:val="center"/>
              <w:rPr>
                <w:rFonts w:eastAsiaTheme="minorEastAsia"/>
                <w:color w:val="000000" w:themeColor="text1"/>
                <w:kern w:val="0"/>
                <w:szCs w:val="21"/>
              </w:rPr>
            </w:pPr>
            <w:r>
              <w:rPr>
                <w:rFonts w:eastAsiaTheme="minorEastAsia"/>
                <w:color w:val="000000" w:themeColor="text1"/>
                <w:kern w:val="0"/>
                <w:szCs w:val="21"/>
              </w:rPr>
              <w:t>编织袋生产</w:t>
            </w:r>
          </w:p>
        </w:tc>
        <w:tc>
          <w:tcPr>
            <w:tcW w:w="643" w:type="pct"/>
            <w:vAlign w:val="center"/>
          </w:tcPr>
          <w:p w14:paraId="38B996D0">
            <w:pPr>
              <w:pStyle w:val="59"/>
              <w:spacing w:line="240" w:lineRule="auto"/>
              <w:rPr>
                <w:color w:val="000000" w:themeColor="text1"/>
                <w:sz w:val="21"/>
                <w:szCs w:val="21"/>
              </w:rPr>
            </w:pPr>
            <w:r>
              <w:rPr>
                <w:color w:val="000000" w:themeColor="text1"/>
                <w:sz w:val="21"/>
                <w:szCs w:val="21"/>
              </w:rPr>
              <w:t>颗粒物</w:t>
            </w:r>
          </w:p>
        </w:tc>
        <w:tc>
          <w:tcPr>
            <w:tcW w:w="394" w:type="pct"/>
            <w:vAlign w:val="center"/>
          </w:tcPr>
          <w:p w14:paraId="4A850740">
            <w:pPr>
              <w:jc w:val="center"/>
              <w:rPr>
                <w:color w:val="000000" w:themeColor="text1"/>
                <w:szCs w:val="21"/>
              </w:rPr>
            </w:pPr>
            <w:r>
              <w:rPr>
                <w:color w:val="000000" w:themeColor="text1"/>
                <w:szCs w:val="21"/>
              </w:rPr>
              <w:t>/</w:t>
            </w:r>
          </w:p>
        </w:tc>
        <w:tc>
          <w:tcPr>
            <w:tcW w:w="491" w:type="pct"/>
            <w:vAlign w:val="center"/>
          </w:tcPr>
          <w:p w14:paraId="0CB08EAC">
            <w:pPr>
              <w:jc w:val="center"/>
              <w:rPr>
                <w:color w:val="000000" w:themeColor="text1"/>
                <w:szCs w:val="21"/>
              </w:rPr>
            </w:pPr>
            <w:r>
              <w:rPr>
                <w:color w:val="000000" w:themeColor="text1"/>
                <w:szCs w:val="21"/>
              </w:rPr>
              <w:t>0.15</w:t>
            </w:r>
          </w:p>
        </w:tc>
        <w:tc>
          <w:tcPr>
            <w:tcW w:w="392" w:type="pct"/>
            <w:vAlign w:val="center"/>
          </w:tcPr>
          <w:p w14:paraId="0BCF6559">
            <w:pPr>
              <w:jc w:val="center"/>
              <w:rPr>
                <w:rFonts w:eastAsia="等线"/>
                <w:color w:val="000000"/>
                <w:szCs w:val="21"/>
              </w:rPr>
            </w:pPr>
          </w:p>
        </w:tc>
        <w:tc>
          <w:tcPr>
            <w:tcW w:w="492" w:type="pct"/>
            <w:vAlign w:val="center"/>
          </w:tcPr>
          <w:p w14:paraId="09EB5D30">
            <w:pPr>
              <w:jc w:val="center"/>
              <w:rPr>
                <w:rFonts w:eastAsia="等线"/>
                <w:color w:val="000000"/>
                <w:szCs w:val="21"/>
              </w:rPr>
            </w:pPr>
            <w:r>
              <w:rPr>
                <w:rFonts w:eastAsia="等线"/>
                <w:color w:val="000000"/>
                <w:szCs w:val="21"/>
              </w:rPr>
              <w:t xml:space="preserve">0.35 </w:t>
            </w:r>
          </w:p>
        </w:tc>
        <w:tc>
          <w:tcPr>
            <w:tcW w:w="392" w:type="pct"/>
            <w:vAlign w:val="center"/>
          </w:tcPr>
          <w:p w14:paraId="385315DC">
            <w:pPr>
              <w:jc w:val="center"/>
              <w:rPr>
                <w:rFonts w:eastAsia="等线"/>
                <w:color w:val="000000"/>
                <w:szCs w:val="21"/>
              </w:rPr>
            </w:pPr>
            <w:r>
              <w:rPr>
                <w:rFonts w:eastAsia="等线"/>
                <w:color w:val="000000"/>
                <w:szCs w:val="21"/>
              </w:rPr>
              <w:t xml:space="preserve">0.007 </w:t>
            </w:r>
          </w:p>
        </w:tc>
        <w:tc>
          <w:tcPr>
            <w:tcW w:w="1555" w:type="pct"/>
            <w:vMerge w:val="restart"/>
            <w:vAlign w:val="center"/>
          </w:tcPr>
          <w:p w14:paraId="64453D97">
            <w:pPr>
              <w:jc w:val="center"/>
              <w:rPr>
                <w:color w:val="000000" w:themeColor="text1"/>
                <w:szCs w:val="21"/>
              </w:rPr>
            </w:pPr>
            <w:r>
              <w:rPr>
                <w:bCs/>
                <w:color w:val="000000" w:themeColor="text1"/>
                <w:szCs w:val="21"/>
              </w:rPr>
              <w:t>设置1套集气罩对废气进行收集，然后经”过滤棉+UV光催化净化装置”处理后（收集效率90%，非甲烷总烃处理效率85%，颗粒物处理效率95%），通过15m高排气筒排放。</w:t>
            </w:r>
          </w:p>
        </w:tc>
      </w:tr>
      <w:tr w14:paraId="3661608E">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8" w:type="pct"/>
            <w:vMerge w:val="continue"/>
            <w:vAlign w:val="center"/>
          </w:tcPr>
          <w:p w14:paraId="158A97C2">
            <w:pPr>
              <w:jc w:val="center"/>
              <w:rPr>
                <w:rFonts w:eastAsiaTheme="minorEastAsia"/>
                <w:b/>
                <w:color w:val="000000" w:themeColor="text1"/>
                <w:szCs w:val="21"/>
              </w:rPr>
            </w:pPr>
          </w:p>
        </w:tc>
        <w:tc>
          <w:tcPr>
            <w:tcW w:w="111" w:type="pct"/>
            <w:vMerge w:val="continue"/>
            <w:vAlign w:val="center"/>
          </w:tcPr>
          <w:p w14:paraId="20F85038">
            <w:pPr>
              <w:widowControl/>
              <w:jc w:val="center"/>
              <w:rPr>
                <w:rFonts w:eastAsiaTheme="minorEastAsia"/>
                <w:color w:val="000000" w:themeColor="text1"/>
                <w:kern w:val="0"/>
                <w:szCs w:val="21"/>
              </w:rPr>
            </w:pPr>
          </w:p>
        </w:tc>
        <w:tc>
          <w:tcPr>
            <w:tcW w:w="242" w:type="pct"/>
            <w:vMerge w:val="continue"/>
            <w:vAlign w:val="center"/>
          </w:tcPr>
          <w:p w14:paraId="4652762B">
            <w:pPr>
              <w:jc w:val="center"/>
              <w:rPr>
                <w:rFonts w:eastAsiaTheme="minorEastAsia"/>
                <w:color w:val="000000" w:themeColor="text1"/>
                <w:kern w:val="0"/>
                <w:szCs w:val="21"/>
              </w:rPr>
            </w:pPr>
          </w:p>
        </w:tc>
        <w:tc>
          <w:tcPr>
            <w:tcW w:w="643" w:type="pct"/>
            <w:vAlign w:val="center"/>
          </w:tcPr>
          <w:p w14:paraId="39B07FDB">
            <w:pPr>
              <w:pStyle w:val="59"/>
              <w:spacing w:line="240" w:lineRule="auto"/>
              <w:rPr>
                <w:color w:val="000000" w:themeColor="text1"/>
                <w:sz w:val="21"/>
                <w:szCs w:val="21"/>
              </w:rPr>
            </w:pPr>
            <w:r>
              <w:rPr>
                <w:color w:val="000000" w:themeColor="text1"/>
                <w:sz w:val="21"/>
                <w:szCs w:val="21"/>
              </w:rPr>
              <w:t>非甲烷总烃</w:t>
            </w:r>
          </w:p>
        </w:tc>
        <w:tc>
          <w:tcPr>
            <w:tcW w:w="394" w:type="pct"/>
            <w:vAlign w:val="center"/>
          </w:tcPr>
          <w:p w14:paraId="14A0FDDC">
            <w:pPr>
              <w:jc w:val="center"/>
              <w:rPr>
                <w:color w:val="000000" w:themeColor="text1"/>
                <w:szCs w:val="21"/>
              </w:rPr>
            </w:pPr>
            <w:r>
              <w:rPr>
                <w:color w:val="000000" w:themeColor="text1"/>
                <w:szCs w:val="21"/>
              </w:rPr>
              <w:t>/</w:t>
            </w:r>
          </w:p>
        </w:tc>
        <w:tc>
          <w:tcPr>
            <w:tcW w:w="491" w:type="pct"/>
            <w:vAlign w:val="center"/>
          </w:tcPr>
          <w:p w14:paraId="2F2F058C">
            <w:pPr>
              <w:jc w:val="center"/>
              <w:rPr>
                <w:color w:val="000000" w:themeColor="text1"/>
                <w:szCs w:val="21"/>
              </w:rPr>
            </w:pPr>
            <w:r>
              <w:rPr>
                <w:color w:val="000000" w:themeColor="text1"/>
                <w:szCs w:val="21"/>
              </w:rPr>
              <w:t>1.05</w:t>
            </w:r>
          </w:p>
        </w:tc>
        <w:tc>
          <w:tcPr>
            <w:tcW w:w="392" w:type="pct"/>
            <w:vAlign w:val="center"/>
          </w:tcPr>
          <w:p w14:paraId="5D60D718">
            <w:pPr>
              <w:jc w:val="center"/>
              <w:rPr>
                <w:rFonts w:eastAsia="等线"/>
                <w:color w:val="000000"/>
                <w:szCs w:val="21"/>
              </w:rPr>
            </w:pPr>
          </w:p>
        </w:tc>
        <w:tc>
          <w:tcPr>
            <w:tcW w:w="492" w:type="pct"/>
            <w:vAlign w:val="center"/>
          </w:tcPr>
          <w:p w14:paraId="098B9BBB">
            <w:pPr>
              <w:jc w:val="center"/>
              <w:rPr>
                <w:rFonts w:eastAsia="等线"/>
                <w:color w:val="000000"/>
                <w:szCs w:val="21"/>
              </w:rPr>
            </w:pPr>
            <w:r>
              <w:rPr>
                <w:rFonts w:eastAsia="等线"/>
                <w:color w:val="000000"/>
                <w:szCs w:val="21"/>
              </w:rPr>
              <w:t xml:space="preserve">2.46 </w:t>
            </w:r>
          </w:p>
        </w:tc>
        <w:tc>
          <w:tcPr>
            <w:tcW w:w="392" w:type="pct"/>
            <w:vAlign w:val="center"/>
          </w:tcPr>
          <w:p w14:paraId="5F3F8A32">
            <w:pPr>
              <w:jc w:val="center"/>
              <w:rPr>
                <w:rFonts w:eastAsia="等线"/>
                <w:color w:val="000000"/>
                <w:szCs w:val="21"/>
              </w:rPr>
            </w:pPr>
            <w:r>
              <w:rPr>
                <w:rFonts w:eastAsia="等线"/>
                <w:color w:val="000000"/>
                <w:szCs w:val="21"/>
              </w:rPr>
              <w:t xml:space="preserve">0.047 </w:t>
            </w:r>
          </w:p>
        </w:tc>
        <w:tc>
          <w:tcPr>
            <w:tcW w:w="1555" w:type="pct"/>
            <w:vMerge w:val="continue"/>
            <w:vAlign w:val="center"/>
          </w:tcPr>
          <w:p w14:paraId="7FC4C360">
            <w:pPr>
              <w:jc w:val="center"/>
              <w:rPr>
                <w:color w:val="000000" w:themeColor="text1"/>
                <w:szCs w:val="21"/>
              </w:rPr>
            </w:pPr>
          </w:p>
        </w:tc>
      </w:tr>
      <w:tr w14:paraId="5C2665C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8" w:type="pct"/>
            <w:vMerge w:val="continue"/>
            <w:vAlign w:val="center"/>
          </w:tcPr>
          <w:p w14:paraId="42665779">
            <w:pPr>
              <w:jc w:val="center"/>
              <w:rPr>
                <w:rFonts w:eastAsiaTheme="minorEastAsia"/>
                <w:b/>
                <w:color w:val="000000" w:themeColor="text1"/>
                <w:szCs w:val="21"/>
              </w:rPr>
            </w:pPr>
          </w:p>
        </w:tc>
        <w:tc>
          <w:tcPr>
            <w:tcW w:w="111" w:type="pct"/>
            <w:vMerge w:val="continue"/>
            <w:vAlign w:val="center"/>
          </w:tcPr>
          <w:p w14:paraId="2B7D3FB9">
            <w:pPr>
              <w:widowControl/>
              <w:jc w:val="center"/>
              <w:rPr>
                <w:rFonts w:eastAsiaTheme="minorEastAsia"/>
                <w:color w:val="000000" w:themeColor="text1"/>
                <w:kern w:val="0"/>
                <w:szCs w:val="21"/>
              </w:rPr>
            </w:pPr>
          </w:p>
        </w:tc>
        <w:tc>
          <w:tcPr>
            <w:tcW w:w="242" w:type="pct"/>
            <w:vAlign w:val="center"/>
          </w:tcPr>
          <w:p w14:paraId="05CD9B23">
            <w:pPr>
              <w:widowControl/>
              <w:jc w:val="center"/>
              <w:rPr>
                <w:rFonts w:eastAsiaTheme="minorEastAsia"/>
                <w:color w:val="000000" w:themeColor="text1"/>
                <w:kern w:val="0"/>
                <w:szCs w:val="21"/>
              </w:rPr>
            </w:pPr>
            <w:r>
              <w:rPr>
                <w:rFonts w:eastAsiaTheme="minorEastAsia"/>
                <w:color w:val="000000" w:themeColor="text1"/>
                <w:kern w:val="0"/>
                <w:szCs w:val="21"/>
              </w:rPr>
              <w:t>食堂</w:t>
            </w:r>
          </w:p>
        </w:tc>
        <w:tc>
          <w:tcPr>
            <w:tcW w:w="643" w:type="pct"/>
            <w:vAlign w:val="center"/>
          </w:tcPr>
          <w:p w14:paraId="536E0568">
            <w:pPr>
              <w:jc w:val="center"/>
              <w:rPr>
                <w:rFonts w:eastAsiaTheme="minorEastAsia"/>
                <w:color w:val="000000" w:themeColor="text1"/>
                <w:kern w:val="0"/>
                <w:szCs w:val="21"/>
              </w:rPr>
            </w:pPr>
            <w:r>
              <w:rPr>
                <w:rFonts w:eastAsiaTheme="minorEastAsia"/>
                <w:color w:val="000000" w:themeColor="text1"/>
                <w:szCs w:val="21"/>
              </w:rPr>
              <w:t>油烟</w:t>
            </w:r>
          </w:p>
        </w:tc>
        <w:tc>
          <w:tcPr>
            <w:tcW w:w="394" w:type="pct"/>
            <w:vAlign w:val="center"/>
          </w:tcPr>
          <w:p w14:paraId="2203248E">
            <w:pPr>
              <w:jc w:val="center"/>
              <w:rPr>
                <w:color w:val="000000" w:themeColor="text1"/>
                <w:szCs w:val="21"/>
              </w:rPr>
            </w:pPr>
            <w:r>
              <w:rPr>
                <w:color w:val="000000" w:themeColor="text1"/>
                <w:szCs w:val="21"/>
              </w:rPr>
              <w:t>/</w:t>
            </w:r>
          </w:p>
        </w:tc>
        <w:tc>
          <w:tcPr>
            <w:tcW w:w="491" w:type="pct"/>
            <w:vAlign w:val="center"/>
          </w:tcPr>
          <w:p w14:paraId="6AE3C8C0">
            <w:pPr>
              <w:jc w:val="center"/>
              <w:rPr>
                <w:color w:val="000000" w:themeColor="text1"/>
                <w:szCs w:val="21"/>
              </w:rPr>
            </w:pPr>
            <w:r>
              <w:rPr>
                <w:color w:val="000000" w:themeColor="text1"/>
                <w:szCs w:val="21"/>
              </w:rPr>
              <w:t>0.0043</w:t>
            </w:r>
          </w:p>
        </w:tc>
        <w:tc>
          <w:tcPr>
            <w:tcW w:w="392" w:type="pct"/>
            <w:vAlign w:val="center"/>
          </w:tcPr>
          <w:p w14:paraId="082DEE98">
            <w:pPr>
              <w:jc w:val="center"/>
              <w:rPr>
                <w:rFonts w:eastAsia="等线"/>
                <w:color w:val="000000"/>
                <w:szCs w:val="21"/>
              </w:rPr>
            </w:pPr>
          </w:p>
        </w:tc>
        <w:tc>
          <w:tcPr>
            <w:tcW w:w="492" w:type="pct"/>
            <w:vAlign w:val="center"/>
          </w:tcPr>
          <w:p w14:paraId="2CDD6957">
            <w:pPr>
              <w:jc w:val="center"/>
              <w:rPr>
                <w:color w:val="000000" w:themeColor="text1"/>
                <w:szCs w:val="21"/>
              </w:rPr>
            </w:pPr>
            <w:r>
              <w:rPr>
                <w:color w:val="000000" w:themeColor="text1"/>
                <w:szCs w:val="21"/>
              </w:rPr>
              <w:t>0.73</w:t>
            </w:r>
          </w:p>
        </w:tc>
        <w:tc>
          <w:tcPr>
            <w:tcW w:w="392" w:type="pct"/>
            <w:vAlign w:val="center"/>
          </w:tcPr>
          <w:p w14:paraId="55312ABA">
            <w:pPr>
              <w:jc w:val="center"/>
              <w:rPr>
                <w:color w:val="000000" w:themeColor="text1"/>
                <w:szCs w:val="21"/>
              </w:rPr>
            </w:pPr>
            <w:r>
              <w:rPr>
                <w:color w:val="000000" w:themeColor="text1"/>
                <w:szCs w:val="21"/>
              </w:rPr>
              <w:t>0.00175</w:t>
            </w:r>
          </w:p>
        </w:tc>
        <w:tc>
          <w:tcPr>
            <w:tcW w:w="1555" w:type="pct"/>
            <w:vAlign w:val="center"/>
          </w:tcPr>
          <w:p w14:paraId="6060BB0D">
            <w:pPr>
              <w:jc w:val="center"/>
              <w:rPr>
                <w:rFonts w:eastAsiaTheme="minorEastAsia"/>
                <w:color w:val="000000" w:themeColor="text1"/>
                <w:szCs w:val="21"/>
              </w:rPr>
            </w:pPr>
            <w:r>
              <w:rPr>
                <w:color w:val="000000" w:themeColor="text1"/>
                <w:szCs w:val="21"/>
              </w:rPr>
              <w:t>净化效率60%</w:t>
            </w:r>
          </w:p>
        </w:tc>
      </w:tr>
      <w:tr w14:paraId="027DAA5E">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8" w:type="pct"/>
            <w:vMerge w:val="continue"/>
            <w:vAlign w:val="center"/>
          </w:tcPr>
          <w:p w14:paraId="4369AD38">
            <w:pPr>
              <w:jc w:val="center"/>
              <w:rPr>
                <w:rFonts w:eastAsiaTheme="minorEastAsia"/>
                <w:b/>
                <w:color w:val="000000" w:themeColor="text1"/>
                <w:szCs w:val="21"/>
              </w:rPr>
            </w:pPr>
          </w:p>
        </w:tc>
        <w:tc>
          <w:tcPr>
            <w:tcW w:w="111" w:type="pct"/>
            <w:vMerge w:val="restart"/>
            <w:vAlign w:val="center"/>
          </w:tcPr>
          <w:p w14:paraId="00AAC305">
            <w:pPr>
              <w:widowControl/>
              <w:jc w:val="center"/>
              <w:rPr>
                <w:rFonts w:eastAsiaTheme="minorEastAsia"/>
                <w:color w:val="000000" w:themeColor="text1"/>
                <w:kern w:val="0"/>
                <w:szCs w:val="21"/>
              </w:rPr>
            </w:pPr>
            <w:r>
              <w:rPr>
                <w:rFonts w:eastAsiaTheme="minorEastAsia"/>
                <w:color w:val="000000" w:themeColor="text1"/>
                <w:kern w:val="0"/>
                <w:szCs w:val="21"/>
              </w:rPr>
              <w:t>无组织</w:t>
            </w:r>
          </w:p>
        </w:tc>
        <w:tc>
          <w:tcPr>
            <w:tcW w:w="242" w:type="pct"/>
            <w:vMerge w:val="restart"/>
            <w:vAlign w:val="center"/>
          </w:tcPr>
          <w:p w14:paraId="5A3AA696">
            <w:pPr>
              <w:jc w:val="center"/>
              <w:rPr>
                <w:rFonts w:eastAsiaTheme="minorEastAsia"/>
                <w:color w:val="000000" w:themeColor="text1"/>
                <w:kern w:val="0"/>
                <w:szCs w:val="21"/>
              </w:rPr>
            </w:pPr>
            <w:r>
              <w:rPr>
                <w:rFonts w:eastAsiaTheme="minorEastAsia"/>
                <w:color w:val="000000" w:themeColor="text1"/>
                <w:kern w:val="0"/>
                <w:szCs w:val="21"/>
              </w:rPr>
              <w:t>造粒工序</w:t>
            </w:r>
          </w:p>
        </w:tc>
        <w:tc>
          <w:tcPr>
            <w:tcW w:w="643" w:type="pct"/>
            <w:vAlign w:val="center"/>
          </w:tcPr>
          <w:p w14:paraId="7643A649">
            <w:pPr>
              <w:pStyle w:val="59"/>
              <w:spacing w:line="240" w:lineRule="auto"/>
              <w:rPr>
                <w:color w:val="000000" w:themeColor="text1"/>
                <w:sz w:val="21"/>
                <w:szCs w:val="21"/>
              </w:rPr>
            </w:pPr>
            <w:r>
              <w:rPr>
                <w:color w:val="000000" w:themeColor="text1"/>
                <w:sz w:val="21"/>
                <w:szCs w:val="21"/>
              </w:rPr>
              <w:t>颗粒物</w:t>
            </w:r>
          </w:p>
        </w:tc>
        <w:tc>
          <w:tcPr>
            <w:tcW w:w="394" w:type="pct"/>
            <w:vAlign w:val="center"/>
          </w:tcPr>
          <w:p w14:paraId="6BBB3D9A">
            <w:pPr>
              <w:jc w:val="center"/>
              <w:rPr>
                <w:color w:val="000000" w:themeColor="text1"/>
                <w:szCs w:val="21"/>
              </w:rPr>
            </w:pPr>
            <w:r>
              <w:rPr>
                <w:color w:val="000000" w:themeColor="text1"/>
                <w:szCs w:val="21"/>
              </w:rPr>
              <w:t>/</w:t>
            </w:r>
          </w:p>
        </w:tc>
        <w:tc>
          <w:tcPr>
            <w:tcW w:w="491" w:type="pct"/>
            <w:vAlign w:val="center"/>
          </w:tcPr>
          <w:p w14:paraId="59C46451">
            <w:pPr>
              <w:widowControl/>
              <w:jc w:val="center"/>
              <w:rPr>
                <w:rFonts w:eastAsia="等线"/>
                <w:color w:val="000000"/>
                <w:kern w:val="0"/>
                <w:szCs w:val="21"/>
              </w:rPr>
            </w:pPr>
            <w:r>
              <w:rPr>
                <w:rFonts w:eastAsia="等线"/>
                <w:color w:val="000000"/>
                <w:szCs w:val="21"/>
              </w:rPr>
              <w:t xml:space="preserve">0.0026 </w:t>
            </w:r>
          </w:p>
        </w:tc>
        <w:tc>
          <w:tcPr>
            <w:tcW w:w="392" w:type="pct"/>
            <w:vAlign w:val="center"/>
          </w:tcPr>
          <w:p w14:paraId="6CE34B26">
            <w:pPr>
              <w:jc w:val="center"/>
              <w:rPr>
                <w:rFonts w:eastAsia="等线"/>
                <w:color w:val="000000"/>
                <w:szCs w:val="21"/>
              </w:rPr>
            </w:pPr>
            <w:r>
              <w:rPr>
                <w:rFonts w:eastAsia="等线"/>
                <w:color w:val="000000"/>
                <w:szCs w:val="21"/>
              </w:rPr>
              <w:t>0</w:t>
            </w:r>
          </w:p>
        </w:tc>
        <w:tc>
          <w:tcPr>
            <w:tcW w:w="492" w:type="pct"/>
            <w:vAlign w:val="center"/>
          </w:tcPr>
          <w:p w14:paraId="649AB267">
            <w:pPr>
              <w:jc w:val="center"/>
              <w:rPr>
                <w:rFonts w:eastAsia="等线"/>
                <w:color w:val="000000"/>
                <w:szCs w:val="21"/>
              </w:rPr>
            </w:pPr>
            <w:r>
              <w:rPr>
                <w:rFonts w:eastAsia="等线"/>
                <w:color w:val="000000"/>
                <w:szCs w:val="21"/>
              </w:rPr>
              <w:t>/</w:t>
            </w:r>
          </w:p>
        </w:tc>
        <w:tc>
          <w:tcPr>
            <w:tcW w:w="392" w:type="pct"/>
            <w:vAlign w:val="center"/>
          </w:tcPr>
          <w:p w14:paraId="0D212D69">
            <w:pPr>
              <w:widowControl/>
              <w:jc w:val="center"/>
              <w:rPr>
                <w:rFonts w:eastAsia="等线"/>
                <w:color w:val="000000"/>
                <w:kern w:val="0"/>
                <w:szCs w:val="21"/>
              </w:rPr>
            </w:pPr>
            <w:r>
              <w:rPr>
                <w:rFonts w:eastAsia="等线"/>
                <w:color w:val="000000"/>
                <w:szCs w:val="21"/>
              </w:rPr>
              <w:t xml:space="preserve">0.0026 </w:t>
            </w:r>
          </w:p>
        </w:tc>
        <w:tc>
          <w:tcPr>
            <w:tcW w:w="1555" w:type="pct"/>
            <w:vAlign w:val="center"/>
          </w:tcPr>
          <w:p w14:paraId="22F5F76E">
            <w:pPr>
              <w:jc w:val="center"/>
              <w:rPr>
                <w:rFonts w:eastAsiaTheme="minorEastAsia"/>
                <w:color w:val="000000" w:themeColor="text1"/>
                <w:szCs w:val="21"/>
              </w:rPr>
            </w:pPr>
            <w:r>
              <w:rPr>
                <w:rFonts w:eastAsiaTheme="minorEastAsia"/>
                <w:color w:val="000000" w:themeColor="text1"/>
                <w:szCs w:val="21"/>
              </w:rPr>
              <w:t>/</w:t>
            </w:r>
          </w:p>
        </w:tc>
      </w:tr>
      <w:tr w14:paraId="389AB03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8" w:type="pct"/>
            <w:vMerge w:val="continue"/>
            <w:vAlign w:val="center"/>
          </w:tcPr>
          <w:p w14:paraId="6BF1B4EE">
            <w:pPr>
              <w:jc w:val="center"/>
              <w:rPr>
                <w:rFonts w:eastAsiaTheme="minorEastAsia"/>
                <w:b/>
                <w:color w:val="000000" w:themeColor="text1"/>
                <w:szCs w:val="21"/>
              </w:rPr>
            </w:pPr>
          </w:p>
        </w:tc>
        <w:tc>
          <w:tcPr>
            <w:tcW w:w="111" w:type="pct"/>
            <w:vMerge w:val="continue"/>
            <w:vAlign w:val="center"/>
          </w:tcPr>
          <w:p w14:paraId="29835DB5">
            <w:pPr>
              <w:widowControl/>
              <w:jc w:val="center"/>
              <w:rPr>
                <w:rFonts w:eastAsiaTheme="minorEastAsia"/>
                <w:color w:val="000000" w:themeColor="text1"/>
                <w:kern w:val="0"/>
                <w:szCs w:val="21"/>
              </w:rPr>
            </w:pPr>
          </w:p>
        </w:tc>
        <w:tc>
          <w:tcPr>
            <w:tcW w:w="242" w:type="pct"/>
            <w:vMerge w:val="continue"/>
            <w:tcBorders>
              <w:bottom w:val="single" w:color="auto" w:sz="4" w:space="0"/>
            </w:tcBorders>
            <w:vAlign w:val="center"/>
          </w:tcPr>
          <w:p w14:paraId="048E441F">
            <w:pPr>
              <w:jc w:val="center"/>
              <w:rPr>
                <w:rFonts w:eastAsiaTheme="minorEastAsia"/>
                <w:color w:val="000000" w:themeColor="text1"/>
                <w:kern w:val="0"/>
                <w:szCs w:val="21"/>
              </w:rPr>
            </w:pPr>
          </w:p>
        </w:tc>
        <w:tc>
          <w:tcPr>
            <w:tcW w:w="643" w:type="pct"/>
            <w:vAlign w:val="center"/>
          </w:tcPr>
          <w:p w14:paraId="20D49BC9">
            <w:pPr>
              <w:pStyle w:val="59"/>
              <w:spacing w:line="240" w:lineRule="auto"/>
              <w:rPr>
                <w:color w:val="000000" w:themeColor="text1"/>
                <w:sz w:val="21"/>
                <w:szCs w:val="21"/>
              </w:rPr>
            </w:pPr>
            <w:r>
              <w:rPr>
                <w:color w:val="000000" w:themeColor="text1"/>
                <w:sz w:val="21"/>
                <w:szCs w:val="21"/>
              </w:rPr>
              <w:t>非甲烷总烃</w:t>
            </w:r>
          </w:p>
        </w:tc>
        <w:tc>
          <w:tcPr>
            <w:tcW w:w="394" w:type="pct"/>
            <w:vAlign w:val="center"/>
          </w:tcPr>
          <w:p w14:paraId="404EC355">
            <w:pPr>
              <w:jc w:val="center"/>
              <w:rPr>
                <w:color w:val="000000" w:themeColor="text1"/>
                <w:szCs w:val="21"/>
              </w:rPr>
            </w:pPr>
            <w:r>
              <w:rPr>
                <w:color w:val="000000" w:themeColor="text1"/>
                <w:szCs w:val="21"/>
              </w:rPr>
              <w:t>/</w:t>
            </w:r>
          </w:p>
        </w:tc>
        <w:tc>
          <w:tcPr>
            <w:tcW w:w="491" w:type="pct"/>
            <w:vAlign w:val="center"/>
          </w:tcPr>
          <w:p w14:paraId="7B3686CF">
            <w:pPr>
              <w:jc w:val="center"/>
              <w:rPr>
                <w:rFonts w:eastAsia="等线"/>
                <w:color w:val="000000"/>
                <w:szCs w:val="21"/>
              </w:rPr>
            </w:pPr>
            <w:r>
              <w:rPr>
                <w:rFonts w:eastAsia="等线"/>
                <w:color w:val="000000"/>
                <w:szCs w:val="21"/>
              </w:rPr>
              <w:t xml:space="preserve">0.0175 </w:t>
            </w:r>
          </w:p>
        </w:tc>
        <w:tc>
          <w:tcPr>
            <w:tcW w:w="392" w:type="pct"/>
            <w:vAlign w:val="center"/>
          </w:tcPr>
          <w:p w14:paraId="22C7267A">
            <w:pPr>
              <w:jc w:val="center"/>
              <w:rPr>
                <w:rFonts w:eastAsia="等线"/>
                <w:color w:val="000000"/>
                <w:szCs w:val="21"/>
              </w:rPr>
            </w:pPr>
            <w:r>
              <w:rPr>
                <w:rFonts w:eastAsia="等线"/>
                <w:color w:val="000000"/>
                <w:szCs w:val="21"/>
              </w:rPr>
              <w:t>0　</w:t>
            </w:r>
          </w:p>
        </w:tc>
        <w:tc>
          <w:tcPr>
            <w:tcW w:w="492" w:type="pct"/>
            <w:vAlign w:val="center"/>
          </w:tcPr>
          <w:p w14:paraId="6879FE84">
            <w:pPr>
              <w:jc w:val="center"/>
              <w:rPr>
                <w:rFonts w:eastAsia="等线"/>
                <w:color w:val="000000"/>
                <w:szCs w:val="21"/>
              </w:rPr>
            </w:pPr>
            <w:r>
              <w:rPr>
                <w:rFonts w:eastAsia="等线"/>
                <w:color w:val="000000"/>
                <w:szCs w:val="21"/>
              </w:rPr>
              <w:t>/　</w:t>
            </w:r>
          </w:p>
        </w:tc>
        <w:tc>
          <w:tcPr>
            <w:tcW w:w="392" w:type="pct"/>
            <w:vAlign w:val="center"/>
          </w:tcPr>
          <w:p w14:paraId="19AFE967">
            <w:pPr>
              <w:jc w:val="center"/>
              <w:rPr>
                <w:rFonts w:eastAsia="等线"/>
                <w:color w:val="000000"/>
                <w:szCs w:val="21"/>
              </w:rPr>
            </w:pPr>
            <w:r>
              <w:rPr>
                <w:rFonts w:eastAsia="等线"/>
                <w:color w:val="000000"/>
                <w:szCs w:val="21"/>
              </w:rPr>
              <w:t xml:space="preserve">0.0175 </w:t>
            </w:r>
          </w:p>
        </w:tc>
        <w:tc>
          <w:tcPr>
            <w:tcW w:w="1555" w:type="pct"/>
            <w:vAlign w:val="center"/>
          </w:tcPr>
          <w:p w14:paraId="48370913">
            <w:pPr>
              <w:jc w:val="center"/>
              <w:rPr>
                <w:rFonts w:eastAsiaTheme="minorEastAsia"/>
                <w:color w:val="000000" w:themeColor="text1"/>
                <w:szCs w:val="21"/>
              </w:rPr>
            </w:pPr>
            <w:r>
              <w:rPr>
                <w:rFonts w:eastAsiaTheme="minorEastAsia"/>
                <w:color w:val="000000" w:themeColor="text1"/>
                <w:szCs w:val="21"/>
              </w:rPr>
              <w:t>/</w:t>
            </w:r>
          </w:p>
        </w:tc>
      </w:tr>
      <w:tr w14:paraId="73F42E93">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8" w:type="pct"/>
            <w:vMerge w:val="continue"/>
            <w:vAlign w:val="center"/>
          </w:tcPr>
          <w:p w14:paraId="65FAF9D8">
            <w:pPr>
              <w:jc w:val="center"/>
              <w:rPr>
                <w:rFonts w:eastAsiaTheme="minorEastAsia"/>
                <w:b/>
                <w:color w:val="000000" w:themeColor="text1"/>
                <w:szCs w:val="21"/>
              </w:rPr>
            </w:pPr>
          </w:p>
        </w:tc>
        <w:tc>
          <w:tcPr>
            <w:tcW w:w="111" w:type="pct"/>
            <w:vMerge w:val="continue"/>
            <w:vAlign w:val="center"/>
          </w:tcPr>
          <w:p w14:paraId="3EFF3F33">
            <w:pPr>
              <w:widowControl/>
              <w:jc w:val="center"/>
              <w:rPr>
                <w:rFonts w:eastAsiaTheme="minorEastAsia"/>
                <w:color w:val="000000" w:themeColor="text1"/>
                <w:kern w:val="0"/>
                <w:szCs w:val="21"/>
              </w:rPr>
            </w:pPr>
          </w:p>
        </w:tc>
        <w:tc>
          <w:tcPr>
            <w:tcW w:w="242" w:type="pct"/>
            <w:vMerge w:val="restart"/>
            <w:tcBorders>
              <w:top w:val="single" w:color="auto" w:sz="4" w:space="0"/>
            </w:tcBorders>
            <w:vAlign w:val="center"/>
          </w:tcPr>
          <w:p w14:paraId="0D209FF2">
            <w:pPr>
              <w:jc w:val="center"/>
              <w:rPr>
                <w:rFonts w:eastAsiaTheme="minorEastAsia"/>
                <w:color w:val="000000" w:themeColor="text1"/>
                <w:kern w:val="0"/>
                <w:szCs w:val="21"/>
              </w:rPr>
            </w:pPr>
            <w:r>
              <w:rPr>
                <w:rFonts w:eastAsiaTheme="minorEastAsia"/>
                <w:color w:val="000000" w:themeColor="text1"/>
                <w:kern w:val="0"/>
                <w:szCs w:val="21"/>
              </w:rPr>
              <w:t>编织袋生产</w:t>
            </w:r>
          </w:p>
        </w:tc>
        <w:tc>
          <w:tcPr>
            <w:tcW w:w="643" w:type="pct"/>
            <w:vAlign w:val="center"/>
          </w:tcPr>
          <w:p w14:paraId="6D6DC720">
            <w:pPr>
              <w:pStyle w:val="59"/>
              <w:spacing w:line="240" w:lineRule="auto"/>
              <w:rPr>
                <w:color w:val="000000" w:themeColor="text1"/>
                <w:sz w:val="21"/>
                <w:szCs w:val="21"/>
              </w:rPr>
            </w:pPr>
            <w:r>
              <w:rPr>
                <w:color w:val="000000" w:themeColor="text1"/>
                <w:sz w:val="21"/>
                <w:szCs w:val="21"/>
              </w:rPr>
              <w:t>颗粒物</w:t>
            </w:r>
          </w:p>
        </w:tc>
        <w:tc>
          <w:tcPr>
            <w:tcW w:w="394" w:type="pct"/>
            <w:vAlign w:val="center"/>
          </w:tcPr>
          <w:p w14:paraId="514E166C">
            <w:pPr>
              <w:jc w:val="center"/>
              <w:rPr>
                <w:color w:val="000000" w:themeColor="text1"/>
                <w:szCs w:val="21"/>
              </w:rPr>
            </w:pPr>
            <w:r>
              <w:rPr>
                <w:color w:val="000000" w:themeColor="text1"/>
                <w:szCs w:val="21"/>
              </w:rPr>
              <w:t>/</w:t>
            </w:r>
          </w:p>
        </w:tc>
        <w:tc>
          <w:tcPr>
            <w:tcW w:w="491" w:type="pct"/>
            <w:vAlign w:val="center"/>
          </w:tcPr>
          <w:p w14:paraId="57D0D465">
            <w:pPr>
              <w:jc w:val="center"/>
              <w:rPr>
                <w:rFonts w:eastAsia="等线"/>
                <w:color w:val="000000"/>
                <w:szCs w:val="21"/>
              </w:rPr>
            </w:pPr>
            <w:r>
              <w:rPr>
                <w:rFonts w:eastAsia="等线"/>
                <w:color w:val="000000"/>
                <w:szCs w:val="21"/>
              </w:rPr>
              <w:t xml:space="preserve">0.0015 </w:t>
            </w:r>
          </w:p>
        </w:tc>
        <w:tc>
          <w:tcPr>
            <w:tcW w:w="392" w:type="pct"/>
            <w:vAlign w:val="center"/>
          </w:tcPr>
          <w:p w14:paraId="294E35D4">
            <w:pPr>
              <w:jc w:val="center"/>
              <w:rPr>
                <w:rFonts w:eastAsia="等线"/>
                <w:color w:val="000000"/>
                <w:szCs w:val="21"/>
              </w:rPr>
            </w:pPr>
            <w:r>
              <w:rPr>
                <w:rFonts w:eastAsia="等线"/>
                <w:color w:val="000000"/>
                <w:szCs w:val="21"/>
              </w:rPr>
              <w:t>0　</w:t>
            </w:r>
          </w:p>
        </w:tc>
        <w:tc>
          <w:tcPr>
            <w:tcW w:w="492" w:type="pct"/>
            <w:vAlign w:val="center"/>
          </w:tcPr>
          <w:p w14:paraId="60BA2632">
            <w:pPr>
              <w:jc w:val="center"/>
              <w:rPr>
                <w:rFonts w:eastAsia="等线"/>
                <w:color w:val="000000"/>
                <w:szCs w:val="21"/>
              </w:rPr>
            </w:pPr>
            <w:r>
              <w:rPr>
                <w:rFonts w:eastAsia="等线"/>
                <w:color w:val="000000"/>
                <w:szCs w:val="21"/>
              </w:rPr>
              <w:t>/　</w:t>
            </w:r>
          </w:p>
        </w:tc>
        <w:tc>
          <w:tcPr>
            <w:tcW w:w="392" w:type="pct"/>
            <w:vAlign w:val="center"/>
          </w:tcPr>
          <w:p w14:paraId="6A9EBA3D">
            <w:pPr>
              <w:jc w:val="center"/>
              <w:rPr>
                <w:rFonts w:eastAsia="等线"/>
                <w:color w:val="000000"/>
                <w:szCs w:val="21"/>
              </w:rPr>
            </w:pPr>
            <w:r>
              <w:rPr>
                <w:rFonts w:eastAsia="等线"/>
                <w:color w:val="000000"/>
                <w:szCs w:val="21"/>
              </w:rPr>
              <w:t xml:space="preserve">0.0015 </w:t>
            </w:r>
          </w:p>
        </w:tc>
        <w:tc>
          <w:tcPr>
            <w:tcW w:w="1555" w:type="pct"/>
            <w:vAlign w:val="center"/>
          </w:tcPr>
          <w:p w14:paraId="4CA6D75B">
            <w:pPr>
              <w:jc w:val="center"/>
              <w:rPr>
                <w:rFonts w:eastAsiaTheme="minorEastAsia"/>
                <w:color w:val="000000" w:themeColor="text1"/>
                <w:szCs w:val="21"/>
              </w:rPr>
            </w:pPr>
            <w:r>
              <w:rPr>
                <w:rFonts w:eastAsiaTheme="minorEastAsia"/>
                <w:color w:val="000000" w:themeColor="text1"/>
                <w:szCs w:val="21"/>
              </w:rPr>
              <w:t>/</w:t>
            </w:r>
          </w:p>
        </w:tc>
      </w:tr>
      <w:tr w14:paraId="27D93D5E">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8" w:type="pct"/>
            <w:vMerge w:val="continue"/>
            <w:vAlign w:val="center"/>
          </w:tcPr>
          <w:p w14:paraId="512F6521">
            <w:pPr>
              <w:jc w:val="center"/>
              <w:rPr>
                <w:rFonts w:eastAsiaTheme="minorEastAsia"/>
                <w:b/>
                <w:color w:val="000000" w:themeColor="text1"/>
                <w:szCs w:val="21"/>
              </w:rPr>
            </w:pPr>
          </w:p>
        </w:tc>
        <w:tc>
          <w:tcPr>
            <w:tcW w:w="111" w:type="pct"/>
            <w:vMerge w:val="continue"/>
            <w:vAlign w:val="center"/>
          </w:tcPr>
          <w:p w14:paraId="5531177C">
            <w:pPr>
              <w:widowControl/>
              <w:jc w:val="center"/>
              <w:rPr>
                <w:rFonts w:eastAsiaTheme="minorEastAsia"/>
                <w:color w:val="000000" w:themeColor="text1"/>
                <w:kern w:val="0"/>
                <w:szCs w:val="21"/>
              </w:rPr>
            </w:pPr>
          </w:p>
        </w:tc>
        <w:tc>
          <w:tcPr>
            <w:tcW w:w="242" w:type="pct"/>
            <w:vMerge w:val="continue"/>
            <w:tcBorders>
              <w:bottom w:val="single" w:color="auto" w:sz="4" w:space="0"/>
            </w:tcBorders>
            <w:vAlign w:val="center"/>
          </w:tcPr>
          <w:p w14:paraId="5BEF966F">
            <w:pPr>
              <w:jc w:val="center"/>
              <w:rPr>
                <w:rFonts w:eastAsiaTheme="minorEastAsia"/>
                <w:color w:val="000000" w:themeColor="text1"/>
                <w:kern w:val="0"/>
                <w:szCs w:val="21"/>
              </w:rPr>
            </w:pPr>
          </w:p>
        </w:tc>
        <w:tc>
          <w:tcPr>
            <w:tcW w:w="643" w:type="pct"/>
            <w:vAlign w:val="center"/>
          </w:tcPr>
          <w:p w14:paraId="68F4242C">
            <w:pPr>
              <w:pStyle w:val="59"/>
              <w:spacing w:line="240" w:lineRule="auto"/>
              <w:rPr>
                <w:color w:val="000000" w:themeColor="text1"/>
                <w:sz w:val="21"/>
                <w:szCs w:val="21"/>
              </w:rPr>
            </w:pPr>
            <w:r>
              <w:rPr>
                <w:color w:val="000000" w:themeColor="text1"/>
                <w:sz w:val="21"/>
                <w:szCs w:val="21"/>
              </w:rPr>
              <w:t>非甲烷总烃</w:t>
            </w:r>
          </w:p>
        </w:tc>
        <w:tc>
          <w:tcPr>
            <w:tcW w:w="394" w:type="pct"/>
            <w:vAlign w:val="center"/>
          </w:tcPr>
          <w:p w14:paraId="37E0DC9E">
            <w:pPr>
              <w:jc w:val="center"/>
              <w:rPr>
                <w:color w:val="000000" w:themeColor="text1"/>
                <w:szCs w:val="21"/>
              </w:rPr>
            </w:pPr>
            <w:r>
              <w:rPr>
                <w:color w:val="000000" w:themeColor="text1"/>
                <w:szCs w:val="21"/>
              </w:rPr>
              <w:t>/</w:t>
            </w:r>
          </w:p>
        </w:tc>
        <w:tc>
          <w:tcPr>
            <w:tcW w:w="491" w:type="pct"/>
            <w:vAlign w:val="center"/>
          </w:tcPr>
          <w:p w14:paraId="2FB8881F">
            <w:pPr>
              <w:jc w:val="center"/>
              <w:rPr>
                <w:rFonts w:eastAsia="等线"/>
                <w:color w:val="000000"/>
                <w:szCs w:val="21"/>
              </w:rPr>
            </w:pPr>
            <w:r>
              <w:rPr>
                <w:rFonts w:eastAsia="等线"/>
                <w:color w:val="000000"/>
                <w:szCs w:val="21"/>
              </w:rPr>
              <w:t xml:space="preserve">0.0105 </w:t>
            </w:r>
          </w:p>
        </w:tc>
        <w:tc>
          <w:tcPr>
            <w:tcW w:w="392" w:type="pct"/>
            <w:vAlign w:val="center"/>
          </w:tcPr>
          <w:p w14:paraId="4B9C43FF">
            <w:pPr>
              <w:jc w:val="center"/>
              <w:rPr>
                <w:rFonts w:eastAsia="等线"/>
                <w:color w:val="000000"/>
                <w:szCs w:val="21"/>
              </w:rPr>
            </w:pPr>
            <w:r>
              <w:rPr>
                <w:rFonts w:eastAsia="等线"/>
                <w:color w:val="000000"/>
                <w:szCs w:val="21"/>
              </w:rPr>
              <w:t>0</w:t>
            </w:r>
          </w:p>
        </w:tc>
        <w:tc>
          <w:tcPr>
            <w:tcW w:w="492" w:type="pct"/>
            <w:vAlign w:val="center"/>
          </w:tcPr>
          <w:p w14:paraId="534598AC">
            <w:pPr>
              <w:jc w:val="center"/>
              <w:rPr>
                <w:rFonts w:eastAsia="等线"/>
                <w:color w:val="000000"/>
                <w:szCs w:val="21"/>
              </w:rPr>
            </w:pPr>
            <w:r>
              <w:rPr>
                <w:rFonts w:eastAsia="等线"/>
                <w:color w:val="000000"/>
                <w:szCs w:val="21"/>
              </w:rPr>
              <w:t>/</w:t>
            </w:r>
          </w:p>
        </w:tc>
        <w:tc>
          <w:tcPr>
            <w:tcW w:w="392" w:type="pct"/>
            <w:vAlign w:val="center"/>
          </w:tcPr>
          <w:p w14:paraId="108D1370">
            <w:pPr>
              <w:jc w:val="center"/>
              <w:rPr>
                <w:rFonts w:eastAsia="等线"/>
                <w:color w:val="000000"/>
                <w:szCs w:val="21"/>
              </w:rPr>
            </w:pPr>
            <w:r>
              <w:rPr>
                <w:rFonts w:eastAsia="等线"/>
                <w:color w:val="000000"/>
                <w:szCs w:val="21"/>
              </w:rPr>
              <w:t xml:space="preserve">0.0105 </w:t>
            </w:r>
          </w:p>
        </w:tc>
        <w:tc>
          <w:tcPr>
            <w:tcW w:w="1555" w:type="pct"/>
            <w:vAlign w:val="center"/>
          </w:tcPr>
          <w:p w14:paraId="46F320C2">
            <w:pPr>
              <w:jc w:val="center"/>
              <w:rPr>
                <w:rFonts w:eastAsiaTheme="minorEastAsia"/>
                <w:color w:val="000000" w:themeColor="text1"/>
                <w:szCs w:val="21"/>
              </w:rPr>
            </w:pPr>
            <w:r>
              <w:rPr>
                <w:rFonts w:eastAsiaTheme="minorEastAsia"/>
                <w:color w:val="000000" w:themeColor="text1"/>
                <w:szCs w:val="21"/>
              </w:rPr>
              <w:t>/</w:t>
            </w:r>
          </w:p>
        </w:tc>
      </w:tr>
      <w:tr w14:paraId="4A5FFD27">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8" w:type="pct"/>
            <w:vMerge w:val="continue"/>
            <w:vAlign w:val="center"/>
          </w:tcPr>
          <w:p w14:paraId="0276B327">
            <w:pPr>
              <w:jc w:val="center"/>
              <w:rPr>
                <w:rFonts w:eastAsiaTheme="minorEastAsia"/>
                <w:b/>
                <w:color w:val="000000" w:themeColor="text1"/>
                <w:szCs w:val="21"/>
              </w:rPr>
            </w:pPr>
          </w:p>
        </w:tc>
        <w:tc>
          <w:tcPr>
            <w:tcW w:w="111" w:type="pct"/>
            <w:vMerge w:val="continue"/>
            <w:vAlign w:val="center"/>
          </w:tcPr>
          <w:p w14:paraId="1596D65A">
            <w:pPr>
              <w:widowControl/>
              <w:jc w:val="center"/>
              <w:rPr>
                <w:rFonts w:eastAsiaTheme="minorEastAsia"/>
                <w:color w:val="000000" w:themeColor="text1"/>
                <w:kern w:val="0"/>
                <w:szCs w:val="21"/>
              </w:rPr>
            </w:pPr>
          </w:p>
        </w:tc>
        <w:tc>
          <w:tcPr>
            <w:tcW w:w="242" w:type="pct"/>
            <w:tcBorders>
              <w:top w:val="single" w:color="auto" w:sz="4" w:space="0"/>
            </w:tcBorders>
            <w:vAlign w:val="center"/>
          </w:tcPr>
          <w:p w14:paraId="12478ABD">
            <w:pPr>
              <w:jc w:val="center"/>
              <w:rPr>
                <w:rFonts w:eastAsiaTheme="minorEastAsia"/>
                <w:color w:val="000000" w:themeColor="text1"/>
                <w:kern w:val="0"/>
                <w:szCs w:val="21"/>
              </w:rPr>
            </w:pPr>
            <w:r>
              <w:rPr>
                <w:rFonts w:eastAsiaTheme="minorEastAsia"/>
                <w:color w:val="000000" w:themeColor="text1"/>
                <w:kern w:val="0"/>
                <w:szCs w:val="21"/>
              </w:rPr>
              <w:t>生产</w:t>
            </w:r>
          </w:p>
        </w:tc>
        <w:tc>
          <w:tcPr>
            <w:tcW w:w="643" w:type="pct"/>
            <w:vAlign w:val="center"/>
          </w:tcPr>
          <w:p w14:paraId="5A9C11A6">
            <w:pPr>
              <w:jc w:val="center"/>
              <w:rPr>
                <w:color w:val="000000" w:themeColor="text1"/>
                <w:szCs w:val="21"/>
              </w:rPr>
            </w:pPr>
            <w:r>
              <w:rPr>
                <w:color w:val="000000" w:themeColor="text1"/>
                <w:szCs w:val="21"/>
              </w:rPr>
              <w:t>异味</w:t>
            </w:r>
          </w:p>
        </w:tc>
        <w:tc>
          <w:tcPr>
            <w:tcW w:w="394" w:type="pct"/>
            <w:vAlign w:val="center"/>
          </w:tcPr>
          <w:p w14:paraId="25A43E89">
            <w:pPr>
              <w:jc w:val="center"/>
              <w:rPr>
                <w:color w:val="000000" w:themeColor="text1"/>
                <w:szCs w:val="21"/>
              </w:rPr>
            </w:pPr>
            <w:r>
              <w:rPr>
                <w:color w:val="000000" w:themeColor="text1"/>
                <w:szCs w:val="21"/>
              </w:rPr>
              <w:t>/</w:t>
            </w:r>
          </w:p>
        </w:tc>
        <w:tc>
          <w:tcPr>
            <w:tcW w:w="491" w:type="pct"/>
            <w:vAlign w:val="center"/>
          </w:tcPr>
          <w:p w14:paraId="421907D7">
            <w:pPr>
              <w:widowControl/>
              <w:jc w:val="center"/>
              <w:rPr>
                <w:rFonts w:eastAsia="等线"/>
                <w:color w:val="000000"/>
                <w:kern w:val="0"/>
                <w:szCs w:val="21"/>
              </w:rPr>
            </w:pPr>
            <w:r>
              <w:rPr>
                <w:rFonts w:eastAsia="等线"/>
                <w:color w:val="000000"/>
                <w:kern w:val="0"/>
                <w:szCs w:val="21"/>
              </w:rPr>
              <w:t>/</w:t>
            </w:r>
          </w:p>
        </w:tc>
        <w:tc>
          <w:tcPr>
            <w:tcW w:w="392" w:type="pct"/>
            <w:vAlign w:val="center"/>
          </w:tcPr>
          <w:p w14:paraId="4F9D82DB">
            <w:pPr>
              <w:widowControl/>
              <w:jc w:val="center"/>
              <w:rPr>
                <w:rFonts w:eastAsia="等线"/>
                <w:color w:val="000000"/>
                <w:kern w:val="0"/>
                <w:szCs w:val="21"/>
              </w:rPr>
            </w:pPr>
            <w:r>
              <w:rPr>
                <w:rFonts w:eastAsia="等线"/>
                <w:color w:val="000000"/>
                <w:kern w:val="0"/>
                <w:szCs w:val="21"/>
              </w:rPr>
              <w:t>/</w:t>
            </w:r>
          </w:p>
        </w:tc>
        <w:tc>
          <w:tcPr>
            <w:tcW w:w="492" w:type="pct"/>
            <w:vAlign w:val="center"/>
          </w:tcPr>
          <w:p w14:paraId="32C66DAA">
            <w:pPr>
              <w:jc w:val="center"/>
              <w:rPr>
                <w:rFonts w:eastAsia="等线"/>
                <w:color w:val="000000"/>
                <w:szCs w:val="21"/>
              </w:rPr>
            </w:pPr>
            <w:r>
              <w:rPr>
                <w:rFonts w:eastAsia="等线"/>
                <w:color w:val="000000"/>
                <w:szCs w:val="21"/>
              </w:rPr>
              <w:t>/</w:t>
            </w:r>
          </w:p>
        </w:tc>
        <w:tc>
          <w:tcPr>
            <w:tcW w:w="392" w:type="pct"/>
            <w:vAlign w:val="center"/>
          </w:tcPr>
          <w:p w14:paraId="6A1BE19C">
            <w:pPr>
              <w:jc w:val="center"/>
              <w:rPr>
                <w:rFonts w:eastAsia="等线"/>
                <w:color w:val="000000"/>
                <w:szCs w:val="21"/>
              </w:rPr>
            </w:pPr>
            <w:r>
              <w:rPr>
                <w:rFonts w:eastAsia="等线"/>
                <w:color w:val="000000"/>
                <w:szCs w:val="21"/>
              </w:rPr>
              <w:t>/</w:t>
            </w:r>
          </w:p>
        </w:tc>
        <w:tc>
          <w:tcPr>
            <w:tcW w:w="1555" w:type="pct"/>
            <w:vAlign w:val="center"/>
          </w:tcPr>
          <w:p w14:paraId="012749A3">
            <w:pPr>
              <w:jc w:val="center"/>
              <w:rPr>
                <w:rFonts w:eastAsiaTheme="minorEastAsia"/>
                <w:color w:val="000000" w:themeColor="text1"/>
                <w:szCs w:val="21"/>
              </w:rPr>
            </w:pPr>
            <w:r>
              <w:rPr>
                <w:rFonts w:eastAsiaTheme="minorEastAsia"/>
                <w:color w:val="000000" w:themeColor="text1"/>
                <w:szCs w:val="21"/>
              </w:rPr>
              <w:t>/</w:t>
            </w:r>
          </w:p>
        </w:tc>
      </w:tr>
      <w:tr w14:paraId="50C49F0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02" w:hRule="atLeast"/>
          <w:jc w:val="center"/>
        </w:trPr>
        <w:tc>
          <w:tcPr>
            <w:tcW w:w="288" w:type="pct"/>
            <w:vMerge w:val="restart"/>
            <w:vAlign w:val="center"/>
          </w:tcPr>
          <w:p w14:paraId="282C2DD5">
            <w:pPr>
              <w:jc w:val="center"/>
              <w:rPr>
                <w:rFonts w:eastAsiaTheme="minorEastAsia"/>
                <w:b/>
                <w:color w:val="000000" w:themeColor="text1"/>
                <w:szCs w:val="21"/>
              </w:rPr>
            </w:pPr>
            <w:r>
              <w:rPr>
                <w:rFonts w:eastAsiaTheme="minorEastAsia"/>
                <w:b/>
                <w:color w:val="000000" w:themeColor="text1"/>
                <w:szCs w:val="21"/>
              </w:rPr>
              <w:t>水污染物</w:t>
            </w:r>
          </w:p>
        </w:tc>
        <w:tc>
          <w:tcPr>
            <w:tcW w:w="353" w:type="pct"/>
            <w:gridSpan w:val="2"/>
            <w:vMerge w:val="restart"/>
            <w:vAlign w:val="center"/>
          </w:tcPr>
          <w:p w14:paraId="3936CEA6">
            <w:pPr>
              <w:widowControl/>
              <w:jc w:val="center"/>
              <w:rPr>
                <w:rFonts w:eastAsiaTheme="minorEastAsia"/>
                <w:color w:val="000000" w:themeColor="text1"/>
                <w:kern w:val="0"/>
                <w:szCs w:val="21"/>
              </w:rPr>
            </w:pPr>
            <w:r>
              <w:rPr>
                <w:rFonts w:eastAsiaTheme="minorEastAsia"/>
                <w:color w:val="000000" w:themeColor="text1"/>
                <w:kern w:val="0"/>
                <w:szCs w:val="21"/>
              </w:rPr>
              <w:t xml:space="preserve">废水 </w:t>
            </w:r>
          </w:p>
        </w:tc>
        <w:tc>
          <w:tcPr>
            <w:tcW w:w="643" w:type="pct"/>
            <w:vAlign w:val="center"/>
          </w:tcPr>
          <w:p w14:paraId="130DAC14">
            <w:pPr>
              <w:widowControl/>
              <w:jc w:val="center"/>
              <w:rPr>
                <w:rFonts w:eastAsiaTheme="minorEastAsia"/>
                <w:color w:val="000000" w:themeColor="text1"/>
                <w:kern w:val="0"/>
                <w:szCs w:val="21"/>
              </w:rPr>
            </w:pPr>
            <w:r>
              <w:rPr>
                <w:rFonts w:eastAsiaTheme="minorEastAsia"/>
                <w:color w:val="000000" w:themeColor="text1"/>
                <w:kern w:val="0"/>
                <w:szCs w:val="21"/>
              </w:rPr>
              <w:t>污水量</w:t>
            </w:r>
          </w:p>
          <w:p w14:paraId="5C9C5693">
            <w:pPr>
              <w:widowControl/>
              <w:jc w:val="center"/>
              <w:rPr>
                <w:rFonts w:eastAsiaTheme="minorEastAsia"/>
                <w:color w:val="000000" w:themeColor="text1"/>
                <w:kern w:val="0"/>
                <w:szCs w:val="21"/>
              </w:rPr>
            </w:pPr>
            <w:r>
              <w:rPr>
                <w:rFonts w:eastAsiaTheme="minorEastAsia"/>
                <w:color w:val="000000" w:themeColor="text1"/>
                <w:szCs w:val="21"/>
              </w:rPr>
              <w:t>万m</w:t>
            </w:r>
            <w:r>
              <w:rPr>
                <w:rFonts w:eastAsiaTheme="minorEastAsia"/>
                <w:color w:val="000000" w:themeColor="text1"/>
                <w:szCs w:val="21"/>
                <w:vertAlign w:val="superscript"/>
              </w:rPr>
              <w:t>3</w:t>
            </w:r>
            <w:r>
              <w:rPr>
                <w:rFonts w:eastAsiaTheme="minorEastAsia"/>
                <w:color w:val="000000" w:themeColor="text1"/>
                <w:szCs w:val="21"/>
              </w:rPr>
              <w:t>/a</w:t>
            </w:r>
          </w:p>
        </w:tc>
        <w:tc>
          <w:tcPr>
            <w:tcW w:w="884" w:type="pct"/>
            <w:gridSpan w:val="2"/>
            <w:vAlign w:val="center"/>
          </w:tcPr>
          <w:p w14:paraId="3B332302">
            <w:pPr>
              <w:widowControl/>
              <w:jc w:val="center"/>
              <w:rPr>
                <w:rFonts w:eastAsia="等线"/>
                <w:color w:val="000000"/>
                <w:kern w:val="0"/>
                <w:szCs w:val="21"/>
              </w:rPr>
            </w:pPr>
            <w:r>
              <w:rPr>
                <w:rFonts w:eastAsia="等线"/>
                <w:color w:val="000000"/>
                <w:szCs w:val="21"/>
              </w:rPr>
              <w:t>0.9426</w:t>
            </w:r>
          </w:p>
        </w:tc>
        <w:tc>
          <w:tcPr>
            <w:tcW w:w="392" w:type="pct"/>
            <w:vAlign w:val="center"/>
          </w:tcPr>
          <w:p w14:paraId="2C4831F7">
            <w:pPr>
              <w:jc w:val="center"/>
              <w:rPr>
                <w:rFonts w:eastAsia="等线"/>
                <w:color w:val="000000"/>
                <w:szCs w:val="21"/>
              </w:rPr>
            </w:pPr>
            <w:r>
              <w:rPr>
                <w:rFonts w:eastAsia="等线"/>
                <w:color w:val="000000"/>
                <w:szCs w:val="21"/>
              </w:rPr>
              <w:t>0.9426</w:t>
            </w:r>
          </w:p>
        </w:tc>
        <w:tc>
          <w:tcPr>
            <w:tcW w:w="884" w:type="pct"/>
            <w:gridSpan w:val="2"/>
            <w:vAlign w:val="center"/>
          </w:tcPr>
          <w:p w14:paraId="3A25E51E">
            <w:pPr>
              <w:jc w:val="center"/>
              <w:rPr>
                <w:rFonts w:eastAsia="等线"/>
                <w:color w:val="000000"/>
                <w:szCs w:val="21"/>
              </w:rPr>
            </w:pPr>
            <w:r>
              <w:rPr>
                <w:rFonts w:eastAsia="等线"/>
                <w:color w:val="000000"/>
                <w:szCs w:val="21"/>
              </w:rPr>
              <w:t>0</w:t>
            </w:r>
          </w:p>
        </w:tc>
        <w:tc>
          <w:tcPr>
            <w:tcW w:w="1555" w:type="pct"/>
            <w:vMerge w:val="restart"/>
            <w:vAlign w:val="center"/>
          </w:tcPr>
          <w:p w14:paraId="57D32AC3">
            <w:pPr>
              <w:pStyle w:val="122"/>
              <w:rPr>
                <w:rFonts w:eastAsiaTheme="minorEastAsia"/>
                <w:b/>
                <w:color w:val="000000" w:themeColor="text1"/>
                <w:szCs w:val="21"/>
              </w:rPr>
            </w:pPr>
            <w:r>
              <w:rPr>
                <w:rFonts w:eastAsiaTheme="minorEastAsia"/>
                <w:b/>
                <w:color w:val="000000" w:themeColor="text1"/>
                <w:szCs w:val="21"/>
              </w:rPr>
              <w:t>雨污分流；</w:t>
            </w:r>
          </w:p>
          <w:p w14:paraId="02D9AD53">
            <w:pPr>
              <w:pStyle w:val="122"/>
              <w:rPr>
                <w:rFonts w:eastAsiaTheme="minorEastAsia"/>
                <w:color w:val="000000" w:themeColor="text1"/>
                <w:szCs w:val="21"/>
              </w:rPr>
            </w:pPr>
            <w:r>
              <w:rPr>
                <w:rFonts w:eastAsiaTheme="minorEastAsia"/>
                <w:b/>
                <w:color w:val="000000" w:themeColor="text1"/>
                <w:szCs w:val="21"/>
              </w:rPr>
              <w:t>生产废水</w:t>
            </w:r>
            <w:r>
              <w:rPr>
                <w:rFonts w:eastAsiaTheme="minorEastAsia"/>
                <w:color w:val="000000" w:themeColor="text1"/>
                <w:szCs w:val="21"/>
              </w:rPr>
              <w:t>：清洗破碎废水经污水处理设施（隔油池+沉淀池）处理后，回用于生产；造粒冷却水循环使用，不外排。</w:t>
            </w:r>
          </w:p>
          <w:p w14:paraId="7F7E8C68">
            <w:pPr>
              <w:pStyle w:val="122"/>
              <w:spacing w:before="0" w:after="0"/>
              <w:rPr>
                <w:rFonts w:eastAsiaTheme="minorEastAsia"/>
                <w:color w:val="000000" w:themeColor="text1"/>
                <w:szCs w:val="21"/>
              </w:rPr>
            </w:pPr>
            <w:r>
              <w:rPr>
                <w:rFonts w:eastAsiaTheme="minorEastAsia"/>
                <w:b/>
                <w:color w:val="000000" w:themeColor="text1"/>
                <w:szCs w:val="21"/>
              </w:rPr>
              <w:t>生活废水</w:t>
            </w:r>
            <w:r>
              <w:rPr>
                <w:rFonts w:eastAsiaTheme="minorEastAsia"/>
                <w:color w:val="000000" w:themeColor="text1"/>
                <w:szCs w:val="21"/>
              </w:rPr>
              <w:t>：经化粪池、隔油池处理后，定期委托周边村民清掏，用于农作物施肥。</w:t>
            </w:r>
          </w:p>
        </w:tc>
      </w:tr>
      <w:tr w14:paraId="05BF298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8" w:type="pct"/>
            <w:vMerge w:val="continue"/>
            <w:vAlign w:val="center"/>
          </w:tcPr>
          <w:p w14:paraId="5DAD1483">
            <w:pPr>
              <w:jc w:val="center"/>
              <w:rPr>
                <w:rFonts w:eastAsiaTheme="minorEastAsia"/>
                <w:b/>
                <w:color w:val="000000" w:themeColor="text1"/>
                <w:szCs w:val="21"/>
              </w:rPr>
            </w:pPr>
          </w:p>
        </w:tc>
        <w:tc>
          <w:tcPr>
            <w:tcW w:w="353" w:type="pct"/>
            <w:gridSpan w:val="2"/>
            <w:vMerge w:val="continue"/>
            <w:vAlign w:val="center"/>
          </w:tcPr>
          <w:p w14:paraId="76B0FB79">
            <w:pPr>
              <w:widowControl/>
              <w:jc w:val="center"/>
              <w:rPr>
                <w:rFonts w:eastAsiaTheme="minorEastAsia"/>
                <w:color w:val="000000" w:themeColor="text1"/>
                <w:kern w:val="0"/>
                <w:szCs w:val="21"/>
              </w:rPr>
            </w:pPr>
          </w:p>
        </w:tc>
        <w:tc>
          <w:tcPr>
            <w:tcW w:w="643" w:type="pct"/>
            <w:vAlign w:val="center"/>
          </w:tcPr>
          <w:p w14:paraId="75DF821E">
            <w:pPr>
              <w:jc w:val="center"/>
              <w:rPr>
                <w:rFonts w:eastAsiaTheme="minorEastAsia"/>
                <w:color w:val="000000" w:themeColor="text1"/>
                <w:szCs w:val="21"/>
              </w:rPr>
            </w:pPr>
            <w:r>
              <w:rPr>
                <w:rFonts w:eastAsiaTheme="minorEastAsia"/>
                <w:color w:val="000000" w:themeColor="text1"/>
                <w:szCs w:val="21"/>
              </w:rPr>
              <w:t>CODcr</w:t>
            </w:r>
          </w:p>
        </w:tc>
        <w:tc>
          <w:tcPr>
            <w:tcW w:w="394" w:type="pct"/>
            <w:vAlign w:val="center"/>
          </w:tcPr>
          <w:p w14:paraId="76E9C2A1">
            <w:pPr>
              <w:widowControl/>
              <w:jc w:val="center"/>
              <w:rPr>
                <w:rFonts w:eastAsia="等线"/>
                <w:color w:val="000000"/>
                <w:kern w:val="0"/>
                <w:szCs w:val="21"/>
              </w:rPr>
            </w:pPr>
            <w:r>
              <w:rPr>
                <w:rFonts w:eastAsia="等线"/>
                <w:color w:val="000000"/>
                <w:szCs w:val="21"/>
              </w:rPr>
              <w:t>1152.39</w:t>
            </w:r>
          </w:p>
        </w:tc>
        <w:tc>
          <w:tcPr>
            <w:tcW w:w="491" w:type="pct"/>
            <w:vAlign w:val="center"/>
          </w:tcPr>
          <w:p w14:paraId="2FE01727">
            <w:pPr>
              <w:jc w:val="center"/>
              <w:rPr>
                <w:rFonts w:eastAsia="等线"/>
                <w:color w:val="000000"/>
                <w:szCs w:val="21"/>
              </w:rPr>
            </w:pPr>
            <w:r>
              <w:rPr>
                <w:rFonts w:eastAsia="等线"/>
                <w:color w:val="000000"/>
                <w:szCs w:val="21"/>
              </w:rPr>
              <w:t>10.862</w:t>
            </w:r>
          </w:p>
        </w:tc>
        <w:tc>
          <w:tcPr>
            <w:tcW w:w="392" w:type="pct"/>
            <w:vAlign w:val="center"/>
          </w:tcPr>
          <w:p w14:paraId="3761A36C">
            <w:pPr>
              <w:jc w:val="center"/>
              <w:rPr>
                <w:rFonts w:eastAsia="等线"/>
                <w:color w:val="000000"/>
                <w:szCs w:val="21"/>
              </w:rPr>
            </w:pPr>
            <w:r>
              <w:rPr>
                <w:rFonts w:eastAsia="等线"/>
                <w:color w:val="000000"/>
                <w:szCs w:val="21"/>
              </w:rPr>
              <w:t>10.862</w:t>
            </w:r>
          </w:p>
        </w:tc>
        <w:tc>
          <w:tcPr>
            <w:tcW w:w="492" w:type="pct"/>
            <w:vAlign w:val="center"/>
          </w:tcPr>
          <w:p w14:paraId="068CD328">
            <w:pPr>
              <w:jc w:val="center"/>
              <w:rPr>
                <w:rFonts w:eastAsia="等线"/>
                <w:color w:val="000000"/>
                <w:szCs w:val="21"/>
              </w:rPr>
            </w:pPr>
            <w:r>
              <w:rPr>
                <w:rFonts w:eastAsia="等线"/>
                <w:color w:val="000000"/>
                <w:szCs w:val="21"/>
              </w:rPr>
              <w:t>/</w:t>
            </w:r>
          </w:p>
        </w:tc>
        <w:tc>
          <w:tcPr>
            <w:tcW w:w="392" w:type="pct"/>
            <w:vAlign w:val="center"/>
          </w:tcPr>
          <w:p w14:paraId="7840A040">
            <w:pPr>
              <w:jc w:val="center"/>
              <w:rPr>
                <w:rFonts w:eastAsia="等线"/>
                <w:color w:val="000000"/>
                <w:szCs w:val="21"/>
              </w:rPr>
            </w:pPr>
            <w:r>
              <w:rPr>
                <w:rFonts w:eastAsia="等线"/>
                <w:color w:val="000000"/>
                <w:szCs w:val="21"/>
              </w:rPr>
              <w:t>0</w:t>
            </w:r>
          </w:p>
        </w:tc>
        <w:tc>
          <w:tcPr>
            <w:tcW w:w="1555" w:type="pct"/>
            <w:vMerge w:val="continue"/>
            <w:vAlign w:val="center"/>
          </w:tcPr>
          <w:p w14:paraId="5FD1A0B4">
            <w:pPr>
              <w:jc w:val="center"/>
              <w:rPr>
                <w:rFonts w:eastAsiaTheme="minorEastAsia"/>
                <w:color w:val="000000" w:themeColor="text1"/>
                <w:szCs w:val="21"/>
              </w:rPr>
            </w:pPr>
          </w:p>
        </w:tc>
      </w:tr>
      <w:tr w14:paraId="5EEBB6E5">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8" w:type="pct"/>
            <w:vMerge w:val="continue"/>
            <w:vAlign w:val="center"/>
          </w:tcPr>
          <w:p w14:paraId="7E3A168E">
            <w:pPr>
              <w:jc w:val="center"/>
              <w:rPr>
                <w:rFonts w:eastAsiaTheme="minorEastAsia"/>
                <w:b/>
                <w:color w:val="000000" w:themeColor="text1"/>
                <w:szCs w:val="21"/>
              </w:rPr>
            </w:pPr>
          </w:p>
        </w:tc>
        <w:tc>
          <w:tcPr>
            <w:tcW w:w="353" w:type="pct"/>
            <w:gridSpan w:val="2"/>
            <w:vMerge w:val="continue"/>
            <w:vAlign w:val="center"/>
          </w:tcPr>
          <w:p w14:paraId="27C94665">
            <w:pPr>
              <w:widowControl/>
              <w:jc w:val="center"/>
              <w:rPr>
                <w:rFonts w:eastAsiaTheme="minorEastAsia"/>
                <w:color w:val="000000" w:themeColor="text1"/>
                <w:kern w:val="0"/>
                <w:szCs w:val="21"/>
              </w:rPr>
            </w:pPr>
          </w:p>
        </w:tc>
        <w:tc>
          <w:tcPr>
            <w:tcW w:w="643" w:type="pct"/>
            <w:vAlign w:val="center"/>
          </w:tcPr>
          <w:p w14:paraId="1AA30942">
            <w:pPr>
              <w:jc w:val="center"/>
              <w:rPr>
                <w:rFonts w:eastAsiaTheme="minorEastAsia"/>
                <w:color w:val="000000" w:themeColor="text1"/>
                <w:szCs w:val="21"/>
              </w:rPr>
            </w:pPr>
            <w:r>
              <w:rPr>
                <w:rFonts w:eastAsiaTheme="minorEastAsia"/>
                <w:color w:val="000000" w:themeColor="text1"/>
                <w:szCs w:val="21"/>
              </w:rPr>
              <w:t>BOD</w:t>
            </w:r>
            <w:r>
              <w:rPr>
                <w:rFonts w:eastAsiaTheme="minorEastAsia"/>
                <w:color w:val="000000" w:themeColor="text1"/>
                <w:szCs w:val="21"/>
                <w:vertAlign w:val="subscript"/>
              </w:rPr>
              <w:t>5</w:t>
            </w:r>
          </w:p>
        </w:tc>
        <w:tc>
          <w:tcPr>
            <w:tcW w:w="394" w:type="pct"/>
            <w:vAlign w:val="center"/>
          </w:tcPr>
          <w:p w14:paraId="7C58C53F">
            <w:pPr>
              <w:jc w:val="center"/>
              <w:rPr>
                <w:rFonts w:eastAsia="等线"/>
                <w:color w:val="000000"/>
                <w:szCs w:val="21"/>
              </w:rPr>
            </w:pPr>
            <w:r>
              <w:rPr>
                <w:rFonts w:eastAsia="等线"/>
                <w:color w:val="000000"/>
                <w:szCs w:val="21"/>
              </w:rPr>
              <w:t>813.59</w:t>
            </w:r>
          </w:p>
        </w:tc>
        <w:tc>
          <w:tcPr>
            <w:tcW w:w="491" w:type="pct"/>
            <w:vAlign w:val="center"/>
          </w:tcPr>
          <w:p w14:paraId="0016EAB4">
            <w:pPr>
              <w:jc w:val="center"/>
              <w:rPr>
                <w:rFonts w:eastAsia="等线"/>
                <w:color w:val="000000"/>
                <w:szCs w:val="21"/>
              </w:rPr>
            </w:pPr>
            <w:r>
              <w:rPr>
                <w:rFonts w:eastAsia="等线"/>
                <w:color w:val="000000"/>
                <w:szCs w:val="21"/>
              </w:rPr>
              <w:t>7.669</w:t>
            </w:r>
          </w:p>
        </w:tc>
        <w:tc>
          <w:tcPr>
            <w:tcW w:w="392" w:type="pct"/>
            <w:vAlign w:val="center"/>
          </w:tcPr>
          <w:p w14:paraId="1F7D7793">
            <w:pPr>
              <w:jc w:val="center"/>
              <w:rPr>
                <w:rFonts w:eastAsia="等线"/>
                <w:color w:val="000000"/>
                <w:szCs w:val="21"/>
              </w:rPr>
            </w:pPr>
            <w:r>
              <w:rPr>
                <w:rFonts w:eastAsia="等线"/>
                <w:color w:val="000000"/>
                <w:szCs w:val="21"/>
              </w:rPr>
              <w:t>7.669</w:t>
            </w:r>
          </w:p>
        </w:tc>
        <w:tc>
          <w:tcPr>
            <w:tcW w:w="492" w:type="pct"/>
            <w:vAlign w:val="center"/>
          </w:tcPr>
          <w:p w14:paraId="34252A5F">
            <w:pPr>
              <w:jc w:val="center"/>
              <w:rPr>
                <w:rFonts w:eastAsia="等线"/>
                <w:color w:val="000000"/>
                <w:szCs w:val="21"/>
              </w:rPr>
            </w:pPr>
            <w:r>
              <w:rPr>
                <w:rFonts w:eastAsia="等线"/>
                <w:color w:val="000000"/>
                <w:szCs w:val="21"/>
              </w:rPr>
              <w:t>/</w:t>
            </w:r>
          </w:p>
        </w:tc>
        <w:tc>
          <w:tcPr>
            <w:tcW w:w="392" w:type="pct"/>
            <w:vAlign w:val="center"/>
          </w:tcPr>
          <w:p w14:paraId="4B5E098C">
            <w:pPr>
              <w:jc w:val="center"/>
              <w:rPr>
                <w:rFonts w:eastAsia="等线"/>
                <w:color w:val="000000"/>
                <w:szCs w:val="21"/>
              </w:rPr>
            </w:pPr>
            <w:r>
              <w:rPr>
                <w:rFonts w:eastAsia="等线"/>
                <w:color w:val="000000"/>
                <w:szCs w:val="21"/>
              </w:rPr>
              <w:t>0</w:t>
            </w:r>
          </w:p>
        </w:tc>
        <w:tc>
          <w:tcPr>
            <w:tcW w:w="1555" w:type="pct"/>
            <w:vMerge w:val="continue"/>
            <w:vAlign w:val="center"/>
          </w:tcPr>
          <w:p w14:paraId="610D36BA">
            <w:pPr>
              <w:jc w:val="center"/>
              <w:rPr>
                <w:rFonts w:eastAsiaTheme="minorEastAsia"/>
                <w:color w:val="000000" w:themeColor="text1"/>
                <w:szCs w:val="21"/>
              </w:rPr>
            </w:pPr>
          </w:p>
        </w:tc>
      </w:tr>
      <w:tr w14:paraId="77CC90C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8" w:type="pct"/>
            <w:vMerge w:val="continue"/>
            <w:vAlign w:val="center"/>
          </w:tcPr>
          <w:p w14:paraId="0E356CDF">
            <w:pPr>
              <w:jc w:val="center"/>
              <w:rPr>
                <w:rFonts w:eastAsiaTheme="minorEastAsia"/>
                <w:b/>
                <w:color w:val="000000" w:themeColor="text1"/>
                <w:szCs w:val="21"/>
              </w:rPr>
            </w:pPr>
          </w:p>
        </w:tc>
        <w:tc>
          <w:tcPr>
            <w:tcW w:w="353" w:type="pct"/>
            <w:gridSpan w:val="2"/>
            <w:vMerge w:val="continue"/>
            <w:vAlign w:val="center"/>
          </w:tcPr>
          <w:p w14:paraId="7CA53BD6">
            <w:pPr>
              <w:widowControl/>
              <w:jc w:val="center"/>
              <w:rPr>
                <w:rFonts w:eastAsiaTheme="minorEastAsia"/>
                <w:color w:val="000000" w:themeColor="text1"/>
                <w:kern w:val="0"/>
                <w:szCs w:val="21"/>
              </w:rPr>
            </w:pPr>
          </w:p>
        </w:tc>
        <w:tc>
          <w:tcPr>
            <w:tcW w:w="643" w:type="pct"/>
            <w:vAlign w:val="center"/>
          </w:tcPr>
          <w:p w14:paraId="362399C1">
            <w:pPr>
              <w:jc w:val="center"/>
              <w:rPr>
                <w:rFonts w:eastAsiaTheme="minorEastAsia"/>
                <w:color w:val="000000" w:themeColor="text1"/>
                <w:szCs w:val="21"/>
              </w:rPr>
            </w:pPr>
            <w:r>
              <w:rPr>
                <w:rFonts w:eastAsiaTheme="minorEastAsia"/>
                <w:color w:val="000000" w:themeColor="text1"/>
                <w:szCs w:val="21"/>
              </w:rPr>
              <w:t>SS</w:t>
            </w:r>
          </w:p>
        </w:tc>
        <w:tc>
          <w:tcPr>
            <w:tcW w:w="394" w:type="pct"/>
            <w:vAlign w:val="center"/>
          </w:tcPr>
          <w:p w14:paraId="012FE383">
            <w:pPr>
              <w:jc w:val="center"/>
              <w:rPr>
                <w:rFonts w:eastAsia="等线"/>
                <w:color w:val="000000"/>
                <w:szCs w:val="21"/>
              </w:rPr>
            </w:pPr>
            <w:r>
              <w:rPr>
                <w:rFonts w:eastAsia="等线"/>
                <w:color w:val="000000"/>
                <w:szCs w:val="21"/>
              </w:rPr>
              <w:t>767.51</w:t>
            </w:r>
          </w:p>
        </w:tc>
        <w:tc>
          <w:tcPr>
            <w:tcW w:w="491" w:type="pct"/>
            <w:vAlign w:val="center"/>
          </w:tcPr>
          <w:p w14:paraId="4D58C1CA">
            <w:pPr>
              <w:jc w:val="center"/>
              <w:rPr>
                <w:rFonts w:eastAsia="等线"/>
                <w:color w:val="000000"/>
                <w:szCs w:val="21"/>
              </w:rPr>
            </w:pPr>
            <w:r>
              <w:rPr>
                <w:rFonts w:eastAsia="等线"/>
                <w:color w:val="000000"/>
                <w:szCs w:val="21"/>
              </w:rPr>
              <w:t>7.235</w:t>
            </w:r>
          </w:p>
        </w:tc>
        <w:tc>
          <w:tcPr>
            <w:tcW w:w="392" w:type="pct"/>
            <w:vAlign w:val="center"/>
          </w:tcPr>
          <w:p w14:paraId="4F10B4C1">
            <w:pPr>
              <w:jc w:val="center"/>
              <w:rPr>
                <w:rFonts w:eastAsia="等线"/>
                <w:color w:val="000000"/>
                <w:szCs w:val="21"/>
              </w:rPr>
            </w:pPr>
            <w:r>
              <w:rPr>
                <w:rFonts w:eastAsia="等线"/>
                <w:color w:val="000000"/>
                <w:szCs w:val="21"/>
              </w:rPr>
              <w:t>7.235</w:t>
            </w:r>
          </w:p>
        </w:tc>
        <w:tc>
          <w:tcPr>
            <w:tcW w:w="492" w:type="pct"/>
            <w:vAlign w:val="center"/>
          </w:tcPr>
          <w:p w14:paraId="15FDA1E9">
            <w:pPr>
              <w:jc w:val="center"/>
              <w:rPr>
                <w:rFonts w:eastAsia="等线"/>
                <w:color w:val="000000"/>
                <w:szCs w:val="21"/>
              </w:rPr>
            </w:pPr>
            <w:r>
              <w:rPr>
                <w:rFonts w:eastAsia="等线"/>
                <w:color w:val="000000"/>
                <w:szCs w:val="21"/>
              </w:rPr>
              <w:t>/</w:t>
            </w:r>
          </w:p>
        </w:tc>
        <w:tc>
          <w:tcPr>
            <w:tcW w:w="392" w:type="pct"/>
            <w:vAlign w:val="center"/>
          </w:tcPr>
          <w:p w14:paraId="26CB8D24">
            <w:pPr>
              <w:jc w:val="center"/>
              <w:rPr>
                <w:rFonts w:eastAsia="等线"/>
                <w:color w:val="000000"/>
                <w:szCs w:val="21"/>
              </w:rPr>
            </w:pPr>
            <w:r>
              <w:rPr>
                <w:rFonts w:eastAsia="等线"/>
                <w:color w:val="000000"/>
                <w:szCs w:val="21"/>
              </w:rPr>
              <w:t>0</w:t>
            </w:r>
          </w:p>
        </w:tc>
        <w:tc>
          <w:tcPr>
            <w:tcW w:w="1555" w:type="pct"/>
            <w:vMerge w:val="continue"/>
            <w:vAlign w:val="center"/>
          </w:tcPr>
          <w:p w14:paraId="75502845">
            <w:pPr>
              <w:jc w:val="center"/>
              <w:rPr>
                <w:rFonts w:eastAsiaTheme="minorEastAsia"/>
                <w:color w:val="000000" w:themeColor="text1"/>
                <w:szCs w:val="21"/>
              </w:rPr>
            </w:pPr>
          </w:p>
        </w:tc>
      </w:tr>
      <w:tr w14:paraId="56AB13C5">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8" w:type="pct"/>
            <w:vMerge w:val="continue"/>
            <w:vAlign w:val="center"/>
          </w:tcPr>
          <w:p w14:paraId="3336C722">
            <w:pPr>
              <w:jc w:val="center"/>
              <w:rPr>
                <w:rFonts w:eastAsiaTheme="minorEastAsia"/>
                <w:b/>
                <w:color w:val="000000" w:themeColor="text1"/>
                <w:szCs w:val="21"/>
              </w:rPr>
            </w:pPr>
          </w:p>
        </w:tc>
        <w:tc>
          <w:tcPr>
            <w:tcW w:w="353" w:type="pct"/>
            <w:gridSpan w:val="2"/>
            <w:vMerge w:val="continue"/>
            <w:vAlign w:val="center"/>
          </w:tcPr>
          <w:p w14:paraId="408CB740">
            <w:pPr>
              <w:widowControl/>
              <w:jc w:val="center"/>
              <w:rPr>
                <w:rFonts w:eastAsiaTheme="minorEastAsia"/>
                <w:color w:val="000000" w:themeColor="text1"/>
                <w:kern w:val="0"/>
                <w:szCs w:val="21"/>
              </w:rPr>
            </w:pPr>
          </w:p>
        </w:tc>
        <w:tc>
          <w:tcPr>
            <w:tcW w:w="643" w:type="pct"/>
            <w:vAlign w:val="center"/>
          </w:tcPr>
          <w:p w14:paraId="42C6B82A">
            <w:pPr>
              <w:jc w:val="center"/>
              <w:rPr>
                <w:rFonts w:eastAsiaTheme="minorEastAsia"/>
                <w:color w:val="000000" w:themeColor="text1"/>
                <w:szCs w:val="21"/>
              </w:rPr>
            </w:pPr>
            <w:r>
              <w:rPr>
                <w:rFonts w:eastAsiaTheme="minorEastAsia"/>
                <w:color w:val="000000" w:themeColor="text1"/>
                <w:szCs w:val="21"/>
              </w:rPr>
              <w:t>NH</w:t>
            </w:r>
            <w:r>
              <w:rPr>
                <w:rFonts w:eastAsiaTheme="minorEastAsia"/>
                <w:color w:val="000000" w:themeColor="text1"/>
                <w:szCs w:val="21"/>
                <w:vertAlign w:val="subscript"/>
              </w:rPr>
              <w:t>3</w:t>
            </w:r>
            <w:r>
              <w:rPr>
                <w:rFonts w:eastAsiaTheme="minorEastAsia"/>
                <w:color w:val="000000" w:themeColor="text1"/>
                <w:szCs w:val="21"/>
              </w:rPr>
              <w:t>-N</w:t>
            </w:r>
          </w:p>
        </w:tc>
        <w:tc>
          <w:tcPr>
            <w:tcW w:w="394" w:type="pct"/>
            <w:vAlign w:val="center"/>
          </w:tcPr>
          <w:p w14:paraId="51D8087D">
            <w:pPr>
              <w:jc w:val="center"/>
              <w:rPr>
                <w:rFonts w:eastAsia="等线"/>
                <w:color w:val="000000"/>
                <w:szCs w:val="21"/>
              </w:rPr>
            </w:pPr>
            <w:r>
              <w:rPr>
                <w:rFonts w:eastAsia="等线"/>
                <w:color w:val="000000"/>
                <w:szCs w:val="21"/>
              </w:rPr>
              <w:t>25.84</w:t>
            </w:r>
          </w:p>
        </w:tc>
        <w:tc>
          <w:tcPr>
            <w:tcW w:w="491" w:type="pct"/>
            <w:vAlign w:val="center"/>
          </w:tcPr>
          <w:p w14:paraId="69D78397">
            <w:pPr>
              <w:jc w:val="center"/>
              <w:rPr>
                <w:rFonts w:eastAsia="等线"/>
                <w:color w:val="000000"/>
                <w:szCs w:val="21"/>
              </w:rPr>
            </w:pPr>
            <w:r>
              <w:rPr>
                <w:rFonts w:eastAsia="等线"/>
                <w:color w:val="000000"/>
                <w:szCs w:val="21"/>
              </w:rPr>
              <w:t>0.244</w:t>
            </w:r>
          </w:p>
        </w:tc>
        <w:tc>
          <w:tcPr>
            <w:tcW w:w="392" w:type="pct"/>
            <w:vAlign w:val="center"/>
          </w:tcPr>
          <w:p w14:paraId="4718953D">
            <w:pPr>
              <w:jc w:val="center"/>
              <w:rPr>
                <w:rFonts w:eastAsia="等线"/>
                <w:color w:val="000000"/>
                <w:szCs w:val="21"/>
              </w:rPr>
            </w:pPr>
            <w:r>
              <w:rPr>
                <w:rFonts w:eastAsia="等线"/>
                <w:color w:val="000000"/>
                <w:szCs w:val="21"/>
              </w:rPr>
              <w:t>0.244</w:t>
            </w:r>
          </w:p>
        </w:tc>
        <w:tc>
          <w:tcPr>
            <w:tcW w:w="492" w:type="pct"/>
            <w:vAlign w:val="center"/>
          </w:tcPr>
          <w:p w14:paraId="1E22FAAA">
            <w:pPr>
              <w:jc w:val="center"/>
              <w:rPr>
                <w:rFonts w:eastAsia="等线"/>
                <w:color w:val="000000"/>
                <w:szCs w:val="21"/>
              </w:rPr>
            </w:pPr>
            <w:r>
              <w:rPr>
                <w:rFonts w:eastAsia="等线"/>
                <w:color w:val="000000"/>
                <w:szCs w:val="21"/>
              </w:rPr>
              <w:t>/</w:t>
            </w:r>
          </w:p>
        </w:tc>
        <w:tc>
          <w:tcPr>
            <w:tcW w:w="392" w:type="pct"/>
            <w:vAlign w:val="center"/>
          </w:tcPr>
          <w:p w14:paraId="093A5363">
            <w:pPr>
              <w:jc w:val="center"/>
              <w:rPr>
                <w:rFonts w:eastAsia="等线"/>
                <w:color w:val="000000"/>
                <w:szCs w:val="21"/>
              </w:rPr>
            </w:pPr>
            <w:r>
              <w:rPr>
                <w:rFonts w:eastAsia="等线"/>
                <w:color w:val="000000"/>
                <w:szCs w:val="21"/>
              </w:rPr>
              <w:t>0</w:t>
            </w:r>
          </w:p>
        </w:tc>
        <w:tc>
          <w:tcPr>
            <w:tcW w:w="1555" w:type="pct"/>
            <w:vMerge w:val="continue"/>
            <w:vAlign w:val="center"/>
          </w:tcPr>
          <w:p w14:paraId="18F76591">
            <w:pPr>
              <w:jc w:val="center"/>
              <w:rPr>
                <w:rFonts w:eastAsiaTheme="minorEastAsia"/>
                <w:color w:val="000000" w:themeColor="text1"/>
                <w:szCs w:val="21"/>
              </w:rPr>
            </w:pPr>
          </w:p>
        </w:tc>
      </w:tr>
      <w:tr w14:paraId="0B9304E2">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8" w:type="pct"/>
            <w:vMerge w:val="continue"/>
            <w:vAlign w:val="center"/>
          </w:tcPr>
          <w:p w14:paraId="73D49F3D">
            <w:pPr>
              <w:jc w:val="center"/>
              <w:rPr>
                <w:rFonts w:eastAsiaTheme="minorEastAsia"/>
                <w:b/>
                <w:color w:val="000000" w:themeColor="text1"/>
                <w:szCs w:val="21"/>
              </w:rPr>
            </w:pPr>
          </w:p>
        </w:tc>
        <w:tc>
          <w:tcPr>
            <w:tcW w:w="353" w:type="pct"/>
            <w:gridSpan w:val="2"/>
            <w:vMerge w:val="continue"/>
            <w:vAlign w:val="center"/>
          </w:tcPr>
          <w:p w14:paraId="7596ED34">
            <w:pPr>
              <w:widowControl/>
              <w:jc w:val="center"/>
              <w:rPr>
                <w:rFonts w:eastAsiaTheme="minorEastAsia"/>
                <w:color w:val="000000" w:themeColor="text1"/>
                <w:szCs w:val="21"/>
              </w:rPr>
            </w:pPr>
          </w:p>
        </w:tc>
        <w:tc>
          <w:tcPr>
            <w:tcW w:w="643" w:type="pct"/>
            <w:vAlign w:val="center"/>
          </w:tcPr>
          <w:p w14:paraId="7E39BFD3">
            <w:pPr>
              <w:jc w:val="center"/>
              <w:rPr>
                <w:rFonts w:eastAsiaTheme="minorEastAsia"/>
                <w:color w:val="000000" w:themeColor="text1"/>
                <w:szCs w:val="21"/>
              </w:rPr>
            </w:pPr>
            <w:r>
              <w:rPr>
                <w:rFonts w:eastAsiaTheme="minorEastAsia"/>
                <w:color w:val="000000" w:themeColor="text1"/>
                <w:szCs w:val="21"/>
              </w:rPr>
              <w:t>总磷</w:t>
            </w:r>
          </w:p>
        </w:tc>
        <w:tc>
          <w:tcPr>
            <w:tcW w:w="394" w:type="pct"/>
            <w:vAlign w:val="center"/>
          </w:tcPr>
          <w:p w14:paraId="52D602BD">
            <w:pPr>
              <w:jc w:val="center"/>
              <w:rPr>
                <w:rFonts w:eastAsia="等线"/>
                <w:color w:val="000000"/>
                <w:szCs w:val="21"/>
              </w:rPr>
            </w:pPr>
            <w:r>
              <w:rPr>
                <w:rFonts w:eastAsia="等线"/>
                <w:color w:val="000000"/>
                <w:szCs w:val="21"/>
              </w:rPr>
              <w:t>14.72</w:t>
            </w:r>
          </w:p>
        </w:tc>
        <w:tc>
          <w:tcPr>
            <w:tcW w:w="491" w:type="pct"/>
            <w:vAlign w:val="center"/>
          </w:tcPr>
          <w:p w14:paraId="5C0DD75C">
            <w:pPr>
              <w:jc w:val="center"/>
              <w:rPr>
                <w:rFonts w:eastAsia="等线"/>
                <w:color w:val="000000"/>
                <w:szCs w:val="21"/>
              </w:rPr>
            </w:pPr>
            <w:r>
              <w:rPr>
                <w:rFonts w:eastAsia="等线"/>
                <w:color w:val="000000"/>
                <w:szCs w:val="21"/>
              </w:rPr>
              <w:t>0.139</w:t>
            </w:r>
          </w:p>
        </w:tc>
        <w:tc>
          <w:tcPr>
            <w:tcW w:w="392" w:type="pct"/>
            <w:vAlign w:val="center"/>
          </w:tcPr>
          <w:p w14:paraId="65171FF8">
            <w:pPr>
              <w:jc w:val="center"/>
              <w:rPr>
                <w:rFonts w:eastAsia="等线"/>
                <w:color w:val="000000"/>
                <w:szCs w:val="21"/>
              </w:rPr>
            </w:pPr>
            <w:r>
              <w:rPr>
                <w:rFonts w:eastAsia="等线"/>
                <w:color w:val="000000"/>
                <w:szCs w:val="21"/>
              </w:rPr>
              <w:t>0.139</w:t>
            </w:r>
          </w:p>
        </w:tc>
        <w:tc>
          <w:tcPr>
            <w:tcW w:w="492" w:type="pct"/>
            <w:vAlign w:val="center"/>
          </w:tcPr>
          <w:p w14:paraId="4DCCB68F">
            <w:pPr>
              <w:jc w:val="center"/>
              <w:rPr>
                <w:rFonts w:eastAsia="等线"/>
                <w:color w:val="000000"/>
                <w:szCs w:val="21"/>
              </w:rPr>
            </w:pPr>
            <w:r>
              <w:rPr>
                <w:rFonts w:eastAsia="等线"/>
                <w:color w:val="000000"/>
                <w:szCs w:val="21"/>
              </w:rPr>
              <w:t>/</w:t>
            </w:r>
          </w:p>
        </w:tc>
        <w:tc>
          <w:tcPr>
            <w:tcW w:w="392" w:type="pct"/>
            <w:vAlign w:val="center"/>
          </w:tcPr>
          <w:p w14:paraId="4D5031F7">
            <w:pPr>
              <w:jc w:val="center"/>
              <w:rPr>
                <w:rFonts w:eastAsia="等线"/>
                <w:color w:val="000000"/>
                <w:szCs w:val="21"/>
              </w:rPr>
            </w:pPr>
            <w:r>
              <w:rPr>
                <w:rFonts w:eastAsia="等线"/>
                <w:color w:val="000000"/>
                <w:szCs w:val="21"/>
              </w:rPr>
              <w:t>0</w:t>
            </w:r>
          </w:p>
        </w:tc>
        <w:tc>
          <w:tcPr>
            <w:tcW w:w="1555" w:type="pct"/>
            <w:vMerge w:val="continue"/>
            <w:vAlign w:val="center"/>
          </w:tcPr>
          <w:p w14:paraId="28D653F7">
            <w:pPr>
              <w:jc w:val="center"/>
              <w:rPr>
                <w:rFonts w:eastAsiaTheme="minorEastAsia"/>
                <w:color w:val="000000" w:themeColor="text1"/>
                <w:szCs w:val="21"/>
              </w:rPr>
            </w:pPr>
          </w:p>
        </w:tc>
      </w:tr>
      <w:tr w14:paraId="514886DC">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5" w:hRule="atLeast"/>
          <w:jc w:val="center"/>
        </w:trPr>
        <w:tc>
          <w:tcPr>
            <w:tcW w:w="288" w:type="pct"/>
            <w:vMerge w:val="restart"/>
            <w:vAlign w:val="center"/>
          </w:tcPr>
          <w:p w14:paraId="3B599E5B">
            <w:pPr>
              <w:jc w:val="center"/>
              <w:rPr>
                <w:rFonts w:eastAsiaTheme="minorEastAsia"/>
                <w:b/>
                <w:color w:val="000000" w:themeColor="text1"/>
                <w:szCs w:val="21"/>
              </w:rPr>
            </w:pPr>
            <w:r>
              <w:rPr>
                <w:rFonts w:eastAsiaTheme="minorEastAsia"/>
                <w:b/>
                <w:color w:val="000000" w:themeColor="text1"/>
                <w:szCs w:val="21"/>
              </w:rPr>
              <w:t>固废</w:t>
            </w:r>
          </w:p>
          <w:p w14:paraId="5770E22A">
            <w:pPr>
              <w:jc w:val="center"/>
              <w:rPr>
                <w:rFonts w:eastAsiaTheme="minorEastAsia"/>
                <w:b/>
                <w:color w:val="000000" w:themeColor="text1"/>
                <w:szCs w:val="21"/>
              </w:rPr>
            </w:pPr>
          </w:p>
        </w:tc>
        <w:tc>
          <w:tcPr>
            <w:tcW w:w="353" w:type="pct"/>
            <w:gridSpan w:val="2"/>
            <w:vMerge w:val="restart"/>
            <w:vAlign w:val="center"/>
          </w:tcPr>
          <w:p w14:paraId="23F5E79F">
            <w:pPr>
              <w:jc w:val="center"/>
              <w:rPr>
                <w:rFonts w:eastAsiaTheme="minorEastAsia"/>
                <w:b/>
                <w:color w:val="000000" w:themeColor="text1"/>
                <w:szCs w:val="21"/>
              </w:rPr>
            </w:pPr>
            <w:r>
              <w:rPr>
                <w:rFonts w:eastAsiaTheme="minorEastAsia"/>
                <w:b/>
                <w:color w:val="000000" w:themeColor="text1"/>
                <w:szCs w:val="21"/>
              </w:rPr>
              <w:t>一般固废</w:t>
            </w:r>
          </w:p>
        </w:tc>
        <w:tc>
          <w:tcPr>
            <w:tcW w:w="643" w:type="pct"/>
            <w:vAlign w:val="center"/>
          </w:tcPr>
          <w:p w14:paraId="0479799C">
            <w:pPr>
              <w:jc w:val="center"/>
              <w:rPr>
                <w:color w:val="000000" w:themeColor="text1"/>
                <w:szCs w:val="21"/>
              </w:rPr>
            </w:pPr>
            <w:r>
              <w:rPr>
                <w:color w:val="000000" w:themeColor="text1"/>
                <w:szCs w:val="21"/>
              </w:rPr>
              <w:t>拆包、人工分选杂物</w:t>
            </w:r>
          </w:p>
        </w:tc>
        <w:tc>
          <w:tcPr>
            <w:tcW w:w="884" w:type="pct"/>
            <w:gridSpan w:val="2"/>
            <w:vAlign w:val="center"/>
          </w:tcPr>
          <w:p w14:paraId="692567CE">
            <w:pPr>
              <w:jc w:val="center"/>
              <w:rPr>
                <w:color w:val="000000" w:themeColor="text1"/>
                <w:szCs w:val="21"/>
              </w:rPr>
            </w:pPr>
            <w:r>
              <w:rPr>
                <w:color w:val="000000" w:themeColor="text1"/>
                <w:szCs w:val="21"/>
              </w:rPr>
              <w:t>3</w:t>
            </w:r>
          </w:p>
        </w:tc>
        <w:tc>
          <w:tcPr>
            <w:tcW w:w="392" w:type="pct"/>
            <w:vAlign w:val="center"/>
          </w:tcPr>
          <w:p w14:paraId="31AEA881">
            <w:pPr>
              <w:tabs>
                <w:tab w:val="left" w:pos="567"/>
              </w:tabs>
              <w:snapToGrid w:val="0"/>
              <w:jc w:val="center"/>
              <w:rPr>
                <w:rFonts w:eastAsiaTheme="minorEastAsia"/>
                <w:color w:val="000000" w:themeColor="text1"/>
                <w:szCs w:val="21"/>
              </w:rPr>
            </w:pPr>
            <w:r>
              <w:rPr>
                <w:rFonts w:eastAsiaTheme="minorEastAsia"/>
                <w:color w:val="000000" w:themeColor="text1"/>
                <w:szCs w:val="21"/>
              </w:rPr>
              <w:t>/</w:t>
            </w:r>
          </w:p>
        </w:tc>
        <w:tc>
          <w:tcPr>
            <w:tcW w:w="884" w:type="pct"/>
            <w:gridSpan w:val="2"/>
            <w:vAlign w:val="center"/>
          </w:tcPr>
          <w:p w14:paraId="7405315B">
            <w:pPr>
              <w:tabs>
                <w:tab w:val="left" w:pos="567"/>
              </w:tabs>
              <w:snapToGrid w:val="0"/>
              <w:jc w:val="center"/>
              <w:rPr>
                <w:rFonts w:eastAsiaTheme="minorEastAsia"/>
                <w:color w:val="000000" w:themeColor="text1"/>
                <w:szCs w:val="21"/>
              </w:rPr>
            </w:pPr>
            <w:r>
              <w:rPr>
                <w:rFonts w:eastAsiaTheme="minorEastAsia"/>
                <w:color w:val="000000" w:themeColor="text1"/>
                <w:szCs w:val="21"/>
              </w:rPr>
              <w:t>0</w:t>
            </w:r>
          </w:p>
        </w:tc>
        <w:tc>
          <w:tcPr>
            <w:tcW w:w="1555" w:type="pct"/>
            <w:vMerge w:val="restart"/>
            <w:vAlign w:val="center"/>
          </w:tcPr>
          <w:p w14:paraId="2AF9A9CE">
            <w:pPr>
              <w:jc w:val="center"/>
              <w:rPr>
                <w:rFonts w:eastAsiaTheme="minorEastAsia"/>
                <w:color w:val="000000" w:themeColor="text1"/>
                <w:szCs w:val="21"/>
              </w:rPr>
            </w:pPr>
            <w:r>
              <w:rPr>
                <w:rFonts w:eastAsiaTheme="minorEastAsia"/>
                <w:color w:val="000000" w:themeColor="text1"/>
                <w:szCs w:val="21"/>
              </w:rPr>
              <w:t>统一收集，规范贮存，定期出售</w:t>
            </w:r>
          </w:p>
        </w:tc>
      </w:tr>
      <w:tr w14:paraId="3E861E34">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5" w:hRule="atLeast"/>
          <w:jc w:val="center"/>
        </w:trPr>
        <w:tc>
          <w:tcPr>
            <w:tcW w:w="283" w:type="pct"/>
            <w:vMerge w:val="continue"/>
            <w:vAlign w:val="center"/>
          </w:tcPr>
          <w:p w14:paraId="77A955D6">
            <w:pPr>
              <w:jc w:val="center"/>
              <w:rPr>
                <w:rFonts w:eastAsiaTheme="minorEastAsia"/>
                <w:b/>
                <w:color w:val="000000" w:themeColor="text1"/>
                <w:szCs w:val="21"/>
              </w:rPr>
            </w:pPr>
          </w:p>
        </w:tc>
        <w:tc>
          <w:tcPr>
            <w:tcW w:w="388" w:type="pct"/>
            <w:gridSpan w:val="2"/>
            <w:vMerge w:val="continue"/>
            <w:vAlign w:val="center"/>
          </w:tcPr>
          <w:p w14:paraId="1802E1EC">
            <w:pPr>
              <w:jc w:val="center"/>
              <w:rPr>
                <w:rFonts w:eastAsiaTheme="minorEastAsia"/>
                <w:b/>
                <w:color w:val="000000" w:themeColor="text1"/>
                <w:szCs w:val="21"/>
              </w:rPr>
            </w:pPr>
          </w:p>
        </w:tc>
        <w:tc>
          <w:tcPr>
            <w:tcW w:w="640" w:type="pct"/>
            <w:vAlign w:val="center"/>
          </w:tcPr>
          <w:p w14:paraId="737814B3">
            <w:pPr>
              <w:jc w:val="center"/>
              <w:rPr>
                <w:color w:val="000000" w:themeColor="text1"/>
                <w:szCs w:val="21"/>
              </w:rPr>
            </w:pPr>
            <w:r>
              <w:rPr>
                <w:color w:val="000000" w:themeColor="text1"/>
                <w:szCs w:val="21"/>
              </w:rPr>
              <w:t>剥离废标签纸</w:t>
            </w:r>
          </w:p>
        </w:tc>
        <w:tc>
          <w:tcPr>
            <w:tcW w:w="877" w:type="pct"/>
            <w:gridSpan w:val="2"/>
            <w:vAlign w:val="center"/>
          </w:tcPr>
          <w:p w14:paraId="606E25A0">
            <w:pPr>
              <w:jc w:val="center"/>
              <w:rPr>
                <w:color w:val="000000" w:themeColor="text1"/>
                <w:szCs w:val="21"/>
              </w:rPr>
            </w:pPr>
            <w:r>
              <w:rPr>
                <w:color w:val="000000" w:themeColor="text1"/>
                <w:szCs w:val="21"/>
              </w:rPr>
              <w:t>1</w:t>
            </w:r>
          </w:p>
        </w:tc>
        <w:tc>
          <w:tcPr>
            <w:tcW w:w="388" w:type="pct"/>
            <w:vAlign w:val="center"/>
          </w:tcPr>
          <w:p w14:paraId="0F277742">
            <w:pPr>
              <w:jc w:val="center"/>
              <w:rPr>
                <w:color w:val="000000" w:themeColor="text1"/>
                <w:szCs w:val="21"/>
              </w:rPr>
            </w:pPr>
            <w:r>
              <w:rPr>
                <w:rFonts w:eastAsiaTheme="minorEastAsia"/>
                <w:color w:val="000000" w:themeColor="text1"/>
                <w:szCs w:val="21"/>
              </w:rPr>
              <w:t>/</w:t>
            </w:r>
          </w:p>
        </w:tc>
        <w:tc>
          <w:tcPr>
            <w:tcW w:w="876" w:type="pct"/>
            <w:gridSpan w:val="2"/>
            <w:vAlign w:val="center"/>
          </w:tcPr>
          <w:p w14:paraId="0259CA55">
            <w:pPr>
              <w:jc w:val="center"/>
              <w:rPr>
                <w:color w:val="000000" w:themeColor="text1"/>
                <w:szCs w:val="21"/>
              </w:rPr>
            </w:pPr>
            <w:r>
              <w:rPr>
                <w:rFonts w:eastAsiaTheme="minorEastAsia"/>
                <w:color w:val="000000" w:themeColor="text1"/>
                <w:szCs w:val="21"/>
              </w:rPr>
              <w:t>0</w:t>
            </w:r>
          </w:p>
        </w:tc>
        <w:tc>
          <w:tcPr>
            <w:tcW w:w="1550" w:type="pct"/>
            <w:vMerge w:val="continue"/>
            <w:tcBorders>
              <w:bottom w:val="single" w:color="auto" w:sz="4" w:space="0"/>
            </w:tcBorders>
            <w:vAlign w:val="center"/>
          </w:tcPr>
          <w:p w14:paraId="49D953A9">
            <w:pPr>
              <w:tabs>
                <w:tab w:val="left" w:pos="567"/>
              </w:tabs>
              <w:snapToGrid w:val="0"/>
              <w:jc w:val="center"/>
              <w:rPr>
                <w:rFonts w:eastAsiaTheme="minorEastAsia"/>
                <w:color w:val="000000" w:themeColor="text1"/>
                <w:szCs w:val="21"/>
              </w:rPr>
            </w:pPr>
          </w:p>
        </w:tc>
      </w:tr>
      <w:tr w14:paraId="45710A54">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5" w:hRule="atLeast"/>
          <w:jc w:val="center"/>
        </w:trPr>
        <w:tc>
          <w:tcPr>
            <w:tcW w:w="283" w:type="pct"/>
            <w:vMerge w:val="continue"/>
            <w:vAlign w:val="center"/>
          </w:tcPr>
          <w:p w14:paraId="4586C7E3">
            <w:pPr>
              <w:jc w:val="center"/>
              <w:rPr>
                <w:rFonts w:eastAsiaTheme="minorEastAsia"/>
                <w:b/>
                <w:color w:val="000000" w:themeColor="text1"/>
                <w:szCs w:val="21"/>
              </w:rPr>
            </w:pPr>
          </w:p>
        </w:tc>
        <w:tc>
          <w:tcPr>
            <w:tcW w:w="388" w:type="pct"/>
            <w:gridSpan w:val="2"/>
            <w:vMerge w:val="continue"/>
            <w:vAlign w:val="center"/>
          </w:tcPr>
          <w:p w14:paraId="29EE86A9">
            <w:pPr>
              <w:jc w:val="center"/>
              <w:rPr>
                <w:rFonts w:eastAsiaTheme="minorEastAsia"/>
                <w:b/>
                <w:color w:val="000000" w:themeColor="text1"/>
                <w:szCs w:val="21"/>
              </w:rPr>
            </w:pPr>
          </w:p>
        </w:tc>
        <w:tc>
          <w:tcPr>
            <w:tcW w:w="640" w:type="pct"/>
            <w:vAlign w:val="center"/>
          </w:tcPr>
          <w:p w14:paraId="2FAD4BCB">
            <w:pPr>
              <w:jc w:val="center"/>
              <w:rPr>
                <w:color w:val="000000" w:themeColor="text1"/>
                <w:szCs w:val="21"/>
              </w:rPr>
            </w:pPr>
            <w:r>
              <w:rPr>
                <w:color w:val="000000" w:themeColor="text1"/>
                <w:szCs w:val="21"/>
              </w:rPr>
              <w:t>污水处理设施（隔油池+沉淀池）污泥</w:t>
            </w:r>
          </w:p>
        </w:tc>
        <w:tc>
          <w:tcPr>
            <w:tcW w:w="877" w:type="pct"/>
            <w:gridSpan w:val="2"/>
            <w:vAlign w:val="center"/>
          </w:tcPr>
          <w:p w14:paraId="3ADB8C9C">
            <w:pPr>
              <w:jc w:val="center"/>
              <w:rPr>
                <w:color w:val="000000" w:themeColor="text1"/>
                <w:szCs w:val="21"/>
              </w:rPr>
            </w:pPr>
            <w:r>
              <w:rPr>
                <w:color w:val="000000" w:themeColor="text1"/>
                <w:szCs w:val="21"/>
              </w:rPr>
              <w:t>6.77</w:t>
            </w:r>
          </w:p>
        </w:tc>
        <w:tc>
          <w:tcPr>
            <w:tcW w:w="388" w:type="pct"/>
            <w:vAlign w:val="center"/>
          </w:tcPr>
          <w:p w14:paraId="786F250D">
            <w:pPr>
              <w:jc w:val="center"/>
              <w:rPr>
                <w:color w:val="000000" w:themeColor="text1"/>
                <w:szCs w:val="21"/>
              </w:rPr>
            </w:pPr>
            <w:r>
              <w:rPr>
                <w:color w:val="000000" w:themeColor="text1"/>
                <w:szCs w:val="21"/>
              </w:rPr>
              <w:t>/</w:t>
            </w:r>
          </w:p>
        </w:tc>
        <w:tc>
          <w:tcPr>
            <w:tcW w:w="876" w:type="pct"/>
            <w:gridSpan w:val="2"/>
            <w:vAlign w:val="center"/>
          </w:tcPr>
          <w:p w14:paraId="202136E0">
            <w:pPr>
              <w:jc w:val="center"/>
              <w:rPr>
                <w:color w:val="000000" w:themeColor="text1"/>
                <w:szCs w:val="21"/>
              </w:rPr>
            </w:pPr>
            <w:r>
              <w:rPr>
                <w:color w:val="000000" w:themeColor="text1"/>
                <w:szCs w:val="21"/>
              </w:rPr>
              <w:t>0</w:t>
            </w:r>
          </w:p>
        </w:tc>
        <w:tc>
          <w:tcPr>
            <w:tcW w:w="1550" w:type="pct"/>
            <w:vMerge w:val="restart"/>
            <w:tcBorders>
              <w:top w:val="single" w:color="auto" w:sz="4" w:space="0"/>
            </w:tcBorders>
            <w:vAlign w:val="center"/>
          </w:tcPr>
          <w:p w14:paraId="5D949E6B">
            <w:pPr>
              <w:jc w:val="center"/>
              <w:rPr>
                <w:rFonts w:eastAsiaTheme="minorEastAsia"/>
                <w:color w:val="000000" w:themeColor="text1"/>
                <w:szCs w:val="21"/>
              </w:rPr>
            </w:pPr>
            <w:r>
              <w:rPr>
                <w:color w:val="000000" w:themeColor="text1"/>
                <w:szCs w:val="21"/>
              </w:rPr>
              <w:t>外运至最近村庄垃圾收集点处理</w:t>
            </w:r>
          </w:p>
        </w:tc>
      </w:tr>
      <w:tr w14:paraId="31A24808">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5" w:hRule="atLeast"/>
          <w:jc w:val="center"/>
        </w:trPr>
        <w:tc>
          <w:tcPr>
            <w:tcW w:w="283" w:type="pct"/>
            <w:vMerge w:val="continue"/>
            <w:vAlign w:val="center"/>
          </w:tcPr>
          <w:p w14:paraId="5D4A3B32">
            <w:pPr>
              <w:jc w:val="center"/>
              <w:rPr>
                <w:rFonts w:eastAsiaTheme="minorEastAsia"/>
                <w:b/>
                <w:color w:val="000000" w:themeColor="text1"/>
                <w:szCs w:val="21"/>
              </w:rPr>
            </w:pPr>
          </w:p>
        </w:tc>
        <w:tc>
          <w:tcPr>
            <w:tcW w:w="458" w:type="pct"/>
            <w:gridSpan w:val="2"/>
            <w:vMerge w:val="continue"/>
            <w:vAlign w:val="center"/>
          </w:tcPr>
          <w:p w14:paraId="50487738">
            <w:pPr>
              <w:jc w:val="center"/>
              <w:rPr>
                <w:rFonts w:eastAsiaTheme="minorEastAsia"/>
                <w:b/>
                <w:color w:val="000000" w:themeColor="text1"/>
                <w:szCs w:val="21"/>
              </w:rPr>
            </w:pPr>
          </w:p>
        </w:tc>
        <w:tc>
          <w:tcPr>
            <w:tcW w:w="638" w:type="pct"/>
            <w:vAlign w:val="center"/>
          </w:tcPr>
          <w:p w14:paraId="5DD579FC">
            <w:pPr>
              <w:jc w:val="center"/>
              <w:rPr>
                <w:color w:val="000000" w:themeColor="text1"/>
                <w:szCs w:val="21"/>
              </w:rPr>
            </w:pPr>
            <w:r>
              <w:rPr>
                <w:color w:val="FF0000"/>
                <w:szCs w:val="21"/>
              </w:rPr>
              <w:t>废过滤网</w:t>
            </w:r>
          </w:p>
        </w:tc>
        <w:tc>
          <w:tcPr>
            <w:tcW w:w="877" w:type="pct"/>
            <w:gridSpan w:val="2"/>
            <w:vAlign w:val="center"/>
          </w:tcPr>
          <w:p w14:paraId="6BC152BF">
            <w:pPr>
              <w:jc w:val="center"/>
              <w:rPr>
                <w:color w:val="000000" w:themeColor="text1"/>
                <w:szCs w:val="21"/>
              </w:rPr>
            </w:pPr>
            <w:r>
              <w:rPr>
                <w:color w:val="000000" w:themeColor="text1"/>
                <w:szCs w:val="21"/>
              </w:rPr>
              <w:t>0.4</w:t>
            </w:r>
          </w:p>
        </w:tc>
        <w:tc>
          <w:tcPr>
            <w:tcW w:w="388" w:type="pct"/>
            <w:vAlign w:val="center"/>
          </w:tcPr>
          <w:p w14:paraId="37F31C58">
            <w:pPr>
              <w:jc w:val="center"/>
              <w:rPr>
                <w:color w:val="000000" w:themeColor="text1"/>
                <w:szCs w:val="21"/>
              </w:rPr>
            </w:pPr>
            <w:r>
              <w:rPr>
                <w:color w:val="000000" w:themeColor="text1"/>
                <w:szCs w:val="21"/>
              </w:rPr>
              <w:t>/</w:t>
            </w:r>
          </w:p>
        </w:tc>
        <w:tc>
          <w:tcPr>
            <w:tcW w:w="876" w:type="pct"/>
            <w:gridSpan w:val="2"/>
            <w:vAlign w:val="center"/>
          </w:tcPr>
          <w:p w14:paraId="15FD109B">
            <w:pPr>
              <w:jc w:val="center"/>
              <w:rPr>
                <w:color w:val="000000" w:themeColor="text1"/>
                <w:szCs w:val="21"/>
              </w:rPr>
            </w:pPr>
            <w:r>
              <w:rPr>
                <w:color w:val="000000" w:themeColor="text1"/>
                <w:szCs w:val="21"/>
              </w:rPr>
              <w:t>0</w:t>
            </w:r>
          </w:p>
        </w:tc>
        <w:tc>
          <w:tcPr>
            <w:tcW w:w="1481" w:type="pct"/>
            <w:vMerge w:val="continue"/>
            <w:vAlign w:val="center"/>
          </w:tcPr>
          <w:p w14:paraId="09ACC53F">
            <w:pPr>
              <w:jc w:val="center"/>
              <w:rPr>
                <w:color w:val="000000" w:themeColor="text1"/>
                <w:szCs w:val="21"/>
              </w:rPr>
            </w:pPr>
          </w:p>
        </w:tc>
      </w:tr>
      <w:tr w14:paraId="7660AA25">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3" w:type="pct"/>
            <w:vMerge w:val="continue"/>
            <w:vAlign w:val="center"/>
          </w:tcPr>
          <w:p w14:paraId="5D85C5A9">
            <w:pPr>
              <w:jc w:val="center"/>
              <w:rPr>
                <w:rFonts w:eastAsiaTheme="minorEastAsia"/>
                <w:b/>
                <w:color w:val="000000" w:themeColor="text1"/>
                <w:szCs w:val="21"/>
              </w:rPr>
            </w:pPr>
          </w:p>
        </w:tc>
        <w:tc>
          <w:tcPr>
            <w:tcW w:w="458" w:type="pct"/>
            <w:gridSpan w:val="2"/>
            <w:vMerge w:val="restart"/>
            <w:vAlign w:val="center"/>
          </w:tcPr>
          <w:p w14:paraId="52C710EB">
            <w:pPr>
              <w:jc w:val="center"/>
              <w:rPr>
                <w:rFonts w:eastAsiaTheme="minorEastAsia"/>
                <w:b/>
                <w:color w:val="000000" w:themeColor="text1"/>
                <w:szCs w:val="21"/>
              </w:rPr>
            </w:pPr>
            <w:r>
              <w:rPr>
                <w:rFonts w:eastAsiaTheme="minorEastAsia"/>
                <w:b/>
                <w:color w:val="000000" w:themeColor="text1"/>
                <w:szCs w:val="21"/>
              </w:rPr>
              <w:t>危险废物</w:t>
            </w:r>
          </w:p>
        </w:tc>
        <w:tc>
          <w:tcPr>
            <w:tcW w:w="638" w:type="pct"/>
            <w:vAlign w:val="center"/>
          </w:tcPr>
          <w:p w14:paraId="2748A335">
            <w:pPr>
              <w:jc w:val="center"/>
              <w:rPr>
                <w:color w:val="000000" w:themeColor="text1"/>
                <w:szCs w:val="21"/>
              </w:rPr>
            </w:pPr>
            <w:r>
              <w:rPr>
                <w:color w:val="000000" w:themeColor="text1"/>
                <w:szCs w:val="21"/>
              </w:rPr>
              <w:t>废过滤棉</w:t>
            </w:r>
          </w:p>
        </w:tc>
        <w:tc>
          <w:tcPr>
            <w:tcW w:w="877" w:type="pct"/>
            <w:gridSpan w:val="2"/>
            <w:vAlign w:val="center"/>
          </w:tcPr>
          <w:p w14:paraId="1B36499E">
            <w:pPr>
              <w:jc w:val="center"/>
              <w:rPr>
                <w:color w:val="000000" w:themeColor="text1"/>
                <w:szCs w:val="21"/>
              </w:rPr>
            </w:pPr>
            <w:r>
              <w:rPr>
                <w:color w:val="000000" w:themeColor="text1"/>
                <w:szCs w:val="21"/>
              </w:rPr>
              <w:t>0.164</w:t>
            </w:r>
          </w:p>
        </w:tc>
        <w:tc>
          <w:tcPr>
            <w:tcW w:w="388" w:type="pct"/>
            <w:vAlign w:val="center"/>
          </w:tcPr>
          <w:p w14:paraId="1ED0289D">
            <w:pPr>
              <w:jc w:val="center"/>
              <w:rPr>
                <w:color w:val="000000" w:themeColor="text1"/>
                <w:szCs w:val="21"/>
              </w:rPr>
            </w:pPr>
            <w:r>
              <w:rPr>
                <w:rFonts w:eastAsiaTheme="minorEastAsia"/>
                <w:color w:val="000000" w:themeColor="text1"/>
                <w:szCs w:val="21"/>
              </w:rPr>
              <w:t>/</w:t>
            </w:r>
          </w:p>
        </w:tc>
        <w:tc>
          <w:tcPr>
            <w:tcW w:w="876" w:type="pct"/>
            <w:gridSpan w:val="2"/>
            <w:vAlign w:val="center"/>
          </w:tcPr>
          <w:p w14:paraId="0EACBE39">
            <w:pPr>
              <w:jc w:val="center"/>
              <w:rPr>
                <w:color w:val="000000" w:themeColor="text1"/>
                <w:szCs w:val="21"/>
              </w:rPr>
            </w:pPr>
            <w:r>
              <w:rPr>
                <w:rFonts w:eastAsiaTheme="minorEastAsia"/>
                <w:color w:val="000000" w:themeColor="text1"/>
                <w:szCs w:val="21"/>
              </w:rPr>
              <w:t>0</w:t>
            </w:r>
          </w:p>
        </w:tc>
        <w:tc>
          <w:tcPr>
            <w:tcW w:w="1481" w:type="pct"/>
            <w:vMerge w:val="restart"/>
            <w:vAlign w:val="center"/>
          </w:tcPr>
          <w:p w14:paraId="14F1D892">
            <w:pPr>
              <w:jc w:val="center"/>
              <w:rPr>
                <w:rFonts w:eastAsiaTheme="minorEastAsia"/>
                <w:color w:val="000000" w:themeColor="text1"/>
                <w:szCs w:val="21"/>
              </w:rPr>
            </w:pPr>
            <w:r>
              <w:rPr>
                <w:color w:val="000000" w:themeColor="text1"/>
                <w:szCs w:val="21"/>
              </w:rPr>
              <w:t>暂存于危废收集间5m</w:t>
            </w:r>
            <w:r>
              <w:rPr>
                <w:color w:val="000000" w:themeColor="text1"/>
                <w:szCs w:val="21"/>
                <w:vertAlign w:val="superscript"/>
              </w:rPr>
              <w:t>2</w:t>
            </w:r>
            <w:r>
              <w:rPr>
                <w:color w:val="000000" w:themeColor="text1"/>
                <w:szCs w:val="21"/>
              </w:rPr>
              <w:t>，交由有资质的单位进行处置</w:t>
            </w:r>
          </w:p>
        </w:tc>
      </w:tr>
      <w:tr w14:paraId="5CD4CE46">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3" w:type="pct"/>
            <w:vMerge w:val="continue"/>
            <w:vAlign w:val="center"/>
          </w:tcPr>
          <w:p w14:paraId="048F9B08">
            <w:pPr>
              <w:jc w:val="center"/>
              <w:rPr>
                <w:rFonts w:eastAsiaTheme="minorEastAsia"/>
                <w:b/>
                <w:color w:val="000000" w:themeColor="text1"/>
                <w:szCs w:val="21"/>
              </w:rPr>
            </w:pPr>
          </w:p>
        </w:tc>
        <w:tc>
          <w:tcPr>
            <w:tcW w:w="458" w:type="pct"/>
            <w:gridSpan w:val="2"/>
            <w:vMerge w:val="continue"/>
            <w:vAlign w:val="center"/>
          </w:tcPr>
          <w:p w14:paraId="0B50F491">
            <w:pPr>
              <w:jc w:val="center"/>
              <w:rPr>
                <w:rFonts w:eastAsiaTheme="minorEastAsia"/>
                <w:b/>
                <w:color w:val="000000" w:themeColor="text1"/>
                <w:szCs w:val="21"/>
              </w:rPr>
            </w:pPr>
          </w:p>
        </w:tc>
        <w:tc>
          <w:tcPr>
            <w:tcW w:w="638" w:type="pct"/>
            <w:vAlign w:val="center"/>
          </w:tcPr>
          <w:p w14:paraId="47C1DE39">
            <w:pPr>
              <w:jc w:val="center"/>
              <w:rPr>
                <w:color w:val="FF0000"/>
                <w:szCs w:val="21"/>
              </w:rPr>
            </w:pPr>
            <w:r>
              <w:rPr>
                <w:color w:val="FF0000"/>
                <w:szCs w:val="21"/>
              </w:rPr>
              <w:t>光解废气处理灯</w:t>
            </w:r>
          </w:p>
        </w:tc>
        <w:tc>
          <w:tcPr>
            <w:tcW w:w="877" w:type="pct"/>
            <w:gridSpan w:val="2"/>
            <w:vAlign w:val="center"/>
          </w:tcPr>
          <w:p w14:paraId="33520DB4">
            <w:pPr>
              <w:jc w:val="center"/>
              <w:rPr>
                <w:color w:val="000000" w:themeColor="text1"/>
                <w:szCs w:val="21"/>
              </w:rPr>
            </w:pPr>
            <w:r>
              <w:rPr>
                <w:color w:val="000000" w:themeColor="text1"/>
                <w:szCs w:val="21"/>
              </w:rPr>
              <w:t>0.05</w:t>
            </w:r>
          </w:p>
        </w:tc>
        <w:tc>
          <w:tcPr>
            <w:tcW w:w="388" w:type="pct"/>
            <w:vAlign w:val="center"/>
          </w:tcPr>
          <w:p w14:paraId="78713239">
            <w:pPr>
              <w:jc w:val="center"/>
              <w:rPr>
                <w:rFonts w:eastAsiaTheme="minorEastAsia"/>
                <w:color w:val="000000" w:themeColor="text1"/>
                <w:szCs w:val="21"/>
              </w:rPr>
            </w:pPr>
          </w:p>
        </w:tc>
        <w:tc>
          <w:tcPr>
            <w:tcW w:w="876" w:type="pct"/>
            <w:gridSpan w:val="2"/>
            <w:vAlign w:val="center"/>
          </w:tcPr>
          <w:p w14:paraId="5C020C6E">
            <w:pPr>
              <w:jc w:val="center"/>
              <w:rPr>
                <w:rFonts w:eastAsiaTheme="minorEastAsia"/>
                <w:color w:val="000000" w:themeColor="text1"/>
                <w:szCs w:val="21"/>
              </w:rPr>
            </w:pPr>
          </w:p>
        </w:tc>
        <w:tc>
          <w:tcPr>
            <w:tcW w:w="1481" w:type="pct"/>
            <w:vMerge w:val="continue"/>
            <w:vAlign w:val="center"/>
          </w:tcPr>
          <w:p w14:paraId="2778B6C4">
            <w:pPr>
              <w:jc w:val="center"/>
              <w:rPr>
                <w:color w:val="000000" w:themeColor="text1"/>
                <w:szCs w:val="21"/>
              </w:rPr>
            </w:pPr>
          </w:p>
        </w:tc>
      </w:tr>
      <w:tr w14:paraId="1485AF32">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3" w:type="pct"/>
            <w:vMerge w:val="continue"/>
            <w:vAlign w:val="center"/>
          </w:tcPr>
          <w:p w14:paraId="2B7D09CA">
            <w:pPr>
              <w:jc w:val="center"/>
              <w:rPr>
                <w:rFonts w:eastAsiaTheme="minorEastAsia"/>
                <w:b/>
                <w:color w:val="000000" w:themeColor="text1"/>
                <w:szCs w:val="21"/>
              </w:rPr>
            </w:pPr>
          </w:p>
        </w:tc>
        <w:tc>
          <w:tcPr>
            <w:tcW w:w="458" w:type="pct"/>
            <w:gridSpan w:val="2"/>
            <w:vMerge w:val="restart"/>
            <w:vAlign w:val="center"/>
          </w:tcPr>
          <w:p w14:paraId="4BFC30DB">
            <w:pPr>
              <w:jc w:val="center"/>
              <w:rPr>
                <w:rFonts w:eastAsiaTheme="minorEastAsia"/>
                <w:b/>
                <w:color w:val="000000" w:themeColor="text1"/>
                <w:szCs w:val="21"/>
              </w:rPr>
            </w:pPr>
            <w:r>
              <w:rPr>
                <w:rFonts w:eastAsiaTheme="minorEastAsia"/>
                <w:b/>
                <w:color w:val="000000" w:themeColor="text1"/>
                <w:szCs w:val="21"/>
              </w:rPr>
              <w:t>生活固废</w:t>
            </w:r>
          </w:p>
        </w:tc>
        <w:tc>
          <w:tcPr>
            <w:tcW w:w="638" w:type="pct"/>
            <w:vAlign w:val="center"/>
          </w:tcPr>
          <w:p w14:paraId="6E788635">
            <w:pPr>
              <w:jc w:val="center"/>
              <w:rPr>
                <w:color w:val="000000" w:themeColor="text1"/>
                <w:szCs w:val="21"/>
              </w:rPr>
            </w:pPr>
            <w:r>
              <w:rPr>
                <w:color w:val="000000" w:themeColor="text1"/>
                <w:szCs w:val="21"/>
              </w:rPr>
              <w:t>生活垃圾</w:t>
            </w:r>
          </w:p>
        </w:tc>
        <w:tc>
          <w:tcPr>
            <w:tcW w:w="877" w:type="pct"/>
            <w:gridSpan w:val="2"/>
            <w:vAlign w:val="center"/>
          </w:tcPr>
          <w:p w14:paraId="772A52B0">
            <w:pPr>
              <w:jc w:val="center"/>
              <w:rPr>
                <w:color w:val="000000" w:themeColor="text1"/>
                <w:szCs w:val="21"/>
              </w:rPr>
            </w:pPr>
            <w:r>
              <w:rPr>
                <w:color w:val="000000" w:themeColor="text1"/>
                <w:szCs w:val="21"/>
              </w:rPr>
              <w:t>3</w:t>
            </w:r>
          </w:p>
        </w:tc>
        <w:tc>
          <w:tcPr>
            <w:tcW w:w="388" w:type="pct"/>
            <w:vAlign w:val="center"/>
          </w:tcPr>
          <w:p w14:paraId="40552A75">
            <w:pPr>
              <w:jc w:val="center"/>
              <w:rPr>
                <w:color w:val="000000" w:themeColor="text1"/>
                <w:szCs w:val="21"/>
              </w:rPr>
            </w:pPr>
            <w:r>
              <w:rPr>
                <w:rFonts w:eastAsiaTheme="minorEastAsia"/>
                <w:color w:val="000000" w:themeColor="text1"/>
                <w:szCs w:val="21"/>
              </w:rPr>
              <w:t>/</w:t>
            </w:r>
          </w:p>
        </w:tc>
        <w:tc>
          <w:tcPr>
            <w:tcW w:w="876" w:type="pct"/>
            <w:gridSpan w:val="2"/>
            <w:vAlign w:val="center"/>
          </w:tcPr>
          <w:p w14:paraId="0C4DC31F">
            <w:pPr>
              <w:jc w:val="center"/>
              <w:rPr>
                <w:color w:val="000000" w:themeColor="text1"/>
                <w:szCs w:val="21"/>
              </w:rPr>
            </w:pPr>
            <w:r>
              <w:rPr>
                <w:rFonts w:eastAsiaTheme="minorEastAsia"/>
                <w:color w:val="000000" w:themeColor="text1"/>
                <w:szCs w:val="21"/>
              </w:rPr>
              <w:t>0</w:t>
            </w:r>
          </w:p>
        </w:tc>
        <w:tc>
          <w:tcPr>
            <w:tcW w:w="1481" w:type="pct"/>
            <w:vMerge w:val="restart"/>
            <w:vAlign w:val="center"/>
          </w:tcPr>
          <w:p w14:paraId="3F18E096">
            <w:pPr>
              <w:tabs>
                <w:tab w:val="left" w:pos="567"/>
              </w:tabs>
              <w:snapToGrid w:val="0"/>
              <w:jc w:val="center"/>
              <w:rPr>
                <w:rFonts w:eastAsiaTheme="minorEastAsia"/>
                <w:color w:val="000000" w:themeColor="text1"/>
                <w:szCs w:val="21"/>
              </w:rPr>
            </w:pPr>
            <w:r>
              <w:rPr>
                <w:color w:val="000000" w:themeColor="text1"/>
                <w:szCs w:val="21"/>
              </w:rPr>
              <w:t>外运至最近村庄垃圾收集点处理</w:t>
            </w:r>
          </w:p>
        </w:tc>
      </w:tr>
      <w:tr w14:paraId="05692B83">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3" w:type="pct"/>
            <w:vMerge w:val="continue"/>
            <w:vAlign w:val="center"/>
          </w:tcPr>
          <w:p w14:paraId="4E419BF0">
            <w:pPr>
              <w:jc w:val="center"/>
              <w:rPr>
                <w:rFonts w:eastAsiaTheme="minorEastAsia"/>
                <w:b/>
                <w:color w:val="000000" w:themeColor="text1"/>
                <w:szCs w:val="21"/>
              </w:rPr>
            </w:pPr>
          </w:p>
        </w:tc>
        <w:tc>
          <w:tcPr>
            <w:tcW w:w="458" w:type="pct"/>
            <w:gridSpan w:val="2"/>
            <w:vMerge w:val="continue"/>
            <w:vAlign w:val="center"/>
          </w:tcPr>
          <w:p w14:paraId="29DBD933">
            <w:pPr>
              <w:jc w:val="center"/>
              <w:rPr>
                <w:rFonts w:eastAsiaTheme="minorEastAsia"/>
                <w:b/>
                <w:color w:val="000000" w:themeColor="text1"/>
                <w:szCs w:val="21"/>
              </w:rPr>
            </w:pPr>
          </w:p>
        </w:tc>
        <w:tc>
          <w:tcPr>
            <w:tcW w:w="638" w:type="pct"/>
            <w:vAlign w:val="center"/>
          </w:tcPr>
          <w:p w14:paraId="4B8B2E46">
            <w:pPr>
              <w:jc w:val="center"/>
              <w:rPr>
                <w:color w:val="000000" w:themeColor="text1"/>
                <w:szCs w:val="21"/>
              </w:rPr>
            </w:pPr>
            <w:r>
              <w:rPr>
                <w:color w:val="000000" w:themeColor="text1"/>
                <w:szCs w:val="21"/>
              </w:rPr>
              <w:t>食堂泔水</w:t>
            </w:r>
          </w:p>
        </w:tc>
        <w:tc>
          <w:tcPr>
            <w:tcW w:w="877" w:type="pct"/>
            <w:gridSpan w:val="2"/>
            <w:vAlign w:val="center"/>
          </w:tcPr>
          <w:p w14:paraId="3F42E623">
            <w:pPr>
              <w:jc w:val="center"/>
              <w:rPr>
                <w:color w:val="000000" w:themeColor="text1"/>
                <w:szCs w:val="21"/>
              </w:rPr>
            </w:pPr>
            <w:r>
              <w:rPr>
                <w:color w:val="000000" w:themeColor="text1"/>
                <w:szCs w:val="21"/>
              </w:rPr>
              <w:t>1</w:t>
            </w:r>
          </w:p>
        </w:tc>
        <w:tc>
          <w:tcPr>
            <w:tcW w:w="388" w:type="pct"/>
            <w:vAlign w:val="center"/>
          </w:tcPr>
          <w:p w14:paraId="1ED8C1CB">
            <w:pPr>
              <w:jc w:val="center"/>
              <w:rPr>
                <w:color w:val="000000" w:themeColor="text1"/>
                <w:szCs w:val="21"/>
              </w:rPr>
            </w:pPr>
            <w:r>
              <w:rPr>
                <w:rFonts w:eastAsiaTheme="minorEastAsia"/>
                <w:color w:val="000000" w:themeColor="text1"/>
                <w:szCs w:val="21"/>
              </w:rPr>
              <w:t>/</w:t>
            </w:r>
          </w:p>
        </w:tc>
        <w:tc>
          <w:tcPr>
            <w:tcW w:w="876" w:type="pct"/>
            <w:gridSpan w:val="2"/>
            <w:vAlign w:val="center"/>
          </w:tcPr>
          <w:p w14:paraId="29D2C808">
            <w:pPr>
              <w:jc w:val="center"/>
              <w:rPr>
                <w:color w:val="000000" w:themeColor="text1"/>
                <w:szCs w:val="21"/>
              </w:rPr>
            </w:pPr>
            <w:r>
              <w:rPr>
                <w:rFonts w:eastAsiaTheme="minorEastAsia"/>
                <w:color w:val="000000" w:themeColor="text1"/>
                <w:szCs w:val="21"/>
              </w:rPr>
              <w:t>0</w:t>
            </w:r>
          </w:p>
        </w:tc>
        <w:tc>
          <w:tcPr>
            <w:tcW w:w="1481" w:type="pct"/>
            <w:vMerge w:val="continue"/>
            <w:vAlign w:val="center"/>
          </w:tcPr>
          <w:p w14:paraId="13F61C02">
            <w:pPr>
              <w:tabs>
                <w:tab w:val="left" w:pos="567"/>
              </w:tabs>
              <w:snapToGrid w:val="0"/>
              <w:jc w:val="center"/>
              <w:rPr>
                <w:rFonts w:eastAsiaTheme="minorEastAsia"/>
                <w:color w:val="000000" w:themeColor="text1"/>
                <w:szCs w:val="21"/>
              </w:rPr>
            </w:pPr>
          </w:p>
        </w:tc>
      </w:tr>
      <w:tr w14:paraId="47FED7D6">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3" w:type="pct"/>
            <w:vMerge w:val="continue"/>
            <w:vAlign w:val="center"/>
          </w:tcPr>
          <w:p w14:paraId="08D53FB8">
            <w:pPr>
              <w:jc w:val="center"/>
              <w:rPr>
                <w:rFonts w:eastAsiaTheme="minorEastAsia"/>
                <w:b/>
                <w:color w:val="000000" w:themeColor="text1"/>
                <w:szCs w:val="21"/>
              </w:rPr>
            </w:pPr>
          </w:p>
        </w:tc>
        <w:tc>
          <w:tcPr>
            <w:tcW w:w="458" w:type="pct"/>
            <w:gridSpan w:val="2"/>
            <w:vMerge w:val="continue"/>
            <w:vAlign w:val="center"/>
          </w:tcPr>
          <w:p w14:paraId="3AA9B59A">
            <w:pPr>
              <w:jc w:val="center"/>
              <w:rPr>
                <w:rFonts w:eastAsiaTheme="minorEastAsia"/>
                <w:b/>
                <w:color w:val="000000" w:themeColor="text1"/>
                <w:szCs w:val="21"/>
              </w:rPr>
            </w:pPr>
          </w:p>
        </w:tc>
        <w:tc>
          <w:tcPr>
            <w:tcW w:w="638" w:type="pct"/>
            <w:vAlign w:val="center"/>
          </w:tcPr>
          <w:p w14:paraId="272123E4">
            <w:pPr>
              <w:jc w:val="center"/>
              <w:rPr>
                <w:color w:val="000000" w:themeColor="text1"/>
                <w:szCs w:val="21"/>
              </w:rPr>
            </w:pPr>
            <w:r>
              <w:rPr>
                <w:color w:val="000000" w:themeColor="text1"/>
                <w:szCs w:val="21"/>
              </w:rPr>
              <w:t>化粪池污泥</w:t>
            </w:r>
          </w:p>
        </w:tc>
        <w:tc>
          <w:tcPr>
            <w:tcW w:w="877" w:type="pct"/>
            <w:gridSpan w:val="2"/>
            <w:vAlign w:val="center"/>
          </w:tcPr>
          <w:p w14:paraId="313EF253">
            <w:pPr>
              <w:jc w:val="center"/>
              <w:rPr>
                <w:color w:val="000000" w:themeColor="text1"/>
                <w:szCs w:val="21"/>
              </w:rPr>
            </w:pPr>
            <w:r>
              <w:rPr>
                <w:color w:val="000000" w:themeColor="text1"/>
                <w:szCs w:val="21"/>
              </w:rPr>
              <w:t>0.116</w:t>
            </w:r>
          </w:p>
        </w:tc>
        <w:tc>
          <w:tcPr>
            <w:tcW w:w="388" w:type="pct"/>
            <w:vAlign w:val="center"/>
          </w:tcPr>
          <w:p w14:paraId="2BEC7F64">
            <w:pPr>
              <w:jc w:val="center"/>
              <w:rPr>
                <w:color w:val="000000" w:themeColor="text1"/>
                <w:szCs w:val="21"/>
              </w:rPr>
            </w:pPr>
            <w:r>
              <w:rPr>
                <w:rFonts w:eastAsiaTheme="minorEastAsia"/>
                <w:color w:val="000000" w:themeColor="text1"/>
                <w:szCs w:val="21"/>
              </w:rPr>
              <w:t>/</w:t>
            </w:r>
          </w:p>
        </w:tc>
        <w:tc>
          <w:tcPr>
            <w:tcW w:w="876" w:type="pct"/>
            <w:gridSpan w:val="2"/>
            <w:vAlign w:val="center"/>
          </w:tcPr>
          <w:p w14:paraId="3154FFD5">
            <w:pPr>
              <w:jc w:val="center"/>
              <w:rPr>
                <w:color w:val="000000" w:themeColor="text1"/>
                <w:szCs w:val="21"/>
              </w:rPr>
            </w:pPr>
            <w:r>
              <w:rPr>
                <w:rFonts w:eastAsiaTheme="minorEastAsia"/>
                <w:color w:val="000000" w:themeColor="text1"/>
                <w:szCs w:val="21"/>
              </w:rPr>
              <w:t>0</w:t>
            </w:r>
          </w:p>
        </w:tc>
        <w:tc>
          <w:tcPr>
            <w:tcW w:w="1481" w:type="pct"/>
            <w:vAlign w:val="center"/>
          </w:tcPr>
          <w:p w14:paraId="2A1D4E59">
            <w:pPr>
              <w:tabs>
                <w:tab w:val="left" w:pos="567"/>
              </w:tabs>
              <w:snapToGrid w:val="0"/>
              <w:jc w:val="center"/>
              <w:rPr>
                <w:rFonts w:eastAsiaTheme="minorEastAsia"/>
                <w:color w:val="000000" w:themeColor="text1"/>
                <w:szCs w:val="21"/>
              </w:rPr>
            </w:pPr>
            <w:r>
              <w:rPr>
                <w:color w:val="000000" w:themeColor="text1"/>
                <w:szCs w:val="21"/>
              </w:rPr>
              <w:t>作为农作物施肥</w:t>
            </w:r>
          </w:p>
        </w:tc>
      </w:tr>
      <w:tr w14:paraId="15EB6AD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283" w:type="pct"/>
            <w:vAlign w:val="center"/>
          </w:tcPr>
          <w:p w14:paraId="4E265B04">
            <w:pPr>
              <w:jc w:val="center"/>
              <w:rPr>
                <w:rFonts w:eastAsiaTheme="minorEastAsia"/>
                <w:b/>
                <w:color w:val="000000" w:themeColor="text1"/>
                <w:szCs w:val="21"/>
              </w:rPr>
            </w:pPr>
            <w:r>
              <w:rPr>
                <w:rFonts w:eastAsiaTheme="minorEastAsia"/>
                <w:b/>
                <w:color w:val="000000" w:themeColor="text1"/>
                <w:szCs w:val="21"/>
              </w:rPr>
              <w:t>噪声</w:t>
            </w:r>
          </w:p>
        </w:tc>
        <w:tc>
          <w:tcPr>
            <w:tcW w:w="1096" w:type="pct"/>
            <w:gridSpan w:val="3"/>
            <w:vAlign w:val="center"/>
          </w:tcPr>
          <w:p w14:paraId="6AEF55FF">
            <w:pPr>
              <w:tabs>
                <w:tab w:val="left" w:pos="567"/>
              </w:tabs>
              <w:snapToGrid w:val="0"/>
              <w:jc w:val="center"/>
              <w:rPr>
                <w:rFonts w:eastAsiaTheme="minorEastAsia"/>
                <w:color w:val="000000" w:themeColor="text1"/>
                <w:szCs w:val="21"/>
              </w:rPr>
            </w:pPr>
            <w:r>
              <w:rPr>
                <w:rFonts w:eastAsiaTheme="minorEastAsia"/>
                <w:color w:val="000000" w:themeColor="text1"/>
                <w:szCs w:val="21"/>
              </w:rPr>
              <w:t>破碎等dB（A）</w:t>
            </w:r>
          </w:p>
        </w:tc>
        <w:tc>
          <w:tcPr>
            <w:tcW w:w="877" w:type="pct"/>
            <w:gridSpan w:val="2"/>
            <w:vAlign w:val="center"/>
          </w:tcPr>
          <w:p w14:paraId="653AAC46">
            <w:pPr>
              <w:tabs>
                <w:tab w:val="left" w:pos="567"/>
              </w:tabs>
              <w:snapToGrid w:val="0"/>
              <w:jc w:val="center"/>
              <w:rPr>
                <w:rFonts w:eastAsiaTheme="minorEastAsia"/>
                <w:color w:val="000000" w:themeColor="text1"/>
                <w:szCs w:val="21"/>
              </w:rPr>
            </w:pPr>
            <w:r>
              <w:rPr>
                <w:rFonts w:eastAsiaTheme="minorEastAsia"/>
                <w:color w:val="000000" w:themeColor="text1"/>
                <w:szCs w:val="21"/>
              </w:rPr>
              <w:t>70~90</w:t>
            </w:r>
          </w:p>
        </w:tc>
        <w:tc>
          <w:tcPr>
            <w:tcW w:w="388" w:type="pct"/>
            <w:vAlign w:val="center"/>
          </w:tcPr>
          <w:p w14:paraId="68ACDDA9">
            <w:pPr>
              <w:tabs>
                <w:tab w:val="left" w:pos="567"/>
              </w:tabs>
              <w:snapToGrid w:val="0"/>
              <w:jc w:val="center"/>
              <w:rPr>
                <w:rFonts w:eastAsiaTheme="minorEastAsia"/>
                <w:color w:val="000000" w:themeColor="text1"/>
                <w:szCs w:val="21"/>
              </w:rPr>
            </w:pPr>
            <w:r>
              <w:rPr>
                <w:rFonts w:eastAsiaTheme="minorEastAsia"/>
                <w:color w:val="000000" w:themeColor="text1"/>
                <w:szCs w:val="21"/>
              </w:rPr>
              <w:t>/</w:t>
            </w:r>
          </w:p>
        </w:tc>
        <w:tc>
          <w:tcPr>
            <w:tcW w:w="876" w:type="pct"/>
            <w:gridSpan w:val="2"/>
            <w:vAlign w:val="center"/>
          </w:tcPr>
          <w:p w14:paraId="640D2CCA">
            <w:pPr>
              <w:tabs>
                <w:tab w:val="left" w:pos="567"/>
              </w:tabs>
              <w:snapToGrid w:val="0"/>
              <w:jc w:val="center"/>
              <w:rPr>
                <w:rFonts w:eastAsiaTheme="minorEastAsia"/>
                <w:color w:val="000000" w:themeColor="text1"/>
                <w:szCs w:val="21"/>
              </w:rPr>
            </w:pPr>
            <w:r>
              <w:rPr>
                <w:rFonts w:eastAsiaTheme="minorEastAsia"/>
                <w:color w:val="000000" w:themeColor="text1"/>
                <w:szCs w:val="21"/>
              </w:rPr>
              <w:t>70~90</w:t>
            </w:r>
          </w:p>
        </w:tc>
        <w:tc>
          <w:tcPr>
            <w:tcW w:w="1481" w:type="pct"/>
            <w:vAlign w:val="center"/>
          </w:tcPr>
          <w:p w14:paraId="4F153C3A">
            <w:pPr>
              <w:tabs>
                <w:tab w:val="left" w:pos="567"/>
              </w:tabs>
              <w:snapToGrid w:val="0"/>
              <w:jc w:val="center"/>
              <w:rPr>
                <w:rFonts w:eastAsiaTheme="minorEastAsia"/>
                <w:color w:val="000000" w:themeColor="text1"/>
                <w:szCs w:val="21"/>
              </w:rPr>
            </w:pPr>
            <w:r>
              <w:rPr>
                <w:rFonts w:eastAsiaTheme="minorEastAsia"/>
                <w:color w:val="000000" w:themeColor="text1"/>
                <w:szCs w:val="21"/>
              </w:rPr>
              <w:t>厂房隔声</w:t>
            </w:r>
          </w:p>
        </w:tc>
      </w:tr>
    </w:tbl>
    <w:p w14:paraId="54ADA3C5">
      <w:pPr>
        <w:rPr>
          <w:color w:val="000000" w:themeColor="text1"/>
        </w:rPr>
        <w:sectPr>
          <w:pgSz w:w="16838" w:h="11906" w:orient="landscape"/>
          <w:pgMar w:top="1797" w:right="1440" w:bottom="1797" w:left="1440" w:header="851" w:footer="992" w:gutter="0"/>
          <w:cols w:space="425" w:num="1"/>
          <w:docGrid w:type="lines" w:linePitch="312" w:charSpace="0"/>
        </w:sectPr>
      </w:pPr>
    </w:p>
    <w:p w14:paraId="621DD947">
      <w:pPr>
        <w:pStyle w:val="4"/>
        <w:rPr>
          <w:rFonts w:ascii="Times New Roman" w:hAnsi="Times New Roman"/>
          <w:color w:val="000000" w:themeColor="text1"/>
        </w:rPr>
      </w:pPr>
      <w:bookmarkStart w:id="325" w:name="_Toc28117700"/>
      <w:bookmarkStart w:id="326" w:name="_Toc327800968"/>
      <w:bookmarkStart w:id="327" w:name="_Toc374151561"/>
      <w:bookmarkStart w:id="328" w:name="_Toc280621083"/>
      <w:bookmarkStart w:id="329" w:name="_Toc290295792"/>
      <w:r>
        <w:rPr>
          <w:rFonts w:ascii="Times New Roman" w:hAnsi="Times New Roman"/>
          <w:color w:val="000000" w:themeColor="text1"/>
        </w:rPr>
        <w:t>3.7 非正常排放</w:t>
      </w:r>
      <w:bookmarkEnd w:id="325"/>
    </w:p>
    <w:p w14:paraId="43C53359">
      <w:pPr>
        <w:pStyle w:val="116"/>
        <w:ind w:firstLine="480"/>
        <w:rPr>
          <w:color w:val="000000" w:themeColor="text1"/>
        </w:rPr>
      </w:pPr>
      <w:r>
        <w:rPr>
          <w:color w:val="000000" w:themeColor="text1"/>
        </w:rPr>
        <w:t>根据上述污染物排放情况，项目废气主要是造粒、塑料编织袋生产过程中产生的非甲烷总烃和颗粒物、食堂油烟以及无组织排放的非甲烷总烃和颗粒物等。</w:t>
      </w:r>
    </w:p>
    <w:p w14:paraId="39CB9DDE">
      <w:pPr>
        <w:pStyle w:val="116"/>
        <w:ind w:firstLine="480"/>
        <w:rPr>
          <w:color w:val="000000" w:themeColor="text1"/>
        </w:rPr>
      </w:pPr>
      <w:r>
        <w:rPr>
          <w:color w:val="000000" w:themeColor="text1"/>
        </w:rPr>
        <w:t>无组织排放的非甲烷总烃和颗粒物排放主要在集气罩系统，其设备运行稳定，基本不会发生非正常排放。</w:t>
      </w:r>
    </w:p>
    <w:p w14:paraId="4CC8C9BE">
      <w:pPr>
        <w:pStyle w:val="116"/>
        <w:ind w:firstLine="480"/>
        <w:rPr>
          <w:color w:val="000000" w:themeColor="text1"/>
        </w:rPr>
      </w:pPr>
      <w:r>
        <w:rPr>
          <w:color w:val="000000" w:themeColor="text1"/>
        </w:rPr>
        <w:t>综上，从本项目工程分析可以看出，一般事故状态排污主要指的是造粒废气排污情况，本环评假设上述造粒废气污染物处置措施（</w:t>
      </w:r>
      <w:r>
        <w:rPr>
          <w:rFonts w:eastAsiaTheme="minorEastAsia"/>
          <w:bCs/>
          <w:color w:val="000000" w:themeColor="text1"/>
          <w:szCs w:val="28"/>
        </w:rPr>
        <w:t>过滤棉+UV光解装置</w:t>
      </w:r>
      <w:r>
        <w:rPr>
          <w:color w:val="000000" w:themeColor="text1"/>
        </w:rPr>
        <w:t>）出现故障，导致颗粒物及非甲烷总烃去除效率降低至50%。</w:t>
      </w:r>
    </w:p>
    <w:p w14:paraId="1A5D493D">
      <w:pPr>
        <w:pStyle w:val="116"/>
        <w:ind w:firstLine="480"/>
        <w:rPr>
          <w:color w:val="000000" w:themeColor="text1"/>
        </w:rPr>
      </w:pPr>
      <w:r>
        <w:rPr>
          <w:color w:val="000000" w:themeColor="text1"/>
        </w:rPr>
        <w:t>根据以上非正常工况假定，选取造粒工序热熔挤出估算出项目废气非正常排放条件及源强，详见下表3.7-1。</w:t>
      </w:r>
    </w:p>
    <w:p w14:paraId="1B103668">
      <w:pPr>
        <w:autoSpaceDE w:val="0"/>
        <w:autoSpaceDN w:val="0"/>
        <w:adjustRightInd w:val="0"/>
        <w:jc w:val="center"/>
        <w:rPr>
          <w:b/>
          <w:color w:val="000000" w:themeColor="text1"/>
          <w:sz w:val="24"/>
        </w:rPr>
      </w:pPr>
      <w:r>
        <w:rPr>
          <w:b/>
          <w:color w:val="000000" w:themeColor="text1"/>
          <w:sz w:val="24"/>
        </w:rPr>
        <w:t>表3.7-1   本项目废气非正常排放情况</w:t>
      </w:r>
    </w:p>
    <w:tbl>
      <w:tblPr>
        <w:tblStyle w:val="42"/>
        <w:tblW w:w="5000" w:type="pct"/>
        <w:tblInd w:w="0" w:type="dxa"/>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2" w:space="0"/>
        </w:tblBorders>
        <w:tblLayout w:type="autofit"/>
        <w:tblCellMar>
          <w:top w:w="0" w:type="dxa"/>
          <w:left w:w="108" w:type="dxa"/>
          <w:bottom w:w="0" w:type="dxa"/>
          <w:right w:w="108" w:type="dxa"/>
        </w:tblCellMar>
      </w:tblPr>
      <w:tblGrid>
        <w:gridCol w:w="1201"/>
        <w:gridCol w:w="759"/>
        <w:gridCol w:w="1093"/>
        <w:gridCol w:w="936"/>
        <w:gridCol w:w="1194"/>
        <w:gridCol w:w="1477"/>
        <w:gridCol w:w="738"/>
        <w:gridCol w:w="740"/>
        <w:gridCol w:w="708"/>
      </w:tblGrid>
      <w:tr w14:paraId="6B6CD75C">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2" w:space="0"/>
          </w:tblBorders>
          <w:tblCellMar>
            <w:top w:w="0" w:type="dxa"/>
            <w:left w:w="108" w:type="dxa"/>
            <w:bottom w:w="0" w:type="dxa"/>
            <w:right w:w="108" w:type="dxa"/>
          </w:tblCellMar>
        </w:tblPrEx>
        <w:trPr>
          <w:trHeight w:val="20" w:hRule="atLeast"/>
        </w:trPr>
        <w:tc>
          <w:tcPr>
            <w:tcW w:w="679" w:type="pct"/>
            <w:vMerge w:val="restart"/>
            <w:vAlign w:val="center"/>
          </w:tcPr>
          <w:p w14:paraId="4D42BE86">
            <w:pPr>
              <w:jc w:val="center"/>
              <w:rPr>
                <w:b/>
                <w:color w:val="000000" w:themeColor="text1"/>
                <w:szCs w:val="21"/>
              </w:rPr>
            </w:pPr>
            <w:r>
              <w:rPr>
                <w:b/>
                <w:color w:val="000000" w:themeColor="text1"/>
                <w:szCs w:val="21"/>
              </w:rPr>
              <w:t>排放源</w:t>
            </w:r>
          </w:p>
        </w:tc>
        <w:tc>
          <w:tcPr>
            <w:tcW w:w="429" w:type="pct"/>
            <w:vMerge w:val="restart"/>
            <w:vAlign w:val="center"/>
          </w:tcPr>
          <w:p w14:paraId="61F12027">
            <w:pPr>
              <w:jc w:val="center"/>
              <w:rPr>
                <w:b/>
                <w:color w:val="000000" w:themeColor="text1"/>
                <w:szCs w:val="21"/>
              </w:rPr>
            </w:pPr>
            <w:r>
              <w:rPr>
                <w:b/>
                <w:color w:val="000000" w:themeColor="text1"/>
                <w:szCs w:val="21"/>
              </w:rPr>
              <w:t>处理效率</w:t>
            </w:r>
          </w:p>
        </w:tc>
        <w:tc>
          <w:tcPr>
            <w:tcW w:w="618" w:type="pct"/>
            <w:vMerge w:val="restart"/>
            <w:vAlign w:val="center"/>
          </w:tcPr>
          <w:p w14:paraId="08DD7890">
            <w:pPr>
              <w:jc w:val="center"/>
              <w:rPr>
                <w:b/>
                <w:color w:val="000000" w:themeColor="text1"/>
                <w:szCs w:val="21"/>
              </w:rPr>
            </w:pPr>
            <w:r>
              <w:rPr>
                <w:b/>
                <w:color w:val="000000" w:themeColor="text1"/>
                <w:szCs w:val="21"/>
              </w:rPr>
              <w:t>污染物</w:t>
            </w:r>
          </w:p>
        </w:tc>
        <w:tc>
          <w:tcPr>
            <w:tcW w:w="529" w:type="pct"/>
            <w:vMerge w:val="restart"/>
            <w:vAlign w:val="center"/>
          </w:tcPr>
          <w:p w14:paraId="1FCA8A85">
            <w:pPr>
              <w:jc w:val="center"/>
              <w:rPr>
                <w:b/>
                <w:color w:val="000000" w:themeColor="text1"/>
                <w:szCs w:val="21"/>
              </w:rPr>
            </w:pPr>
            <w:r>
              <w:rPr>
                <w:b/>
                <w:color w:val="000000" w:themeColor="text1"/>
                <w:szCs w:val="21"/>
              </w:rPr>
              <w:t>废气量</w:t>
            </w:r>
          </w:p>
        </w:tc>
        <w:tc>
          <w:tcPr>
            <w:tcW w:w="675" w:type="pct"/>
            <w:vMerge w:val="restart"/>
            <w:vAlign w:val="center"/>
          </w:tcPr>
          <w:p w14:paraId="62C2CEBD">
            <w:pPr>
              <w:jc w:val="center"/>
              <w:rPr>
                <w:b/>
                <w:color w:val="000000" w:themeColor="text1"/>
                <w:szCs w:val="21"/>
              </w:rPr>
            </w:pPr>
            <w:r>
              <w:rPr>
                <w:b/>
                <w:color w:val="000000" w:themeColor="text1"/>
                <w:szCs w:val="21"/>
              </w:rPr>
              <w:t>排放量kg/h</w:t>
            </w:r>
          </w:p>
        </w:tc>
        <w:tc>
          <w:tcPr>
            <w:tcW w:w="835" w:type="pct"/>
            <w:vMerge w:val="restart"/>
            <w:vAlign w:val="center"/>
          </w:tcPr>
          <w:p w14:paraId="4CA9BEA7">
            <w:pPr>
              <w:jc w:val="center"/>
              <w:rPr>
                <w:b/>
                <w:color w:val="000000" w:themeColor="text1"/>
                <w:szCs w:val="21"/>
              </w:rPr>
            </w:pPr>
            <w:r>
              <w:rPr>
                <w:b/>
                <w:color w:val="000000" w:themeColor="text1"/>
                <w:szCs w:val="21"/>
              </w:rPr>
              <w:t>排放浓度mg/m</w:t>
            </w:r>
            <w:r>
              <w:rPr>
                <w:b/>
                <w:color w:val="000000" w:themeColor="text1"/>
                <w:szCs w:val="21"/>
                <w:vertAlign w:val="superscript"/>
              </w:rPr>
              <w:t>3</w:t>
            </w:r>
          </w:p>
        </w:tc>
        <w:tc>
          <w:tcPr>
            <w:tcW w:w="835" w:type="pct"/>
            <w:gridSpan w:val="2"/>
            <w:vAlign w:val="center"/>
          </w:tcPr>
          <w:p w14:paraId="353D27C9">
            <w:pPr>
              <w:jc w:val="center"/>
              <w:rPr>
                <w:b/>
                <w:color w:val="000000" w:themeColor="text1"/>
                <w:szCs w:val="21"/>
              </w:rPr>
            </w:pPr>
            <w:r>
              <w:rPr>
                <w:b/>
                <w:color w:val="000000" w:themeColor="text1"/>
                <w:szCs w:val="21"/>
              </w:rPr>
              <w:t>排气筒</w:t>
            </w:r>
          </w:p>
        </w:tc>
        <w:tc>
          <w:tcPr>
            <w:tcW w:w="400" w:type="pct"/>
            <w:vMerge w:val="restart"/>
            <w:vAlign w:val="center"/>
          </w:tcPr>
          <w:p w14:paraId="62F8C989">
            <w:pPr>
              <w:jc w:val="center"/>
              <w:rPr>
                <w:b/>
                <w:color w:val="000000" w:themeColor="text1"/>
                <w:szCs w:val="21"/>
              </w:rPr>
            </w:pPr>
            <w:r>
              <w:rPr>
                <w:b/>
                <w:color w:val="000000" w:themeColor="text1"/>
                <w:szCs w:val="21"/>
              </w:rPr>
              <w:t>温度℃</w:t>
            </w:r>
          </w:p>
        </w:tc>
      </w:tr>
      <w:tr w14:paraId="51494334">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2" w:space="0"/>
          </w:tblBorders>
          <w:tblCellMar>
            <w:top w:w="0" w:type="dxa"/>
            <w:left w:w="108" w:type="dxa"/>
            <w:bottom w:w="0" w:type="dxa"/>
            <w:right w:w="108" w:type="dxa"/>
          </w:tblCellMar>
        </w:tblPrEx>
        <w:trPr>
          <w:trHeight w:val="20" w:hRule="atLeast"/>
        </w:trPr>
        <w:tc>
          <w:tcPr>
            <w:tcW w:w="679" w:type="pct"/>
            <w:vMerge w:val="continue"/>
            <w:vAlign w:val="center"/>
          </w:tcPr>
          <w:p w14:paraId="3C60D918">
            <w:pPr>
              <w:jc w:val="center"/>
              <w:rPr>
                <w:b/>
                <w:color w:val="000000" w:themeColor="text1"/>
                <w:szCs w:val="21"/>
              </w:rPr>
            </w:pPr>
          </w:p>
        </w:tc>
        <w:tc>
          <w:tcPr>
            <w:tcW w:w="429" w:type="pct"/>
            <w:vMerge w:val="continue"/>
            <w:vAlign w:val="center"/>
          </w:tcPr>
          <w:p w14:paraId="7DDFFD85">
            <w:pPr>
              <w:jc w:val="center"/>
              <w:rPr>
                <w:b/>
                <w:color w:val="000000" w:themeColor="text1"/>
                <w:szCs w:val="21"/>
              </w:rPr>
            </w:pPr>
          </w:p>
        </w:tc>
        <w:tc>
          <w:tcPr>
            <w:tcW w:w="618" w:type="pct"/>
            <w:vMerge w:val="continue"/>
            <w:vAlign w:val="center"/>
          </w:tcPr>
          <w:p w14:paraId="0F18DC31">
            <w:pPr>
              <w:jc w:val="center"/>
              <w:rPr>
                <w:b/>
                <w:color w:val="000000" w:themeColor="text1"/>
                <w:szCs w:val="21"/>
              </w:rPr>
            </w:pPr>
          </w:p>
        </w:tc>
        <w:tc>
          <w:tcPr>
            <w:tcW w:w="529" w:type="pct"/>
            <w:vMerge w:val="continue"/>
            <w:vAlign w:val="center"/>
          </w:tcPr>
          <w:p w14:paraId="3044A75E">
            <w:pPr>
              <w:jc w:val="center"/>
              <w:rPr>
                <w:b/>
                <w:color w:val="000000" w:themeColor="text1"/>
                <w:szCs w:val="21"/>
              </w:rPr>
            </w:pPr>
          </w:p>
        </w:tc>
        <w:tc>
          <w:tcPr>
            <w:tcW w:w="675" w:type="pct"/>
            <w:vMerge w:val="continue"/>
            <w:vAlign w:val="center"/>
          </w:tcPr>
          <w:p w14:paraId="1A1AA180">
            <w:pPr>
              <w:jc w:val="center"/>
              <w:rPr>
                <w:b/>
                <w:color w:val="000000" w:themeColor="text1"/>
                <w:szCs w:val="21"/>
              </w:rPr>
            </w:pPr>
          </w:p>
        </w:tc>
        <w:tc>
          <w:tcPr>
            <w:tcW w:w="835" w:type="pct"/>
            <w:vMerge w:val="continue"/>
            <w:vAlign w:val="center"/>
          </w:tcPr>
          <w:p w14:paraId="1E8DE3BF">
            <w:pPr>
              <w:jc w:val="center"/>
              <w:rPr>
                <w:b/>
                <w:color w:val="000000" w:themeColor="text1"/>
                <w:szCs w:val="21"/>
              </w:rPr>
            </w:pPr>
          </w:p>
        </w:tc>
        <w:tc>
          <w:tcPr>
            <w:tcW w:w="417" w:type="pct"/>
            <w:vAlign w:val="center"/>
          </w:tcPr>
          <w:p w14:paraId="7BC530A3">
            <w:pPr>
              <w:jc w:val="center"/>
              <w:rPr>
                <w:b/>
                <w:color w:val="000000" w:themeColor="text1"/>
                <w:szCs w:val="21"/>
              </w:rPr>
            </w:pPr>
            <w:r>
              <w:rPr>
                <w:b/>
                <w:color w:val="000000" w:themeColor="text1"/>
                <w:szCs w:val="21"/>
              </w:rPr>
              <w:t>高度m</w:t>
            </w:r>
          </w:p>
        </w:tc>
        <w:tc>
          <w:tcPr>
            <w:tcW w:w="418" w:type="pct"/>
            <w:vAlign w:val="center"/>
          </w:tcPr>
          <w:p w14:paraId="4DE442D6">
            <w:pPr>
              <w:jc w:val="center"/>
              <w:rPr>
                <w:b/>
                <w:color w:val="000000" w:themeColor="text1"/>
                <w:szCs w:val="21"/>
              </w:rPr>
            </w:pPr>
            <w:r>
              <w:rPr>
                <w:b/>
                <w:color w:val="000000" w:themeColor="text1"/>
                <w:szCs w:val="21"/>
              </w:rPr>
              <w:t>直径m</w:t>
            </w:r>
          </w:p>
        </w:tc>
        <w:tc>
          <w:tcPr>
            <w:tcW w:w="400" w:type="pct"/>
            <w:vMerge w:val="continue"/>
            <w:vAlign w:val="center"/>
          </w:tcPr>
          <w:p w14:paraId="77047982">
            <w:pPr>
              <w:jc w:val="center"/>
              <w:rPr>
                <w:b/>
                <w:color w:val="000000" w:themeColor="text1"/>
                <w:szCs w:val="21"/>
              </w:rPr>
            </w:pPr>
          </w:p>
        </w:tc>
      </w:tr>
      <w:tr w14:paraId="08A5B377">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2" w:space="0"/>
          </w:tblBorders>
          <w:tblCellMar>
            <w:top w:w="0" w:type="dxa"/>
            <w:left w:w="108" w:type="dxa"/>
            <w:bottom w:w="0" w:type="dxa"/>
            <w:right w:w="108" w:type="dxa"/>
          </w:tblCellMar>
        </w:tblPrEx>
        <w:trPr>
          <w:trHeight w:val="260" w:hRule="atLeast"/>
        </w:trPr>
        <w:tc>
          <w:tcPr>
            <w:tcW w:w="679" w:type="pct"/>
            <w:vMerge w:val="restart"/>
            <w:vAlign w:val="center"/>
          </w:tcPr>
          <w:p w14:paraId="3A51D59F">
            <w:pPr>
              <w:jc w:val="center"/>
              <w:rPr>
                <w:color w:val="000000" w:themeColor="text1"/>
                <w:szCs w:val="21"/>
              </w:rPr>
            </w:pPr>
            <w:r>
              <w:rPr>
                <w:b/>
                <w:color w:val="000000" w:themeColor="text1"/>
                <w:szCs w:val="21"/>
              </w:rPr>
              <w:t>造粒工序热熔挤出</w:t>
            </w:r>
          </w:p>
        </w:tc>
        <w:tc>
          <w:tcPr>
            <w:tcW w:w="429" w:type="pct"/>
            <w:vMerge w:val="restart"/>
            <w:vAlign w:val="center"/>
          </w:tcPr>
          <w:p w14:paraId="224BE7FE">
            <w:pPr>
              <w:jc w:val="center"/>
              <w:rPr>
                <w:color w:val="000000" w:themeColor="text1"/>
                <w:szCs w:val="21"/>
              </w:rPr>
            </w:pPr>
            <w:r>
              <w:rPr>
                <w:color w:val="000000" w:themeColor="text1"/>
                <w:szCs w:val="21"/>
              </w:rPr>
              <w:t>50%</w:t>
            </w:r>
          </w:p>
        </w:tc>
        <w:tc>
          <w:tcPr>
            <w:tcW w:w="618" w:type="pct"/>
            <w:vAlign w:val="center"/>
          </w:tcPr>
          <w:p w14:paraId="4118620E">
            <w:pPr>
              <w:jc w:val="center"/>
              <w:rPr>
                <w:color w:val="000000" w:themeColor="text1"/>
                <w:szCs w:val="21"/>
              </w:rPr>
            </w:pPr>
            <w:r>
              <w:rPr>
                <w:color w:val="000000" w:themeColor="text1"/>
                <w:szCs w:val="21"/>
              </w:rPr>
              <w:t>颗粒物</w:t>
            </w:r>
          </w:p>
        </w:tc>
        <w:tc>
          <w:tcPr>
            <w:tcW w:w="529" w:type="pct"/>
            <w:vMerge w:val="restart"/>
            <w:vAlign w:val="center"/>
          </w:tcPr>
          <w:p w14:paraId="4A59257B">
            <w:pPr>
              <w:jc w:val="center"/>
              <w:rPr>
                <w:color w:val="000000" w:themeColor="text1"/>
                <w:szCs w:val="21"/>
              </w:rPr>
            </w:pPr>
            <w:r>
              <w:rPr>
                <w:color w:val="000000" w:themeColor="text1"/>
                <w:szCs w:val="21"/>
              </w:rPr>
              <w:t>1920万Nm</w:t>
            </w:r>
            <w:r>
              <w:rPr>
                <w:color w:val="000000" w:themeColor="text1"/>
                <w:szCs w:val="21"/>
                <w:vertAlign w:val="superscript"/>
              </w:rPr>
              <w:t>3</w:t>
            </w:r>
            <w:r>
              <w:rPr>
                <w:color w:val="000000" w:themeColor="text1"/>
                <w:szCs w:val="21"/>
              </w:rPr>
              <w:t>/a</w:t>
            </w:r>
          </w:p>
        </w:tc>
        <w:tc>
          <w:tcPr>
            <w:tcW w:w="675" w:type="pct"/>
            <w:vAlign w:val="center"/>
          </w:tcPr>
          <w:p w14:paraId="3F9F0B51">
            <w:pPr>
              <w:jc w:val="center"/>
              <w:rPr>
                <w:color w:val="000000" w:themeColor="text1"/>
                <w:szCs w:val="21"/>
              </w:rPr>
            </w:pPr>
            <w:r>
              <w:rPr>
                <w:color w:val="000000" w:themeColor="text1"/>
                <w:szCs w:val="21"/>
              </w:rPr>
              <w:t>0.0487</w:t>
            </w:r>
          </w:p>
        </w:tc>
        <w:tc>
          <w:tcPr>
            <w:tcW w:w="835" w:type="pct"/>
            <w:vAlign w:val="center"/>
          </w:tcPr>
          <w:p w14:paraId="4F7EC5F3">
            <w:pPr>
              <w:jc w:val="center"/>
              <w:rPr>
                <w:color w:val="000000" w:themeColor="text1"/>
                <w:szCs w:val="21"/>
              </w:rPr>
            </w:pPr>
            <w:r>
              <w:rPr>
                <w:color w:val="000000" w:themeColor="text1"/>
                <w:szCs w:val="21"/>
              </w:rPr>
              <w:t>6.08</w:t>
            </w:r>
          </w:p>
        </w:tc>
        <w:tc>
          <w:tcPr>
            <w:tcW w:w="417" w:type="pct"/>
            <w:vMerge w:val="restart"/>
            <w:vAlign w:val="center"/>
          </w:tcPr>
          <w:p w14:paraId="7998CAB3">
            <w:pPr>
              <w:adjustRightInd w:val="0"/>
              <w:snapToGrid w:val="0"/>
              <w:jc w:val="center"/>
              <w:rPr>
                <w:color w:val="000000" w:themeColor="text1"/>
                <w:szCs w:val="21"/>
              </w:rPr>
            </w:pPr>
            <w:r>
              <w:rPr>
                <w:color w:val="000000" w:themeColor="text1"/>
                <w:szCs w:val="21"/>
              </w:rPr>
              <w:t>15</w:t>
            </w:r>
          </w:p>
        </w:tc>
        <w:tc>
          <w:tcPr>
            <w:tcW w:w="418" w:type="pct"/>
            <w:vMerge w:val="restart"/>
            <w:vAlign w:val="center"/>
          </w:tcPr>
          <w:p w14:paraId="5B469924">
            <w:pPr>
              <w:adjustRightInd w:val="0"/>
              <w:snapToGrid w:val="0"/>
              <w:jc w:val="center"/>
              <w:rPr>
                <w:color w:val="000000" w:themeColor="text1"/>
                <w:szCs w:val="21"/>
              </w:rPr>
            </w:pPr>
            <w:r>
              <w:rPr>
                <w:color w:val="000000" w:themeColor="text1"/>
                <w:szCs w:val="21"/>
              </w:rPr>
              <w:t>0.2</w:t>
            </w:r>
          </w:p>
        </w:tc>
        <w:tc>
          <w:tcPr>
            <w:tcW w:w="400" w:type="pct"/>
            <w:vMerge w:val="restart"/>
            <w:vAlign w:val="center"/>
          </w:tcPr>
          <w:p w14:paraId="75EA2F21">
            <w:pPr>
              <w:pStyle w:val="59"/>
              <w:rPr>
                <w:color w:val="000000" w:themeColor="text1"/>
                <w:sz w:val="21"/>
                <w:szCs w:val="21"/>
              </w:rPr>
            </w:pPr>
            <w:r>
              <w:rPr>
                <w:color w:val="000000" w:themeColor="text1"/>
                <w:sz w:val="21"/>
                <w:szCs w:val="21"/>
              </w:rPr>
              <w:t>50</w:t>
            </w:r>
          </w:p>
        </w:tc>
      </w:tr>
      <w:tr w14:paraId="0A02A8BC">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2" w:space="0"/>
          </w:tblBorders>
          <w:tblCellMar>
            <w:top w:w="0" w:type="dxa"/>
            <w:left w:w="108" w:type="dxa"/>
            <w:bottom w:w="0" w:type="dxa"/>
            <w:right w:w="108" w:type="dxa"/>
          </w:tblCellMar>
        </w:tblPrEx>
        <w:trPr>
          <w:trHeight w:val="260" w:hRule="atLeast"/>
        </w:trPr>
        <w:tc>
          <w:tcPr>
            <w:tcW w:w="679" w:type="pct"/>
            <w:vMerge w:val="continue"/>
            <w:vAlign w:val="center"/>
          </w:tcPr>
          <w:p w14:paraId="252184FA">
            <w:pPr>
              <w:jc w:val="center"/>
              <w:rPr>
                <w:b/>
                <w:color w:val="000000" w:themeColor="text1"/>
                <w:szCs w:val="21"/>
              </w:rPr>
            </w:pPr>
          </w:p>
        </w:tc>
        <w:tc>
          <w:tcPr>
            <w:tcW w:w="429" w:type="pct"/>
            <w:vMerge w:val="continue"/>
            <w:vAlign w:val="center"/>
          </w:tcPr>
          <w:p w14:paraId="66E9E9B5">
            <w:pPr>
              <w:jc w:val="center"/>
              <w:rPr>
                <w:color w:val="000000" w:themeColor="text1"/>
                <w:szCs w:val="21"/>
              </w:rPr>
            </w:pPr>
          </w:p>
        </w:tc>
        <w:tc>
          <w:tcPr>
            <w:tcW w:w="618" w:type="pct"/>
            <w:vAlign w:val="center"/>
          </w:tcPr>
          <w:p w14:paraId="2A61DEE5">
            <w:pPr>
              <w:jc w:val="center"/>
              <w:rPr>
                <w:color w:val="000000" w:themeColor="text1"/>
                <w:szCs w:val="21"/>
              </w:rPr>
            </w:pPr>
            <w:r>
              <w:rPr>
                <w:color w:val="000000" w:themeColor="text1"/>
                <w:szCs w:val="21"/>
              </w:rPr>
              <w:t>非甲烷总烃</w:t>
            </w:r>
          </w:p>
        </w:tc>
        <w:tc>
          <w:tcPr>
            <w:tcW w:w="529" w:type="pct"/>
            <w:vMerge w:val="continue"/>
            <w:vAlign w:val="center"/>
          </w:tcPr>
          <w:p w14:paraId="132ECFE5">
            <w:pPr>
              <w:jc w:val="center"/>
              <w:rPr>
                <w:color w:val="000000" w:themeColor="text1"/>
                <w:szCs w:val="21"/>
              </w:rPr>
            </w:pPr>
          </w:p>
        </w:tc>
        <w:tc>
          <w:tcPr>
            <w:tcW w:w="675" w:type="pct"/>
            <w:vAlign w:val="center"/>
          </w:tcPr>
          <w:p w14:paraId="0E489934">
            <w:pPr>
              <w:jc w:val="center"/>
              <w:rPr>
                <w:color w:val="000000" w:themeColor="text1"/>
                <w:szCs w:val="21"/>
              </w:rPr>
            </w:pPr>
            <w:r>
              <w:rPr>
                <w:color w:val="000000" w:themeColor="text1"/>
                <w:szCs w:val="21"/>
              </w:rPr>
              <w:t>0.3289</w:t>
            </w:r>
          </w:p>
        </w:tc>
        <w:tc>
          <w:tcPr>
            <w:tcW w:w="835" w:type="pct"/>
            <w:vAlign w:val="center"/>
          </w:tcPr>
          <w:p w14:paraId="59CAB9AD">
            <w:pPr>
              <w:jc w:val="center"/>
              <w:rPr>
                <w:color w:val="000000" w:themeColor="text1"/>
                <w:szCs w:val="21"/>
              </w:rPr>
            </w:pPr>
            <w:r>
              <w:rPr>
                <w:color w:val="000000" w:themeColor="text1"/>
                <w:szCs w:val="21"/>
              </w:rPr>
              <w:t xml:space="preserve">41.11 </w:t>
            </w:r>
          </w:p>
        </w:tc>
        <w:tc>
          <w:tcPr>
            <w:tcW w:w="417" w:type="pct"/>
            <w:vMerge w:val="continue"/>
            <w:vAlign w:val="center"/>
          </w:tcPr>
          <w:p w14:paraId="09DF5D5E">
            <w:pPr>
              <w:adjustRightInd w:val="0"/>
              <w:snapToGrid w:val="0"/>
              <w:jc w:val="center"/>
              <w:rPr>
                <w:color w:val="000000" w:themeColor="text1"/>
                <w:szCs w:val="21"/>
              </w:rPr>
            </w:pPr>
          </w:p>
        </w:tc>
        <w:tc>
          <w:tcPr>
            <w:tcW w:w="418" w:type="pct"/>
            <w:vMerge w:val="continue"/>
            <w:vAlign w:val="center"/>
          </w:tcPr>
          <w:p w14:paraId="5D0870B0">
            <w:pPr>
              <w:adjustRightInd w:val="0"/>
              <w:snapToGrid w:val="0"/>
              <w:jc w:val="center"/>
              <w:rPr>
                <w:color w:val="000000" w:themeColor="text1"/>
                <w:szCs w:val="21"/>
              </w:rPr>
            </w:pPr>
          </w:p>
        </w:tc>
        <w:tc>
          <w:tcPr>
            <w:tcW w:w="400" w:type="pct"/>
            <w:vMerge w:val="continue"/>
            <w:vAlign w:val="center"/>
          </w:tcPr>
          <w:p w14:paraId="0D4F5EDB">
            <w:pPr>
              <w:pStyle w:val="59"/>
              <w:rPr>
                <w:color w:val="000000" w:themeColor="text1"/>
                <w:sz w:val="21"/>
                <w:szCs w:val="21"/>
              </w:rPr>
            </w:pPr>
          </w:p>
        </w:tc>
      </w:tr>
    </w:tbl>
    <w:p w14:paraId="20FC73A0">
      <w:pPr>
        <w:pStyle w:val="116"/>
        <w:ind w:firstLine="480"/>
        <w:rPr>
          <w:color w:val="000000" w:themeColor="text1"/>
        </w:rPr>
      </w:pPr>
    </w:p>
    <w:p w14:paraId="1488D049">
      <w:pPr>
        <w:pStyle w:val="3"/>
        <w:rPr>
          <w:color w:val="000000" w:themeColor="text1"/>
        </w:rPr>
      </w:pPr>
      <w:r>
        <w:rPr>
          <w:color w:val="000000" w:themeColor="text1"/>
        </w:rPr>
        <w:br w:type="page"/>
      </w:r>
      <w:bookmarkStart w:id="330" w:name="_Toc28117701"/>
      <w:r>
        <w:rPr>
          <w:color w:val="000000" w:themeColor="text1"/>
        </w:rPr>
        <w:t>4</w:t>
      </w:r>
      <w:bookmarkEnd w:id="326"/>
      <w:bookmarkEnd w:id="327"/>
      <w:r>
        <w:rPr>
          <w:color w:val="000000" w:themeColor="text1"/>
        </w:rPr>
        <w:t>建设项目所在区域环境概况</w:t>
      </w:r>
      <w:bookmarkEnd w:id="330"/>
    </w:p>
    <w:p w14:paraId="1979A55A">
      <w:pPr>
        <w:pStyle w:val="4"/>
        <w:rPr>
          <w:rFonts w:ascii="Times New Roman" w:hAnsi="Times New Roman"/>
          <w:color w:val="000000" w:themeColor="text1"/>
        </w:rPr>
      </w:pPr>
      <w:bookmarkStart w:id="331" w:name="_Toc327800969"/>
      <w:bookmarkStart w:id="332" w:name="_Toc294958703"/>
      <w:bookmarkStart w:id="333" w:name="_Toc227360314"/>
      <w:bookmarkStart w:id="334" w:name="_Toc374151562"/>
      <w:bookmarkStart w:id="335" w:name="_Toc246761793"/>
      <w:bookmarkStart w:id="336" w:name="_Toc253050100"/>
      <w:bookmarkStart w:id="337" w:name="_Toc28117702"/>
      <w:bookmarkStart w:id="338" w:name="_Toc260056959"/>
      <w:r>
        <w:rPr>
          <w:rFonts w:ascii="Times New Roman" w:hAnsi="Times New Roman"/>
          <w:color w:val="000000" w:themeColor="text1"/>
        </w:rPr>
        <w:t>4.1自然环境概况</w:t>
      </w:r>
      <w:bookmarkEnd w:id="331"/>
      <w:bookmarkEnd w:id="332"/>
      <w:bookmarkEnd w:id="333"/>
      <w:bookmarkEnd w:id="334"/>
      <w:bookmarkEnd w:id="335"/>
      <w:bookmarkEnd w:id="336"/>
      <w:bookmarkEnd w:id="337"/>
      <w:bookmarkEnd w:id="338"/>
    </w:p>
    <w:p w14:paraId="7B187897">
      <w:pPr>
        <w:pStyle w:val="105"/>
        <w:rPr>
          <w:rFonts w:cs="Times New Roman"/>
          <w:color w:val="000000" w:themeColor="text1"/>
        </w:rPr>
      </w:pPr>
      <w:bookmarkStart w:id="339" w:name="_Toc454046523"/>
      <w:bookmarkStart w:id="340" w:name="_Toc393273286"/>
      <w:bookmarkStart w:id="341" w:name="_Toc299117692"/>
      <w:bookmarkStart w:id="342" w:name="_Toc508642458"/>
      <w:bookmarkStart w:id="343" w:name="_Toc319743105"/>
      <w:bookmarkStart w:id="344" w:name="_Toc443655424"/>
      <w:bookmarkStart w:id="345" w:name="_Toc471738008"/>
      <w:bookmarkStart w:id="346" w:name="_Toc374151564"/>
      <w:r>
        <w:rPr>
          <w:rFonts w:cs="Times New Roman"/>
          <w:color w:val="000000" w:themeColor="text1"/>
        </w:rPr>
        <w:t>4.1.1地形地貌</w:t>
      </w:r>
      <w:bookmarkEnd w:id="339"/>
      <w:bookmarkEnd w:id="340"/>
      <w:bookmarkEnd w:id="341"/>
      <w:bookmarkEnd w:id="342"/>
      <w:bookmarkEnd w:id="343"/>
      <w:bookmarkEnd w:id="344"/>
      <w:bookmarkEnd w:id="345"/>
    </w:p>
    <w:p w14:paraId="183BBEA4">
      <w:pPr>
        <w:spacing w:line="360" w:lineRule="auto"/>
        <w:ind w:firstLine="480" w:firstLineChars="200"/>
        <w:rPr>
          <w:color w:val="000000" w:themeColor="text1"/>
          <w:sz w:val="24"/>
          <w:szCs w:val="22"/>
        </w:rPr>
      </w:pPr>
      <w:r>
        <w:rPr>
          <w:color w:val="000000" w:themeColor="text1"/>
          <w:sz w:val="24"/>
          <w:szCs w:val="22"/>
        </w:rPr>
        <w:t>芒市地处德宏州东南部，位于E98°05′～98°44′，N24°05′～24°39′之间，是德宏州府驻地，海拔920m。东西长约71km，南北宽约62km，总面积2987km</w:t>
      </w:r>
      <w:r>
        <w:rPr>
          <w:color w:val="000000" w:themeColor="text1"/>
          <w:sz w:val="24"/>
          <w:szCs w:val="22"/>
          <w:vertAlign w:val="superscript"/>
        </w:rPr>
        <w:t>2</w:t>
      </w:r>
      <w:r>
        <w:rPr>
          <w:color w:val="000000" w:themeColor="text1"/>
          <w:sz w:val="24"/>
          <w:szCs w:val="22"/>
        </w:rPr>
        <w:t>，其中山区占74%，坝区（含海拔在1000m以下的低热河谷）占26%。东、东北接保山市龙陵县，西南连瑞丽市、畹町经济开发区，西、西北与梁河县、陇川县隔龙江（陇川江）相望，南与缅甸交界，国境线长68.3km，是德宏傣族景颇族自治州5个县市之一。</w:t>
      </w:r>
    </w:p>
    <w:p w14:paraId="5EF97DDF">
      <w:pPr>
        <w:spacing w:line="360" w:lineRule="auto"/>
        <w:ind w:firstLine="480" w:firstLineChars="200"/>
        <w:rPr>
          <w:color w:val="000000" w:themeColor="text1"/>
          <w:sz w:val="24"/>
          <w:szCs w:val="22"/>
        </w:rPr>
      </w:pPr>
      <w:r>
        <w:rPr>
          <w:color w:val="000000" w:themeColor="text1"/>
          <w:sz w:val="24"/>
          <w:szCs w:val="22"/>
        </w:rPr>
        <w:t>芒市地形地貌为东北高、西南低，为中切割的中山地势，山岭呈东北向延伸，与区外群山一脉相承，地势显西高东低，最高点三台山，海拔为1375m，最低点为拟建团结水电站大坝所在河谷，海拔高程约800m。区域地貌受构造所控制，多呈北东-南西向带状分布。</w:t>
      </w:r>
    </w:p>
    <w:p w14:paraId="6ABA7938">
      <w:pPr>
        <w:pStyle w:val="289"/>
        <w:spacing w:line="360" w:lineRule="auto"/>
        <w:ind w:left="51" w:right="51" w:firstLine="480" w:firstLineChars="200"/>
        <w:jc w:val="left"/>
        <w:rPr>
          <w:color w:val="000000" w:themeColor="text1"/>
          <w:sz w:val="24"/>
          <w:szCs w:val="22"/>
        </w:rPr>
      </w:pPr>
      <w:r>
        <w:rPr>
          <w:color w:val="000000" w:themeColor="text1"/>
          <w:sz w:val="24"/>
          <w:szCs w:val="22"/>
        </w:rPr>
        <w:t>本项目位于</w:t>
      </w:r>
      <w:r>
        <w:rPr>
          <w:rFonts w:eastAsiaTheme="minorEastAsia"/>
          <w:color w:val="000000" w:themeColor="text1"/>
          <w:sz w:val="24"/>
        </w:rPr>
        <w:t>选址于</w:t>
      </w:r>
      <w:r>
        <w:rPr>
          <w:bCs/>
          <w:color w:val="000000" w:themeColor="text1"/>
          <w:sz w:val="24"/>
        </w:rPr>
        <w:t>云南省德宏州芒市遮放镇户拉村委会遮焕村民小组盛达泰硅业厂区内</w:t>
      </w:r>
      <w:r>
        <w:rPr>
          <w:rFonts w:eastAsiaTheme="minorEastAsia"/>
          <w:color w:val="000000" w:themeColor="text1"/>
          <w:sz w:val="24"/>
        </w:rPr>
        <w:t>，租用盛达泰硅业的土地</w:t>
      </w:r>
      <w:r>
        <w:rPr>
          <w:bCs/>
          <w:color w:val="000000" w:themeColor="text1"/>
          <w:sz w:val="24"/>
        </w:rPr>
        <w:t>，总用地面积13亩（13333m</w:t>
      </w:r>
      <w:r>
        <w:rPr>
          <w:bCs/>
          <w:color w:val="000000" w:themeColor="text1"/>
          <w:sz w:val="24"/>
          <w:vertAlign w:val="superscript"/>
        </w:rPr>
        <w:t>2</w:t>
      </w:r>
      <w:r>
        <w:rPr>
          <w:bCs/>
          <w:color w:val="000000" w:themeColor="text1"/>
          <w:sz w:val="24"/>
        </w:rPr>
        <w:t>），本次用地面积为8000m</w:t>
      </w:r>
      <w:r>
        <w:rPr>
          <w:bCs/>
          <w:color w:val="000000" w:themeColor="text1"/>
          <w:sz w:val="24"/>
          <w:vertAlign w:val="superscript"/>
        </w:rPr>
        <w:t>2</w:t>
      </w:r>
      <w:r>
        <w:rPr>
          <w:bCs/>
          <w:color w:val="000000" w:themeColor="text1"/>
          <w:sz w:val="24"/>
        </w:rPr>
        <w:t>（原为硅厂原料仓库，现废弃），预留用地为5333m</w:t>
      </w:r>
      <w:r>
        <w:rPr>
          <w:bCs/>
          <w:color w:val="000000" w:themeColor="text1"/>
          <w:sz w:val="24"/>
          <w:vertAlign w:val="superscript"/>
        </w:rPr>
        <w:t>2</w:t>
      </w:r>
      <w:r>
        <w:rPr>
          <w:bCs/>
          <w:color w:val="000000" w:themeColor="text1"/>
          <w:sz w:val="24"/>
        </w:rPr>
        <w:t>（原为混凝土搅拌站，早已废弃），项目所处经</w:t>
      </w:r>
      <w:r>
        <w:rPr>
          <w:color w:val="000000" w:themeColor="text1"/>
          <w:sz w:val="24"/>
        </w:rPr>
        <w:t>经度98.182812</w:t>
      </w:r>
      <w:r>
        <w:rPr>
          <w:b/>
          <w:color w:val="000000" w:themeColor="text1"/>
          <w:szCs w:val="21"/>
        </w:rPr>
        <w:t>°</w:t>
      </w:r>
      <w:r>
        <w:rPr>
          <w:color w:val="000000" w:themeColor="text1"/>
          <w:sz w:val="24"/>
        </w:rPr>
        <w:t>，纬度24.180257</w:t>
      </w:r>
      <w:r>
        <w:rPr>
          <w:b/>
          <w:color w:val="000000" w:themeColor="text1"/>
          <w:szCs w:val="21"/>
        </w:rPr>
        <w:t>°。</w:t>
      </w:r>
    </w:p>
    <w:p w14:paraId="18404ECD">
      <w:pPr>
        <w:pStyle w:val="105"/>
        <w:rPr>
          <w:rFonts w:cs="Times New Roman"/>
          <w:color w:val="000000" w:themeColor="text1"/>
        </w:rPr>
      </w:pPr>
      <w:bookmarkStart w:id="347" w:name="_Toc443655428"/>
      <w:bookmarkStart w:id="348" w:name="_Toc454046528"/>
      <w:bookmarkStart w:id="349" w:name="_Toc471738013"/>
      <w:bookmarkStart w:id="350" w:name="_Toc319743108"/>
      <w:bookmarkStart w:id="351" w:name="_Toc393273291"/>
      <w:bookmarkStart w:id="352" w:name="_Toc508642459"/>
      <w:r>
        <w:rPr>
          <w:rFonts w:cs="Times New Roman"/>
          <w:color w:val="000000" w:themeColor="text1"/>
        </w:rPr>
        <w:t>4.1.</w:t>
      </w:r>
      <w:bookmarkEnd w:id="347"/>
      <w:bookmarkEnd w:id="348"/>
      <w:bookmarkEnd w:id="349"/>
      <w:bookmarkEnd w:id="350"/>
      <w:bookmarkEnd w:id="351"/>
      <w:r>
        <w:rPr>
          <w:rFonts w:cs="Times New Roman"/>
          <w:color w:val="000000" w:themeColor="text1"/>
        </w:rPr>
        <w:t>2气候与气象</w:t>
      </w:r>
      <w:bookmarkEnd w:id="352"/>
    </w:p>
    <w:p w14:paraId="6AD38378">
      <w:pPr>
        <w:spacing w:line="360" w:lineRule="auto"/>
        <w:ind w:firstLine="480" w:firstLineChars="200"/>
        <w:rPr>
          <w:color w:val="000000" w:themeColor="text1"/>
          <w:sz w:val="24"/>
          <w:szCs w:val="22"/>
        </w:rPr>
      </w:pPr>
      <w:r>
        <w:rPr>
          <w:color w:val="000000" w:themeColor="text1"/>
          <w:sz w:val="24"/>
          <w:szCs w:val="22"/>
        </w:rPr>
        <w:t>芒市地处高黎贡山西坡，按纬度划分，属低纬度高原区，太阳辐射较强，热量丰富；夏季受西南季风影响，水气丰沛，湿润多雨，而冬季受西方干暖气团影响，温暖少雨，具有干湿季分明的特征，属南亚热带气候。干季11月～4月主要受经由北非、中亚、印巴半岛等干热地区而来的西风南支气流控制，气候干燥，降水稀少。雨季5月～10月西风南支气流北退，青藏高压生成，太平洋副热带高压北进西伸，在两高的影响下盛行西南季风，主要受来自孟加拉湾暖湿气流控制，由于地处迎风坡及受高黎贡山的地形抬升作用，降雨充沛，单点暴雨突出，易形成较大的暴雨洪水。流域内多年平均降水量1876mm，实测最大年降水量3079mm。降雨量年际变化不大，据潞西气象站实测资料分析，最大年降雨量为最小年降雨量的1.98倍。但年内分配不均，主要降雨集中在5月～10月，其量占全年降雨量的85</w:t>
      </w:r>
      <w:r>
        <w:rPr>
          <w:color w:val="FF0000"/>
          <w:sz w:val="24"/>
          <w:szCs w:val="22"/>
        </w:rPr>
        <w:t>%</w:t>
      </w:r>
      <w:r>
        <w:rPr>
          <w:color w:val="000000" w:themeColor="text1"/>
          <w:sz w:val="24"/>
          <w:szCs w:val="22"/>
        </w:rPr>
        <w:t>以上。</w:t>
      </w:r>
    </w:p>
    <w:p w14:paraId="7132004C">
      <w:pPr>
        <w:spacing w:line="360" w:lineRule="auto"/>
        <w:ind w:firstLine="480" w:firstLineChars="200"/>
        <w:rPr>
          <w:color w:val="000000" w:themeColor="text1"/>
          <w:sz w:val="24"/>
          <w:szCs w:val="22"/>
        </w:rPr>
      </w:pPr>
      <w:r>
        <w:rPr>
          <w:color w:val="000000" w:themeColor="text1"/>
          <w:sz w:val="24"/>
          <w:szCs w:val="22"/>
        </w:rPr>
        <w:t>芒市气象站多年平均降雨量1657.6mm，多年平均气温18.3°C，最高气温34.0°C，最低气温-1.7°C，多年平均日照数2352.3h，蒸发量1723.6mm，无霜期315天，</w:t>
      </w:r>
      <w:r>
        <w:rPr>
          <w:color w:val="FF0000"/>
          <w:sz w:val="24"/>
          <w:szCs w:val="22"/>
        </w:rPr>
        <w:t>主导风向为西南风，年平均风速为0.9m/s。</w:t>
      </w:r>
    </w:p>
    <w:p w14:paraId="7C105E06">
      <w:pPr>
        <w:pStyle w:val="105"/>
        <w:rPr>
          <w:rFonts w:cs="Times New Roman"/>
          <w:color w:val="000000" w:themeColor="text1"/>
        </w:rPr>
      </w:pPr>
      <w:bookmarkStart w:id="353" w:name="_Toc508642460"/>
      <w:r>
        <w:rPr>
          <w:rFonts w:cs="Times New Roman"/>
          <w:color w:val="000000" w:themeColor="text1"/>
        </w:rPr>
        <w:t>4.1.3地质</w:t>
      </w:r>
      <w:bookmarkEnd w:id="353"/>
    </w:p>
    <w:p w14:paraId="23E65D06">
      <w:pPr>
        <w:spacing w:line="360" w:lineRule="auto"/>
        <w:ind w:firstLine="480" w:firstLineChars="200"/>
        <w:rPr>
          <w:color w:val="000000" w:themeColor="text1"/>
          <w:sz w:val="24"/>
          <w:szCs w:val="22"/>
        </w:rPr>
      </w:pPr>
      <w:r>
        <w:rPr>
          <w:color w:val="000000" w:themeColor="text1"/>
          <w:sz w:val="24"/>
          <w:szCs w:val="22"/>
        </w:rPr>
        <w:t>芒市位于青、藏、滇、缅、印尼”歹”字型构造西支中段偏北部位的遮放”入”字型构造地带，流域内有龙陵</w:t>
      </w:r>
      <w:r>
        <w:rPr>
          <w:color w:val="000000" w:themeColor="text1"/>
          <w:sz w:val="24"/>
          <w:szCs w:val="22"/>
        </w:rPr>
        <w:softHyphen/>
      </w:r>
      <w:r>
        <w:rPr>
          <w:color w:val="000000" w:themeColor="text1"/>
          <w:sz w:val="24"/>
          <w:szCs w:val="22"/>
        </w:rPr>
        <w:t>-瑞丽大断裂通过，主干断裂两盘地层岩性有明显差异，其断裂北、北西盘为寒武系下段花岗片麻岩，而断裂南西侧则出露有白垩系、侏罗系、二叠系地层。</w:t>
      </w:r>
    </w:p>
    <w:p w14:paraId="0C49DE37">
      <w:pPr>
        <w:pStyle w:val="105"/>
        <w:rPr>
          <w:rFonts w:cs="Times New Roman"/>
          <w:color w:val="000000" w:themeColor="text1"/>
        </w:rPr>
      </w:pPr>
      <w:bookmarkStart w:id="354" w:name="_Toc443655427"/>
      <w:bookmarkStart w:id="355" w:name="_Toc299117694"/>
      <w:bookmarkStart w:id="356" w:name="_Toc393273290"/>
      <w:bookmarkStart w:id="357" w:name="_Toc319743107"/>
      <w:bookmarkStart w:id="358" w:name="_Toc471738011"/>
      <w:bookmarkStart w:id="359" w:name="_Toc454046526"/>
      <w:bookmarkStart w:id="360" w:name="_Toc508642461"/>
      <w:r>
        <w:rPr>
          <w:rFonts w:cs="Times New Roman"/>
          <w:color w:val="000000" w:themeColor="text1"/>
        </w:rPr>
        <w:t>4.1.4水文</w:t>
      </w:r>
      <w:bookmarkEnd w:id="354"/>
      <w:bookmarkEnd w:id="355"/>
      <w:bookmarkEnd w:id="356"/>
      <w:bookmarkEnd w:id="357"/>
      <w:r>
        <w:rPr>
          <w:rFonts w:cs="Times New Roman"/>
          <w:color w:val="000000" w:themeColor="text1"/>
        </w:rPr>
        <w:t>水系</w:t>
      </w:r>
      <w:bookmarkEnd w:id="358"/>
      <w:bookmarkEnd w:id="359"/>
      <w:bookmarkEnd w:id="360"/>
    </w:p>
    <w:p w14:paraId="2A6D512D">
      <w:pPr>
        <w:spacing w:line="360" w:lineRule="auto"/>
        <w:ind w:firstLine="480" w:firstLineChars="200"/>
        <w:rPr>
          <w:color w:val="000000" w:themeColor="text1"/>
          <w:sz w:val="24"/>
        </w:rPr>
      </w:pPr>
      <w:bookmarkStart w:id="361" w:name="_Toc299117695"/>
      <w:r>
        <w:rPr>
          <w:color w:val="000000" w:themeColor="text1"/>
          <w:sz w:val="24"/>
        </w:rPr>
        <w:t>芒市水系主要有”三江四河”。三江：大盈江、芒市大河（陇川江）、怒江；四河：芒市河、南畹河、户撒河、芒东河（萝卜坝河）。芒市年平均总产水量31.8亿立方米，其中地表水23.11亿立方米，地下水8.69亿立方米。</w:t>
      </w:r>
    </w:p>
    <w:p w14:paraId="6F9568B0">
      <w:pPr>
        <w:spacing w:line="360" w:lineRule="auto"/>
        <w:ind w:firstLine="480" w:firstLineChars="200"/>
        <w:rPr>
          <w:color w:val="FF0000"/>
          <w:sz w:val="24"/>
        </w:rPr>
      </w:pPr>
      <w:r>
        <w:rPr>
          <w:color w:val="FF0000"/>
          <w:sz w:val="24"/>
        </w:rPr>
        <w:t>根据现场勘查，项目区最近地表水为西面2.1km的芒市大河、西南侧532m水塘、西南侧650m排鲁水库。</w:t>
      </w:r>
    </w:p>
    <w:p w14:paraId="15B72140">
      <w:pPr>
        <w:spacing w:line="360" w:lineRule="auto"/>
        <w:ind w:firstLine="482" w:firstLineChars="200"/>
        <w:rPr>
          <w:color w:val="000000" w:themeColor="text1"/>
          <w:sz w:val="24"/>
        </w:rPr>
      </w:pPr>
      <w:r>
        <w:rPr>
          <w:b/>
          <w:color w:val="000000" w:themeColor="text1"/>
          <w:sz w:val="24"/>
        </w:rPr>
        <w:t>排路水库：</w:t>
      </w:r>
      <w:r>
        <w:rPr>
          <w:color w:val="000000" w:themeColor="text1"/>
          <w:sz w:val="24"/>
        </w:rPr>
        <w:t>为小（二）型水库，总库容57.1万立方米，兴利库容44.2万立方米。大坝为均质土坝，水库枢纽由大坝、溢洪道、输水涵管组成坝顶长72米，最大坝高17米，主要功能为农灌，不涉及饮用功能。</w:t>
      </w:r>
    </w:p>
    <w:p w14:paraId="11BB23D1">
      <w:pPr>
        <w:spacing w:line="360" w:lineRule="auto"/>
        <w:ind w:firstLine="482" w:firstLineChars="200"/>
        <w:rPr>
          <w:b/>
          <w:color w:val="000000" w:themeColor="text1"/>
          <w:sz w:val="24"/>
        </w:rPr>
      </w:pPr>
      <w:r>
        <w:rPr>
          <w:b/>
          <w:color w:val="000000" w:themeColor="text1"/>
          <w:sz w:val="24"/>
        </w:rPr>
        <w:t>西南侧532m水塘：</w:t>
      </w:r>
      <w:r>
        <w:rPr>
          <w:color w:val="000000" w:themeColor="text1"/>
          <w:sz w:val="24"/>
        </w:rPr>
        <w:t>原作为硅厂循环冷却水水池，现已废弃。</w:t>
      </w:r>
    </w:p>
    <w:p w14:paraId="697D00ED">
      <w:pPr>
        <w:spacing w:line="360" w:lineRule="auto"/>
        <w:ind w:firstLine="482" w:firstLineChars="200"/>
        <w:rPr>
          <w:color w:val="000000" w:themeColor="text1"/>
          <w:sz w:val="24"/>
        </w:rPr>
      </w:pPr>
      <w:r>
        <w:rPr>
          <w:b/>
          <w:color w:val="000000" w:themeColor="text1"/>
          <w:sz w:val="24"/>
        </w:rPr>
        <w:t>芒市大河：</w:t>
      </w:r>
      <w:r>
        <w:rPr>
          <w:color w:val="FF0000"/>
          <w:sz w:val="24"/>
        </w:rPr>
        <w:t>为瑞丽江一支流，</w:t>
      </w:r>
      <w:r>
        <w:rPr>
          <w:color w:val="000000" w:themeColor="text1"/>
          <w:sz w:val="24"/>
        </w:rPr>
        <w:t>属伊洛瓦底江水系，发源于龙陵县金竹村北部诸山溪，从大山田进入潞西市境内，入境海拔1300米，之帕连进入芒市盆底首部，沿北东至南西流经遮告、芒黑、弄相、风平、芒波、帕底、允门，纵穿芒市坝，而后进入三台山峡谷，至遮放镇芒里寨出谷进入遮放盆底，纵贯盆地内的团结、户信、芒瓦、东相、至南蚌西注入龙江，汇口海拔783米。芒市河径流面积1830.5平方公里，主河长102.1千米，河道平均坡度11‰，多年平均径流量20.6亿立方米，水能理论蕴藏量35.34万千瓦。</w:t>
      </w:r>
    </w:p>
    <w:p w14:paraId="46D72764">
      <w:pPr>
        <w:spacing w:line="360" w:lineRule="auto"/>
        <w:ind w:firstLine="480" w:firstLineChars="200"/>
        <w:rPr>
          <w:color w:val="000000" w:themeColor="text1"/>
          <w:sz w:val="24"/>
        </w:rPr>
      </w:pPr>
      <w:r>
        <w:rPr>
          <w:bCs/>
          <w:color w:val="000000" w:themeColor="text1"/>
          <w:sz w:val="24"/>
          <w:szCs w:val="22"/>
        </w:rPr>
        <w:t xml:space="preserve"> </w:t>
      </w:r>
      <w:r>
        <w:rPr>
          <w:color w:val="000000" w:themeColor="text1"/>
          <w:sz w:val="24"/>
        </w:rPr>
        <w:t>评价区域水系图见附图4。</w:t>
      </w:r>
    </w:p>
    <w:p w14:paraId="42A57ABF">
      <w:pPr>
        <w:pStyle w:val="105"/>
        <w:rPr>
          <w:rFonts w:cs="Times New Roman"/>
          <w:color w:val="000000" w:themeColor="text1"/>
        </w:rPr>
      </w:pPr>
      <w:bookmarkStart w:id="362" w:name="_Toc471738014"/>
      <w:bookmarkStart w:id="363" w:name="_Toc508642464"/>
      <w:bookmarkStart w:id="364" w:name="_Toc443655429"/>
      <w:bookmarkStart w:id="365" w:name="_Toc319743109"/>
      <w:bookmarkStart w:id="366" w:name="_Toc454046529"/>
      <w:bookmarkStart w:id="367" w:name="_Toc393273292"/>
      <w:r>
        <w:rPr>
          <w:rFonts w:cs="Times New Roman"/>
          <w:color w:val="000000" w:themeColor="text1"/>
        </w:rPr>
        <w:t>4.1.5土壤</w:t>
      </w:r>
      <w:bookmarkEnd w:id="362"/>
      <w:bookmarkEnd w:id="363"/>
      <w:bookmarkEnd w:id="364"/>
      <w:bookmarkEnd w:id="365"/>
      <w:bookmarkEnd w:id="366"/>
      <w:bookmarkEnd w:id="367"/>
    </w:p>
    <w:bookmarkEnd w:id="361"/>
    <w:p w14:paraId="0292C4D1">
      <w:pPr>
        <w:spacing w:line="360" w:lineRule="auto"/>
        <w:ind w:firstLine="480" w:firstLineChars="200"/>
        <w:rPr>
          <w:color w:val="000000" w:themeColor="text1"/>
          <w:sz w:val="24"/>
          <w:szCs w:val="22"/>
        </w:rPr>
      </w:pPr>
      <w:r>
        <w:rPr>
          <w:color w:val="000000" w:themeColor="text1"/>
          <w:sz w:val="24"/>
          <w:szCs w:val="22"/>
        </w:rPr>
        <w:t>据芒市土壤普查资料分析，芒市从低到高依次呈地带性分布的土壤类型有赤红壤、红壤、黄壤。流域因降水丰富，因而土壤垂直带具有偏湿型特色，表现为红壤、黄色砖红壤性红壤亚类占优势。其意义是，土壤含水率较高，耐旱性较好，生物积蓄较强，有机质含量相对较高，但盐基淋溶作用也强，引起土壤偏酸。</w:t>
      </w:r>
    </w:p>
    <w:p w14:paraId="2EE66FC6">
      <w:pPr>
        <w:spacing w:line="360" w:lineRule="auto"/>
        <w:ind w:firstLine="480" w:firstLineChars="200"/>
        <w:rPr>
          <w:color w:val="FF0000"/>
          <w:sz w:val="24"/>
          <w:szCs w:val="21"/>
        </w:rPr>
      </w:pPr>
      <w:r>
        <w:rPr>
          <w:color w:val="FF0000"/>
          <w:sz w:val="24"/>
          <w:szCs w:val="22"/>
        </w:rPr>
        <w:t>项目区为红壤。</w:t>
      </w:r>
    </w:p>
    <w:p w14:paraId="72D4C358">
      <w:pPr>
        <w:pStyle w:val="105"/>
        <w:rPr>
          <w:rFonts w:cs="Times New Roman"/>
          <w:color w:val="000000" w:themeColor="text1"/>
        </w:rPr>
      </w:pPr>
      <w:bookmarkStart w:id="368" w:name="_Toc508642465"/>
      <w:bookmarkStart w:id="369" w:name="_Toc443655430"/>
      <w:bookmarkStart w:id="370" w:name="_Toc454046530"/>
      <w:bookmarkStart w:id="371" w:name="_Toc393273293"/>
      <w:bookmarkStart w:id="372" w:name="_Toc471738015"/>
      <w:r>
        <w:rPr>
          <w:rFonts w:cs="Times New Roman"/>
          <w:color w:val="000000" w:themeColor="text1"/>
        </w:rPr>
        <w:t>4.1.6植被</w:t>
      </w:r>
      <w:bookmarkEnd w:id="368"/>
      <w:bookmarkEnd w:id="369"/>
      <w:bookmarkEnd w:id="370"/>
      <w:bookmarkEnd w:id="371"/>
      <w:bookmarkEnd w:id="372"/>
    </w:p>
    <w:p w14:paraId="328EF41E">
      <w:pPr>
        <w:spacing w:line="360" w:lineRule="auto"/>
        <w:ind w:firstLine="480" w:firstLineChars="200"/>
        <w:rPr>
          <w:bCs/>
          <w:color w:val="000000" w:themeColor="text1"/>
          <w:kern w:val="0"/>
          <w:sz w:val="24"/>
          <w:szCs w:val="22"/>
        </w:rPr>
      </w:pPr>
      <w:r>
        <w:rPr>
          <w:color w:val="000000" w:themeColor="text1"/>
          <w:sz w:val="24"/>
          <w:szCs w:val="22"/>
        </w:rPr>
        <w:t>评价区主要为”季风热带北缘雨林季雨林地带”-”滇南、滇西南间山盆地季节雨林和半常绿季雨林区”-”滇西南中山宽谷高榕、麻楝亚区”。区内植被类型主要为</w:t>
      </w:r>
      <w:r>
        <w:rPr>
          <w:color w:val="000000" w:themeColor="text1"/>
          <w:kern w:val="0"/>
          <w:sz w:val="24"/>
          <w:szCs w:val="22"/>
        </w:rPr>
        <w:t>常绿落叶阔叶混交林，分布有西南桦、红木荷林；热性稀树灌草丛，分布有含毛麻楝、黄牛木的中草草丛；</w:t>
      </w:r>
      <w:r>
        <w:rPr>
          <w:bCs/>
          <w:color w:val="000000" w:themeColor="text1"/>
          <w:kern w:val="0"/>
          <w:sz w:val="24"/>
          <w:szCs w:val="22"/>
        </w:rPr>
        <w:t>暖热性竹林，主要为凤尾竹林；草丛主要包括肿柄菊草丛、飞机草草丛和卡开芦草丛等。</w:t>
      </w:r>
    </w:p>
    <w:p w14:paraId="7D7F2375">
      <w:pPr>
        <w:spacing w:line="360" w:lineRule="auto"/>
        <w:ind w:firstLine="480" w:firstLineChars="200"/>
        <w:rPr>
          <w:color w:val="FF0000"/>
          <w:sz w:val="24"/>
          <w:szCs w:val="22"/>
        </w:rPr>
      </w:pPr>
      <w:r>
        <w:rPr>
          <w:bCs/>
          <w:color w:val="FF0000"/>
          <w:kern w:val="0"/>
          <w:sz w:val="24"/>
          <w:szCs w:val="22"/>
        </w:rPr>
        <w:t>项目区</w:t>
      </w:r>
      <w:r>
        <w:rPr>
          <w:rFonts w:eastAsiaTheme="minorEastAsia"/>
          <w:color w:val="FF0000"/>
          <w:sz w:val="24"/>
        </w:rPr>
        <w:t>选址于</w:t>
      </w:r>
      <w:r>
        <w:rPr>
          <w:bCs/>
          <w:color w:val="FF0000"/>
          <w:sz w:val="24"/>
        </w:rPr>
        <w:t>云南省德宏州芒市遮放镇户拉村委会遮焕村民小组盛达泰硅业厂区内，现为空地及闲置厂房，主要为人工植被。</w:t>
      </w:r>
    </w:p>
    <w:p w14:paraId="02F29CD2">
      <w:pPr>
        <w:pStyle w:val="4"/>
        <w:rPr>
          <w:rFonts w:ascii="Times New Roman" w:hAnsi="Times New Roman"/>
          <w:color w:val="000000" w:themeColor="text1"/>
        </w:rPr>
      </w:pPr>
      <w:bookmarkStart w:id="373" w:name="_Toc28117703"/>
      <w:r>
        <w:rPr>
          <w:rFonts w:ascii="Times New Roman" w:hAnsi="Times New Roman"/>
          <w:color w:val="000000" w:themeColor="text1"/>
        </w:rPr>
        <w:t>4.2环境质量现状</w:t>
      </w:r>
      <w:bookmarkEnd w:id="346"/>
      <w:bookmarkEnd w:id="373"/>
    </w:p>
    <w:p w14:paraId="72C1D087">
      <w:pPr>
        <w:adjustRightInd w:val="0"/>
        <w:snapToGrid w:val="0"/>
        <w:spacing w:line="360" w:lineRule="auto"/>
        <w:ind w:firstLine="480" w:firstLineChars="200"/>
        <w:jc w:val="left"/>
        <w:rPr>
          <w:color w:val="000000" w:themeColor="text1"/>
          <w:sz w:val="24"/>
        </w:rPr>
      </w:pPr>
      <w:r>
        <w:rPr>
          <w:color w:val="000000" w:themeColor="text1"/>
          <w:sz w:val="24"/>
        </w:rPr>
        <w:t>为了掌握本项目区域及周围的环境质量现状，建设方委托</w:t>
      </w:r>
      <w:r>
        <w:rPr>
          <w:bCs/>
          <w:color w:val="000000" w:themeColor="text1"/>
          <w:sz w:val="24"/>
        </w:rPr>
        <w:t>云南环绿环境检测技术有限公司</w:t>
      </w:r>
      <w:r>
        <w:rPr>
          <w:color w:val="000000" w:themeColor="text1"/>
          <w:sz w:val="24"/>
        </w:rPr>
        <w:t>开展环境质量现状监测工作，布设环境现状监测点，具体位置见评价范围及监测布点图。</w:t>
      </w:r>
    </w:p>
    <w:p w14:paraId="459EA5EA">
      <w:pPr>
        <w:pStyle w:val="105"/>
        <w:rPr>
          <w:rFonts w:cs="Times New Roman"/>
          <w:color w:val="FF0000"/>
        </w:rPr>
      </w:pPr>
      <w:r>
        <w:rPr>
          <w:rFonts w:cs="Times New Roman"/>
          <w:color w:val="FF0000"/>
        </w:rPr>
        <w:t>4.2.1环境空气质量现状</w:t>
      </w:r>
    </w:p>
    <w:p w14:paraId="5739A66C">
      <w:pPr>
        <w:adjustRightInd w:val="0"/>
        <w:snapToGrid w:val="0"/>
        <w:spacing w:line="360" w:lineRule="auto"/>
        <w:ind w:firstLine="482" w:firstLineChars="200"/>
        <w:jc w:val="left"/>
        <w:rPr>
          <w:b/>
          <w:color w:val="000000" w:themeColor="text1"/>
          <w:sz w:val="24"/>
        </w:rPr>
      </w:pPr>
      <w:r>
        <w:rPr>
          <w:b/>
          <w:color w:val="000000" w:themeColor="text1"/>
          <w:sz w:val="24"/>
        </w:rPr>
        <w:t>1、区域基本污染物达标分析</w:t>
      </w:r>
    </w:p>
    <w:p w14:paraId="13AF72F5">
      <w:pPr>
        <w:pStyle w:val="297"/>
        <w:ind w:firstLine="480"/>
        <w:jc w:val="left"/>
        <w:rPr>
          <w:color w:val="000000" w:themeColor="text1"/>
        </w:rPr>
      </w:pPr>
      <w:r>
        <w:rPr>
          <w:color w:val="000000" w:themeColor="text1"/>
        </w:rPr>
        <w:t>本项目大气环境评价为二级，根据</w:t>
      </w:r>
      <w:r>
        <w:rPr>
          <w:color w:val="000000" w:themeColor="text1"/>
          <w:spacing w:val="-1"/>
        </w:rPr>
        <w:t>HJ2.2-2018</w:t>
      </w:r>
      <w:r>
        <w:rPr>
          <w:color w:val="000000" w:themeColor="text1"/>
        </w:rPr>
        <w:t>《环境影响评价技术导则 大气环境》</w:t>
      </w:r>
      <w:r>
        <w:rPr>
          <w:color w:val="000000" w:themeColor="text1"/>
          <w:spacing w:val="-1"/>
        </w:rPr>
        <w:t>，应调查所在区域环境质量达标情况，本次评价采用德宏州生态环境局</w:t>
      </w:r>
      <w:r>
        <w:rPr>
          <w:color w:val="000000" w:themeColor="text1"/>
          <w:spacing w:val="-5"/>
        </w:rPr>
        <w:t>发布的《德宏州2018 年环境质量状况公报</w:t>
      </w:r>
      <w:r>
        <w:rPr>
          <w:color w:val="000000" w:themeColor="text1"/>
        </w:rPr>
        <w:t xml:space="preserve">》中的数据和结论， </w:t>
      </w:r>
      <w:r>
        <w:rPr>
          <w:color w:val="000000" w:themeColor="text1"/>
          <w:spacing w:val="-6"/>
        </w:rPr>
        <w:t xml:space="preserve">区域监测数据统计见表 </w:t>
      </w:r>
      <w:r>
        <w:rPr>
          <w:color w:val="000000" w:themeColor="text1"/>
        </w:rPr>
        <w:t>4.2-1。</w:t>
      </w:r>
    </w:p>
    <w:p w14:paraId="5EBF874A">
      <w:pPr>
        <w:autoSpaceDE w:val="0"/>
        <w:autoSpaceDN w:val="0"/>
        <w:jc w:val="center"/>
        <w:rPr>
          <w:b/>
          <w:bCs/>
          <w:color w:val="000000" w:themeColor="text1"/>
          <w:kern w:val="0"/>
          <w:sz w:val="24"/>
        </w:rPr>
      </w:pPr>
      <w:r>
        <w:rPr>
          <w:b/>
          <w:bCs/>
          <w:color w:val="000000" w:themeColor="text1"/>
          <w:kern w:val="0"/>
          <w:sz w:val="24"/>
        </w:rPr>
        <w:t>表</w:t>
      </w:r>
      <w:r>
        <w:rPr>
          <w:b/>
          <w:bCs/>
          <w:color w:val="000000" w:themeColor="text1"/>
          <w:spacing w:val="-60"/>
          <w:kern w:val="0"/>
          <w:sz w:val="24"/>
        </w:rPr>
        <w:t xml:space="preserve"> </w:t>
      </w:r>
      <w:r>
        <w:rPr>
          <w:b/>
          <w:bCs/>
          <w:color w:val="000000" w:themeColor="text1"/>
          <w:kern w:val="0"/>
          <w:sz w:val="24"/>
        </w:rPr>
        <w:t xml:space="preserve">4.2-1  </w:t>
      </w:r>
      <w:r>
        <w:rPr>
          <w:b/>
          <w:bCs/>
          <w:color w:val="000000" w:themeColor="text1"/>
          <w:w w:val="95"/>
          <w:kern w:val="0"/>
          <w:sz w:val="24"/>
        </w:rPr>
        <w:t>区域基本污染物环境质量现状</w:t>
      </w:r>
    </w:p>
    <w:tbl>
      <w:tblPr>
        <w:tblStyle w:val="280"/>
        <w:tblW w:w="5287"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21"/>
        <w:gridCol w:w="602"/>
        <w:gridCol w:w="1015"/>
        <w:gridCol w:w="1212"/>
        <w:gridCol w:w="1319"/>
        <w:gridCol w:w="1175"/>
        <w:gridCol w:w="735"/>
        <w:gridCol w:w="1323"/>
        <w:gridCol w:w="1323"/>
      </w:tblGrid>
      <w:tr w14:paraId="2FF8CE5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16" w:type="pct"/>
            <w:gridSpan w:val="3"/>
            <w:vAlign w:val="center"/>
          </w:tcPr>
          <w:p w14:paraId="64747DB1">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监测指标</w:t>
            </w:r>
          </w:p>
        </w:tc>
        <w:tc>
          <w:tcPr>
            <w:tcW w:w="664" w:type="pct"/>
            <w:vAlign w:val="center"/>
          </w:tcPr>
          <w:p w14:paraId="78AB7790">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SO</w:t>
            </w:r>
            <w:r>
              <w:rPr>
                <w:rFonts w:ascii="Times New Roman" w:hAnsi="Times New Roman" w:cs="Times New Roman"/>
                <w:color w:val="000000" w:themeColor="text1"/>
                <w:position w:val="-2"/>
                <w:sz w:val="21"/>
                <w:szCs w:val="21"/>
                <w:vertAlign w:val="subscript"/>
              </w:rPr>
              <w:t>2</w:t>
            </w:r>
            <w:r>
              <w:rPr>
                <w:rFonts w:ascii="Times New Roman" w:hAnsi="Times New Roman" w:cs="Times New Roman"/>
                <w:color w:val="000000" w:themeColor="text1"/>
                <w:sz w:val="21"/>
                <w:szCs w:val="21"/>
              </w:rPr>
              <w:t>(mg/ m</w:t>
            </w:r>
            <w:r>
              <w:rPr>
                <w:rFonts w:ascii="Times New Roman" w:hAnsi="Times New Roman" w:cs="Times New Roman"/>
                <w:color w:val="000000" w:themeColor="text1"/>
                <w:position w:val="9"/>
                <w:sz w:val="21"/>
                <w:szCs w:val="21"/>
              </w:rPr>
              <w:t>3</w:t>
            </w:r>
            <w:r>
              <w:rPr>
                <w:rFonts w:ascii="Times New Roman" w:hAnsi="Times New Roman" w:cs="Times New Roman"/>
                <w:color w:val="000000" w:themeColor="text1"/>
                <w:sz w:val="21"/>
                <w:szCs w:val="21"/>
              </w:rPr>
              <w:t>)</w:t>
            </w:r>
          </w:p>
        </w:tc>
        <w:tc>
          <w:tcPr>
            <w:tcW w:w="723" w:type="pct"/>
            <w:vAlign w:val="center"/>
          </w:tcPr>
          <w:p w14:paraId="5FFD1297">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NO</w:t>
            </w:r>
            <w:r>
              <w:rPr>
                <w:rFonts w:ascii="Times New Roman" w:hAnsi="Times New Roman" w:cs="Times New Roman"/>
                <w:color w:val="000000" w:themeColor="text1"/>
                <w:position w:val="-2"/>
                <w:sz w:val="21"/>
                <w:szCs w:val="21"/>
                <w:vertAlign w:val="subscript"/>
              </w:rPr>
              <w:t>2</w:t>
            </w:r>
            <w:r>
              <w:rPr>
                <w:rFonts w:ascii="Times New Roman" w:hAnsi="Times New Roman" w:cs="Times New Roman"/>
                <w:color w:val="000000" w:themeColor="text1"/>
                <w:sz w:val="21"/>
                <w:szCs w:val="21"/>
              </w:rPr>
              <w:t>(mg/ m</w:t>
            </w:r>
            <w:r>
              <w:rPr>
                <w:rFonts w:ascii="Times New Roman" w:hAnsi="Times New Roman" w:cs="Times New Roman"/>
                <w:color w:val="000000" w:themeColor="text1"/>
                <w:position w:val="9"/>
                <w:sz w:val="21"/>
                <w:szCs w:val="21"/>
              </w:rPr>
              <w:t>3</w:t>
            </w:r>
            <w:r>
              <w:rPr>
                <w:rFonts w:ascii="Times New Roman" w:hAnsi="Times New Roman" w:cs="Times New Roman"/>
                <w:color w:val="000000" w:themeColor="text1"/>
                <w:spacing w:val="-50"/>
                <w:sz w:val="21"/>
                <w:szCs w:val="21"/>
              </w:rPr>
              <w:t xml:space="preserve"> </w:t>
            </w:r>
            <w:r>
              <w:rPr>
                <w:rFonts w:ascii="Times New Roman" w:hAnsi="Times New Roman" w:cs="Times New Roman"/>
                <w:color w:val="000000" w:themeColor="text1"/>
                <w:sz w:val="21"/>
                <w:szCs w:val="21"/>
              </w:rPr>
              <w:t>)</w:t>
            </w:r>
          </w:p>
        </w:tc>
        <w:tc>
          <w:tcPr>
            <w:tcW w:w="644" w:type="pct"/>
            <w:vAlign w:val="center"/>
          </w:tcPr>
          <w:p w14:paraId="5864780D">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CO(mg/ m</w:t>
            </w:r>
            <w:r>
              <w:rPr>
                <w:rFonts w:ascii="Times New Roman" w:hAnsi="Times New Roman" w:cs="Times New Roman"/>
                <w:color w:val="000000" w:themeColor="text1"/>
                <w:position w:val="9"/>
                <w:sz w:val="21"/>
                <w:szCs w:val="21"/>
              </w:rPr>
              <w:t>3</w:t>
            </w:r>
            <w:r>
              <w:rPr>
                <w:rFonts w:ascii="Times New Roman" w:hAnsi="Times New Roman" w:cs="Times New Roman"/>
                <w:color w:val="000000" w:themeColor="text1"/>
                <w:sz w:val="21"/>
                <w:szCs w:val="21"/>
              </w:rPr>
              <w:t>)</w:t>
            </w:r>
          </w:p>
        </w:tc>
        <w:tc>
          <w:tcPr>
            <w:tcW w:w="403" w:type="pct"/>
            <w:vAlign w:val="center"/>
          </w:tcPr>
          <w:p w14:paraId="493901D8">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O</w:t>
            </w:r>
            <w:r>
              <w:rPr>
                <w:rFonts w:ascii="Times New Roman" w:hAnsi="Times New Roman" w:cs="Times New Roman"/>
                <w:color w:val="000000" w:themeColor="text1"/>
                <w:position w:val="-2"/>
                <w:sz w:val="21"/>
                <w:szCs w:val="21"/>
                <w:vertAlign w:val="subscript"/>
              </w:rPr>
              <w:t>3</w:t>
            </w:r>
          </w:p>
          <w:p w14:paraId="4B8406BF">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8h</w:t>
            </w:r>
          </w:p>
        </w:tc>
        <w:tc>
          <w:tcPr>
            <w:tcW w:w="725" w:type="pct"/>
            <w:vAlign w:val="center"/>
          </w:tcPr>
          <w:p w14:paraId="4FB00F35">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PM</w:t>
            </w:r>
            <w:r>
              <w:rPr>
                <w:rFonts w:ascii="Times New Roman" w:hAnsi="Times New Roman" w:cs="Times New Roman"/>
                <w:color w:val="000000" w:themeColor="text1"/>
                <w:position w:val="-2"/>
                <w:sz w:val="21"/>
                <w:szCs w:val="21"/>
                <w:vertAlign w:val="subscript"/>
              </w:rPr>
              <w:t>10</w:t>
            </w:r>
            <w:r>
              <w:rPr>
                <w:rFonts w:ascii="Times New Roman" w:hAnsi="Times New Roman" w:cs="Times New Roman"/>
                <w:color w:val="000000" w:themeColor="text1"/>
                <w:sz w:val="21"/>
                <w:szCs w:val="21"/>
              </w:rPr>
              <w:t>(mg/ m</w:t>
            </w:r>
            <w:r>
              <w:rPr>
                <w:rFonts w:ascii="Times New Roman" w:hAnsi="Times New Roman" w:cs="Times New Roman"/>
                <w:color w:val="000000" w:themeColor="text1"/>
                <w:position w:val="9"/>
                <w:sz w:val="21"/>
                <w:szCs w:val="21"/>
              </w:rPr>
              <w:t>3</w:t>
            </w:r>
            <w:r>
              <w:rPr>
                <w:rFonts w:ascii="Times New Roman" w:hAnsi="Times New Roman" w:cs="Times New Roman"/>
                <w:color w:val="000000" w:themeColor="text1"/>
                <w:sz w:val="21"/>
                <w:szCs w:val="21"/>
              </w:rPr>
              <w:t xml:space="preserve"> )</w:t>
            </w:r>
          </w:p>
        </w:tc>
        <w:tc>
          <w:tcPr>
            <w:tcW w:w="725" w:type="pct"/>
            <w:vAlign w:val="center"/>
          </w:tcPr>
          <w:p w14:paraId="5335D76E">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PM</w:t>
            </w:r>
            <w:r>
              <w:rPr>
                <w:rFonts w:ascii="Times New Roman" w:hAnsi="Times New Roman" w:cs="Times New Roman"/>
                <w:color w:val="000000" w:themeColor="text1"/>
                <w:position w:val="-2"/>
                <w:sz w:val="21"/>
                <w:szCs w:val="21"/>
                <w:vertAlign w:val="subscript"/>
              </w:rPr>
              <w:t>2.5</w:t>
            </w:r>
            <w:r>
              <w:rPr>
                <w:rFonts w:ascii="Times New Roman" w:hAnsi="Times New Roman" w:cs="Times New Roman"/>
                <w:color w:val="000000" w:themeColor="text1"/>
                <w:sz w:val="21"/>
                <w:szCs w:val="21"/>
              </w:rPr>
              <w:t>(mg/ m</w:t>
            </w:r>
            <w:r>
              <w:rPr>
                <w:rFonts w:ascii="Times New Roman" w:hAnsi="Times New Roman" w:cs="Times New Roman"/>
                <w:color w:val="000000" w:themeColor="text1"/>
                <w:position w:val="9"/>
                <w:sz w:val="21"/>
                <w:szCs w:val="21"/>
              </w:rPr>
              <w:t>3</w:t>
            </w:r>
            <w:r>
              <w:rPr>
                <w:rFonts w:ascii="Times New Roman" w:hAnsi="Times New Roman" w:cs="Times New Roman"/>
                <w:color w:val="000000" w:themeColor="text1"/>
                <w:spacing w:val="-51"/>
                <w:sz w:val="21"/>
                <w:szCs w:val="21"/>
              </w:rPr>
              <w:t xml:space="preserve"> </w:t>
            </w:r>
            <w:r>
              <w:rPr>
                <w:rFonts w:ascii="Times New Roman" w:hAnsi="Times New Roman" w:cs="Times New Roman"/>
                <w:color w:val="000000" w:themeColor="text1"/>
                <w:sz w:val="21"/>
                <w:szCs w:val="21"/>
              </w:rPr>
              <w:t>)</w:t>
            </w:r>
          </w:p>
        </w:tc>
      </w:tr>
      <w:tr w14:paraId="240F21A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30" w:type="pct"/>
            <w:vMerge w:val="restart"/>
            <w:vAlign w:val="center"/>
          </w:tcPr>
          <w:p w14:paraId="2CAF536E">
            <w:pPr>
              <w:adjustRightInd w:val="0"/>
              <w:snapToGrid w:val="0"/>
              <w:ind w:left="105" w:leftChars="50" w:right="105" w:rightChars="50"/>
              <w:rPr>
                <w:rFonts w:ascii="Times New Roman" w:hAnsi="Times New Roman" w:cs="Times New Roman" w:eastAsiaTheme="minorEastAsia"/>
                <w:color w:val="000000" w:themeColor="text1"/>
                <w:sz w:val="21"/>
                <w:szCs w:val="21"/>
                <w:lang w:eastAsia="zh-CN"/>
              </w:rPr>
            </w:pPr>
            <w:r>
              <w:rPr>
                <w:rFonts w:ascii="Times New Roman" w:hAnsi="Times New Roman" w:cs="Times New Roman" w:eastAsiaTheme="minorEastAsia"/>
                <w:color w:val="000000" w:themeColor="text1"/>
                <w:sz w:val="21"/>
                <w:szCs w:val="21"/>
                <w:lang w:eastAsia="zh-CN"/>
              </w:rPr>
              <w:t>芒市</w:t>
            </w:r>
          </w:p>
        </w:tc>
        <w:tc>
          <w:tcPr>
            <w:tcW w:w="330" w:type="pct"/>
            <w:vMerge w:val="restart"/>
            <w:vAlign w:val="center"/>
          </w:tcPr>
          <w:p w14:paraId="2D928139">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2018</w:t>
            </w:r>
            <w:r>
              <w:rPr>
                <w:rFonts w:ascii="Times New Roman" w:hAnsi="Times New Roman" w:cs="Times New Roman"/>
                <w:color w:val="000000" w:themeColor="text1"/>
                <w:spacing w:val="-23"/>
                <w:sz w:val="21"/>
                <w:szCs w:val="21"/>
              </w:rPr>
              <w:t xml:space="preserve"> 年</w:t>
            </w:r>
          </w:p>
        </w:tc>
        <w:tc>
          <w:tcPr>
            <w:tcW w:w="556" w:type="pct"/>
            <w:vAlign w:val="center"/>
          </w:tcPr>
          <w:p w14:paraId="1B4AB9FA">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年均值</w:t>
            </w:r>
          </w:p>
        </w:tc>
        <w:tc>
          <w:tcPr>
            <w:tcW w:w="664" w:type="pct"/>
            <w:vAlign w:val="center"/>
          </w:tcPr>
          <w:p w14:paraId="02A8758C">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0.015</w:t>
            </w:r>
          </w:p>
        </w:tc>
        <w:tc>
          <w:tcPr>
            <w:tcW w:w="723" w:type="pct"/>
            <w:vAlign w:val="center"/>
          </w:tcPr>
          <w:p w14:paraId="235EF75C">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0.022</w:t>
            </w:r>
          </w:p>
        </w:tc>
        <w:tc>
          <w:tcPr>
            <w:tcW w:w="644" w:type="pct"/>
            <w:vAlign w:val="center"/>
          </w:tcPr>
          <w:p w14:paraId="379A32D4">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0.7</w:t>
            </w:r>
          </w:p>
        </w:tc>
        <w:tc>
          <w:tcPr>
            <w:tcW w:w="403" w:type="pct"/>
            <w:vAlign w:val="center"/>
          </w:tcPr>
          <w:p w14:paraId="4A115B03">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0.08</w:t>
            </w:r>
          </w:p>
        </w:tc>
        <w:tc>
          <w:tcPr>
            <w:tcW w:w="725" w:type="pct"/>
            <w:vAlign w:val="center"/>
          </w:tcPr>
          <w:p w14:paraId="1C48B03E">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0.053</w:t>
            </w:r>
          </w:p>
        </w:tc>
        <w:tc>
          <w:tcPr>
            <w:tcW w:w="725" w:type="pct"/>
            <w:vAlign w:val="center"/>
          </w:tcPr>
          <w:p w14:paraId="1800A4C8">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0.034</w:t>
            </w:r>
          </w:p>
        </w:tc>
      </w:tr>
      <w:tr w14:paraId="32379A2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30" w:type="pct"/>
            <w:vMerge w:val="continue"/>
            <w:vAlign w:val="center"/>
          </w:tcPr>
          <w:p w14:paraId="3C85F5BC">
            <w:pPr>
              <w:adjustRightInd w:val="0"/>
              <w:snapToGrid w:val="0"/>
              <w:ind w:left="105" w:leftChars="50" w:right="105" w:rightChars="50"/>
              <w:rPr>
                <w:rFonts w:ascii="Times New Roman" w:hAnsi="Times New Roman" w:cs="Times New Roman" w:eastAsiaTheme="minorEastAsia"/>
                <w:color w:val="000000" w:themeColor="text1"/>
                <w:sz w:val="21"/>
                <w:szCs w:val="21"/>
                <w:lang w:eastAsia="en-US"/>
              </w:rPr>
            </w:pPr>
          </w:p>
        </w:tc>
        <w:tc>
          <w:tcPr>
            <w:tcW w:w="330" w:type="pct"/>
            <w:vMerge w:val="continue"/>
            <w:vAlign w:val="center"/>
          </w:tcPr>
          <w:p w14:paraId="2405F48D">
            <w:pPr>
              <w:adjustRightInd w:val="0"/>
              <w:snapToGrid w:val="0"/>
              <w:ind w:left="105" w:leftChars="50" w:right="105" w:rightChars="50"/>
              <w:jc w:val="center"/>
              <w:rPr>
                <w:rFonts w:ascii="Times New Roman" w:hAnsi="Times New Roman" w:cs="Times New Roman" w:eastAsiaTheme="minorEastAsia"/>
                <w:color w:val="000000" w:themeColor="text1"/>
                <w:sz w:val="21"/>
                <w:szCs w:val="21"/>
                <w:lang w:eastAsia="en-US"/>
              </w:rPr>
            </w:pPr>
          </w:p>
        </w:tc>
        <w:tc>
          <w:tcPr>
            <w:tcW w:w="556" w:type="pct"/>
            <w:vAlign w:val="center"/>
          </w:tcPr>
          <w:p w14:paraId="3977AF0D">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日均浓度范围</w:t>
            </w:r>
          </w:p>
        </w:tc>
        <w:tc>
          <w:tcPr>
            <w:tcW w:w="664" w:type="pct"/>
            <w:vAlign w:val="center"/>
          </w:tcPr>
          <w:p w14:paraId="5F273DC9">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0.007-0.036</w:t>
            </w:r>
          </w:p>
        </w:tc>
        <w:tc>
          <w:tcPr>
            <w:tcW w:w="723" w:type="pct"/>
            <w:vAlign w:val="center"/>
          </w:tcPr>
          <w:p w14:paraId="57302166">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0.009-0.059</w:t>
            </w:r>
          </w:p>
        </w:tc>
        <w:tc>
          <w:tcPr>
            <w:tcW w:w="644" w:type="pct"/>
            <w:vAlign w:val="center"/>
          </w:tcPr>
          <w:p w14:paraId="56E8F95B">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0.3-1.5</w:t>
            </w:r>
          </w:p>
        </w:tc>
        <w:tc>
          <w:tcPr>
            <w:tcW w:w="403" w:type="pct"/>
            <w:vAlign w:val="center"/>
          </w:tcPr>
          <w:p w14:paraId="3B9B5F5C">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0.010-0.172</w:t>
            </w:r>
          </w:p>
        </w:tc>
        <w:tc>
          <w:tcPr>
            <w:tcW w:w="725" w:type="pct"/>
            <w:vAlign w:val="center"/>
          </w:tcPr>
          <w:p w14:paraId="04CDD259">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0.010-0.146</w:t>
            </w:r>
          </w:p>
        </w:tc>
        <w:tc>
          <w:tcPr>
            <w:tcW w:w="725" w:type="pct"/>
            <w:vAlign w:val="center"/>
          </w:tcPr>
          <w:p w14:paraId="2E8B8597">
            <w:pPr>
              <w:pStyle w:val="281"/>
              <w:adjustRightInd w:val="0"/>
              <w:snapToGrid w:val="0"/>
              <w:ind w:left="105" w:leftChars="50" w:right="105"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0.008-0.13</w:t>
            </w:r>
          </w:p>
        </w:tc>
      </w:tr>
    </w:tbl>
    <w:p w14:paraId="58386CDA">
      <w:pPr>
        <w:adjustRightInd w:val="0"/>
        <w:snapToGrid w:val="0"/>
        <w:spacing w:line="360" w:lineRule="auto"/>
        <w:ind w:firstLine="460" w:firstLineChars="200"/>
        <w:jc w:val="left"/>
        <w:rPr>
          <w:color w:val="000000" w:themeColor="text1"/>
          <w:kern w:val="0"/>
          <w:sz w:val="24"/>
        </w:rPr>
      </w:pPr>
      <w:r>
        <w:rPr>
          <w:color w:val="000000" w:themeColor="text1"/>
          <w:spacing w:val="-5"/>
          <w:kern w:val="0"/>
          <w:sz w:val="24"/>
        </w:rPr>
        <w:t>根据《德宏州 2018 年环境质量状况公报</w:t>
      </w:r>
      <w:r>
        <w:rPr>
          <w:color w:val="000000" w:themeColor="text1"/>
          <w:spacing w:val="-4"/>
          <w:kern w:val="0"/>
          <w:sz w:val="24"/>
        </w:rPr>
        <w:t>》，芒市</w:t>
      </w:r>
      <w:r>
        <w:rPr>
          <w:rFonts w:eastAsia="Times New Roman"/>
          <w:color w:val="000000" w:themeColor="text1"/>
          <w:kern w:val="0"/>
          <w:sz w:val="24"/>
        </w:rPr>
        <w:t>2018</w:t>
      </w:r>
      <w:r>
        <w:rPr>
          <w:color w:val="000000" w:themeColor="text1"/>
          <w:spacing w:val="-24"/>
          <w:kern w:val="0"/>
          <w:sz w:val="24"/>
        </w:rPr>
        <w:t xml:space="preserve">年 </w:t>
      </w:r>
      <w:r>
        <w:rPr>
          <w:rFonts w:eastAsia="Times New Roman"/>
          <w:color w:val="000000" w:themeColor="text1"/>
          <w:kern w:val="0"/>
          <w:sz w:val="24"/>
        </w:rPr>
        <w:t>SO</w:t>
      </w:r>
      <w:r>
        <w:rPr>
          <w:rFonts w:eastAsia="Times New Roman"/>
          <w:color w:val="000000" w:themeColor="text1"/>
          <w:kern w:val="0"/>
          <w:position w:val="-2"/>
          <w:sz w:val="16"/>
        </w:rPr>
        <w:t>2</w:t>
      </w:r>
      <w:r>
        <w:rPr>
          <w:color w:val="000000" w:themeColor="text1"/>
          <w:kern w:val="0"/>
          <w:sz w:val="24"/>
        </w:rPr>
        <w:t>、</w:t>
      </w:r>
      <w:r>
        <w:rPr>
          <w:rFonts w:eastAsia="Times New Roman"/>
          <w:color w:val="000000" w:themeColor="text1"/>
          <w:kern w:val="0"/>
          <w:sz w:val="24"/>
        </w:rPr>
        <w:t>NO</w:t>
      </w:r>
      <w:r>
        <w:rPr>
          <w:rFonts w:eastAsia="Times New Roman"/>
          <w:color w:val="000000" w:themeColor="text1"/>
          <w:kern w:val="0"/>
          <w:position w:val="-2"/>
          <w:sz w:val="16"/>
        </w:rPr>
        <w:t>2</w:t>
      </w:r>
      <w:r>
        <w:rPr>
          <w:color w:val="000000" w:themeColor="text1"/>
          <w:kern w:val="0"/>
          <w:sz w:val="24"/>
        </w:rPr>
        <w:t>、</w:t>
      </w:r>
      <w:r>
        <w:rPr>
          <w:rFonts w:eastAsia="Times New Roman"/>
          <w:color w:val="000000" w:themeColor="text1"/>
          <w:kern w:val="0"/>
          <w:sz w:val="24"/>
        </w:rPr>
        <w:t>CO</w:t>
      </w:r>
      <w:r>
        <w:rPr>
          <w:rFonts w:eastAsiaTheme="minorEastAsia"/>
          <w:color w:val="000000" w:themeColor="text1"/>
          <w:spacing w:val="58"/>
          <w:kern w:val="0"/>
          <w:sz w:val="24"/>
        </w:rPr>
        <w:t>、O</w:t>
      </w:r>
      <w:r>
        <w:rPr>
          <w:rFonts w:eastAsiaTheme="minorEastAsia"/>
          <w:color w:val="000000" w:themeColor="text1"/>
          <w:spacing w:val="58"/>
          <w:kern w:val="0"/>
          <w:sz w:val="24"/>
          <w:vertAlign w:val="subscript"/>
        </w:rPr>
        <w:t>3</w:t>
      </w:r>
      <w:r>
        <w:rPr>
          <w:rFonts w:eastAsiaTheme="minorEastAsia"/>
          <w:color w:val="000000" w:themeColor="text1"/>
          <w:spacing w:val="58"/>
          <w:kern w:val="0"/>
          <w:sz w:val="24"/>
        </w:rPr>
        <w:t>、</w:t>
      </w:r>
      <w:r>
        <w:rPr>
          <w:rFonts w:eastAsia="Times New Roman"/>
          <w:color w:val="000000" w:themeColor="text1"/>
          <w:kern w:val="0"/>
          <w:sz w:val="24"/>
        </w:rPr>
        <w:t>PM</w:t>
      </w:r>
      <w:r>
        <w:rPr>
          <w:rFonts w:eastAsia="Times New Roman"/>
          <w:color w:val="000000" w:themeColor="text1"/>
          <w:kern w:val="0"/>
          <w:position w:val="-2"/>
          <w:sz w:val="16"/>
        </w:rPr>
        <w:t>10</w:t>
      </w:r>
      <w:r>
        <w:rPr>
          <w:color w:val="000000" w:themeColor="text1"/>
          <w:kern w:val="0"/>
          <w:sz w:val="24"/>
        </w:rPr>
        <w:t>、</w:t>
      </w:r>
      <w:r>
        <w:rPr>
          <w:rFonts w:eastAsia="Times New Roman"/>
          <w:color w:val="000000" w:themeColor="text1"/>
          <w:kern w:val="0"/>
          <w:sz w:val="24"/>
        </w:rPr>
        <w:t>PM</w:t>
      </w:r>
      <w:r>
        <w:rPr>
          <w:rFonts w:eastAsia="Times New Roman"/>
          <w:color w:val="000000" w:themeColor="text1"/>
          <w:kern w:val="0"/>
          <w:position w:val="-2"/>
          <w:sz w:val="16"/>
        </w:rPr>
        <w:t xml:space="preserve">2.5 </w:t>
      </w:r>
      <w:r>
        <w:rPr>
          <w:color w:val="000000" w:themeColor="text1"/>
          <w:spacing w:val="-10"/>
          <w:kern w:val="0"/>
          <w:sz w:val="24"/>
        </w:rPr>
        <w:t>年均浓度分别为</w:t>
      </w:r>
      <w:r>
        <w:rPr>
          <w:rFonts w:eastAsia="Times New Roman"/>
          <w:color w:val="000000" w:themeColor="text1"/>
          <w:kern w:val="0"/>
          <w:sz w:val="24"/>
        </w:rPr>
        <w:t>0.015ug/m</w:t>
      </w:r>
      <w:r>
        <w:rPr>
          <w:rFonts w:eastAsia="Times New Roman"/>
          <w:color w:val="000000" w:themeColor="text1"/>
          <w:kern w:val="0"/>
          <w:position w:val="11"/>
          <w:sz w:val="16"/>
        </w:rPr>
        <w:t>3</w:t>
      </w:r>
      <w:r>
        <w:rPr>
          <w:color w:val="000000" w:themeColor="text1"/>
          <w:kern w:val="0"/>
          <w:sz w:val="24"/>
        </w:rPr>
        <w:t>、</w:t>
      </w:r>
      <w:r>
        <w:rPr>
          <w:rFonts w:eastAsia="Times New Roman"/>
          <w:color w:val="000000" w:themeColor="text1"/>
          <w:kern w:val="0"/>
          <w:sz w:val="24"/>
        </w:rPr>
        <w:t>0.022 ug/m</w:t>
      </w:r>
      <w:r>
        <w:rPr>
          <w:rFonts w:eastAsia="Times New Roman"/>
          <w:color w:val="000000" w:themeColor="text1"/>
          <w:kern w:val="0"/>
          <w:position w:val="11"/>
          <w:sz w:val="16"/>
        </w:rPr>
        <w:t>3</w:t>
      </w:r>
      <w:r>
        <w:rPr>
          <w:color w:val="000000" w:themeColor="text1"/>
          <w:kern w:val="0"/>
          <w:sz w:val="24"/>
        </w:rPr>
        <w:t>、</w:t>
      </w:r>
      <w:r>
        <w:rPr>
          <w:rFonts w:eastAsia="Times New Roman"/>
          <w:color w:val="000000" w:themeColor="text1"/>
          <w:kern w:val="0"/>
          <w:sz w:val="24"/>
        </w:rPr>
        <w:t>0.7ug/m</w:t>
      </w:r>
      <w:r>
        <w:rPr>
          <w:rFonts w:eastAsia="Times New Roman"/>
          <w:color w:val="000000" w:themeColor="text1"/>
          <w:kern w:val="0"/>
          <w:position w:val="11"/>
          <w:sz w:val="16"/>
        </w:rPr>
        <w:t>3</w:t>
      </w:r>
      <w:r>
        <w:rPr>
          <w:color w:val="000000" w:themeColor="text1"/>
          <w:kern w:val="0"/>
          <w:sz w:val="24"/>
        </w:rPr>
        <w:t>、</w:t>
      </w:r>
      <w:r>
        <w:rPr>
          <w:rFonts w:eastAsia="Times New Roman"/>
          <w:color w:val="000000" w:themeColor="text1"/>
          <w:kern w:val="0"/>
          <w:sz w:val="24"/>
        </w:rPr>
        <w:t>0.08ug/m</w:t>
      </w:r>
      <w:r>
        <w:rPr>
          <w:rFonts w:eastAsia="Times New Roman"/>
          <w:color w:val="000000" w:themeColor="text1"/>
          <w:kern w:val="0"/>
          <w:position w:val="11"/>
          <w:sz w:val="16"/>
        </w:rPr>
        <w:t>3</w:t>
      </w:r>
      <w:r>
        <w:rPr>
          <w:color w:val="000000" w:themeColor="text1"/>
          <w:kern w:val="0"/>
          <w:sz w:val="24"/>
        </w:rPr>
        <w:t>、</w:t>
      </w:r>
      <w:r>
        <w:rPr>
          <w:rFonts w:eastAsia="Times New Roman"/>
          <w:color w:val="000000" w:themeColor="text1"/>
          <w:kern w:val="0"/>
          <w:sz w:val="24"/>
        </w:rPr>
        <w:t>0.053ug/m</w:t>
      </w:r>
      <w:r>
        <w:rPr>
          <w:rFonts w:eastAsia="Times New Roman"/>
          <w:color w:val="000000" w:themeColor="text1"/>
          <w:kern w:val="0"/>
          <w:position w:val="11"/>
          <w:sz w:val="16"/>
        </w:rPr>
        <w:t>3</w:t>
      </w:r>
      <w:r>
        <w:rPr>
          <w:color w:val="000000" w:themeColor="text1"/>
          <w:kern w:val="0"/>
          <w:sz w:val="24"/>
        </w:rPr>
        <w:t>、</w:t>
      </w:r>
      <w:r>
        <w:rPr>
          <w:rFonts w:eastAsia="Times New Roman"/>
          <w:color w:val="000000" w:themeColor="text1"/>
          <w:kern w:val="0"/>
          <w:sz w:val="24"/>
        </w:rPr>
        <w:t>0.034ug/m</w:t>
      </w:r>
      <w:r>
        <w:rPr>
          <w:rFonts w:eastAsia="Times New Roman"/>
          <w:color w:val="000000" w:themeColor="text1"/>
          <w:kern w:val="0"/>
          <w:position w:val="11"/>
          <w:sz w:val="16"/>
        </w:rPr>
        <w:t>3</w:t>
      </w:r>
      <w:r>
        <w:rPr>
          <w:color w:val="000000" w:themeColor="text1"/>
          <w:kern w:val="0"/>
          <w:sz w:val="24"/>
        </w:rPr>
        <w:t>；</w:t>
      </w:r>
      <w:r>
        <w:rPr>
          <w:color w:val="000000" w:themeColor="text1"/>
          <w:spacing w:val="-8"/>
          <w:kern w:val="0"/>
          <w:sz w:val="24"/>
        </w:rPr>
        <w:t>各污染物平均浓度均优于《环境空气质量标准</w:t>
      </w:r>
      <w:r>
        <w:rPr>
          <w:color w:val="000000" w:themeColor="text1"/>
          <w:spacing w:val="-180"/>
          <w:kern w:val="0"/>
          <w:sz w:val="24"/>
        </w:rPr>
        <w:t>》</w:t>
      </w:r>
      <w:r>
        <w:rPr>
          <w:color w:val="000000" w:themeColor="text1"/>
          <w:kern w:val="0"/>
          <w:sz w:val="24"/>
        </w:rPr>
        <w:t>（</w:t>
      </w:r>
      <w:r>
        <w:rPr>
          <w:rFonts w:eastAsia="Times New Roman"/>
          <w:color w:val="000000" w:themeColor="text1"/>
          <w:kern w:val="0"/>
          <w:sz w:val="24"/>
        </w:rPr>
        <w:t>GB3095-2012</w:t>
      </w:r>
      <w:r>
        <w:rPr>
          <w:color w:val="000000" w:themeColor="text1"/>
          <w:kern w:val="0"/>
          <w:sz w:val="24"/>
        </w:rPr>
        <w:t>） 中二级标准限值，属于达标区。</w:t>
      </w:r>
    </w:p>
    <w:p w14:paraId="0EADE6A9">
      <w:pPr>
        <w:adjustRightInd w:val="0"/>
        <w:snapToGrid w:val="0"/>
        <w:spacing w:line="360" w:lineRule="auto"/>
        <w:ind w:firstLine="482" w:firstLineChars="200"/>
        <w:rPr>
          <w:b/>
          <w:color w:val="000000" w:themeColor="text1"/>
          <w:sz w:val="24"/>
        </w:rPr>
      </w:pPr>
      <w:r>
        <w:rPr>
          <w:b/>
          <w:color w:val="000000" w:themeColor="text1"/>
          <w:sz w:val="24"/>
        </w:rPr>
        <w:t>2、补充监测</w:t>
      </w:r>
    </w:p>
    <w:p w14:paraId="4FE22F4C">
      <w:pPr>
        <w:adjustRightInd w:val="0"/>
        <w:snapToGrid w:val="0"/>
        <w:spacing w:line="360" w:lineRule="auto"/>
        <w:ind w:firstLine="482" w:firstLineChars="200"/>
        <w:rPr>
          <w:b/>
          <w:color w:val="000000" w:themeColor="text1"/>
          <w:sz w:val="24"/>
        </w:rPr>
      </w:pPr>
      <w:r>
        <w:rPr>
          <w:b/>
          <w:color w:val="000000" w:themeColor="text1"/>
          <w:sz w:val="24"/>
        </w:rPr>
        <w:t>（1）监测点布设</w:t>
      </w:r>
    </w:p>
    <w:p w14:paraId="3A5E3101">
      <w:pPr>
        <w:adjustRightInd w:val="0"/>
        <w:snapToGrid w:val="0"/>
        <w:spacing w:line="360" w:lineRule="auto"/>
        <w:ind w:firstLine="480" w:firstLineChars="200"/>
        <w:rPr>
          <w:color w:val="000000" w:themeColor="text1"/>
          <w:sz w:val="24"/>
        </w:rPr>
      </w:pPr>
      <w:r>
        <w:rPr>
          <w:color w:val="000000" w:themeColor="text1"/>
          <w:sz w:val="24"/>
        </w:rPr>
        <w:t>根据评价区主导风向、风频、区域的环境特征，综合参考区域内城镇、居民点分布情况，在评价范围内共布设了1个环境空气质量现状监测点（户拉村）。</w:t>
      </w:r>
    </w:p>
    <w:p w14:paraId="5161195C">
      <w:pPr>
        <w:adjustRightInd w:val="0"/>
        <w:snapToGrid w:val="0"/>
        <w:spacing w:line="360" w:lineRule="auto"/>
        <w:ind w:firstLine="482" w:firstLineChars="200"/>
        <w:rPr>
          <w:b/>
          <w:bCs/>
          <w:color w:val="000000" w:themeColor="text1"/>
          <w:sz w:val="24"/>
        </w:rPr>
      </w:pPr>
      <w:r>
        <w:rPr>
          <w:b/>
          <w:bCs/>
          <w:color w:val="000000" w:themeColor="text1"/>
          <w:sz w:val="24"/>
        </w:rPr>
        <w:t>（2）监测项目、时间与频次</w:t>
      </w:r>
    </w:p>
    <w:p w14:paraId="3E1CE7FF">
      <w:pPr>
        <w:adjustRightInd w:val="0"/>
        <w:snapToGrid w:val="0"/>
        <w:spacing w:line="360" w:lineRule="auto"/>
        <w:ind w:firstLine="482" w:firstLineChars="200"/>
        <w:rPr>
          <w:color w:val="000000" w:themeColor="text1"/>
          <w:sz w:val="24"/>
        </w:rPr>
      </w:pPr>
      <w:r>
        <w:rPr>
          <w:b/>
          <w:color w:val="000000" w:themeColor="text1"/>
          <w:sz w:val="24"/>
        </w:rPr>
        <w:t>监测项目：</w:t>
      </w:r>
      <w:r>
        <w:rPr>
          <w:color w:val="000000" w:themeColor="text1"/>
          <w:sz w:val="24"/>
        </w:rPr>
        <w:t>TSP、PM</w:t>
      </w:r>
      <w:r>
        <w:rPr>
          <w:color w:val="000000" w:themeColor="text1"/>
          <w:sz w:val="24"/>
          <w:vertAlign w:val="subscript"/>
        </w:rPr>
        <w:t>10</w:t>
      </w:r>
      <w:r>
        <w:rPr>
          <w:color w:val="000000" w:themeColor="text1"/>
          <w:sz w:val="24"/>
        </w:rPr>
        <w:t>、SO</w:t>
      </w:r>
      <w:r>
        <w:rPr>
          <w:color w:val="000000" w:themeColor="text1"/>
          <w:sz w:val="24"/>
          <w:vertAlign w:val="subscript"/>
        </w:rPr>
        <w:t>2</w:t>
      </w:r>
      <w:r>
        <w:rPr>
          <w:color w:val="000000" w:themeColor="text1"/>
          <w:sz w:val="24"/>
        </w:rPr>
        <w:t>、NO</w:t>
      </w:r>
      <w:r>
        <w:rPr>
          <w:color w:val="000000" w:themeColor="text1"/>
          <w:sz w:val="24"/>
          <w:vertAlign w:val="subscript"/>
        </w:rPr>
        <w:t>2</w:t>
      </w:r>
      <w:r>
        <w:rPr>
          <w:color w:val="000000" w:themeColor="text1"/>
          <w:sz w:val="24"/>
        </w:rPr>
        <w:t>、非甲烷总烃，共5项。</w:t>
      </w:r>
    </w:p>
    <w:p w14:paraId="4E5F01BF">
      <w:pPr>
        <w:adjustRightInd w:val="0"/>
        <w:snapToGrid w:val="0"/>
        <w:spacing w:line="360" w:lineRule="auto"/>
        <w:ind w:firstLine="482" w:firstLineChars="200"/>
        <w:rPr>
          <w:color w:val="000000" w:themeColor="text1"/>
          <w:sz w:val="24"/>
        </w:rPr>
      </w:pPr>
      <w:r>
        <w:rPr>
          <w:b/>
          <w:color w:val="000000" w:themeColor="text1"/>
          <w:sz w:val="24"/>
        </w:rPr>
        <w:t>监测时间：</w:t>
      </w:r>
      <w:r>
        <w:rPr>
          <w:color w:val="000000" w:themeColor="text1"/>
          <w:sz w:val="24"/>
        </w:rPr>
        <w:t>2019年11月12日~18日；</w:t>
      </w:r>
    </w:p>
    <w:p w14:paraId="031D0549">
      <w:pPr>
        <w:adjustRightInd w:val="0"/>
        <w:snapToGrid w:val="0"/>
        <w:spacing w:line="360" w:lineRule="auto"/>
        <w:ind w:firstLine="482" w:firstLineChars="200"/>
        <w:jc w:val="left"/>
        <w:rPr>
          <w:color w:val="000000" w:themeColor="text1"/>
          <w:sz w:val="24"/>
        </w:rPr>
      </w:pPr>
      <w:r>
        <w:rPr>
          <w:b/>
          <w:color w:val="000000" w:themeColor="text1"/>
          <w:sz w:val="24"/>
        </w:rPr>
        <w:t>监测频次：</w:t>
      </w:r>
      <w:r>
        <w:rPr>
          <w:color w:val="000000" w:themeColor="text1"/>
          <w:sz w:val="24"/>
        </w:rPr>
        <w:t>连续7天监测，NO</w:t>
      </w:r>
      <w:r>
        <w:rPr>
          <w:color w:val="000000" w:themeColor="text1"/>
          <w:sz w:val="24"/>
          <w:vertAlign w:val="subscript"/>
        </w:rPr>
        <w:t>2</w:t>
      </w:r>
      <w:r>
        <w:rPr>
          <w:color w:val="000000" w:themeColor="text1"/>
          <w:sz w:val="24"/>
        </w:rPr>
        <w:t>、SO</w:t>
      </w:r>
      <w:r>
        <w:rPr>
          <w:color w:val="000000" w:themeColor="text1"/>
          <w:sz w:val="24"/>
          <w:vertAlign w:val="subscript"/>
        </w:rPr>
        <w:t>2</w:t>
      </w:r>
      <w:r>
        <w:rPr>
          <w:color w:val="000000" w:themeColor="text1"/>
          <w:sz w:val="24"/>
        </w:rPr>
        <w:t xml:space="preserve"> 包括 1小时平均浓度（4 个时段）和24 小时平均浓度，TSP、PM</w:t>
      </w:r>
      <w:r>
        <w:rPr>
          <w:color w:val="000000" w:themeColor="text1"/>
          <w:sz w:val="24"/>
          <w:vertAlign w:val="subscript"/>
        </w:rPr>
        <w:t>10</w:t>
      </w:r>
      <w:r>
        <w:rPr>
          <w:color w:val="000000" w:themeColor="text1"/>
          <w:sz w:val="24"/>
        </w:rPr>
        <w:t xml:space="preserve"> 包括 24 小时平均浓度，非甲烷总烃 1 小时平均浓 度（4 个时段）。 </w:t>
      </w:r>
    </w:p>
    <w:p w14:paraId="2F6F6E0C">
      <w:pPr>
        <w:adjustRightInd w:val="0"/>
        <w:snapToGrid w:val="0"/>
        <w:spacing w:line="360" w:lineRule="auto"/>
        <w:ind w:firstLine="482" w:firstLineChars="200"/>
        <w:rPr>
          <w:b/>
          <w:bCs/>
          <w:color w:val="000000" w:themeColor="text1"/>
          <w:sz w:val="24"/>
        </w:rPr>
      </w:pPr>
      <w:r>
        <w:rPr>
          <w:b/>
          <w:bCs/>
          <w:color w:val="000000" w:themeColor="text1"/>
          <w:sz w:val="24"/>
        </w:rPr>
        <w:t>（3）监测结果统计与评价</w:t>
      </w:r>
    </w:p>
    <w:p w14:paraId="739C1C70">
      <w:pPr>
        <w:adjustRightInd w:val="0"/>
        <w:snapToGrid w:val="0"/>
        <w:spacing w:line="360" w:lineRule="auto"/>
        <w:ind w:firstLine="420" w:firstLineChars="200"/>
        <w:rPr>
          <w:color w:val="000000" w:themeColor="text1"/>
          <w:sz w:val="24"/>
        </w:rPr>
      </w:pPr>
      <w:r>
        <w:fldChar w:fldCharType="begin"/>
      </w:r>
      <w:r>
        <w:instrText xml:space="preserve"> HYPERLINK \l "_bookmark127" </w:instrText>
      </w:r>
      <w:r>
        <w:fldChar w:fldCharType="separate"/>
      </w:r>
      <w:r>
        <w:rPr>
          <w:color w:val="000000" w:themeColor="text1"/>
          <w:sz w:val="24"/>
        </w:rPr>
        <w:t>环境空气质量现状监测汇总统计结果见表4.5-1~4.5-2</w:t>
      </w:r>
      <w:r>
        <w:rPr>
          <w:color w:val="000000" w:themeColor="text1"/>
          <w:sz w:val="24"/>
        </w:rPr>
        <w:fldChar w:fldCharType="end"/>
      </w:r>
      <w:r>
        <w:rPr>
          <w:color w:val="000000" w:themeColor="text1"/>
          <w:sz w:val="24"/>
        </w:rPr>
        <w:t>。</w:t>
      </w:r>
    </w:p>
    <w:p w14:paraId="08179013">
      <w:pPr>
        <w:adjustRightInd w:val="0"/>
        <w:snapToGrid w:val="0"/>
        <w:spacing w:line="360" w:lineRule="auto"/>
        <w:ind w:firstLine="480" w:firstLineChars="200"/>
        <w:rPr>
          <w:color w:val="000000" w:themeColor="text1"/>
          <w:sz w:val="24"/>
        </w:rPr>
      </w:pPr>
      <w:r>
        <w:rPr>
          <w:color w:val="000000" w:themeColor="text1"/>
          <w:sz w:val="24"/>
        </w:rPr>
        <w:t>TSP、PM</w:t>
      </w:r>
      <w:r>
        <w:rPr>
          <w:color w:val="000000" w:themeColor="text1"/>
          <w:sz w:val="24"/>
          <w:vertAlign w:val="subscript"/>
        </w:rPr>
        <w:t>10</w:t>
      </w:r>
      <w:r>
        <w:rPr>
          <w:color w:val="000000" w:themeColor="text1"/>
          <w:sz w:val="24"/>
        </w:rPr>
        <w:t>、SO</w:t>
      </w:r>
      <w:r>
        <w:rPr>
          <w:color w:val="000000" w:themeColor="text1"/>
          <w:sz w:val="24"/>
          <w:vertAlign w:val="subscript"/>
        </w:rPr>
        <w:t>2</w:t>
      </w:r>
      <w:r>
        <w:rPr>
          <w:color w:val="000000" w:themeColor="text1"/>
          <w:sz w:val="24"/>
        </w:rPr>
        <w:t>、NO</w:t>
      </w:r>
      <w:r>
        <w:rPr>
          <w:color w:val="000000" w:themeColor="text1"/>
          <w:sz w:val="24"/>
          <w:vertAlign w:val="subscript"/>
        </w:rPr>
        <w:t>2</w:t>
      </w:r>
      <w:r>
        <w:rPr>
          <w:color w:val="000000" w:themeColor="text1"/>
          <w:sz w:val="24"/>
        </w:rPr>
        <w:t>、非甲烷总烃，监测值对照 GB3095-2012《环境空气质量标准》评价。</w:t>
      </w:r>
    </w:p>
    <w:p w14:paraId="0B8D9302">
      <w:pPr>
        <w:jc w:val="center"/>
        <w:rPr>
          <w:b/>
          <w:bCs/>
          <w:color w:val="000000" w:themeColor="text1"/>
          <w:sz w:val="24"/>
        </w:rPr>
      </w:pPr>
      <w:r>
        <w:rPr>
          <w:b/>
          <w:bCs/>
          <w:color w:val="000000" w:themeColor="text1"/>
          <w:sz w:val="24"/>
        </w:rPr>
        <w:t>表4.2-2  空气质量日均浓度统计及评价</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83"/>
        <w:gridCol w:w="2884"/>
        <w:gridCol w:w="1368"/>
        <w:gridCol w:w="1037"/>
        <w:gridCol w:w="1037"/>
        <w:gridCol w:w="1037"/>
      </w:tblGrid>
      <w:tr w14:paraId="16C3E9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0" w:hRule="atLeast"/>
          <w:jc w:val="center"/>
        </w:trPr>
        <w:tc>
          <w:tcPr>
            <w:tcW w:w="839" w:type="pct"/>
            <w:shd w:val="clear" w:color="auto" w:fill="auto"/>
            <w:vAlign w:val="center"/>
          </w:tcPr>
          <w:p w14:paraId="2FA6DFA9">
            <w:pPr>
              <w:widowControl/>
              <w:jc w:val="center"/>
              <w:rPr>
                <w:b/>
                <w:color w:val="000000" w:themeColor="text1"/>
                <w:szCs w:val="21"/>
              </w:rPr>
            </w:pPr>
            <w:r>
              <w:rPr>
                <w:b/>
                <w:color w:val="000000" w:themeColor="text1"/>
                <w:szCs w:val="21"/>
              </w:rPr>
              <w:t>监测点位</w:t>
            </w:r>
          </w:p>
        </w:tc>
        <w:tc>
          <w:tcPr>
            <w:tcW w:w="1630" w:type="pct"/>
            <w:shd w:val="clear" w:color="auto" w:fill="auto"/>
            <w:vAlign w:val="center"/>
          </w:tcPr>
          <w:p w14:paraId="25C272CA">
            <w:pPr>
              <w:widowControl/>
              <w:jc w:val="center"/>
              <w:rPr>
                <w:b/>
                <w:color w:val="000000" w:themeColor="text1"/>
                <w:szCs w:val="21"/>
              </w:rPr>
            </w:pPr>
            <w:r>
              <w:rPr>
                <w:b/>
                <w:color w:val="000000" w:themeColor="text1"/>
                <w:szCs w:val="21"/>
              </w:rPr>
              <w:t>项目</w:t>
            </w:r>
          </w:p>
        </w:tc>
        <w:tc>
          <w:tcPr>
            <w:tcW w:w="773" w:type="pct"/>
            <w:shd w:val="clear" w:color="auto" w:fill="auto"/>
            <w:vAlign w:val="center"/>
          </w:tcPr>
          <w:p w14:paraId="040312A5">
            <w:pPr>
              <w:widowControl/>
              <w:jc w:val="center"/>
              <w:rPr>
                <w:b/>
                <w:color w:val="000000" w:themeColor="text1"/>
                <w:szCs w:val="21"/>
              </w:rPr>
            </w:pPr>
            <w:r>
              <w:rPr>
                <w:b/>
                <w:color w:val="000000" w:themeColor="text1"/>
                <w:szCs w:val="21"/>
              </w:rPr>
              <w:t>TSP</w:t>
            </w:r>
          </w:p>
        </w:tc>
        <w:tc>
          <w:tcPr>
            <w:tcW w:w="586" w:type="pct"/>
            <w:shd w:val="clear" w:color="auto" w:fill="auto"/>
            <w:vAlign w:val="center"/>
          </w:tcPr>
          <w:p w14:paraId="4F79F3F8">
            <w:pPr>
              <w:widowControl/>
              <w:jc w:val="center"/>
              <w:rPr>
                <w:b/>
                <w:color w:val="000000" w:themeColor="text1"/>
                <w:szCs w:val="21"/>
              </w:rPr>
            </w:pPr>
            <w:r>
              <w:rPr>
                <w:b/>
                <w:color w:val="000000" w:themeColor="text1"/>
                <w:szCs w:val="21"/>
              </w:rPr>
              <w:t>PM</w:t>
            </w:r>
            <w:r>
              <w:rPr>
                <w:b/>
                <w:color w:val="000000" w:themeColor="text1"/>
                <w:szCs w:val="21"/>
                <w:vertAlign w:val="subscript"/>
              </w:rPr>
              <w:t>10</w:t>
            </w:r>
          </w:p>
        </w:tc>
        <w:tc>
          <w:tcPr>
            <w:tcW w:w="586" w:type="pct"/>
            <w:shd w:val="clear" w:color="auto" w:fill="auto"/>
            <w:vAlign w:val="center"/>
          </w:tcPr>
          <w:p w14:paraId="2F69CC3A">
            <w:pPr>
              <w:widowControl/>
              <w:jc w:val="center"/>
              <w:rPr>
                <w:b/>
                <w:color w:val="000000" w:themeColor="text1"/>
                <w:szCs w:val="21"/>
              </w:rPr>
            </w:pPr>
            <w:r>
              <w:rPr>
                <w:b/>
                <w:color w:val="000000" w:themeColor="text1"/>
                <w:szCs w:val="21"/>
              </w:rPr>
              <w:t>SO</w:t>
            </w:r>
            <w:r>
              <w:rPr>
                <w:b/>
                <w:color w:val="000000" w:themeColor="text1"/>
                <w:szCs w:val="21"/>
                <w:vertAlign w:val="subscript"/>
              </w:rPr>
              <w:t>2</w:t>
            </w:r>
          </w:p>
        </w:tc>
        <w:tc>
          <w:tcPr>
            <w:tcW w:w="586" w:type="pct"/>
            <w:shd w:val="clear" w:color="auto" w:fill="auto"/>
            <w:vAlign w:val="center"/>
          </w:tcPr>
          <w:p w14:paraId="634B1174">
            <w:pPr>
              <w:widowControl/>
              <w:jc w:val="center"/>
              <w:rPr>
                <w:b/>
                <w:color w:val="000000" w:themeColor="text1"/>
                <w:szCs w:val="21"/>
              </w:rPr>
            </w:pPr>
            <w:r>
              <w:rPr>
                <w:b/>
                <w:color w:val="000000" w:themeColor="text1"/>
                <w:szCs w:val="21"/>
              </w:rPr>
              <w:t>NO</w:t>
            </w:r>
            <w:r>
              <w:rPr>
                <w:b/>
                <w:color w:val="000000" w:themeColor="text1"/>
                <w:szCs w:val="21"/>
                <w:vertAlign w:val="subscript"/>
              </w:rPr>
              <w:t>2</w:t>
            </w:r>
          </w:p>
        </w:tc>
      </w:tr>
      <w:tr w14:paraId="64AB58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39" w:type="pct"/>
            <w:vMerge w:val="restart"/>
            <w:shd w:val="clear" w:color="auto" w:fill="auto"/>
            <w:vAlign w:val="center"/>
          </w:tcPr>
          <w:p w14:paraId="68E533F2">
            <w:pPr>
              <w:widowControl/>
              <w:jc w:val="center"/>
              <w:rPr>
                <w:b/>
                <w:color w:val="000000" w:themeColor="text1"/>
                <w:szCs w:val="21"/>
              </w:rPr>
            </w:pPr>
            <w:r>
              <w:rPr>
                <w:b/>
                <w:bCs/>
                <w:color w:val="000000" w:themeColor="text1"/>
                <w:szCs w:val="21"/>
              </w:rPr>
              <w:t>户拉村</w:t>
            </w:r>
          </w:p>
        </w:tc>
        <w:tc>
          <w:tcPr>
            <w:tcW w:w="1630" w:type="pct"/>
            <w:shd w:val="clear" w:color="auto" w:fill="auto"/>
            <w:vAlign w:val="center"/>
          </w:tcPr>
          <w:p w14:paraId="2088D36A">
            <w:pPr>
              <w:widowControl/>
              <w:jc w:val="center"/>
              <w:rPr>
                <w:color w:val="000000" w:themeColor="text1"/>
                <w:szCs w:val="21"/>
              </w:rPr>
            </w:pPr>
            <w:r>
              <w:rPr>
                <w:color w:val="000000" w:themeColor="text1"/>
                <w:szCs w:val="21"/>
              </w:rPr>
              <w:t>日均值范围（ug/m</w:t>
            </w:r>
            <w:r>
              <w:rPr>
                <w:color w:val="000000" w:themeColor="text1"/>
                <w:szCs w:val="21"/>
                <w:vertAlign w:val="superscript"/>
              </w:rPr>
              <w:t>3</w:t>
            </w:r>
            <w:r>
              <w:rPr>
                <w:color w:val="000000" w:themeColor="text1"/>
                <w:szCs w:val="21"/>
              </w:rPr>
              <w:t>）</w:t>
            </w:r>
          </w:p>
        </w:tc>
        <w:tc>
          <w:tcPr>
            <w:tcW w:w="773" w:type="pct"/>
            <w:shd w:val="clear" w:color="auto" w:fill="auto"/>
            <w:vAlign w:val="center"/>
          </w:tcPr>
          <w:p w14:paraId="6A8FE0CB">
            <w:pPr>
              <w:widowControl/>
              <w:jc w:val="center"/>
              <w:rPr>
                <w:color w:val="000000" w:themeColor="text1"/>
                <w:szCs w:val="21"/>
              </w:rPr>
            </w:pPr>
            <w:r>
              <w:rPr>
                <w:color w:val="000000" w:themeColor="text1"/>
                <w:szCs w:val="21"/>
              </w:rPr>
              <w:t>47~65</w:t>
            </w:r>
          </w:p>
        </w:tc>
        <w:tc>
          <w:tcPr>
            <w:tcW w:w="586" w:type="pct"/>
            <w:shd w:val="clear" w:color="auto" w:fill="auto"/>
            <w:noWrap/>
            <w:vAlign w:val="center"/>
          </w:tcPr>
          <w:p w14:paraId="5B52BB5D">
            <w:pPr>
              <w:widowControl/>
              <w:jc w:val="center"/>
              <w:rPr>
                <w:color w:val="000000" w:themeColor="text1"/>
                <w:szCs w:val="21"/>
              </w:rPr>
            </w:pPr>
            <w:r>
              <w:rPr>
                <w:color w:val="000000" w:themeColor="text1"/>
                <w:szCs w:val="21"/>
              </w:rPr>
              <w:t>23~35</w:t>
            </w:r>
          </w:p>
        </w:tc>
        <w:tc>
          <w:tcPr>
            <w:tcW w:w="586" w:type="pct"/>
            <w:shd w:val="clear" w:color="auto" w:fill="auto"/>
            <w:noWrap/>
            <w:vAlign w:val="center"/>
          </w:tcPr>
          <w:p w14:paraId="5B099351">
            <w:pPr>
              <w:widowControl/>
              <w:jc w:val="center"/>
              <w:rPr>
                <w:color w:val="000000" w:themeColor="text1"/>
                <w:szCs w:val="21"/>
              </w:rPr>
            </w:pPr>
            <w:r>
              <w:rPr>
                <w:color w:val="000000" w:themeColor="text1"/>
                <w:szCs w:val="21"/>
              </w:rPr>
              <w:t>11~15</w:t>
            </w:r>
          </w:p>
        </w:tc>
        <w:tc>
          <w:tcPr>
            <w:tcW w:w="586" w:type="pct"/>
            <w:shd w:val="clear" w:color="auto" w:fill="auto"/>
            <w:noWrap/>
            <w:vAlign w:val="center"/>
          </w:tcPr>
          <w:p w14:paraId="481C2DFB">
            <w:pPr>
              <w:widowControl/>
              <w:jc w:val="center"/>
              <w:rPr>
                <w:color w:val="000000" w:themeColor="text1"/>
                <w:szCs w:val="21"/>
              </w:rPr>
            </w:pPr>
            <w:r>
              <w:rPr>
                <w:color w:val="000000" w:themeColor="text1"/>
                <w:szCs w:val="21"/>
              </w:rPr>
              <w:t>13~18</w:t>
            </w:r>
          </w:p>
        </w:tc>
      </w:tr>
      <w:tr w14:paraId="1D8E25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 w:hRule="atLeast"/>
          <w:jc w:val="center"/>
        </w:trPr>
        <w:tc>
          <w:tcPr>
            <w:tcW w:w="839" w:type="pct"/>
            <w:vMerge w:val="continue"/>
            <w:vAlign w:val="center"/>
          </w:tcPr>
          <w:p w14:paraId="69772130">
            <w:pPr>
              <w:widowControl/>
              <w:jc w:val="center"/>
              <w:rPr>
                <w:b/>
                <w:color w:val="000000" w:themeColor="text1"/>
                <w:szCs w:val="21"/>
              </w:rPr>
            </w:pPr>
          </w:p>
        </w:tc>
        <w:tc>
          <w:tcPr>
            <w:tcW w:w="1630" w:type="pct"/>
            <w:shd w:val="clear" w:color="auto" w:fill="auto"/>
            <w:vAlign w:val="center"/>
          </w:tcPr>
          <w:p w14:paraId="5A6F9CA5">
            <w:pPr>
              <w:widowControl/>
              <w:jc w:val="center"/>
              <w:rPr>
                <w:color w:val="000000" w:themeColor="text1"/>
                <w:szCs w:val="21"/>
              </w:rPr>
            </w:pPr>
            <w:r>
              <w:rPr>
                <w:color w:val="000000" w:themeColor="text1"/>
                <w:szCs w:val="21"/>
              </w:rPr>
              <w:t>标准值 （ug/m</w:t>
            </w:r>
            <w:r>
              <w:rPr>
                <w:color w:val="000000" w:themeColor="text1"/>
                <w:szCs w:val="21"/>
                <w:vertAlign w:val="superscript"/>
              </w:rPr>
              <w:t>3</w:t>
            </w:r>
            <w:r>
              <w:rPr>
                <w:color w:val="000000" w:themeColor="text1"/>
                <w:szCs w:val="21"/>
              </w:rPr>
              <w:t>）</w:t>
            </w:r>
          </w:p>
        </w:tc>
        <w:tc>
          <w:tcPr>
            <w:tcW w:w="773" w:type="pct"/>
            <w:shd w:val="clear" w:color="auto" w:fill="auto"/>
            <w:vAlign w:val="center"/>
          </w:tcPr>
          <w:p w14:paraId="43020EF5">
            <w:pPr>
              <w:widowControl/>
              <w:jc w:val="center"/>
              <w:rPr>
                <w:color w:val="000000" w:themeColor="text1"/>
                <w:szCs w:val="21"/>
              </w:rPr>
            </w:pPr>
            <w:r>
              <w:rPr>
                <w:color w:val="000000" w:themeColor="text1"/>
                <w:szCs w:val="21"/>
              </w:rPr>
              <w:t>300</w:t>
            </w:r>
          </w:p>
        </w:tc>
        <w:tc>
          <w:tcPr>
            <w:tcW w:w="586" w:type="pct"/>
            <w:shd w:val="clear" w:color="auto" w:fill="auto"/>
            <w:vAlign w:val="center"/>
          </w:tcPr>
          <w:p w14:paraId="67EB18E3">
            <w:pPr>
              <w:widowControl/>
              <w:jc w:val="center"/>
              <w:rPr>
                <w:color w:val="000000" w:themeColor="text1"/>
                <w:szCs w:val="21"/>
              </w:rPr>
            </w:pPr>
            <w:r>
              <w:rPr>
                <w:color w:val="000000" w:themeColor="text1"/>
                <w:szCs w:val="21"/>
              </w:rPr>
              <w:t>150</w:t>
            </w:r>
          </w:p>
        </w:tc>
        <w:tc>
          <w:tcPr>
            <w:tcW w:w="586" w:type="pct"/>
            <w:shd w:val="clear" w:color="auto" w:fill="auto"/>
            <w:vAlign w:val="center"/>
          </w:tcPr>
          <w:p w14:paraId="2EBE5D46">
            <w:pPr>
              <w:widowControl/>
              <w:jc w:val="center"/>
              <w:rPr>
                <w:color w:val="000000" w:themeColor="text1"/>
                <w:szCs w:val="21"/>
              </w:rPr>
            </w:pPr>
            <w:r>
              <w:rPr>
                <w:color w:val="000000" w:themeColor="text1"/>
                <w:szCs w:val="21"/>
              </w:rPr>
              <w:t>150</w:t>
            </w:r>
          </w:p>
        </w:tc>
        <w:tc>
          <w:tcPr>
            <w:tcW w:w="586" w:type="pct"/>
            <w:shd w:val="clear" w:color="auto" w:fill="auto"/>
            <w:vAlign w:val="center"/>
          </w:tcPr>
          <w:p w14:paraId="3A0EC291">
            <w:pPr>
              <w:widowControl/>
              <w:jc w:val="center"/>
              <w:rPr>
                <w:color w:val="000000" w:themeColor="text1"/>
                <w:szCs w:val="21"/>
              </w:rPr>
            </w:pPr>
            <w:r>
              <w:rPr>
                <w:color w:val="000000" w:themeColor="text1"/>
                <w:szCs w:val="21"/>
              </w:rPr>
              <w:t>80</w:t>
            </w:r>
          </w:p>
        </w:tc>
      </w:tr>
      <w:tr w14:paraId="16517B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39" w:type="pct"/>
            <w:vMerge w:val="continue"/>
            <w:vAlign w:val="center"/>
          </w:tcPr>
          <w:p w14:paraId="3BF3FC16">
            <w:pPr>
              <w:widowControl/>
              <w:jc w:val="center"/>
              <w:rPr>
                <w:b/>
                <w:color w:val="000000" w:themeColor="text1"/>
                <w:szCs w:val="21"/>
              </w:rPr>
            </w:pPr>
          </w:p>
        </w:tc>
        <w:tc>
          <w:tcPr>
            <w:tcW w:w="1630" w:type="pct"/>
            <w:shd w:val="clear" w:color="auto" w:fill="auto"/>
            <w:vAlign w:val="center"/>
          </w:tcPr>
          <w:p w14:paraId="0AF92AEE">
            <w:pPr>
              <w:widowControl/>
              <w:jc w:val="center"/>
              <w:rPr>
                <w:b/>
                <w:color w:val="000000" w:themeColor="text1"/>
                <w:szCs w:val="21"/>
              </w:rPr>
            </w:pPr>
            <w:r>
              <w:rPr>
                <w:b/>
                <w:color w:val="000000" w:themeColor="text1"/>
                <w:szCs w:val="21"/>
              </w:rPr>
              <w:t>达标分析</w:t>
            </w:r>
          </w:p>
        </w:tc>
        <w:tc>
          <w:tcPr>
            <w:tcW w:w="773" w:type="pct"/>
            <w:shd w:val="clear" w:color="auto" w:fill="auto"/>
            <w:vAlign w:val="center"/>
          </w:tcPr>
          <w:p w14:paraId="15C7F3B9">
            <w:pPr>
              <w:widowControl/>
              <w:jc w:val="center"/>
              <w:rPr>
                <w:b/>
                <w:color w:val="000000" w:themeColor="text1"/>
                <w:szCs w:val="21"/>
              </w:rPr>
            </w:pPr>
            <w:r>
              <w:rPr>
                <w:b/>
                <w:color w:val="000000" w:themeColor="text1"/>
                <w:szCs w:val="21"/>
              </w:rPr>
              <w:t>达标</w:t>
            </w:r>
          </w:p>
        </w:tc>
        <w:tc>
          <w:tcPr>
            <w:tcW w:w="586" w:type="pct"/>
            <w:shd w:val="clear" w:color="auto" w:fill="auto"/>
            <w:vAlign w:val="center"/>
          </w:tcPr>
          <w:p w14:paraId="71E9EF73">
            <w:pPr>
              <w:jc w:val="center"/>
              <w:rPr>
                <w:b/>
                <w:color w:val="000000" w:themeColor="text1"/>
                <w:szCs w:val="21"/>
              </w:rPr>
            </w:pPr>
            <w:r>
              <w:rPr>
                <w:b/>
                <w:color w:val="000000" w:themeColor="text1"/>
                <w:szCs w:val="21"/>
              </w:rPr>
              <w:t>达标</w:t>
            </w:r>
          </w:p>
        </w:tc>
        <w:tc>
          <w:tcPr>
            <w:tcW w:w="586" w:type="pct"/>
            <w:shd w:val="clear" w:color="auto" w:fill="auto"/>
            <w:vAlign w:val="center"/>
          </w:tcPr>
          <w:p w14:paraId="5FF0C8B3">
            <w:pPr>
              <w:jc w:val="center"/>
              <w:rPr>
                <w:b/>
                <w:color w:val="000000" w:themeColor="text1"/>
                <w:szCs w:val="21"/>
              </w:rPr>
            </w:pPr>
            <w:r>
              <w:rPr>
                <w:b/>
                <w:color w:val="000000" w:themeColor="text1"/>
                <w:szCs w:val="21"/>
              </w:rPr>
              <w:t>达标</w:t>
            </w:r>
          </w:p>
        </w:tc>
        <w:tc>
          <w:tcPr>
            <w:tcW w:w="586" w:type="pct"/>
            <w:shd w:val="clear" w:color="auto" w:fill="auto"/>
            <w:vAlign w:val="center"/>
          </w:tcPr>
          <w:p w14:paraId="7ECCD430">
            <w:pPr>
              <w:jc w:val="center"/>
              <w:rPr>
                <w:b/>
                <w:color w:val="000000" w:themeColor="text1"/>
                <w:szCs w:val="21"/>
              </w:rPr>
            </w:pPr>
            <w:r>
              <w:rPr>
                <w:b/>
                <w:color w:val="000000" w:themeColor="text1"/>
                <w:szCs w:val="21"/>
              </w:rPr>
              <w:t>达标</w:t>
            </w:r>
          </w:p>
        </w:tc>
      </w:tr>
    </w:tbl>
    <w:p w14:paraId="76C14629">
      <w:pPr>
        <w:jc w:val="center"/>
        <w:rPr>
          <w:b/>
          <w:bCs/>
          <w:color w:val="000000" w:themeColor="text1"/>
          <w:sz w:val="24"/>
        </w:rPr>
      </w:pPr>
    </w:p>
    <w:p w14:paraId="2963DF32">
      <w:pPr>
        <w:jc w:val="center"/>
        <w:rPr>
          <w:b/>
          <w:bCs/>
          <w:color w:val="000000" w:themeColor="text1"/>
          <w:sz w:val="24"/>
        </w:rPr>
      </w:pPr>
      <w:r>
        <w:rPr>
          <w:b/>
          <w:bCs/>
          <w:color w:val="000000" w:themeColor="text1"/>
          <w:sz w:val="24"/>
        </w:rPr>
        <w:t>表4.2-3   空气质量小时浓度统计</w:t>
      </w:r>
    </w:p>
    <w:tbl>
      <w:tblPr>
        <w:tblStyle w:val="4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3"/>
        <w:gridCol w:w="1096"/>
        <w:gridCol w:w="675"/>
        <w:gridCol w:w="695"/>
        <w:gridCol w:w="836"/>
        <w:gridCol w:w="675"/>
        <w:gridCol w:w="695"/>
        <w:gridCol w:w="813"/>
        <w:gridCol w:w="775"/>
        <w:gridCol w:w="751"/>
        <w:gridCol w:w="912"/>
      </w:tblGrid>
      <w:tr w14:paraId="5930FD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restart"/>
            <w:shd w:val="clear" w:color="auto" w:fill="auto"/>
            <w:vAlign w:val="center"/>
          </w:tcPr>
          <w:p w14:paraId="31DDD6AC">
            <w:pPr>
              <w:jc w:val="center"/>
              <w:rPr>
                <w:b/>
                <w:color w:val="000000" w:themeColor="text1"/>
                <w:sz w:val="18"/>
                <w:szCs w:val="18"/>
              </w:rPr>
            </w:pPr>
            <w:r>
              <w:rPr>
                <w:b/>
                <w:color w:val="000000" w:themeColor="text1"/>
                <w:sz w:val="18"/>
                <w:szCs w:val="18"/>
              </w:rPr>
              <w:t>日期</w:t>
            </w:r>
          </w:p>
        </w:tc>
        <w:tc>
          <w:tcPr>
            <w:tcW w:w="0" w:type="auto"/>
            <w:vMerge w:val="restart"/>
          </w:tcPr>
          <w:p w14:paraId="7A088322">
            <w:pPr>
              <w:widowControl/>
              <w:jc w:val="center"/>
              <w:rPr>
                <w:b/>
                <w:color w:val="000000" w:themeColor="text1"/>
                <w:sz w:val="18"/>
                <w:szCs w:val="18"/>
              </w:rPr>
            </w:pPr>
            <w:r>
              <w:rPr>
                <w:b/>
                <w:color w:val="000000" w:themeColor="text1"/>
                <w:sz w:val="18"/>
                <w:szCs w:val="18"/>
              </w:rPr>
              <w:t>湿度</w:t>
            </w:r>
          </w:p>
        </w:tc>
        <w:tc>
          <w:tcPr>
            <w:tcW w:w="0" w:type="auto"/>
            <w:gridSpan w:val="3"/>
          </w:tcPr>
          <w:p w14:paraId="02A918EB">
            <w:pPr>
              <w:widowControl/>
              <w:jc w:val="center"/>
              <w:rPr>
                <w:b/>
                <w:color w:val="000000" w:themeColor="text1"/>
                <w:sz w:val="18"/>
                <w:szCs w:val="18"/>
              </w:rPr>
            </w:pPr>
            <w:r>
              <w:rPr>
                <w:b/>
                <w:bCs/>
                <w:color w:val="000000" w:themeColor="text1"/>
                <w:sz w:val="18"/>
                <w:szCs w:val="18"/>
              </w:rPr>
              <w:t>SO</w:t>
            </w:r>
            <w:r>
              <w:rPr>
                <w:b/>
                <w:bCs/>
                <w:color w:val="000000" w:themeColor="text1"/>
                <w:sz w:val="18"/>
                <w:szCs w:val="18"/>
                <w:vertAlign w:val="subscript"/>
              </w:rPr>
              <w:t>2</w:t>
            </w:r>
            <w:r>
              <w:rPr>
                <w:b/>
                <w:bCs/>
                <w:color w:val="000000" w:themeColor="text1"/>
                <w:sz w:val="18"/>
                <w:szCs w:val="18"/>
              </w:rPr>
              <w:t>（ug/m</w:t>
            </w:r>
            <w:r>
              <w:rPr>
                <w:b/>
                <w:bCs/>
                <w:color w:val="000000" w:themeColor="text1"/>
                <w:sz w:val="18"/>
                <w:szCs w:val="18"/>
                <w:vertAlign w:val="superscript"/>
              </w:rPr>
              <w:t>3</w:t>
            </w:r>
            <w:r>
              <w:rPr>
                <w:b/>
                <w:bCs/>
                <w:color w:val="000000" w:themeColor="text1"/>
                <w:sz w:val="18"/>
                <w:szCs w:val="18"/>
              </w:rPr>
              <w:t>）</w:t>
            </w:r>
          </w:p>
        </w:tc>
        <w:tc>
          <w:tcPr>
            <w:tcW w:w="0" w:type="auto"/>
            <w:gridSpan w:val="3"/>
          </w:tcPr>
          <w:p w14:paraId="471E62E1">
            <w:pPr>
              <w:widowControl/>
              <w:jc w:val="center"/>
              <w:rPr>
                <w:b/>
                <w:color w:val="000000" w:themeColor="text1"/>
                <w:sz w:val="18"/>
                <w:szCs w:val="18"/>
              </w:rPr>
            </w:pPr>
            <w:r>
              <w:rPr>
                <w:b/>
                <w:color w:val="000000" w:themeColor="text1"/>
                <w:sz w:val="18"/>
                <w:szCs w:val="18"/>
              </w:rPr>
              <w:t>NO</w:t>
            </w:r>
            <w:r>
              <w:rPr>
                <w:b/>
                <w:color w:val="000000" w:themeColor="text1"/>
                <w:sz w:val="18"/>
                <w:szCs w:val="18"/>
                <w:vertAlign w:val="subscript"/>
              </w:rPr>
              <w:t>2</w:t>
            </w:r>
            <w:r>
              <w:rPr>
                <w:b/>
                <w:bCs/>
                <w:color w:val="000000" w:themeColor="text1"/>
                <w:sz w:val="18"/>
                <w:szCs w:val="18"/>
              </w:rPr>
              <w:t>（ug/m</w:t>
            </w:r>
            <w:r>
              <w:rPr>
                <w:b/>
                <w:bCs/>
                <w:color w:val="000000" w:themeColor="text1"/>
                <w:sz w:val="18"/>
                <w:szCs w:val="18"/>
                <w:vertAlign w:val="superscript"/>
              </w:rPr>
              <w:t>3</w:t>
            </w:r>
            <w:r>
              <w:rPr>
                <w:b/>
                <w:bCs/>
                <w:color w:val="000000" w:themeColor="text1"/>
                <w:sz w:val="18"/>
                <w:szCs w:val="18"/>
              </w:rPr>
              <w:t>）</w:t>
            </w:r>
          </w:p>
        </w:tc>
        <w:tc>
          <w:tcPr>
            <w:tcW w:w="0" w:type="auto"/>
            <w:gridSpan w:val="3"/>
            <w:shd w:val="clear" w:color="auto" w:fill="auto"/>
            <w:vAlign w:val="center"/>
          </w:tcPr>
          <w:p w14:paraId="58DE8500">
            <w:pPr>
              <w:widowControl/>
              <w:jc w:val="center"/>
              <w:rPr>
                <w:b/>
                <w:color w:val="000000" w:themeColor="text1"/>
                <w:sz w:val="18"/>
                <w:szCs w:val="18"/>
              </w:rPr>
            </w:pPr>
            <w:r>
              <w:rPr>
                <w:b/>
                <w:color w:val="000000" w:themeColor="text1"/>
                <w:sz w:val="18"/>
                <w:szCs w:val="18"/>
              </w:rPr>
              <w:t>非甲烷总烃</w:t>
            </w:r>
            <w:r>
              <w:rPr>
                <w:b/>
                <w:bCs/>
                <w:color w:val="000000" w:themeColor="text1"/>
                <w:sz w:val="18"/>
                <w:szCs w:val="18"/>
              </w:rPr>
              <w:t>（mg/m</w:t>
            </w:r>
            <w:r>
              <w:rPr>
                <w:b/>
                <w:bCs/>
                <w:color w:val="000000" w:themeColor="text1"/>
                <w:sz w:val="18"/>
                <w:szCs w:val="18"/>
                <w:vertAlign w:val="superscript"/>
              </w:rPr>
              <w:t>3</w:t>
            </w:r>
            <w:r>
              <w:rPr>
                <w:b/>
                <w:bCs/>
                <w:color w:val="000000" w:themeColor="text1"/>
                <w:sz w:val="18"/>
                <w:szCs w:val="18"/>
              </w:rPr>
              <w:t>）</w:t>
            </w:r>
          </w:p>
        </w:tc>
      </w:tr>
      <w:tr w14:paraId="477B5B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5954926C">
            <w:pPr>
              <w:widowControl/>
              <w:jc w:val="center"/>
              <w:rPr>
                <w:b/>
                <w:color w:val="000000" w:themeColor="text1"/>
                <w:sz w:val="18"/>
                <w:szCs w:val="18"/>
              </w:rPr>
            </w:pPr>
          </w:p>
        </w:tc>
        <w:tc>
          <w:tcPr>
            <w:tcW w:w="0" w:type="auto"/>
            <w:vMerge w:val="continue"/>
          </w:tcPr>
          <w:p w14:paraId="732754FF">
            <w:pPr>
              <w:widowControl/>
              <w:jc w:val="center"/>
              <w:rPr>
                <w:b/>
                <w:color w:val="000000" w:themeColor="text1"/>
                <w:sz w:val="18"/>
                <w:szCs w:val="18"/>
              </w:rPr>
            </w:pPr>
          </w:p>
        </w:tc>
        <w:tc>
          <w:tcPr>
            <w:tcW w:w="0" w:type="auto"/>
          </w:tcPr>
          <w:p w14:paraId="4422C56C">
            <w:pPr>
              <w:widowControl/>
              <w:jc w:val="center"/>
              <w:rPr>
                <w:b/>
                <w:color w:val="000000" w:themeColor="text1"/>
                <w:sz w:val="18"/>
                <w:szCs w:val="18"/>
              </w:rPr>
            </w:pPr>
            <w:r>
              <w:rPr>
                <w:b/>
                <w:color w:val="000000" w:themeColor="text1"/>
                <w:sz w:val="18"/>
                <w:szCs w:val="18"/>
              </w:rPr>
              <w:t>监测值</w:t>
            </w:r>
          </w:p>
        </w:tc>
        <w:tc>
          <w:tcPr>
            <w:tcW w:w="0" w:type="auto"/>
          </w:tcPr>
          <w:p w14:paraId="735F72B2">
            <w:pPr>
              <w:widowControl/>
              <w:jc w:val="center"/>
              <w:rPr>
                <w:b/>
                <w:color w:val="000000" w:themeColor="text1"/>
                <w:sz w:val="18"/>
                <w:szCs w:val="18"/>
              </w:rPr>
            </w:pPr>
            <w:r>
              <w:rPr>
                <w:b/>
                <w:color w:val="000000" w:themeColor="text1"/>
                <w:sz w:val="18"/>
                <w:szCs w:val="18"/>
              </w:rPr>
              <w:t>标准值</w:t>
            </w:r>
          </w:p>
        </w:tc>
        <w:tc>
          <w:tcPr>
            <w:tcW w:w="0" w:type="auto"/>
          </w:tcPr>
          <w:p w14:paraId="38BB9A01">
            <w:pPr>
              <w:widowControl/>
              <w:jc w:val="center"/>
              <w:rPr>
                <w:b/>
                <w:color w:val="000000" w:themeColor="text1"/>
                <w:sz w:val="18"/>
                <w:szCs w:val="18"/>
              </w:rPr>
            </w:pPr>
            <w:r>
              <w:rPr>
                <w:b/>
                <w:color w:val="000000" w:themeColor="text1"/>
                <w:sz w:val="18"/>
                <w:szCs w:val="18"/>
              </w:rPr>
              <w:t>达标情况</w:t>
            </w:r>
          </w:p>
        </w:tc>
        <w:tc>
          <w:tcPr>
            <w:tcW w:w="0" w:type="auto"/>
          </w:tcPr>
          <w:p w14:paraId="3B82E981">
            <w:pPr>
              <w:widowControl/>
              <w:jc w:val="center"/>
              <w:rPr>
                <w:b/>
                <w:color w:val="000000" w:themeColor="text1"/>
                <w:sz w:val="18"/>
                <w:szCs w:val="18"/>
              </w:rPr>
            </w:pPr>
            <w:r>
              <w:rPr>
                <w:b/>
                <w:color w:val="000000" w:themeColor="text1"/>
                <w:sz w:val="18"/>
                <w:szCs w:val="18"/>
              </w:rPr>
              <w:t>监测值</w:t>
            </w:r>
          </w:p>
        </w:tc>
        <w:tc>
          <w:tcPr>
            <w:tcW w:w="0" w:type="auto"/>
          </w:tcPr>
          <w:p w14:paraId="478CBD4B">
            <w:pPr>
              <w:widowControl/>
              <w:jc w:val="center"/>
              <w:rPr>
                <w:b/>
                <w:color w:val="000000" w:themeColor="text1"/>
                <w:sz w:val="18"/>
                <w:szCs w:val="18"/>
              </w:rPr>
            </w:pPr>
            <w:r>
              <w:rPr>
                <w:b/>
                <w:color w:val="000000" w:themeColor="text1"/>
                <w:sz w:val="18"/>
                <w:szCs w:val="18"/>
              </w:rPr>
              <w:t>标准值</w:t>
            </w:r>
          </w:p>
        </w:tc>
        <w:tc>
          <w:tcPr>
            <w:tcW w:w="0" w:type="auto"/>
          </w:tcPr>
          <w:p w14:paraId="3B0E6DD4">
            <w:pPr>
              <w:widowControl/>
              <w:jc w:val="center"/>
              <w:rPr>
                <w:b/>
                <w:color w:val="000000" w:themeColor="text1"/>
                <w:sz w:val="18"/>
                <w:szCs w:val="18"/>
              </w:rPr>
            </w:pPr>
            <w:r>
              <w:rPr>
                <w:b/>
                <w:color w:val="000000" w:themeColor="text1"/>
                <w:sz w:val="18"/>
                <w:szCs w:val="18"/>
              </w:rPr>
              <w:t>达标情况</w:t>
            </w:r>
          </w:p>
        </w:tc>
        <w:tc>
          <w:tcPr>
            <w:tcW w:w="0" w:type="auto"/>
            <w:shd w:val="clear" w:color="auto" w:fill="auto"/>
          </w:tcPr>
          <w:p w14:paraId="2A8482E7">
            <w:pPr>
              <w:jc w:val="center"/>
              <w:rPr>
                <w:b/>
                <w:color w:val="000000" w:themeColor="text1"/>
              </w:rPr>
            </w:pPr>
            <w:r>
              <w:rPr>
                <w:b/>
                <w:color w:val="000000" w:themeColor="text1"/>
              </w:rPr>
              <w:t>监测值</w:t>
            </w:r>
          </w:p>
        </w:tc>
        <w:tc>
          <w:tcPr>
            <w:tcW w:w="0" w:type="auto"/>
            <w:shd w:val="clear" w:color="auto" w:fill="auto"/>
          </w:tcPr>
          <w:p w14:paraId="10E7C293">
            <w:pPr>
              <w:jc w:val="center"/>
              <w:rPr>
                <w:b/>
                <w:color w:val="000000" w:themeColor="text1"/>
              </w:rPr>
            </w:pPr>
            <w:r>
              <w:rPr>
                <w:b/>
                <w:color w:val="000000" w:themeColor="text1"/>
              </w:rPr>
              <w:t>标准值</w:t>
            </w:r>
          </w:p>
        </w:tc>
        <w:tc>
          <w:tcPr>
            <w:tcW w:w="0" w:type="auto"/>
            <w:shd w:val="clear" w:color="auto" w:fill="auto"/>
          </w:tcPr>
          <w:p w14:paraId="2D88A8E0">
            <w:pPr>
              <w:jc w:val="center"/>
              <w:rPr>
                <w:b/>
                <w:color w:val="000000" w:themeColor="text1"/>
              </w:rPr>
            </w:pPr>
            <w:r>
              <w:rPr>
                <w:b/>
                <w:color w:val="000000" w:themeColor="text1"/>
              </w:rPr>
              <w:t>达标情况</w:t>
            </w:r>
          </w:p>
        </w:tc>
      </w:tr>
      <w:tr w14:paraId="10985A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restart"/>
            <w:shd w:val="clear" w:color="auto" w:fill="auto"/>
            <w:vAlign w:val="center"/>
          </w:tcPr>
          <w:p w14:paraId="789588F2">
            <w:pPr>
              <w:ind w:left="88" w:hanging="88" w:hangingChars="49"/>
              <w:jc w:val="center"/>
              <w:rPr>
                <w:color w:val="000000" w:themeColor="text1"/>
                <w:sz w:val="18"/>
                <w:szCs w:val="18"/>
              </w:rPr>
            </w:pPr>
            <w:r>
              <w:rPr>
                <w:color w:val="000000" w:themeColor="text1"/>
                <w:sz w:val="18"/>
                <w:szCs w:val="18"/>
              </w:rPr>
              <w:t>20191112</w:t>
            </w:r>
          </w:p>
        </w:tc>
        <w:tc>
          <w:tcPr>
            <w:tcW w:w="0" w:type="auto"/>
            <w:vAlign w:val="center"/>
          </w:tcPr>
          <w:p w14:paraId="6E89ED16">
            <w:pPr>
              <w:jc w:val="center"/>
              <w:rPr>
                <w:color w:val="000000" w:themeColor="text1"/>
                <w:sz w:val="18"/>
                <w:szCs w:val="18"/>
              </w:rPr>
            </w:pPr>
            <w:r>
              <w:rPr>
                <w:color w:val="000000" w:themeColor="text1"/>
                <w:sz w:val="18"/>
                <w:szCs w:val="18"/>
              </w:rPr>
              <w:t>02:00-03:00</w:t>
            </w:r>
          </w:p>
        </w:tc>
        <w:tc>
          <w:tcPr>
            <w:tcW w:w="0" w:type="auto"/>
          </w:tcPr>
          <w:p w14:paraId="4C73E457">
            <w:pPr>
              <w:ind w:left="88" w:hanging="88" w:hangingChars="49"/>
              <w:jc w:val="center"/>
              <w:rPr>
                <w:color w:val="000000" w:themeColor="text1"/>
                <w:sz w:val="18"/>
                <w:szCs w:val="18"/>
              </w:rPr>
            </w:pPr>
            <w:r>
              <w:rPr>
                <w:color w:val="000000" w:themeColor="text1"/>
                <w:sz w:val="18"/>
                <w:szCs w:val="18"/>
              </w:rPr>
              <w:t>9</w:t>
            </w:r>
          </w:p>
        </w:tc>
        <w:tc>
          <w:tcPr>
            <w:tcW w:w="0" w:type="auto"/>
          </w:tcPr>
          <w:p w14:paraId="1D4901EF">
            <w:pPr>
              <w:ind w:left="88" w:hanging="88" w:hangingChars="49"/>
              <w:jc w:val="center"/>
              <w:rPr>
                <w:color w:val="000000" w:themeColor="text1"/>
                <w:sz w:val="18"/>
                <w:szCs w:val="18"/>
              </w:rPr>
            </w:pPr>
            <w:r>
              <w:rPr>
                <w:color w:val="000000" w:themeColor="text1"/>
                <w:sz w:val="18"/>
                <w:szCs w:val="18"/>
              </w:rPr>
              <w:t>500</w:t>
            </w:r>
          </w:p>
        </w:tc>
        <w:tc>
          <w:tcPr>
            <w:tcW w:w="0" w:type="auto"/>
          </w:tcPr>
          <w:p w14:paraId="2BD89B4B">
            <w:pPr>
              <w:ind w:left="88" w:hanging="88" w:hangingChars="49"/>
              <w:jc w:val="center"/>
              <w:rPr>
                <w:color w:val="000000" w:themeColor="text1"/>
                <w:sz w:val="18"/>
                <w:szCs w:val="18"/>
              </w:rPr>
            </w:pPr>
            <w:r>
              <w:rPr>
                <w:color w:val="000000" w:themeColor="text1"/>
                <w:sz w:val="18"/>
                <w:szCs w:val="18"/>
              </w:rPr>
              <w:t>达标</w:t>
            </w:r>
          </w:p>
        </w:tc>
        <w:tc>
          <w:tcPr>
            <w:tcW w:w="0" w:type="auto"/>
          </w:tcPr>
          <w:p w14:paraId="38F2C9E5">
            <w:pPr>
              <w:ind w:left="88" w:hanging="88" w:hangingChars="49"/>
              <w:jc w:val="center"/>
              <w:rPr>
                <w:color w:val="000000" w:themeColor="text1"/>
                <w:sz w:val="18"/>
                <w:szCs w:val="18"/>
              </w:rPr>
            </w:pPr>
            <w:r>
              <w:rPr>
                <w:color w:val="000000" w:themeColor="text1"/>
                <w:sz w:val="18"/>
                <w:szCs w:val="18"/>
              </w:rPr>
              <w:t>9</w:t>
            </w:r>
          </w:p>
        </w:tc>
        <w:tc>
          <w:tcPr>
            <w:tcW w:w="0" w:type="auto"/>
          </w:tcPr>
          <w:p w14:paraId="7927FCB9">
            <w:pPr>
              <w:ind w:left="88" w:hanging="88" w:hangingChars="49"/>
              <w:jc w:val="center"/>
              <w:rPr>
                <w:color w:val="000000" w:themeColor="text1"/>
                <w:sz w:val="18"/>
                <w:szCs w:val="18"/>
              </w:rPr>
            </w:pPr>
            <w:r>
              <w:rPr>
                <w:color w:val="000000" w:themeColor="text1"/>
                <w:sz w:val="18"/>
                <w:szCs w:val="18"/>
              </w:rPr>
              <w:t>200</w:t>
            </w:r>
          </w:p>
        </w:tc>
        <w:tc>
          <w:tcPr>
            <w:tcW w:w="0" w:type="auto"/>
          </w:tcPr>
          <w:p w14:paraId="0E79FFDF">
            <w:pPr>
              <w:rPr>
                <w:color w:val="000000" w:themeColor="text1"/>
              </w:rPr>
            </w:pPr>
            <w:r>
              <w:rPr>
                <w:color w:val="000000" w:themeColor="text1"/>
                <w:sz w:val="18"/>
                <w:szCs w:val="18"/>
              </w:rPr>
              <w:t>达标</w:t>
            </w:r>
          </w:p>
        </w:tc>
        <w:tc>
          <w:tcPr>
            <w:tcW w:w="0" w:type="auto"/>
            <w:shd w:val="clear" w:color="auto" w:fill="auto"/>
            <w:vAlign w:val="center"/>
          </w:tcPr>
          <w:p w14:paraId="3DE556D8">
            <w:pPr>
              <w:ind w:left="88" w:hanging="88" w:hangingChars="49"/>
              <w:jc w:val="center"/>
              <w:rPr>
                <w:color w:val="000000" w:themeColor="text1"/>
                <w:sz w:val="18"/>
                <w:szCs w:val="18"/>
              </w:rPr>
            </w:pPr>
            <w:r>
              <w:rPr>
                <w:color w:val="000000" w:themeColor="text1"/>
                <w:sz w:val="18"/>
                <w:szCs w:val="18"/>
              </w:rPr>
              <w:t>0.28</w:t>
            </w:r>
          </w:p>
        </w:tc>
        <w:tc>
          <w:tcPr>
            <w:tcW w:w="0" w:type="auto"/>
            <w:shd w:val="clear" w:color="auto" w:fill="auto"/>
            <w:vAlign w:val="center"/>
          </w:tcPr>
          <w:p w14:paraId="68439E89">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3B1E7495">
            <w:pPr>
              <w:rPr>
                <w:color w:val="000000" w:themeColor="text1"/>
              </w:rPr>
            </w:pPr>
            <w:r>
              <w:rPr>
                <w:color w:val="000000" w:themeColor="text1"/>
                <w:sz w:val="18"/>
                <w:szCs w:val="18"/>
              </w:rPr>
              <w:t>达标</w:t>
            </w:r>
          </w:p>
        </w:tc>
      </w:tr>
      <w:tr w14:paraId="0FF232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249AC8AD">
            <w:pPr>
              <w:ind w:left="88" w:hanging="88" w:hangingChars="49"/>
              <w:jc w:val="center"/>
              <w:rPr>
                <w:color w:val="000000" w:themeColor="text1"/>
                <w:sz w:val="18"/>
                <w:szCs w:val="18"/>
              </w:rPr>
            </w:pPr>
          </w:p>
        </w:tc>
        <w:tc>
          <w:tcPr>
            <w:tcW w:w="0" w:type="auto"/>
            <w:vAlign w:val="center"/>
          </w:tcPr>
          <w:p w14:paraId="31680ADD">
            <w:pPr>
              <w:jc w:val="center"/>
              <w:rPr>
                <w:color w:val="000000" w:themeColor="text1"/>
                <w:sz w:val="18"/>
                <w:szCs w:val="18"/>
              </w:rPr>
            </w:pPr>
            <w:r>
              <w:rPr>
                <w:color w:val="000000" w:themeColor="text1"/>
                <w:sz w:val="18"/>
                <w:szCs w:val="18"/>
              </w:rPr>
              <w:t>08:00-09:00</w:t>
            </w:r>
          </w:p>
        </w:tc>
        <w:tc>
          <w:tcPr>
            <w:tcW w:w="0" w:type="auto"/>
          </w:tcPr>
          <w:p w14:paraId="0163CDEA">
            <w:pPr>
              <w:ind w:left="88" w:hanging="88" w:hangingChars="49"/>
              <w:jc w:val="center"/>
              <w:rPr>
                <w:color w:val="000000" w:themeColor="text1"/>
                <w:sz w:val="18"/>
                <w:szCs w:val="18"/>
              </w:rPr>
            </w:pPr>
            <w:r>
              <w:rPr>
                <w:color w:val="000000" w:themeColor="text1"/>
                <w:sz w:val="18"/>
                <w:szCs w:val="18"/>
              </w:rPr>
              <w:t>11</w:t>
            </w:r>
          </w:p>
        </w:tc>
        <w:tc>
          <w:tcPr>
            <w:tcW w:w="0" w:type="auto"/>
          </w:tcPr>
          <w:p w14:paraId="745FD27D">
            <w:pPr>
              <w:ind w:left="88" w:hanging="88" w:hangingChars="49"/>
              <w:jc w:val="center"/>
              <w:rPr>
                <w:color w:val="000000" w:themeColor="text1"/>
                <w:sz w:val="18"/>
                <w:szCs w:val="18"/>
              </w:rPr>
            </w:pPr>
            <w:r>
              <w:rPr>
                <w:color w:val="000000" w:themeColor="text1"/>
                <w:sz w:val="18"/>
                <w:szCs w:val="18"/>
              </w:rPr>
              <w:t>500</w:t>
            </w:r>
          </w:p>
        </w:tc>
        <w:tc>
          <w:tcPr>
            <w:tcW w:w="0" w:type="auto"/>
          </w:tcPr>
          <w:p w14:paraId="31BB744B">
            <w:pPr>
              <w:rPr>
                <w:color w:val="000000" w:themeColor="text1"/>
              </w:rPr>
            </w:pPr>
            <w:r>
              <w:rPr>
                <w:color w:val="000000" w:themeColor="text1"/>
                <w:sz w:val="18"/>
                <w:szCs w:val="18"/>
              </w:rPr>
              <w:t>达标</w:t>
            </w:r>
          </w:p>
        </w:tc>
        <w:tc>
          <w:tcPr>
            <w:tcW w:w="0" w:type="auto"/>
          </w:tcPr>
          <w:p w14:paraId="48A6077B">
            <w:pPr>
              <w:ind w:left="88" w:hanging="88" w:hangingChars="49"/>
              <w:jc w:val="center"/>
              <w:rPr>
                <w:color w:val="000000" w:themeColor="text1"/>
                <w:sz w:val="18"/>
                <w:szCs w:val="18"/>
              </w:rPr>
            </w:pPr>
            <w:r>
              <w:rPr>
                <w:color w:val="000000" w:themeColor="text1"/>
                <w:sz w:val="18"/>
                <w:szCs w:val="18"/>
              </w:rPr>
              <w:t>17</w:t>
            </w:r>
          </w:p>
        </w:tc>
        <w:tc>
          <w:tcPr>
            <w:tcW w:w="0" w:type="auto"/>
          </w:tcPr>
          <w:p w14:paraId="22A056E7">
            <w:pPr>
              <w:ind w:left="88" w:hanging="88" w:hangingChars="49"/>
              <w:jc w:val="center"/>
              <w:rPr>
                <w:color w:val="000000" w:themeColor="text1"/>
                <w:sz w:val="18"/>
                <w:szCs w:val="18"/>
              </w:rPr>
            </w:pPr>
            <w:r>
              <w:rPr>
                <w:color w:val="000000" w:themeColor="text1"/>
                <w:sz w:val="18"/>
                <w:szCs w:val="18"/>
              </w:rPr>
              <w:t>200</w:t>
            </w:r>
          </w:p>
        </w:tc>
        <w:tc>
          <w:tcPr>
            <w:tcW w:w="0" w:type="auto"/>
          </w:tcPr>
          <w:p w14:paraId="63A0A134">
            <w:pPr>
              <w:rPr>
                <w:color w:val="000000" w:themeColor="text1"/>
              </w:rPr>
            </w:pPr>
            <w:r>
              <w:rPr>
                <w:color w:val="000000" w:themeColor="text1"/>
                <w:sz w:val="18"/>
                <w:szCs w:val="18"/>
              </w:rPr>
              <w:t>达标</w:t>
            </w:r>
          </w:p>
        </w:tc>
        <w:tc>
          <w:tcPr>
            <w:tcW w:w="0" w:type="auto"/>
            <w:shd w:val="clear" w:color="auto" w:fill="auto"/>
            <w:vAlign w:val="center"/>
          </w:tcPr>
          <w:p w14:paraId="1AD3B0D3">
            <w:pPr>
              <w:ind w:left="88" w:hanging="88" w:hangingChars="49"/>
              <w:jc w:val="center"/>
              <w:rPr>
                <w:color w:val="000000" w:themeColor="text1"/>
                <w:sz w:val="18"/>
                <w:szCs w:val="18"/>
              </w:rPr>
            </w:pPr>
            <w:r>
              <w:rPr>
                <w:color w:val="000000" w:themeColor="text1"/>
                <w:sz w:val="18"/>
                <w:szCs w:val="18"/>
              </w:rPr>
              <w:t>0.32</w:t>
            </w:r>
          </w:p>
        </w:tc>
        <w:tc>
          <w:tcPr>
            <w:tcW w:w="0" w:type="auto"/>
            <w:shd w:val="clear" w:color="auto" w:fill="auto"/>
            <w:vAlign w:val="center"/>
          </w:tcPr>
          <w:p w14:paraId="0D22F29B">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18F17EA5">
            <w:pPr>
              <w:rPr>
                <w:color w:val="000000" w:themeColor="text1"/>
              </w:rPr>
            </w:pPr>
            <w:r>
              <w:rPr>
                <w:color w:val="000000" w:themeColor="text1"/>
                <w:sz w:val="18"/>
                <w:szCs w:val="18"/>
              </w:rPr>
              <w:t>达标</w:t>
            </w:r>
          </w:p>
        </w:tc>
      </w:tr>
      <w:tr w14:paraId="5333A3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2" w:hRule="atLeast"/>
          <w:jc w:val="center"/>
        </w:trPr>
        <w:tc>
          <w:tcPr>
            <w:tcW w:w="0" w:type="auto"/>
            <w:vMerge w:val="continue"/>
            <w:shd w:val="clear" w:color="auto" w:fill="auto"/>
            <w:vAlign w:val="center"/>
          </w:tcPr>
          <w:p w14:paraId="6AF8F829">
            <w:pPr>
              <w:ind w:left="88" w:hanging="88" w:hangingChars="49"/>
              <w:jc w:val="center"/>
              <w:rPr>
                <w:color w:val="000000" w:themeColor="text1"/>
                <w:sz w:val="18"/>
                <w:szCs w:val="18"/>
              </w:rPr>
            </w:pPr>
          </w:p>
        </w:tc>
        <w:tc>
          <w:tcPr>
            <w:tcW w:w="0" w:type="auto"/>
            <w:vAlign w:val="center"/>
          </w:tcPr>
          <w:p w14:paraId="0228D11E">
            <w:pPr>
              <w:jc w:val="center"/>
              <w:rPr>
                <w:color w:val="000000" w:themeColor="text1"/>
                <w:sz w:val="18"/>
                <w:szCs w:val="18"/>
              </w:rPr>
            </w:pPr>
            <w:r>
              <w:rPr>
                <w:color w:val="000000" w:themeColor="text1"/>
                <w:sz w:val="18"/>
                <w:szCs w:val="18"/>
              </w:rPr>
              <w:t>14:00-15:00</w:t>
            </w:r>
          </w:p>
        </w:tc>
        <w:tc>
          <w:tcPr>
            <w:tcW w:w="0" w:type="auto"/>
          </w:tcPr>
          <w:p w14:paraId="5B62A672">
            <w:pPr>
              <w:ind w:left="88" w:hanging="88" w:hangingChars="49"/>
              <w:jc w:val="center"/>
              <w:rPr>
                <w:color w:val="000000" w:themeColor="text1"/>
                <w:sz w:val="18"/>
                <w:szCs w:val="18"/>
              </w:rPr>
            </w:pPr>
            <w:r>
              <w:rPr>
                <w:color w:val="000000" w:themeColor="text1"/>
                <w:sz w:val="18"/>
                <w:szCs w:val="18"/>
              </w:rPr>
              <w:t>17</w:t>
            </w:r>
          </w:p>
        </w:tc>
        <w:tc>
          <w:tcPr>
            <w:tcW w:w="0" w:type="auto"/>
          </w:tcPr>
          <w:p w14:paraId="5D992105">
            <w:pPr>
              <w:ind w:left="88" w:hanging="88" w:hangingChars="49"/>
              <w:jc w:val="center"/>
              <w:rPr>
                <w:color w:val="000000" w:themeColor="text1"/>
                <w:sz w:val="18"/>
                <w:szCs w:val="18"/>
              </w:rPr>
            </w:pPr>
            <w:r>
              <w:rPr>
                <w:color w:val="000000" w:themeColor="text1"/>
                <w:sz w:val="18"/>
                <w:szCs w:val="18"/>
              </w:rPr>
              <w:t>500</w:t>
            </w:r>
          </w:p>
        </w:tc>
        <w:tc>
          <w:tcPr>
            <w:tcW w:w="0" w:type="auto"/>
          </w:tcPr>
          <w:p w14:paraId="415C3B63">
            <w:pPr>
              <w:rPr>
                <w:color w:val="000000" w:themeColor="text1"/>
              </w:rPr>
            </w:pPr>
            <w:r>
              <w:rPr>
                <w:color w:val="000000" w:themeColor="text1"/>
                <w:sz w:val="18"/>
                <w:szCs w:val="18"/>
              </w:rPr>
              <w:t>达标</w:t>
            </w:r>
          </w:p>
        </w:tc>
        <w:tc>
          <w:tcPr>
            <w:tcW w:w="0" w:type="auto"/>
          </w:tcPr>
          <w:p w14:paraId="4E3A147C">
            <w:pPr>
              <w:ind w:left="88" w:hanging="88" w:hangingChars="49"/>
              <w:jc w:val="center"/>
              <w:rPr>
                <w:color w:val="000000" w:themeColor="text1"/>
                <w:sz w:val="18"/>
                <w:szCs w:val="18"/>
              </w:rPr>
            </w:pPr>
            <w:r>
              <w:rPr>
                <w:color w:val="000000" w:themeColor="text1"/>
                <w:sz w:val="18"/>
                <w:szCs w:val="18"/>
              </w:rPr>
              <w:t>13</w:t>
            </w:r>
          </w:p>
        </w:tc>
        <w:tc>
          <w:tcPr>
            <w:tcW w:w="0" w:type="auto"/>
          </w:tcPr>
          <w:p w14:paraId="27068E5F">
            <w:pPr>
              <w:ind w:left="88" w:hanging="88" w:hangingChars="49"/>
              <w:jc w:val="center"/>
              <w:rPr>
                <w:color w:val="000000" w:themeColor="text1"/>
                <w:sz w:val="18"/>
                <w:szCs w:val="18"/>
              </w:rPr>
            </w:pPr>
            <w:r>
              <w:rPr>
                <w:color w:val="000000" w:themeColor="text1"/>
                <w:sz w:val="18"/>
                <w:szCs w:val="18"/>
              </w:rPr>
              <w:t>200</w:t>
            </w:r>
          </w:p>
        </w:tc>
        <w:tc>
          <w:tcPr>
            <w:tcW w:w="0" w:type="auto"/>
          </w:tcPr>
          <w:p w14:paraId="30883CD4">
            <w:pPr>
              <w:rPr>
                <w:color w:val="000000" w:themeColor="text1"/>
              </w:rPr>
            </w:pPr>
            <w:r>
              <w:rPr>
                <w:color w:val="000000" w:themeColor="text1"/>
                <w:sz w:val="18"/>
                <w:szCs w:val="18"/>
              </w:rPr>
              <w:t>达标</w:t>
            </w:r>
          </w:p>
        </w:tc>
        <w:tc>
          <w:tcPr>
            <w:tcW w:w="0" w:type="auto"/>
            <w:shd w:val="clear" w:color="auto" w:fill="auto"/>
            <w:vAlign w:val="center"/>
          </w:tcPr>
          <w:p w14:paraId="607CE531">
            <w:pPr>
              <w:ind w:left="88" w:hanging="88" w:hangingChars="49"/>
              <w:jc w:val="center"/>
              <w:rPr>
                <w:color w:val="000000" w:themeColor="text1"/>
                <w:sz w:val="18"/>
                <w:szCs w:val="18"/>
              </w:rPr>
            </w:pPr>
            <w:r>
              <w:rPr>
                <w:color w:val="000000" w:themeColor="text1"/>
                <w:sz w:val="18"/>
                <w:szCs w:val="18"/>
              </w:rPr>
              <w:t>0.36</w:t>
            </w:r>
          </w:p>
        </w:tc>
        <w:tc>
          <w:tcPr>
            <w:tcW w:w="0" w:type="auto"/>
            <w:shd w:val="clear" w:color="auto" w:fill="auto"/>
            <w:vAlign w:val="center"/>
          </w:tcPr>
          <w:p w14:paraId="3C1349E7">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56F77402">
            <w:pPr>
              <w:rPr>
                <w:color w:val="000000" w:themeColor="text1"/>
              </w:rPr>
            </w:pPr>
            <w:r>
              <w:rPr>
                <w:color w:val="000000" w:themeColor="text1"/>
                <w:sz w:val="18"/>
                <w:szCs w:val="18"/>
              </w:rPr>
              <w:t>达标</w:t>
            </w:r>
          </w:p>
        </w:tc>
      </w:tr>
      <w:tr w14:paraId="5CE3EA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62B3F435">
            <w:pPr>
              <w:ind w:left="88" w:hanging="88" w:hangingChars="49"/>
              <w:jc w:val="center"/>
              <w:rPr>
                <w:color w:val="000000" w:themeColor="text1"/>
                <w:sz w:val="18"/>
                <w:szCs w:val="18"/>
              </w:rPr>
            </w:pPr>
          </w:p>
        </w:tc>
        <w:tc>
          <w:tcPr>
            <w:tcW w:w="0" w:type="auto"/>
            <w:vAlign w:val="center"/>
          </w:tcPr>
          <w:p w14:paraId="0AB6C915">
            <w:pPr>
              <w:jc w:val="center"/>
              <w:rPr>
                <w:color w:val="000000" w:themeColor="text1"/>
                <w:sz w:val="18"/>
                <w:szCs w:val="18"/>
              </w:rPr>
            </w:pPr>
            <w:r>
              <w:rPr>
                <w:color w:val="000000" w:themeColor="text1"/>
                <w:sz w:val="18"/>
                <w:szCs w:val="18"/>
              </w:rPr>
              <w:t>20:00-21:00</w:t>
            </w:r>
          </w:p>
        </w:tc>
        <w:tc>
          <w:tcPr>
            <w:tcW w:w="0" w:type="auto"/>
          </w:tcPr>
          <w:p w14:paraId="6E2190E7">
            <w:pPr>
              <w:ind w:left="88" w:hanging="88" w:hangingChars="49"/>
              <w:jc w:val="center"/>
              <w:rPr>
                <w:color w:val="000000" w:themeColor="text1"/>
                <w:sz w:val="18"/>
                <w:szCs w:val="18"/>
              </w:rPr>
            </w:pPr>
            <w:r>
              <w:rPr>
                <w:color w:val="000000" w:themeColor="text1"/>
                <w:sz w:val="18"/>
                <w:szCs w:val="18"/>
              </w:rPr>
              <w:t>8</w:t>
            </w:r>
          </w:p>
        </w:tc>
        <w:tc>
          <w:tcPr>
            <w:tcW w:w="0" w:type="auto"/>
          </w:tcPr>
          <w:p w14:paraId="1B573EBC">
            <w:pPr>
              <w:ind w:left="88" w:hanging="88" w:hangingChars="49"/>
              <w:jc w:val="center"/>
              <w:rPr>
                <w:color w:val="000000" w:themeColor="text1"/>
                <w:sz w:val="18"/>
                <w:szCs w:val="18"/>
              </w:rPr>
            </w:pPr>
            <w:r>
              <w:rPr>
                <w:color w:val="000000" w:themeColor="text1"/>
                <w:sz w:val="18"/>
                <w:szCs w:val="18"/>
              </w:rPr>
              <w:t>500</w:t>
            </w:r>
          </w:p>
        </w:tc>
        <w:tc>
          <w:tcPr>
            <w:tcW w:w="0" w:type="auto"/>
          </w:tcPr>
          <w:p w14:paraId="72FE9362">
            <w:pPr>
              <w:rPr>
                <w:color w:val="000000" w:themeColor="text1"/>
              </w:rPr>
            </w:pPr>
            <w:r>
              <w:rPr>
                <w:color w:val="000000" w:themeColor="text1"/>
                <w:sz w:val="18"/>
                <w:szCs w:val="18"/>
              </w:rPr>
              <w:t>达标</w:t>
            </w:r>
          </w:p>
        </w:tc>
        <w:tc>
          <w:tcPr>
            <w:tcW w:w="0" w:type="auto"/>
          </w:tcPr>
          <w:p w14:paraId="37420311">
            <w:pPr>
              <w:ind w:left="88" w:hanging="88" w:hangingChars="49"/>
              <w:jc w:val="center"/>
              <w:rPr>
                <w:color w:val="000000" w:themeColor="text1"/>
                <w:sz w:val="18"/>
                <w:szCs w:val="18"/>
              </w:rPr>
            </w:pPr>
            <w:r>
              <w:rPr>
                <w:color w:val="000000" w:themeColor="text1"/>
                <w:sz w:val="18"/>
                <w:szCs w:val="18"/>
              </w:rPr>
              <w:t>18</w:t>
            </w:r>
          </w:p>
        </w:tc>
        <w:tc>
          <w:tcPr>
            <w:tcW w:w="0" w:type="auto"/>
          </w:tcPr>
          <w:p w14:paraId="3640D5C2">
            <w:pPr>
              <w:ind w:left="88" w:hanging="88" w:hangingChars="49"/>
              <w:jc w:val="center"/>
              <w:rPr>
                <w:color w:val="000000" w:themeColor="text1"/>
                <w:sz w:val="18"/>
                <w:szCs w:val="18"/>
              </w:rPr>
            </w:pPr>
            <w:r>
              <w:rPr>
                <w:color w:val="000000" w:themeColor="text1"/>
                <w:sz w:val="18"/>
                <w:szCs w:val="18"/>
              </w:rPr>
              <w:t>200</w:t>
            </w:r>
          </w:p>
        </w:tc>
        <w:tc>
          <w:tcPr>
            <w:tcW w:w="0" w:type="auto"/>
          </w:tcPr>
          <w:p w14:paraId="36D54C4B">
            <w:pPr>
              <w:rPr>
                <w:color w:val="000000" w:themeColor="text1"/>
              </w:rPr>
            </w:pPr>
            <w:r>
              <w:rPr>
                <w:color w:val="000000" w:themeColor="text1"/>
                <w:sz w:val="18"/>
                <w:szCs w:val="18"/>
              </w:rPr>
              <w:t>达标</w:t>
            </w:r>
          </w:p>
        </w:tc>
        <w:tc>
          <w:tcPr>
            <w:tcW w:w="0" w:type="auto"/>
            <w:shd w:val="clear" w:color="auto" w:fill="auto"/>
            <w:vAlign w:val="center"/>
          </w:tcPr>
          <w:p w14:paraId="4420B25A">
            <w:pPr>
              <w:ind w:left="88" w:hanging="88" w:hangingChars="49"/>
              <w:jc w:val="center"/>
              <w:rPr>
                <w:color w:val="000000" w:themeColor="text1"/>
                <w:sz w:val="18"/>
                <w:szCs w:val="18"/>
              </w:rPr>
            </w:pPr>
            <w:r>
              <w:rPr>
                <w:color w:val="000000" w:themeColor="text1"/>
                <w:sz w:val="18"/>
                <w:szCs w:val="18"/>
              </w:rPr>
              <w:t>0.42</w:t>
            </w:r>
          </w:p>
        </w:tc>
        <w:tc>
          <w:tcPr>
            <w:tcW w:w="0" w:type="auto"/>
            <w:shd w:val="clear" w:color="auto" w:fill="auto"/>
            <w:vAlign w:val="center"/>
          </w:tcPr>
          <w:p w14:paraId="52F0F446">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425AAAF8">
            <w:pPr>
              <w:rPr>
                <w:color w:val="000000" w:themeColor="text1"/>
              </w:rPr>
            </w:pPr>
            <w:r>
              <w:rPr>
                <w:color w:val="000000" w:themeColor="text1"/>
                <w:sz w:val="18"/>
                <w:szCs w:val="18"/>
              </w:rPr>
              <w:t>达标</w:t>
            </w:r>
          </w:p>
        </w:tc>
      </w:tr>
      <w:tr w14:paraId="7A6623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restart"/>
            <w:shd w:val="clear" w:color="auto" w:fill="auto"/>
            <w:vAlign w:val="center"/>
          </w:tcPr>
          <w:p w14:paraId="02E1A278">
            <w:pPr>
              <w:ind w:left="88" w:hanging="88" w:hangingChars="49"/>
              <w:jc w:val="center"/>
              <w:rPr>
                <w:color w:val="000000" w:themeColor="text1"/>
                <w:sz w:val="18"/>
                <w:szCs w:val="18"/>
              </w:rPr>
            </w:pPr>
            <w:r>
              <w:rPr>
                <w:color w:val="000000" w:themeColor="text1"/>
                <w:sz w:val="18"/>
                <w:szCs w:val="18"/>
              </w:rPr>
              <w:t>20191113</w:t>
            </w:r>
          </w:p>
        </w:tc>
        <w:tc>
          <w:tcPr>
            <w:tcW w:w="0" w:type="auto"/>
            <w:vAlign w:val="center"/>
          </w:tcPr>
          <w:p w14:paraId="79EDA112">
            <w:pPr>
              <w:jc w:val="center"/>
              <w:rPr>
                <w:color w:val="000000" w:themeColor="text1"/>
                <w:sz w:val="18"/>
                <w:szCs w:val="18"/>
              </w:rPr>
            </w:pPr>
            <w:r>
              <w:rPr>
                <w:color w:val="000000" w:themeColor="text1"/>
                <w:sz w:val="18"/>
                <w:szCs w:val="18"/>
              </w:rPr>
              <w:t>02:00-03:00</w:t>
            </w:r>
          </w:p>
        </w:tc>
        <w:tc>
          <w:tcPr>
            <w:tcW w:w="0" w:type="auto"/>
          </w:tcPr>
          <w:p w14:paraId="4C5D9CC4">
            <w:pPr>
              <w:ind w:left="88" w:hanging="88" w:hangingChars="49"/>
              <w:jc w:val="center"/>
              <w:rPr>
                <w:color w:val="000000" w:themeColor="text1"/>
                <w:sz w:val="18"/>
                <w:szCs w:val="18"/>
              </w:rPr>
            </w:pPr>
            <w:r>
              <w:rPr>
                <w:color w:val="000000" w:themeColor="text1"/>
                <w:sz w:val="18"/>
                <w:szCs w:val="18"/>
              </w:rPr>
              <w:t>9</w:t>
            </w:r>
          </w:p>
        </w:tc>
        <w:tc>
          <w:tcPr>
            <w:tcW w:w="0" w:type="auto"/>
          </w:tcPr>
          <w:p w14:paraId="61B5BD1B">
            <w:pPr>
              <w:ind w:left="88" w:hanging="88" w:hangingChars="49"/>
              <w:jc w:val="center"/>
              <w:rPr>
                <w:color w:val="000000" w:themeColor="text1"/>
                <w:sz w:val="18"/>
                <w:szCs w:val="18"/>
              </w:rPr>
            </w:pPr>
            <w:r>
              <w:rPr>
                <w:color w:val="000000" w:themeColor="text1"/>
                <w:sz w:val="18"/>
                <w:szCs w:val="18"/>
              </w:rPr>
              <w:t>500</w:t>
            </w:r>
          </w:p>
        </w:tc>
        <w:tc>
          <w:tcPr>
            <w:tcW w:w="0" w:type="auto"/>
          </w:tcPr>
          <w:p w14:paraId="204C2ED3">
            <w:pPr>
              <w:rPr>
                <w:color w:val="000000" w:themeColor="text1"/>
              </w:rPr>
            </w:pPr>
            <w:r>
              <w:rPr>
                <w:color w:val="000000" w:themeColor="text1"/>
                <w:sz w:val="18"/>
                <w:szCs w:val="18"/>
              </w:rPr>
              <w:t>达标</w:t>
            </w:r>
          </w:p>
        </w:tc>
        <w:tc>
          <w:tcPr>
            <w:tcW w:w="0" w:type="auto"/>
          </w:tcPr>
          <w:p w14:paraId="1B1FBB91">
            <w:pPr>
              <w:ind w:left="88" w:hanging="88" w:hangingChars="49"/>
              <w:jc w:val="center"/>
              <w:rPr>
                <w:color w:val="000000" w:themeColor="text1"/>
                <w:sz w:val="18"/>
                <w:szCs w:val="18"/>
              </w:rPr>
            </w:pPr>
            <w:r>
              <w:rPr>
                <w:color w:val="000000" w:themeColor="text1"/>
                <w:sz w:val="18"/>
                <w:szCs w:val="18"/>
              </w:rPr>
              <w:t>11</w:t>
            </w:r>
          </w:p>
        </w:tc>
        <w:tc>
          <w:tcPr>
            <w:tcW w:w="0" w:type="auto"/>
          </w:tcPr>
          <w:p w14:paraId="21A7EB85">
            <w:pPr>
              <w:ind w:left="88" w:hanging="88" w:hangingChars="49"/>
              <w:jc w:val="center"/>
              <w:rPr>
                <w:color w:val="000000" w:themeColor="text1"/>
                <w:sz w:val="18"/>
                <w:szCs w:val="18"/>
              </w:rPr>
            </w:pPr>
            <w:r>
              <w:rPr>
                <w:color w:val="000000" w:themeColor="text1"/>
                <w:sz w:val="18"/>
                <w:szCs w:val="18"/>
              </w:rPr>
              <w:t>200</w:t>
            </w:r>
          </w:p>
        </w:tc>
        <w:tc>
          <w:tcPr>
            <w:tcW w:w="0" w:type="auto"/>
          </w:tcPr>
          <w:p w14:paraId="02C9D246">
            <w:pPr>
              <w:rPr>
                <w:color w:val="000000" w:themeColor="text1"/>
              </w:rPr>
            </w:pPr>
            <w:r>
              <w:rPr>
                <w:color w:val="000000" w:themeColor="text1"/>
                <w:sz w:val="18"/>
                <w:szCs w:val="18"/>
              </w:rPr>
              <w:t>达标</w:t>
            </w:r>
          </w:p>
        </w:tc>
        <w:tc>
          <w:tcPr>
            <w:tcW w:w="0" w:type="auto"/>
            <w:shd w:val="clear" w:color="auto" w:fill="auto"/>
            <w:vAlign w:val="center"/>
          </w:tcPr>
          <w:p w14:paraId="1B5BE55B">
            <w:pPr>
              <w:ind w:left="88" w:hanging="88" w:hangingChars="49"/>
              <w:jc w:val="center"/>
              <w:rPr>
                <w:color w:val="000000" w:themeColor="text1"/>
                <w:sz w:val="18"/>
                <w:szCs w:val="18"/>
              </w:rPr>
            </w:pPr>
            <w:r>
              <w:rPr>
                <w:color w:val="000000" w:themeColor="text1"/>
                <w:sz w:val="18"/>
                <w:szCs w:val="18"/>
              </w:rPr>
              <w:t>0.44</w:t>
            </w:r>
          </w:p>
        </w:tc>
        <w:tc>
          <w:tcPr>
            <w:tcW w:w="0" w:type="auto"/>
            <w:shd w:val="clear" w:color="auto" w:fill="auto"/>
            <w:vAlign w:val="center"/>
          </w:tcPr>
          <w:p w14:paraId="22C559AE">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1C8DC6FD">
            <w:pPr>
              <w:rPr>
                <w:color w:val="000000" w:themeColor="text1"/>
              </w:rPr>
            </w:pPr>
            <w:r>
              <w:rPr>
                <w:color w:val="000000" w:themeColor="text1"/>
                <w:sz w:val="18"/>
                <w:szCs w:val="18"/>
              </w:rPr>
              <w:t>达标</w:t>
            </w:r>
          </w:p>
        </w:tc>
      </w:tr>
      <w:tr w14:paraId="7900BE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52FFEC1B">
            <w:pPr>
              <w:ind w:left="88" w:hanging="88" w:hangingChars="49"/>
              <w:jc w:val="center"/>
              <w:rPr>
                <w:color w:val="000000" w:themeColor="text1"/>
                <w:sz w:val="18"/>
                <w:szCs w:val="18"/>
              </w:rPr>
            </w:pPr>
          </w:p>
        </w:tc>
        <w:tc>
          <w:tcPr>
            <w:tcW w:w="0" w:type="auto"/>
            <w:vAlign w:val="center"/>
          </w:tcPr>
          <w:p w14:paraId="134C842B">
            <w:pPr>
              <w:jc w:val="center"/>
              <w:rPr>
                <w:color w:val="000000" w:themeColor="text1"/>
                <w:sz w:val="18"/>
                <w:szCs w:val="18"/>
              </w:rPr>
            </w:pPr>
            <w:r>
              <w:rPr>
                <w:color w:val="000000" w:themeColor="text1"/>
                <w:sz w:val="18"/>
                <w:szCs w:val="18"/>
              </w:rPr>
              <w:t>08:00-09:00</w:t>
            </w:r>
          </w:p>
        </w:tc>
        <w:tc>
          <w:tcPr>
            <w:tcW w:w="0" w:type="auto"/>
          </w:tcPr>
          <w:p w14:paraId="54525F0D">
            <w:pPr>
              <w:ind w:left="88" w:hanging="88" w:hangingChars="49"/>
              <w:jc w:val="center"/>
              <w:rPr>
                <w:color w:val="000000" w:themeColor="text1"/>
                <w:sz w:val="18"/>
                <w:szCs w:val="18"/>
              </w:rPr>
            </w:pPr>
            <w:r>
              <w:rPr>
                <w:color w:val="000000" w:themeColor="text1"/>
                <w:sz w:val="18"/>
                <w:szCs w:val="18"/>
              </w:rPr>
              <w:t>13</w:t>
            </w:r>
          </w:p>
        </w:tc>
        <w:tc>
          <w:tcPr>
            <w:tcW w:w="0" w:type="auto"/>
          </w:tcPr>
          <w:p w14:paraId="6A582614">
            <w:pPr>
              <w:ind w:left="88" w:hanging="88" w:hangingChars="49"/>
              <w:jc w:val="center"/>
              <w:rPr>
                <w:color w:val="000000" w:themeColor="text1"/>
                <w:sz w:val="18"/>
                <w:szCs w:val="18"/>
              </w:rPr>
            </w:pPr>
            <w:r>
              <w:rPr>
                <w:color w:val="000000" w:themeColor="text1"/>
                <w:sz w:val="18"/>
                <w:szCs w:val="18"/>
              </w:rPr>
              <w:t>500</w:t>
            </w:r>
          </w:p>
        </w:tc>
        <w:tc>
          <w:tcPr>
            <w:tcW w:w="0" w:type="auto"/>
          </w:tcPr>
          <w:p w14:paraId="5E0ECB87">
            <w:pPr>
              <w:rPr>
                <w:color w:val="000000" w:themeColor="text1"/>
              </w:rPr>
            </w:pPr>
            <w:r>
              <w:rPr>
                <w:color w:val="000000" w:themeColor="text1"/>
                <w:sz w:val="18"/>
                <w:szCs w:val="18"/>
              </w:rPr>
              <w:t>达标</w:t>
            </w:r>
          </w:p>
        </w:tc>
        <w:tc>
          <w:tcPr>
            <w:tcW w:w="0" w:type="auto"/>
          </w:tcPr>
          <w:p w14:paraId="630EF962">
            <w:pPr>
              <w:ind w:left="88" w:hanging="88" w:hangingChars="49"/>
              <w:jc w:val="center"/>
              <w:rPr>
                <w:color w:val="000000" w:themeColor="text1"/>
                <w:sz w:val="18"/>
                <w:szCs w:val="18"/>
              </w:rPr>
            </w:pPr>
            <w:r>
              <w:rPr>
                <w:color w:val="000000" w:themeColor="text1"/>
                <w:sz w:val="18"/>
                <w:szCs w:val="18"/>
              </w:rPr>
              <w:t>19</w:t>
            </w:r>
          </w:p>
        </w:tc>
        <w:tc>
          <w:tcPr>
            <w:tcW w:w="0" w:type="auto"/>
          </w:tcPr>
          <w:p w14:paraId="7136B083">
            <w:pPr>
              <w:ind w:left="88" w:hanging="88" w:hangingChars="49"/>
              <w:jc w:val="center"/>
              <w:rPr>
                <w:color w:val="000000" w:themeColor="text1"/>
                <w:sz w:val="18"/>
                <w:szCs w:val="18"/>
              </w:rPr>
            </w:pPr>
            <w:r>
              <w:rPr>
                <w:color w:val="000000" w:themeColor="text1"/>
                <w:sz w:val="18"/>
                <w:szCs w:val="18"/>
              </w:rPr>
              <w:t>200</w:t>
            </w:r>
          </w:p>
        </w:tc>
        <w:tc>
          <w:tcPr>
            <w:tcW w:w="0" w:type="auto"/>
          </w:tcPr>
          <w:p w14:paraId="57A4ACD0">
            <w:pPr>
              <w:rPr>
                <w:color w:val="000000" w:themeColor="text1"/>
              </w:rPr>
            </w:pPr>
            <w:r>
              <w:rPr>
                <w:color w:val="000000" w:themeColor="text1"/>
                <w:sz w:val="18"/>
                <w:szCs w:val="18"/>
              </w:rPr>
              <w:t>达标</w:t>
            </w:r>
          </w:p>
        </w:tc>
        <w:tc>
          <w:tcPr>
            <w:tcW w:w="0" w:type="auto"/>
            <w:shd w:val="clear" w:color="auto" w:fill="auto"/>
            <w:vAlign w:val="center"/>
          </w:tcPr>
          <w:p w14:paraId="72C41871">
            <w:pPr>
              <w:ind w:left="88" w:hanging="88" w:hangingChars="49"/>
              <w:jc w:val="center"/>
              <w:rPr>
                <w:color w:val="000000" w:themeColor="text1"/>
                <w:sz w:val="18"/>
                <w:szCs w:val="18"/>
              </w:rPr>
            </w:pPr>
            <w:r>
              <w:rPr>
                <w:color w:val="000000" w:themeColor="text1"/>
                <w:sz w:val="18"/>
                <w:szCs w:val="18"/>
              </w:rPr>
              <w:t>0.39</w:t>
            </w:r>
          </w:p>
        </w:tc>
        <w:tc>
          <w:tcPr>
            <w:tcW w:w="0" w:type="auto"/>
            <w:shd w:val="clear" w:color="auto" w:fill="auto"/>
            <w:vAlign w:val="center"/>
          </w:tcPr>
          <w:p w14:paraId="31F541D0">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451EFE4C">
            <w:pPr>
              <w:rPr>
                <w:color w:val="000000" w:themeColor="text1"/>
              </w:rPr>
            </w:pPr>
            <w:r>
              <w:rPr>
                <w:color w:val="000000" w:themeColor="text1"/>
                <w:sz w:val="18"/>
                <w:szCs w:val="18"/>
              </w:rPr>
              <w:t>达标</w:t>
            </w:r>
          </w:p>
        </w:tc>
      </w:tr>
      <w:tr w14:paraId="3814B2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1611F1D4">
            <w:pPr>
              <w:ind w:left="88" w:hanging="88" w:hangingChars="49"/>
              <w:jc w:val="center"/>
              <w:rPr>
                <w:color w:val="000000" w:themeColor="text1"/>
                <w:sz w:val="18"/>
                <w:szCs w:val="18"/>
              </w:rPr>
            </w:pPr>
          </w:p>
        </w:tc>
        <w:tc>
          <w:tcPr>
            <w:tcW w:w="0" w:type="auto"/>
            <w:vAlign w:val="center"/>
          </w:tcPr>
          <w:p w14:paraId="6E9C677F">
            <w:pPr>
              <w:jc w:val="center"/>
              <w:rPr>
                <w:color w:val="000000" w:themeColor="text1"/>
                <w:sz w:val="18"/>
                <w:szCs w:val="18"/>
              </w:rPr>
            </w:pPr>
            <w:r>
              <w:rPr>
                <w:color w:val="000000" w:themeColor="text1"/>
                <w:sz w:val="18"/>
                <w:szCs w:val="18"/>
              </w:rPr>
              <w:t>14:00-15:00</w:t>
            </w:r>
          </w:p>
        </w:tc>
        <w:tc>
          <w:tcPr>
            <w:tcW w:w="0" w:type="auto"/>
          </w:tcPr>
          <w:p w14:paraId="64E21F41">
            <w:pPr>
              <w:ind w:left="88" w:hanging="88" w:hangingChars="49"/>
              <w:jc w:val="center"/>
              <w:rPr>
                <w:color w:val="000000" w:themeColor="text1"/>
                <w:sz w:val="18"/>
                <w:szCs w:val="18"/>
              </w:rPr>
            </w:pPr>
            <w:r>
              <w:rPr>
                <w:color w:val="000000" w:themeColor="text1"/>
                <w:sz w:val="18"/>
                <w:szCs w:val="18"/>
              </w:rPr>
              <w:t>17</w:t>
            </w:r>
          </w:p>
        </w:tc>
        <w:tc>
          <w:tcPr>
            <w:tcW w:w="0" w:type="auto"/>
          </w:tcPr>
          <w:p w14:paraId="5AFEF281">
            <w:pPr>
              <w:ind w:left="88" w:hanging="88" w:hangingChars="49"/>
              <w:jc w:val="center"/>
              <w:rPr>
                <w:color w:val="000000" w:themeColor="text1"/>
                <w:sz w:val="18"/>
                <w:szCs w:val="18"/>
              </w:rPr>
            </w:pPr>
            <w:r>
              <w:rPr>
                <w:color w:val="000000" w:themeColor="text1"/>
                <w:sz w:val="18"/>
                <w:szCs w:val="18"/>
              </w:rPr>
              <w:t>500</w:t>
            </w:r>
          </w:p>
        </w:tc>
        <w:tc>
          <w:tcPr>
            <w:tcW w:w="0" w:type="auto"/>
          </w:tcPr>
          <w:p w14:paraId="03B68E82">
            <w:pPr>
              <w:rPr>
                <w:color w:val="000000" w:themeColor="text1"/>
              </w:rPr>
            </w:pPr>
            <w:r>
              <w:rPr>
                <w:color w:val="000000" w:themeColor="text1"/>
                <w:sz w:val="18"/>
                <w:szCs w:val="18"/>
              </w:rPr>
              <w:t>达标</w:t>
            </w:r>
          </w:p>
        </w:tc>
        <w:tc>
          <w:tcPr>
            <w:tcW w:w="0" w:type="auto"/>
          </w:tcPr>
          <w:p w14:paraId="5F2B46AE">
            <w:pPr>
              <w:ind w:left="88" w:hanging="88" w:hangingChars="49"/>
              <w:jc w:val="center"/>
              <w:rPr>
                <w:color w:val="000000" w:themeColor="text1"/>
                <w:sz w:val="18"/>
                <w:szCs w:val="18"/>
              </w:rPr>
            </w:pPr>
            <w:r>
              <w:rPr>
                <w:color w:val="000000" w:themeColor="text1"/>
                <w:sz w:val="18"/>
                <w:szCs w:val="18"/>
              </w:rPr>
              <w:t>15</w:t>
            </w:r>
          </w:p>
        </w:tc>
        <w:tc>
          <w:tcPr>
            <w:tcW w:w="0" w:type="auto"/>
          </w:tcPr>
          <w:p w14:paraId="5F636ACE">
            <w:pPr>
              <w:ind w:left="88" w:hanging="88" w:hangingChars="49"/>
              <w:jc w:val="center"/>
              <w:rPr>
                <w:color w:val="000000" w:themeColor="text1"/>
                <w:sz w:val="18"/>
                <w:szCs w:val="18"/>
              </w:rPr>
            </w:pPr>
            <w:r>
              <w:rPr>
                <w:color w:val="000000" w:themeColor="text1"/>
                <w:sz w:val="18"/>
                <w:szCs w:val="18"/>
              </w:rPr>
              <w:t>200</w:t>
            </w:r>
          </w:p>
        </w:tc>
        <w:tc>
          <w:tcPr>
            <w:tcW w:w="0" w:type="auto"/>
          </w:tcPr>
          <w:p w14:paraId="1AEB6390">
            <w:pPr>
              <w:rPr>
                <w:color w:val="000000" w:themeColor="text1"/>
              </w:rPr>
            </w:pPr>
            <w:r>
              <w:rPr>
                <w:color w:val="000000" w:themeColor="text1"/>
                <w:sz w:val="18"/>
                <w:szCs w:val="18"/>
              </w:rPr>
              <w:t>达标</w:t>
            </w:r>
          </w:p>
        </w:tc>
        <w:tc>
          <w:tcPr>
            <w:tcW w:w="0" w:type="auto"/>
            <w:shd w:val="clear" w:color="auto" w:fill="auto"/>
            <w:vAlign w:val="center"/>
          </w:tcPr>
          <w:p w14:paraId="2E01A567">
            <w:pPr>
              <w:ind w:left="88" w:hanging="88" w:hangingChars="49"/>
              <w:jc w:val="center"/>
              <w:rPr>
                <w:color w:val="000000" w:themeColor="text1"/>
                <w:sz w:val="18"/>
                <w:szCs w:val="18"/>
              </w:rPr>
            </w:pPr>
            <w:r>
              <w:rPr>
                <w:color w:val="000000" w:themeColor="text1"/>
                <w:sz w:val="18"/>
                <w:szCs w:val="18"/>
              </w:rPr>
              <w:t>0.31</w:t>
            </w:r>
          </w:p>
        </w:tc>
        <w:tc>
          <w:tcPr>
            <w:tcW w:w="0" w:type="auto"/>
            <w:shd w:val="clear" w:color="auto" w:fill="auto"/>
            <w:vAlign w:val="center"/>
          </w:tcPr>
          <w:p w14:paraId="58375D6E">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72D3E7AC">
            <w:pPr>
              <w:rPr>
                <w:color w:val="000000" w:themeColor="text1"/>
              </w:rPr>
            </w:pPr>
            <w:r>
              <w:rPr>
                <w:color w:val="000000" w:themeColor="text1"/>
                <w:sz w:val="18"/>
                <w:szCs w:val="18"/>
              </w:rPr>
              <w:t>达标</w:t>
            </w:r>
          </w:p>
        </w:tc>
      </w:tr>
      <w:tr w14:paraId="7FEA26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367B2A16">
            <w:pPr>
              <w:ind w:left="88" w:hanging="88" w:hangingChars="49"/>
              <w:jc w:val="center"/>
              <w:rPr>
                <w:color w:val="000000" w:themeColor="text1"/>
                <w:sz w:val="18"/>
                <w:szCs w:val="18"/>
              </w:rPr>
            </w:pPr>
          </w:p>
        </w:tc>
        <w:tc>
          <w:tcPr>
            <w:tcW w:w="0" w:type="auto"/>
            <w:vAlign w:val="center"/>
          </w:tcPr>
          <w:p w14:paraId="397947E4">
            <w:pPr>
              <w:jc w:val="center"/>
              <w:rPr>
                <w:color w:val="000000" w:themeColor="text1"/>
                <w:sz w:val="18"/>
                <w:szCs w:val="18"/>
              </w:rPr>
            </w:pPr>
            <w:r>
              <w:rPr>
                <w:color w:val="000000" w:themeColor="text1"/>
                <w:sz w:val="18"/>
                <w:szCs w:val="18"/>
              </w:rPr>
              <w:t>20:00-21:00</w:t>
            </w:r>
          </w:p>
        </w:tc>
        <w:tc>
          <w:tcPr>
            <w:tcW w:w="0" w:type="auto"/>
          </w:tcPr>
          <w:p w14:paraId="0DA2EC82">
            <w:pPr>
              <w:ind w:left="88" w:hanging="88" w:hangingChars="49"/>
              <w:jc w:val="center"/>
              <w:rPr>
                <w:color w:val="000000" w:themeColor="text1"/>
                <w:sz w:val="18"/>
                <w:szCs w:val="18"/>
              </w:rPr>
            </w:pPr>
            <w:r>
              <w:rPr>
                <w:color w:val="000000" w:themeColor="text1"/>
                <w:sz w:val="18"/>
                <w:szCs w:val="18"/>
              </w:rPr>
              <w:t>12</w:t>
            </w:r>
          </w:p>
        </w:tc>
        <w:tc>
          <w:tcPr>
            <w:tcW w:w="0" w:type="auto"/>
          </w:tcPr>
          <w:p w14:paraId="0B2D83F2">
            <w:pPr>
              <w:ind w:left="88" w:hanging="88" w:hangingChars="49"/>
              <w:jc w:val="center"/>
              <w:rPr>
                <w:color w:val="000000" w:themeColor="text1"/>
                <w:sz w:val="18"/>
                <w:szCs w:val="18"/>
              </w:rPr>
            </w:pPr>
            <w:r>
              <w:rPr>
                <w:color w:val="000000" w:themeColor="text1"/>
                <w:sz w:val="18"/>
                <w:szCs w:val="18"/>
              </w:rPr>
              <w:t>500</w:t>
            </w:r>
          </w:p>
        </w:tc>
        <w:tc>
          <w:tcPr>
            <w:tcW w:w="0" w:type="auto"/>
          </w:tcPr>
          <w:p w14:paraId="49A787CD">
            <w:pPr>
              <w:rPr>
                <w:color w:val="000000" w:themeColor="text1"/>
              </w:rPr>
            </w:pPr>
            <w:r>
              <w:rPr>
                <w:color w:val="000000" w:themeColor="text1"/>
                <w:sz w:val="18"/>
                <w:szCs w:val="18"/>
              </w:rPr>
              <w:t>达标</w:t>
            </w:r>
          </w:p>
        </w:tc>
        <w:tc>
          <w:tcPr>
            <w:tcW w:w="0" w:type="auto"/>
          </w:tcPr>
          <w:p w14:paraId="51F3DDCE">
            <w:pPr>
              <w:ind w:left="88" w:hanging="88" w:hangingChars="49"/>
              <w:jc w:val="center"/>
              <w:rPr>
                <w:color w:val="000000" w:themeColor="text1"/>
                <w:sz w:val="18"/>
                <w:szCs w:val="18"/>
              </w:rPr>
            </w:pPr>
            <w:r>
              <w:rPr>
                <w:color w:val="000000" w:themeColor="text1"/>
                <w:sz w:val="18"/>
                <w:szCs w:val="18"/>
              </w:rPr>
              <w:t>20</w:t>
            </w:r>
          </w:p>
        </w:tc>
        <w:tc>
          <w:tcPr>
            <w:tcW w:w="0" w:type="auto"/>
          </w:tcPr>
          <w:p w14:paraId="40E2E40A">
            <w:pPr>
              <w:ind w:left="88" w:hanging="88" w:hangingChars="49"/>
              <w:jc w:val="center"/>
              <w:rPr>
                <w:color w:val="000000" w:themeColor="text1"/>
                <w:sz w:val="18"/>
                <w:szCs w:val="18"/>
              </w:rPr>
            </w:pPr>
            <w:r>
              <w:rPr>
                <w:color w:val="000000" w:themeColor="text1"/>
                <w:sz w:val="18"/>
                <w:szCs w:val="18"/>
              </w:rPr>
              <w:t>200</w:t>
            </w:r>
          </w:p>
        </w:tc>
        <w:tc>
          <w:tcPr>
            <w:tcW w:w="0" w:type="auto"/>
          </w:tcPr>
          <w:p w14:paraId="7CDA7DC6">
            <w:pPr>
              <w:rPr>
                <w:color w:val="000000" w:themeColor="text1"/>
              </w:rPr>
            </w:pPr>
            <w:r>
              <w:rPr>
                <w:color w:val="000000" w:themeColor="text1"/>
                <w:sz w:val="18"/>
                <w:szCs w:val="18"/>
              </w:rPr>
              <w:t>达标</w:t>
            </w:r>
          </w:p>
        </w:tc>
        <w:tc>
          <w:tcPr>
            <w:tcW w:w="0" w:type="auto"/>
            <w:shd w:val="clear" w:color="auto" w:fill="auto"/>
            <w:vAlign w:val="center"/>
          </w:tcPr>
          <w:p w14:paraId="0A6AC4FA">
            <w:pPr>
              <w:ind w:left="88" w:hanging="88" w:hangingChars="49"/>
              <w:jc w:val="center"/>
              <w:rPr>
                <w:color w:val="000000" w:themeColor="text1"/>
                <w:sz w:val="18"/>
                <w:szCs w:val="18"/>
              </w:rPr>
            </w:pPr>
            <w:r>
              <w:rPr>
                <w:color w:val="000000" w:themeColor="text1"/>
                <w:sz w:val="18"/>
                <w:szCs w:val="18"/>
              </w:rPr>
              <w:t>0.28</w:t>
            </w:r>
          </w:p>
        </w:tc>
        <w:tc>
          <w:tcPr>
            <w:tcW w:w="0" w:type="auto"/>
            <w:shd w:val="clear" w:color="auto" w:fill="auto"/>
            <w:vAlign w:val="center"/>
          </w:tcPr>
          <w:p w14:paraId="28DC8F2A">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0752055D">
            <w:pPr>
              <w:rPr>
                <w:color w:val="000000" w:themeColor="text1"/>
              </w:rPr>
            </w:pPr>
            <w:r>
              <w:rPr>
                <w:color w:val="000000" w:themeColor="text1"/>
                <w:sz w:val="18"/>
                <w:szCs w:val="18"/>
              </w:rPr>
              <w:t>达标</w:t>
            </w:r>
          </w:p>
        </w:tc>
      </w:tr>
      <w:tr w14:paraId="19B46A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restart"/>
            <w:shd w:val="clear" w:color="auto" w:fill="auto"/>
            <w:vAlign w:val="center"/>
          </w:tcPr>
          <w:p w14:paraId="1C854A01">
            <w:pPr>
              <w:ind w:left="88" w:hanging="88" w:hangingChars="49"/>
              <w:jc w:val="center"/>
              <w:rPr>
                <w:color w:val="000000" w:themeColor="text1"/>
                <w:sz w:val="18"/>
                <w:szCs w:val="18"/>
              </w:rPr>
            </w:pPr>
            <w:r>
              <w:rPr>
                <w:color w:val="000000" w:themeColor="text1"/>
                <w:sz w:val="18"/>
                <w:szCs w:val="18"/>
              </w:rPr>
              <w:t>20191114</w:t>
            </w:r>
          </w:p>
        </w:tc>
        <w:tc>
          <w:tcPr>
            <w:tcW w:w="0" w:type="auto"/>
            <w:vAlign w:val="center"/>
          </w:tcPr>
          <w:p w14:paraId="277F3B8F">
            <w:pPr>
              <w:jc w:val="center"/>
              <w:rPr>
                <w:color w:val="000000" w:themeColor="text1"/>
                <w:sz w:val="18"/>
                <w:szCs w:val="18"/>
              </w:rPr>
            </w:pPr>
            <w:r>
              <w:rPr>
                <w:color w:val="000000" w:themeColor="text1"/>
                <w:sz w:val="18"/>
                <w:szCs w:val="18"/>
              </w:rPr>
              <w:t>02:00-03:00</w:t>
            </w:r>
          </w:p>
        </w:tc>
        <w:tc>
          <w:tcPr>
            <w:tcW w:w="0" w:type="auto"/>
          </w:tcPr>
          <w:p w14:paraId="199D57DB">
            <w:pPr>
              <w:ind w:left="88" w:hanging="88" w:hangingChars="49"/>
              <w:jc w:val="center"/>
              <w:rPr>
                <w:color w:val="000000" w:themeColor="text1"/>
                <w:sz w:val="18"/>
                <w:szCs w:val="18"/>
              </w:rPr>
            </w:pPr>
            <w:r>
              <w:rPr>
                <w:color w:val="000000" w:themeColor="text1"/>
                <w:sz w:val="18"/>
                <w:szCs w:val="18"/>
              </w:rPr>
              <w:t>10</w:t>
            </w:r>
          </w:p>
        </w:tc>
        <w:tc>
          <w:tcPr>
            <w:tcW w:w="0" w:type="auto"/>
          </w:tcPr>
          <w:p w14:paraId="328F7257">
            <w:pPr>
              <w:ind w:left="88" w:hanging="88" w:hangingChars="49"/>
              <w:jc w:val="center"/>
              <w:rPr>
                <w:color w:val="000000" w:themeColor="text1"/>
                <w:sz w:val="18"/>
                <w:szCs w:val="18"/>
              </w:rPr>
            </w:pPr>
            <w:r>
              <w:rPr>
                <w:color w:val="000000" w:themeColor="text1"/>
                <w:sz w:val="18"/>
                <w:szCs w:val="18"/>
              </w:rPr>
              <w:t>500</w:t>
            </w:r>
          </w:p>
        </w:tc>
        <w:tc>
          <w:tcPr>
            <w:tcW w:w="0" w:type="auto"/>
          </w:tcPr>
          <w:p w14:paraId="6B1B391B">
            <w:pPr>
              <w:rPr>
                <w:color w:val="000000" w:themeColor="text1"/>
              </w:rPr>
            </w:pPr>
            <w:r>
              <w:rPr>
                <w:color w:val="000000" w:themeColor="text1"/>
                <w:sz w:val="18"/>
                <w:szCs w:val="18"/>
              </w:rPr>
              <w:t>达标</w:t>
            </w:r>
          </w:p>
        </w:tc>
        <w:tc>
          <w:tcPr>
            <w:tcW w:w="0" w:type="auto"/>
          </w:tcPr>
          <w:p w14:paraId="0EFB8F0E">
            <w:pPr>
              <w:ind w:left="88" w:hanging="88" w:hangingChars="49"/>
              <w:jc w:val="center"/>
              <w:rPr>
                <w:color w:val="000000" w:themeColor="text1"/>
                <w:sz w:val="18"/>
                <w:szCs w:val="18"/>
              </w:rPr>
            </w:pPr>
            <w:r>
              <w:rPr>
                <w:color w:val="000000" w:themeColor="text1"/>
                <w:sz w:val="18"/>
                <w:szCs w:val="18"/>
              </w:rPr>
              <w:t>10</w:t>
            </w:r>
          </w:p>
        </w:tc>
        <w:tc>
          <w:tcPr>
            <w:tcW w:w="0" w:type="auto"/>
          </w:tcPr>
          <w:p w14:paraId="4D6DE2D8">
            <w:pPr>
              <w:ind w:left="88" w:hanging="88" w:hangingChars="49"/>
              <w:jc w:val="center"/>
              <w:rPr>
                <w:color w:val="000000" w:themeColor="text1"/>
                <w:sz w:val="18"/>
                <w:szCs w:val="18"/>
              </w:rPr>
            </w:pPr>
            <w:r>
              <w:rPr>
                <w:color w:val="000000" w:themeColor="text1"/>
                <w:sz w:val="18"/>
                <w:szCs w:val="18"/>
              </w:rPr>
              <w:t>200</w:t>
            </w:r>
          </w:p>
        </w:tc>
        <w:tc>
          <w:tcPr>
            <w:tcW w:w="0" w:type="auto"/>
          </w:tcPr>
          <w:p w14:paraId="2238792F">
            <w:pPr>
              <w:rPr>
                <w:color w:val="000000" w:themeColor="text1"/>
              </w:rPr>
            </w:pPr>
            <w:r>
              <w:rPr>
                <w:color w:val="000000" w:themeColor="text1"/>
                <w:sz w:val="18"/>
                <w:szCs w:val="18"/>
              </w:rPr>
              <w:t>达标</w:t>
            </w:r>
          </w:p>
        </w:tc>
        <w:tc>
          <w:tcPr>
            <w:tcW w:w="0" w:type="auto"/>
            <w:shd w:val="clear" w:color="auto" w:fill="auto"/>
            <w:vAlign w:val="center"/>
          </w:tcPr>
          <w:p w14:paraId="335404F9">
            <w:pPr>
              <w:ind w:left="88" w:hanging="88" w:hangingChars="49"/>
              <w:jc w:val="center"/>
              <w:rPr>
                <w:color w:val="000000" w:themeColor="text1"/>
                <w:sz w:val="18"/>
                <w:szCs w:val="18"/>
              </w:rPr>
            </w:pPr>
            <w:r>
              <w:rPr>
                <w:color w:val="000000" w:themeColor="text1"/>
                <w:sz w:val="18"/>
                <w:szCs w:val="18"/>
              </w:rPr>
              <w:t>0.26</w:t>
            </w:r>
          </w:p>
        </w:tc>
        <w:tc>
          <w:tcPr>
            <w:tcW w:w="0" w:type="auto"/>
            <w:shd w:val="clear" w:color="auto" w:fill="auto"/>
            <w:vAlign w:val="center"/>
          </w:tcPr>
          <w:p w14:paraId="334DD416">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44162E38">
            <w:pPr>
              <w:rPr>
                <w:color w:val="000000" w:themeColor="text1"/>
              </w:rPr>
            </w:pPr>
            <w:r>
              <w:rPr>
                <w:color w:val="000000" w:themeColor="text1"/>
                <w:sz w:val="18"/>
                <w:szCs w:val="18"/>
              </w:rPr>
              <w:t>达标</w:t>
            </w:r>
          </w:p>
        </w:tc>
      </w:tr>
      <w:tr w14:paraId="7A54C8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2FEE20B0">
            <w:pPr>
              <w:ind w:left="88" w:hanging="88" w:hangingChars="49"/>
              <w:jc w:val="center"/>
              <w:rPr>
                <w:color w:val="000000" w:themeColor="text1"/>
                <w:sz w:val="18"/>
                <w:szCs w:val="18"/>
              </w:rPr>
            </w:pPr>
          </w:p>
        </w:tc>
        <w:tc>
          <w:tcPr>
            <w:tcW w:w="0" w:type="auto"/>
            <w:vAlign w:val="center"/>
          </w:tcPr>
          <w:p w14:paraId="2131FA4E">
            <w:pPr>
              <w:jc w:val="center"/>
              <w:rPr>
                <w:color w:val="000000" w:themeColor="text1"/>
                <w:sz w:val="18"/>
                <w:szCs w:val="18"/>
              </w:rPr>
            </w:pPr>
            <w:r>
              <w:rPr>
                <w:color w:val="000000" w:themeColor="text1"/>
                <w:sz w:val="18"/>
                <w:szCs w:val="18"/>
              </w:rPr>
              <w:t>08:00-09:00</w:t>
            </w:r>
          </w:p>
        </w:tc>
        <w:tc>
          <w:tcPr>
            <w:tcW w:w="0" w:type="auto"/>
          </w:tcPr>
          <w:p w14:paraId="7F37D2E0">
            <w:pPr>
              <w:ind w:left="88" w:hanging="88" w:hangingChars="49"/>
              <w:jc w:val="center"/>
              <w:rPr>
                <w:color w:val="000000" w:themeColor="text1"/>
                <w:sz w:val="18"/>
                <w:szCs w:val="18"/>
              </w:rPr>
            </w:pPr>
            <w:r>
              <w:rPr>
                <w:color w:val="000000" w:themeColor="text1"/>
                <w:sz w:val="18"/>
                <w:szCs w:val="18"/>
              </w:rPr>
              <w:t>14</w:t>
            </w:r>
          </w:p>
        </w:tc>
        <w:tc>
          <w:tcPr>
            <w:tcW w:w="0" w:type="auto"/>
          </w:tcPr>
          <w:p w14:paraId="34A33CFD">
            <w:pPr>
              <w:ind w:left="88" w:hanging="88" w:hangingChars="49"/>
              <w:jc w:val="center"/>
              <w:rPr>
                <w:color w:val="000000" w:themeColor="text1"/>
                <w:sz w:val="18"/>
                <w:szCs w:val="18"/>
              </w:rPr>
            </w:pPr>
            <w:r>
              <w:rPr>
                <w:color w:val="000000" w:themeColor="text1"/>
                <w:sz w:val="18"/>
                <w:szCs w:val="18"/>
              </w:rPr>
              <w:t>500</w:t>
            </w:r>
          </w:p>
        </w:tc>
        <w:tc>
          <w:tcPr>
            <w:tcW w:w="0" w:type="auto"/>
          </w:tcPr>
          <w:p w14:paraId="4C1BB59E">
            <w:pPr>
              <w:rPr>
                <w:color w:val="000000" w:themeColor="text1"/>
              </w:rPr>
            </w:pPr>
            <w:r>
              <w:rPr>
                <w:color w:val="000000" w:themeColor="text1"/>
                <w:sz w:val="18"/>
                <w:szCs w:val="18"/>
              </w:rPr>
              <w:t>达标</w:t>
            </w:r>
          </w:p>
        </w:tc>
        <w:tc>
          <w:tcPr>
            <w:tcW w:w="0" w:type="auto"/>
          </w:tcPr>
          <w:p w14:paraId="3CD3EE4C">
            <w:pPr>
              <w:ind w:left="88" w:hanging="88" w:hangingChars="49"/>
              <w:jc w:val="center"/>
              <w:rPr>
                <w:color w:val="000000" w:themeColor="text1"/>
                <w:sz w:val="18"/>
                <w:szCs w:val="18"/>
              </w:rPr>
            </w:pPr>
            <w:r>
              <w:rPr>
                <w:color w:val="000000" w:themeColor="text1"/>
                <w:sz w:val="18"/>
                <w:szCs w:val="18"/>
              </w:rPr>
              <w:t>17</w:t>
            </w:r>
          </w:p>
        </w:tc>
        <w:tc>
          <w:tcPr>
            <w:tcW w:w="0" w:type="auto"/>
          </w:tcPr>
          <w:p w14:paraId="35120EB8">
            <w:pPr>
              <w:ind w:left="88" w:hanging="88" w:hangingChars="49"/>
              <w:jc w:val="center"/>
              <w:rPr>
                <w:color w:val="000000" w:themeColor="text1"/>
                <w:sz w:val="18"/>
                <w:szCs w:val="18"/>
              </w:rPr>
            </w:pPr>
            <w:r>
              <w:rPr>
                <w:color w:val="000000" w:themeColor="text1"/>
                <w:sz w:val="18"/>
                <w:szCs w:val="18"/>
              </w:rPr>
              <w:t>200</w:t>
            </w:r>
          </w:p>
        </w:tc>
        <w:tc>
          <w:tcPr>
            <w:tcW w:w="0" w:type="auto"/>
          </w:tcPr>
          <w:p w14:paraId="65621CE0">
            <w:pPr>
              <w:rPr>
                <w:color w:val="000000" w:themeColor="text1"/>
              </w:rPr>
            </w:pPr>
            <w:r>
              <w:rPr>
                <w:color w:val="000000" w:themeColor="text1"/>
                <w:sz w:val="18"/>
                <w:szCs w:val="18"/>
              </w:rPr>
              <w:t>达标</w:t>
            </w:r>
          </w:p>
        </w:tc>
        <w:tc>
          <w:tcPr>
            <w:tcW w:w="0" w:type="auto"/>
            <w:shd w:val="clear" w:color="auto" w:fill="auto"/>
            <w:vAlign w:val="center"/>
          </w:tcPr>
          <w:p w14:paraId="063C00F3">
            <w:pPr>
              <w:ind w:left="88" w:hanging="88" w:hangingChars="49"/>
              <w:jc w:val="center"/>
              <w:rPr>
                <w:color w:val="000000" w:themeColor="text1"/>
                <w:sz w:val="18"/>
                <w:szCs w:val="18"/>
              </w:rPr>
            </w:pPr>
            <w:r>
              <w:rPr>
                <w:color w:val="000000" w:themeColor="text1"/>
                <w:sz w:val="18"/>
                <w:szCs w:val="18"/>
              </w:rPr>
              <w:t>0.46</w:t>
            </w:r>
          </w:p>
        </w:tc>
        <w:tc>
          <w:tcPr>
            <w:tcW w:w="0" w:type="auto"/>
            <w:shd w:val="clear" w:color="auto" w:fill="auto"/>
            <w:vAlign w:val="center"/>
          </w:tcPr>
          <w:p w14:paraId="23EA3035">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20DADF47">
            <w:pPr>
              <w:rPr>
                <w:color w:val="000000" w:themeColor="text1"/>
              </w:rPr>
            </w:pPr>
            <w:r>
              <w:rPr>
                <w:color w:val="000000" w:themeColor="text1"/>
                <w:sz w:val="18"/>
                <w:szCs w:val="18"/>
              </w:rPr>
              <w:t>达标</w:t>
            </w:r>
          </w:p>
        </w:tc>
      </w:tr>
      <w:tr w14:paraId="333562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7C172547">
            <w:pPr>
              <w:ind w:left="88" w:hanging="88" w:hangingChars="49"/>
              <w:jc w:val="center"/>
              <w:rPr>
                <w:color w:val="000000" w:themeColor="text1"/>
                <w:sz w:val="18"/>
                <w:szCs w:val="18"/>
              </w:rPr>
            </w:pPr>
          </w:p>
        </w:tc>
        <w:tc>
          <w:tcPr>
            <w:tcW w:w="0" w:type="auto"/>
            <w:vAlign w:val="center"/>
          </w:tcPr>
          <w:p w14:paraId="31AE1AFF">
            <w:pPr>
              <w:jc w:val="center"/>
              <w:rPr>
                <w:color w:val="000000" w:themeColor="text1"/>
                <w:sz w:val="18"/>
                <w:szCs w:val="18"/>
              </w:rPr>
            </w:pPr>
            <w:r>
              <w:rPr>
                <w:color w:val="000000" w:themeColor="text1"/>
                <w:sz w:val="18"/>
                <w:szCs w:val="18"/>
              </w:rPr>
              <w:t>14:00-15:00</w:t>
            </w:r>
          </w:p>
        </w:tc>
        <w:tc>
          <w:tcPr>
            <w:tcW w:w="0" w:type="auto"/>
          </w:tcPr>
          <w:p w14:paraId="2C26A1DD">
            <w:pPr>
              <w:ind w:left="88" w:hanging="88" w:hangingChars="49"/>
              <w:jc w:val="center"/>
              <w:rPr>
                <w:color w:val="000000" w:themeColor="text1"/>
                <w:sz w:val="18"/>
                <w:szCs w:val="18"/>
              </w:rPr>
            </w:pPr>
            <w:r>
              <w:rPr>
                <w:color w:val="000000" w:themeColor="text1"/>
                <w:sz w:val="18"/>
                <w:szCs w:val="18"/>
              </w:rPr>
              <w:t>19</w:t>
            </w:r>
          </w:p>
        </w:tc>
        <w:tc>
          <w:tcPr>
            <w:tcW w:w="0" w:type="auto"/>
          </w:tcPr>
          <w:p w14:paraId="6199EB93">
            <w:pPr>
              <w:ind w:left="88" w:hanging="88" w:hangingChars="49"/>
              <w:jc w:val="center"/>
              <w:rPr>
                <w:color w:val="000000" w:themeColor="text1"/>
                <w:sz w:val="18"/>
                <w:szCs w:val="18"/>
              </w:rPr>
            </w:pPr>
            <w:r>
              <w:rPr>
                <w:color w:val="000000" w:themeColor="text1"/>
                <w:sz w:val="18"/>
                <w:szCs w:val="18"/>
              </w:rPr>
              <w:t>500</w:t>
            </w:r>
          </w:p>
        </w:tc>
        <w:tc>
          <w:tcPr>
            <w:tcW w:w="0" w:type="auto"/>
          </w:tcPr>
          <w:p w14:paraId="3A22747B">
            <w:pPr>
              <w:rPr>
                <w:color w:val="000000" w:themeColor="text1"/>
              </w:rPr>
            </w:pPr>
            <w:r>
              <w:rPr>
                <w:color w:val="000000" w:themeColor="text1"/>
                <w:sz w:val="18"/>
                <w:szCs w:val="18"/>
              </w:rPr>
              <w:t>达标</w:t>
            </w:r>
          </w:p>
        </w:tc>
        <w:tc>
          <w:tcPr>
            <w:tcW w:w="0" w:type="auto"/>
          </w:tcPr>
          <w:p w14:paraId="7EE653AD">
            <w:pPr>
              <w:ind w:left="88" w:hanging="88" w:hangingChars="49"/>
              <w:jc w:val="center"/>
              <w:rPr>
                <w:color w:val="000000" w:themeColor="text1"/>
                <w:sz w:val="18"/>
                <w:szCs w:val="18"/>
              </w:rPr>
            </w:pPr>
            <w:r>
              <w:rPr>
                <w:color w:val="000000" w:themeColor="text1"/>
                <w:sz w:val="18"/>
                <w:szCs w:val="18"/>
              </w:rPr>
              <w:t>12</w:t>
            </w:r>
          </w:p>
        </w:tc>
        <w:tc>
          <w:tcPr>
            <w:tcW w:w="0" w:type="auto"/>
          </w:tcPr>
          <w:p w14:paraId="3964DBF4">
            <w:pPr>
              <w:ind w:left="88" w:hanging="88" w:hangingChars="49"/>
              <w:jc w:val="center"/>
              <w:rPr>
                <w:color w:val="000000" w:themeColor="text1"/>
                <w:sz w:val="18"/>
                <w:szCs w:val="18"/>
              </w:rPr>
            </w:pPr>
            <w:r>
              <w:rPr>
                <w:color w:val="000000" w:themeColor="text1"/>
                <w:sz w:val="18"/>
                <w:szCs w:val="18"/>
              </w:rPr>
              <w:t>200</w:t>
            </w:r>
          </w:p>
        </w:tc>
        <w:tc>
          <w:tcPr>
            <w:tcW w:w="0" w:type="auto"/>
          </w:tcPr>
          <w:p w14:paraId="75E45B03">
            <w:pPr>
              <w:rPr>
                <w:color w:val="000000" w:themeColor="text1"/>
              </w:rPr>
            </w:pPr>
            <w:r>
              <w:rPr>
                <w:color w:val="000000" w:themeColor="text1"/>
                <w:sz w:val="18"/>
                <w:szCs w:val="18"/>
              </w:rPr>
              <w:t>达标</w:t>
            </w:r>
          </w:p>
        </w:tc>
        <w:tc>
          <w:tcPr>
            <w:tcW w:w="0" w:type="auto"/>
            <w:shd w:val="clear" w:color="auto" w:fill="auto"/>
            <w:vAlign w:val="center"/>
          </w:tcPr>
          <w:p w14:paraId="4717DFB1">
            <w:pPr>
              <w:ind w:left="88" w:hanging="88" w:hangingChars="49"/>
              <w:jc w:val="center"/>
              <w:rPr>
                <w:color w:val="000000" w:themeColor="text1"/>
                <w:sz w:val="18"/>
                <w:szCs w:val="18"/>
              </w:rPr>
            </w:pPr>
            <w:r>
              <w:rPr>
                <w:color w:val="000000" w:themeColor="text1"/>
                <w:sz w:val="18"/>
                <w:szCs w:val="18"/>
              </w:rPr>
              <w:t>0.32</w:t>
            </w:r>
          </w:p>
        </w:tc>
        <w:tc>
          <w:tcPr>
            <w:tcW w:w="0" w:type="auto"/>
            <w:shd w:val="clear" w:color="auto" w:fill="auto"/>
            <w:vAlign w:val="center"/>
          </w:tcPr>
          <w:p w14:paraId="2E7862C1">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0DAD313F">
            <w:pPr>
              <w:rPr>
                <w:color w:val="000000" w:themeColor="text1"/>
              </w:rPr>
            </w:pPr>
            <w:r>
              <w:rPr>
                <w:color w:val="000000" w:themeColor="text1"/>
                <w:sz w:val="18"/>
                <w:szCs w:val="18"/>
              </w:rPr>
              <w:t>达标</w:t>
            </w:r>
          </w:p>
        </w:tc>
      </w:tr>
      <w:tr w14:paraId="610B66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4789DC94">
            <w:pPr>
              <w:ind w:left="88" w:hanging="88" w:hangingChars="49"/>
              <w:jc w:val="center"/>
              <w:rPr>
                <w:color w:val="000000" w:themeColor="text1"/>
                <w:sz w:val="18"/>
                <w:szCs w:val="18"/>
              </w:rPr>
            </w:pPr>
          </w:p>
        </w:tc>
        <w:tc>
          <w:tcPr>
            <w:tcW w:w="0" w:type="auto"/>
            <w:vAlign w:val="center"/>
          </w:tcPr>
          <w:p w14:paraId="48167CD4">
            <w:pPr>
              <w:jc w:val="center"/>
              <w:rPr>
                <w:color w:val="000000" w:themeColor="text1"/>
                <w:sz w:val="18"/>
                <w:szCs w:val="18"/>
              </w:rPr>
            </w:pPr>
            <w:r>
              <w:rPr>
                <w:color w:val="000000" w:themeColor="text1"/>
                <w:sz w:val="18"/>
                <w:szCs w:val="18"/>
              </w:rPr>
              <w:t>20:00-21:00</w:t>
            </w:r>
          </w:p>
        </w:tc>
        <w:tc>
          <w:tcPr>
            <w:tcW w:w="0" w:type="auto"/>
          </w:tcPr>
          <w:p w14:paraId="680FC7F9">
            <w:pPr>
              <w:ind w:left="88" w:hanging="88" w:hangingChars="49"/>
              <w:jc w:val="center"/>
              <w:rPr>
                <w:color w:val="000000" w:themeColor="text1"/>
                <w:sz w:val="18"/>
                <w:szCs w:val="18"/>
              </w:rPr>
            </w:pPr>
            <w:r>
              <w:rPr>
                <w:color w:val="000000" w:themeColor="text1"/>
                <w:sz w:val="18"/>
                <w:szCs w:val="18"/>
              </w:rPr>
              <w:t>13</w:t>
            </w:r>
          </w:p>
        </w:tc>
        <w:tc>
          <w:tcPr>
            <w:tcW w:w="0" w:type="auto"/>
          </w:tcPr>
          <w:p w14:paraId="5D4BB99A">
            <w:pPr>
              <w:ind w:left="88" w:hanging="88" w:hangingChars="49"/>
              <w:jc w:val="center"/>
              <w:rPr>
                <w:color w:val="000000" w:themeColor="text1"/>
                <w:sz w:val="18"/>
                <w:szCs w:val="18"/>
              </w:rPr>
            </w:pPr>
            <w:r>
              <w:rPr>
                <w:color w:val="000000" w:themeColor="text1"/>
                <w:sz w:val="18"/>
                <w:szCs w:val="18"/>
              </w:rPr>
              <w:t>500</w:t>
            </w:r>
          </w:p>
        </w:tc>
        <w:tc>
          <w:tcPr>
            <w:tcW w:w="0" w:type="auto"/>
          </w:tcPr>
          <w:p w14:paraId="59A9CB0F">
            <w:pPr>
              <w:rPr>
                <w:color w:val="000000" w:themeColor="text1"/>
              </w:rPr>
            </w:pPr>
            <w:r>
              <w:rPr>
                <w:color w:val="000000" w:themeColor="text1"/>
                <w:sz w:val="18"/>
                <w:szCs w:val="18"/>
              </w:rPr>
              <w:t>达标</w:t>
            </w:r>
          </w:p>
        </w:tc>
        <w:tc>
          <w:tcPr>
            <w:tcW w:w="0" w:type="auto"/>
          </w:tcPr>
          <w:p w14:paraId="6A0C89E5">
            <w:pPr>
              <w:ind w:left="88" w:hanging="88" w:hangingChars="49"/>
              <w:jc w:val="center"/>
              <w:rPr>
                <w:color w:val="000000" w:themeColor="text1"/>
                <w:sz w:val="18"/>
                <w:szCs w:val="18"/>
              </w:rPr>
            </w:pPr>
            <w:r>
              <w:rPr>
                <w:color w:val="000000" w:themeColor="text1"/>
                <w:sz w:val="18"/>
                <w:szCs w:val="18"/>
              </w:rPr>
              <w:t>16</w:t>
            </w:r>
          </w:p>
        </w:tc>
        <w:tc>
          <w:tcPr>
            <w:tcW w:w="0" w:type="auto"/>
          </w:tcPr>
          <w:p w14:paraId="49258A69">
            <w:pPr>
              <w:ind w:left="88" w:hanging="88" w:hangingChars="49"/>
              <w:jc w:val="center"/>
              <w:rPr>
                <w:color w:val="000000" w:themeColor="text1"/>
                <w:sz w:val="18"/>
                <w:szCs w:val="18"/>
              </w:rPr>
            </w:pPr>
            <w:r>
              <w:rPr>
                <w:color w:val="000000" w:themeColor="text1"/>
                <w:sz w:val="18"/>
                <w:szCs w:val="18"/>
              </w:rPr>
              <w:t>200</w:t>
            </w:r>
          </w:p>
        </w:tc>
        <w:tc>
          <w:tcPr>
            <w:tcW w:w="0" w:type="auto"/>
          </w:tcPr>
          <w:p w14:paraId="339144A6">
            <w:pPr>
              <w:rPr>
                <w:color w:val="000000" w:themeColor="text1"/>
              </w:rPr>
            </w:pPr>
            <w:r>
              <w:rPr>
                <w:color w:val="000000" w:themeColor="text1"/>
                <w:sz w:val="18"/>
                <w:szCs w:val="18"/>
              </w:rPr>
              <w:t>达标</w:t>
            </w:r>
          </w:p>
        </w:tc>
        <w:tc>
          <w:tcPr>
            <w:tcW w:w="0" w:type="auto"/>
            <w:shd w:val="clear" w:color="auto" w:fill="auto"/>
            <w:vAlign w:val="center"/>
          </w:tcPr>
          <w:p w14:paraId="43B71902">
            <w:pPr>
              <w:ind w:left="88" w:hanging="88" w:hangingChars="49"/>
              <w:jc w:val="center"/>
              <w:rPr>
                <w:color w:val="000000" w:themeColor="text1"/>
                <w:sz w:val="18"/>
                <w:szCs w:val="18"/>
              </w:rPr>
            </w:pPr>
            <w:r>
              <w:rPr>
                <w:color w:val="000000" w:themeColor="text1"/>
                <w:sz w:val="18"/>
                <w:szCs w:val="18"/>
              </w:rPr>
              <w:t>0.42</w:t>
            </w:r>
          </w:p>
        </w:tc>
        <w:tc>
          <w:tcPr>
            <w:tcW w:w="0" w:type="auto"/>
            <w:shd w:val="clear" w:color="auto" w:fill="auto"/>
            <w:vAlign w:val="center"/>
          </w:tcPr>
          <w:p w14:paraId="77FB19B7">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5C496327">
            <w:pPr>
              <w:rPr>
                <w:color w:val="000000" w:themeColor="text1"/>
              </w:rPr>
            </w:pPr>
            <w:r>
              <w:rPr>
                <w:color w:val="000000" w:themeColor="text1"/>
                <w:sz w:val="18"/>
                <w:szCs w:val="18"/>
              </w:rPr>
              <w:t>达标</w:t>
            </w:r>
          </w:p>
        </w:tc>
      </w:tr>
      <w:tr w14:paraId="612497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restart"/>
            <w:shd w:val="clear" w:color="auto" w:fill="auto"/>
            <w:vAlign w:val="center"/>
          </w:tcPr>
          <w:p w14:paraId="7A1337BC">
            <w:pPr>
              <w:ind w:left="88" w:hanging="88" w:hangingChars="49"/>
              <w:jc w:val="center"/>
              <w:rPr>
                <w:color w:val="000000" w:themeColor="text1"/>
                <w:sz w:val="18"/>
                <w:szCs w:val="18"/>
              </w:rPr>
            </w:pPr>
            <w:r>
              <w:rPr>
                <w:color w:val="000000" w:themeColor="text1"/>
                <w:sz w:val="18"/>
                <w:szCs w:val="18"/>
              </w:rPr>
              <w:t>20191115</w:t>
            </w:r>
          </w:p>
        </w:tc>
        <w:tc>
          <w:tcPr>
            <w:tcW w:w="0" w:type="auto"/>
            <w:vAlign w:val="center"/>
          </w:tcPr>
          <w:p w14:paraId="22537C74">
            <w:pPr>
              <w:jc w:val="center"/>
              <w:rPr>
                <w:color w:val="000000" w:themeColor="text1"/>
                <w:sz w:val="18"/>
                <w:szCs w:val="18"/>
              </w:rPr>
            </w:pPr>
            <w:r>
              <w:rPr>
                <w:color w:val="000000" w:themeColor="text1"/>
                <w:sz w:val="18"/>
                <w:szCs w:val="18"/>
              </w:rPr>
              <w:t>02:00-03:00</w:t>
            </w:r>
          </w:p>
        </w:tc>
        <w:tc>
          <w:tcPr>
            <w:tcW w:w="0" w:type="auto"/>
          </w:tcPr>
          <w:p w14:paraId="0CEC5D4C">
            <w:pPr>
              <w:ind w:left="88" w:hanging="88" w:hangingChars="49"/>
              <w:jc w:val="center"/>
              <w:rPr>
                <w:color w:val="000000" w:themeColor="text1"/>
                <w:sz w:val="18"/>
                <w:szCs w:val="18"/>
              </w:rPr>
            </w:pPr>
            <w:r>
              <w:rPr>
                <w:color w:val="000000" w:themeColor="text1"/>
                <w:sz w:val="18"/>
                <w:szCs w:val="18"/>
              </w:rPr>
              <w:t>11</w:t>
            </w:r>
          </w:p>
        </w:tc>
        <w:tc>
          <w:tcPr>
            <w:tcW w:w="0" w:type="auto"/>
          </w:tcPr>
          <w:p w14:paraId="7143901B">
            <w:pPr>
              <w:ind w:left="88" w:hanging="88" w:hangingChars="49"/>
              <w:jc w:val="center"/>
              <w:rPr>
                <w:color w:val="000000" w:themeColor="text1"/>
                <w:sz w:val="18"/>
                <w:szCs w:val="18"/>
              </w:rPr>
            </w:pPr>
            <w:r>
              <w:rPr>
                <w:color w:val="000000" w:themeColor="text1"/>
                <w:sz w:val="18"/>
                <w:szCs w:val="18"/>
              </w:rPr>
              <w:t>500</w:t>
            </w:r>
          </w:p>
        </w:tc>
        <w:tc>
          <w:tcPr>
            <w:tcW w:w="0" w:type="auto"/>
          </w:tcPr>
          <w:p w14:paraId="31C2334B">
            <w:pPr>
              <w:rPr>
                <w:color w:val="000000" w:themeColor="text1"/>
              </w:rPr>
            </w:pPr>
            <w:r>
              <w:rPr>
                <w:color w:val="000000" w:themeColor="text1"/>
                <w:sz w:val="18"/>
                <w:szCs w:val="18"/>
              </w:rPr>
              <w:t>达标</w:t>
            </w:r>
          </w:p>
        </w:tc>
        <w:tc>
          <w:tcPr>
            <w:tcW w:w="0" w:type="auto"/>
          </w:tcPr>
          <w:p w14:paraId="1CF9DBE9">
            <w:pPr>
              <w:ind w:left="88" w:hanging="88" w:hangingChars="49"/>
              <w:jc w:val="center"/>
              <w:rPr>
                <w:color w:val="000000" w:themeColor="text1"/>
                <w:sz w:val="18"/>
                <w:szCs w:val="18"/>
              </w:rPr>
            </w:pPr>
            <w:r>
              <w:rPr>
                <w:color w:val="000000" w:themeColor="text1"/>
                <w:sz w:val="18"/>
                <w:szCs w:val="18"/>
              </w:rPr>
              <w:t>9</w:t>
            </w:r>
          </w:p>
        </w:tc>
        <w:tc>
          <w:tcPr>
            <w:tcW w:w="0" w:type="auto"/>
          </w:tcPr>
          <w:p w14:paraId="5ABAE709">
            <w:pPr>
              <w:ind w:left="88" w:hanging="88" w:hangingChars="49"/>
              <w:jc w:val="center"/>
              <w:rPr>
                <w:color w:val="000000" w:themeColor="text1"/>
                <w:sz w:val="18"/>
                <w:szCs w:val="18"/>
              </w:rPr>
            </w:pPr>
            <w:r>
              <w:rPr>
                <w:color w:val="000000" w:themeColor="text1"/>
                <w:sz w:val="18"/>
                <w:szCs w:val="18"/>
              </w:rPr>
              <w:t>200</w:t>
            </w:r>
          </w:p>
        </w:tc>
        <w:tc>
          <w:tcPr>
            <w:tcW w:w="0" w:type="auto"/>
          </w:tcPr>
          <w:p w14:paraId="7D9B2E6A">
            <w:pPr>
              <w:rPr>
                <w:color w:val="000000" w:themeColor="text1"/>
              </w:rPr>
            </w:pPr>
            <w:r>
              <w:rPr>
                <w:color w:val="000000" w:themeColor="text1"/>
                <w:sz w:val="18"/>
                <w:szCs w:val="18"/>
              </w:rPr>
              <w:t>达标</w:t>
            </w:r>
          </w:p>
        </w:tc>
        <w:tc>
          <w:tcPr>
            <w:tcW w:w="0" w:type="auto"/>
            <w:shd w:val="clear" w:color="auto" w:fill="auto"/>
            <w:vAlign w:val="center"/>
          </w:tcPr>
          <w:p w14:paraId="518D80AB">
            <w:pPr>
              <w:ind w:left="88" w:hanging="88" w:hangingChars="49"/>
              <w:jc w:val="center"/>
              <w:rPr>
                <w:color w:val="000000" w:themeColor="text1"/>
                <w:sz w:val="18"/>
                <w:szCs w:val="18"/>
              </w:rPr>
            </w:pPr>
            <w:r>
              <w:rPr>
                <w:color w:val="000000" w:themeColor="text1"/>
                <w:sz w:val="18"/>
                <w:szCs w:val="18"/>
              </w:rPr>
              <w:t>0.30</w:t>
            </w:r>
          </w:p>
        </w:tc>
        <w:tc>
          <w:tcPr>
            <w:tcW w:w="0" w:type="auto"/>
            <w:shd w:val="clear" w:color="auto" w:fill="auto"/>
            <w:vAlign w:val="center"/>
          </w:tcPr>
          <w:p w14:paraId="76D32057">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53FA1B54">
            <w:pPr>
              <w:rPr>
                <w:color w:val="000000" w:themeColor="text1"/>
              </w:rPr>
            </w:pPr>
            <w:r>
              <w:rPr>
                <w:color w:val="000000" w:themeColor="text1"/>
                <w:sz w:val="18"/>
                <w:szCs w:val="18"/>
              </w:rPr>
              <w:t>达标</w:t>
            </w:r>
          </w:p>
        </w:tc>
      </w:tr>
      <w:tr w14:paraId="577D95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44448692">
            <w:pPr>
              <w:ind w:left="88" w:hanging="88" w:hangingChars="49"/>
              <w:jc w:val="center"/>
              <w:rPr>
                <w:color w:val="000000" w:themeColor="text1"/>
                <w:sz w:val="18"/>
                <w:szCs w:val="18"/>
              </w:rPr>
            </w:pPr>
          </w:p>
        </w:tc>
        <w:tc>
          <w:tcPr>
            <w:tcW w:w="0" w:type="auto"/>
            <w:vAlign w:val="center"/>
          </w:tcPr>
          <w:p w14:paraId="1E1802FE">
            <w:pPr>
              <w:jc w:val="center"/>
              <w:rPr>
                <w:color w:val="000000" w:themeColor="text1"/>
                <w:sz w:val="18"/>
                <w:szCs w:val="18"/>
              </w:rPr>
            </w:pPr>
            <w:r>
              <w:rPr>
                <w:color w:val="000000" w:themeColor="text1"/>
                <w:sz w:val="18"/>
                <w:szCs w:val="18"/>
              </w:rPr>
              <w:t>08:00-09:00</w:t>
            </w:r>
          </w:p>
        </w:tc>
        <w:tc>
          <w:tcPr>
            <w:tcW w:w="0" w:type="auto"/>
          </w:tcPr>
          <w:p w14:paraId="68582539">
            <w:pPr>
              <w:ind w:left="88" w:hanging="88" w:hangingChars="49"/>
              <w:jc w:val="center"/>
              <w:rPr>
                <w:color w:val="000000" w:themeColor="text1"/>
                <w:sz w:val="18"/>
                <w:szCs w:val="18"/>
              </w:rPr>
            </w:pPr>
            <w:r>
              <w:rPr>
                <w:color w:val="000000" w:themeColor="text1"/>
                <w:sz w:val="18"/>
                <w:szCs w:val="18"/>
              </w:rPr>
              <w:t>15</w:t>
            </w:r>
          </w:p>
        </w:tc>
        <w:tc>
          <w:tcPr>
            <w:tcW w:w="0" w:type="auto"/>
          </w:tcPr>
          <w:p w14:paraId="637157B1">
            <w:pPr>
              <w:ind w:left="88" w:hanging="88" w:hangingChars="49"/>
              <w:jc w:val="center"/>
              <w:rPr>
                <w:color w:val="000000" w:themeColor="text1"/>
                <w:sz w:val="18"/>
                <w:szCs w:val="18"/>
              </w:rPr>
            </w:pPr>
            <w:r>
              <w:rPr>
                <w:color w:val="000000" w:themeColor="text1"/>
                <w:sz w:val="18"/>
                <w:szCs w:val="18"/>
              </w:rPr>
              <w:t>500</w:t>
            </w:r>
          </w:p>
        </w:tc>
        <w:tc>
          <w:tcPr>
            <w:tcW w:w="0" w:type="auto"/>
          </w:tcPr>
          <w:p w14:paraId="3C6B8CFD">
            <w:pPr>
              <w:rPr>
                <w:color w:val="000000" w:themeColor="text1"/>
              </w:rPr>
            </w:pPr>
            <w:r>
              <w:rPr>
                <w:color w:val="000000" w:themeColor="text1"/>
                <w:sz w:val="18"/>
                <w:szCs w:val="18"/>
              </w:rPr>
              <w:t>达标</w:t>
            </w:r>
          </w:p>
        </w:tc>
        <w:tc>
          <w:tcPr>
            <w:tcW w:w="0" w:type="auto"/>
          </w:tcPr>
          <w:p w14:paraId="11CA6AFB">
            <w:pPr>
              <w:ind w:left="88" w:hanging="88" w:hangingChars="49"/>
              <w:jc w:val="center"/>
              <w:rPr>
                <w:color w:val="000000" w:themeColor="text1"/>
                <w:sz w:val="18"/>
                <w:szCs w:val="18"/>
              </w:rPr>
            </w:pPr>
            <w:r>
              <w:rPr>
                <w:color w:val="000000" w:themeColor="text1"/>
                <w:sz w:val="18"/>
                <w:szCs w:val="18"/>
              </w:rPr>
              <w:t>17</w:t>
            </w:r>
          </w:p>
        </w:tc>
        <w:tc>
          <w:tcPr>
            <w:tcW w:w="0" w:type="auto"/>
          </w:tcPr>
          <w:p w14:paraId="7C9257A2">
            <w:pPr>
              <w:ind w:left="88" w:hanging="88" w:hangingChars="49"/>
              <w:jc w:val="center"/>
              <w:rPr>
                <w:color w:val="000000" w:themeColor="text1"/>
                <w:sz w:val="18"/>
                <w:szCs w:val="18"/>
              </w:rPr>
            </w:pPr>
            <w:r>
              <w:rPr>
                <w:color w:val="000000" w:themeColor="text1"/>
                <w:sz w:val="18"/>
                <w:szCs w:val="18"/>
              </w:rPr>
              <w:t>200</w:t>
            </w:r>
          </w:p>
        </w:tc>
        <w:tc>
          <w:tcPr>
            <w:tcW w:w="0" w:type="auto"/>
          </w:tcPr>
          <w:p w14:paraId="47DC46ED">
            <w:pPr>
              <w:rPr>
                <w:color w:val="000000" w:themeColor="text1"/>
              </w:rPr>
            </w:pPr>
            <w:r>
              <w:rPr>
                <w:color w:val="000000" w:themeColor="text1"/>
                <w:sz w:val="18"/>
                <w:szCs w:val="18"/>
              </w:rPr>
              <w:t>达标</w:t>
            </w:r>
          </w:p>
        </w:tc>
        <w:tc>
          <w:tcPr>
            <w:tcW w:w="0" w:type="auto"/>
            <w:shd w:val="clear" w:color="auto" w:fill="auto"/>
            <w:vAlign w:val="center"/>
          </w:tcPr>
          <w:p w14:paraId="63B128A6">
            <w:pPr>
              <w:ind w:left="88" w:hanging="88" w:hangingChars="49"/>
              <w:jc w:val="center"/>
              <w:rPr>
                <w:color w:val="000000" w:themeColor="text1"/>
                <w:sz w:val="18"/>
                <w:szCs w:val="18"/>
              </w:rPr>
            </w:pPr>
            <w:r>
              <w:rPr>
                <w:color w:val="000000" w:themeColor="text1"/>
                <w:sz w:val="18"/>
                <w:szCs w:val="18"/>
              </w:rPr>
              <w:t>0.28</w:t>
            </w:r>
          </w:p>
        </w:tc>
        <w:tc>
          <w:tcPr>
            <w:tcW w:w="0" w:type="auto"/>
            <w:shd w:val="clear" w:color="auto" w:fill="auto"/>
            <w:vAlign w:val="center"/>
          </w:tcPr>
          <w:p w14:paraId="35652D4E">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00B265E2">
            <w:pPr>
              <w:rPr>
                <w:color w:val="000000" w:themeColor="text1"/>
              </w:rPr>
            </w:pPr>
            <w:r>
              <w:rPr>
                <w:color w:val="000000" w:themeColor="text1"/>
                <w:sz w:val="18"/>
                <w:szCs w:val="18"/>
              </w:rPr>
              <w:t>达标</w:t>
            </w:r>
          </w:p>
        </w:tc>
      </w:tr>
      <w:tr w14:paraId="3C603A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0F0B5CF6">
            <w:pPr>
              <w:ind w:left="88" w:hanging="88" w:hangingChars="49"/>
              <w:jc w:val="center"/>
              <w:rPr>
                <w:color w:val="000000" w:themeColor="text1"/>
                <w:sz w:val="18"/>
                <w:szCs w:val="18"/>
              </w:rPr>
            </w:pPr>
          </w:p>
        </w:tc>
        <w:tc>
          <w:tcPr>
            <w:tcW w:w="0" w:type="auto"/>
            <w:vAlign w:val="center"/>
          </w:tcPr>
          <w:p w14:paraId="5878CD8F">
            <w:pPr>
              <w:jc w:val="center"/>
              <w:rPr>
                <w:color w:val="000000" w:themeColor="text1"/>
                <w:sz w:val="18"/>
                <w:szCs w:val="18"/>
              </w:rPr>
            </w:pPr>
            <w:r>
              <w:rPr>
                <w:color w:val="000000" w:themeColor="text1"/>
                <w:sz w:val="18"/>
                <w:szCs w:val="18"/>
              </w:rPr>
              <w:t>14:00-15:00</w:t>
            </w:r>
          </w:p>
        </w:tc>
        <w:tc>
          <w:tcPr>
            <w:tcW w:w="0" w:type="auto"/>
          </w:tcPr>
          <w:p w14:paraId="7E11F869">
            <w:pPr>
              <w:ind w:left="88" w:hanging="88" w:hangingChars="49"/>
              <w:jc w:val="center"/>
              <w:rPr>
                <w:color w:val="000000" w:themeColor="text1"/>
                <w:sz w:val="18"/>
                <w:szCs w:val="18"/>
              </w:rPr>
            </w:pPr>
            <w:r>
              <w:rPr>
                <w:color w:val="000000" w:themeColor="text1"/>
                <w:sz w:val="18"/>
                <w:szCs w:val="18"/>
              </w:rPr>
              <w:t>20</w:t>
            </w:r>
          </w:p>
        </w:tc>
        <w:tc>
          <w:tcPr>
            <w:tcW w:w="0" w:type="auto"/>
          </w:tcPr>
          <w:p w14:paraId="4B1CD693">
            <w:pPr>
              <w:ind w:left="88" w:hanging="88" w:hangingChars="49"/>
              <w:jc w:val="center"/>
              <w:rPr>
                <w:color w:val="000000" w:themeColor="text1"/>
                <w:sz w:val="18"/>
                <w:szCs w:val="18"/>
              </w:rPr>
            </w:pPr>
            <w:r>
              <w:rPr>
                <w:color w:val="000000" w:themeColor="text1"/>
                <w:sz w:val="18"/>
                <w:szCs w:val="18"/>
              </w:rPr>
              <w:t>500</w:t>
            </w:r>
          </w:p>
        </w:tc>
        <w:tc>
          <w:tcPr>
            <w:tcW w:w="0" w:type="auto"/>
          </w:tcPr>
          <w:p w14:paraId="3132FE0E">
            <w:pPr>
              <w:rPr>
                <w:color w:val="000000" w:themeColor="text1"/>
              </w:rPr>
            </w:pPr>
            <w:r>
              <w:rPr>
                <w:color w:val="000000" w:themeColor="text1"/>
                <w:sz w:val="18"/>
                <w:szCs w:val="18"/>
              </w:rPr>
              <w:t>达标</w:t>
            </w:r>
          </w:p>
        </w:tc>
        <w:tc>
          <w:tcPr>
            <w:tcW w:w="0" w:type="auto"/>
          </w:tcPr>
          <w:p w14:paraId="30B86C26">
            <w:pPr>
              <w:ind w:left="88" w:hanging="88" w:hangingChars="49"/>
              <w:jc w:val="center"/>
              <w:rPr>
                <w:color w:val="000000" w:themeColor="text1"/>
                <w:sz w:val="18"/>
                <w:szCs w:val="18"/>
              </w:rPr>
            </w:pPr>
            <w:r>
              <w:rPr>
                <w:color w:val="000000" w:themeColor="text1"/>
                <w:sz w:val="18"/>
                <w:szCs w:val="18"/>
              </w:rPr>
              <w:t>14</w:t>
            </w:r>
          </w:p>
        </w:tc>
        <w:tc>
          <w:tcPr>
            <w:tcW w:w="0" w:type="auto"/>
          </w:tcPr>
          <w:p w14:paraId="75896066">
            <w:pPr>
              <w:ind w:left="88" w:hanging="88" w:hangingChars="49"/>
              <w:jc w:val="center"/>
              <w:rPr>
                <w:color w:val="000000" w:themeColor="text1"/>
                <w:sz w:val="18"/>
                <w:szCs w:val="18"/>
              </w:rPr>
            </w:pPr>
            <w:r>
              <w:rPr>
                <w:color w:val="000000" w:themeColor="text1"/>
                <w:sz w:val="18"/>
                <w:szCs w:val="18"/>
              </w:rPr>
              <w:t>200</w:t>
            </w:r>
          </w:p>
        </w:tc>
        <w:tc>
          <w:tcPr>
            <w:tcW w:w="0" w:type="auto"/>
          </w:tcPr>
          <w:p w14:paraId="1D64D1FA">
            <w:pPr>
              <w:rPr>
                <w:color w:val="000000" w:themeColor="text1"/>
              </w:rPr>
            </w:pPr>
            <w:r>
              <w:rPr>
                <w:color w:val="000000" w:themeColor="text1"/>
                <w:sz w:val="18"/>
                <w:szCs w:val="18"/>
              </w:rPr>
              <w:t>达标</w:t>
            </w:r>
          </w:p>
        </w:tc>
        <w:tc>
          <w:tcPr>
            <w:tcW w:w="0" w:type="auto"/>
            <w:shd w:val="clear" w:color="auto" w:fill="auto"/>
            <w:vAlign w:val="center"/>
          </w:tcPr>
          <w:p w14:paraId="4BF1BA24">
            <w:pPr>
              <w:ind w:left="88" w:hanging="88" w:hangingChars="49"/>
              <w:jc w:val="center"/>
              <w:rPr>
                <w:color w:val="000000" w:themeColor="text1"/>
                <w:sz w:val="18"/>
                <w:szCs w:val="18"/>
              </w:rPr>
            </w:pPr>
            <w:r>
              <w:rPr>
                <w:color w:val="000000" w:themeColor="text1"/>
                <w:sz w:val="18"/>
                <w:szCs w:val="18"/>
              </w:rPr>
              <w:t>0.44</w:t>
            </w:r>
          </w:p>
        </w:tc>
        <w:tc>
          <w:tcPr>
            <w:tcW w:w="0" w:type="auto"/>
            <w:shd w:val="clear" w:color="auto" w:fill="auto"/>
            <w:vAlign w:val="center"/>
          </w:tcPr>
          <w:p w14:paraId="253CC9D3">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54AED260">
            <w:pPr>
              <w:rPr>
                <w:color w:val="000000" w:themeColor="text1"/>
              </w:rPr>
            </w:pPr>
            <w:r>
              <w:rPr>
                <w:color w:val="000000" w:themeColor="text1"/>
                <w:sz w:val="18"/>
                <w:szCs w:val="18"/>
              </w:rPr>
              <w:t>达标</w:t>
            </w:r>
          </w:p>
        </w:tc>
      </w:tr>
      <w:tr w14:paraId="118A3F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1466985D">
            <w:pPr>
              <w:ind w:left="88" w:hanging="88" w:hangingChars="49"/>
              <w:jc w:val="center"/>
              <w:rPr>
                <w:color w:val="000000" w:themeColor="text1"/>
                <w:sz w:val="18"/>
                <w:szCs w:val="18"/>
              </w:rPr>
            </w:pPr>
          </w:p>
        </w:tc>
        <w:tc>
          <w:tcPr>
            <w:tcW w:w="0" w:type="auto"/>
            <w:vAlign w:val="center"/>
          </w:tcPr>
          <w:p w14:paraId="608E9DFA">
            <w:pPr>
              <w:jc w:val="center"/>
              <w:rPr>
                <w:color w:val="000000" w:themeColor="text1"/>
                <w:sz w:val="18"/>
                <w:szCs w:val="18"/>
              </w:rPr>
            </w:pPr>
            <w:r>
              <w:rPr>
                <w:color w:val="000000" w:themeColor="text1"/>
                <w:sz w:val="18"/>
                <w:szCs w:val="18"/>
              </w:rPr>
              <w:t>20:00-21:00</w:t>
            </w:r>
          </w:p>
        </w:tc>
        <w:tc>
          <w:tcPr>
            <w:tcW w:w="0" w:type="auto"/>
          </w:tcPr>
          <w:p w14:paraId="7C315CC5">
            <w:pPr>
              <w:ind w:left="88" w:hanging="88" w:hangingChars="49"/>
              <w:jc w:val="center"/>
              <w:rPr>
                <w:color w:val="000000" w:themeColor="text1"/>
                <w:sz w:val="18"/>
                <w:szCs w:val="18"/>
              </w:rPr>
            </w:pPr>
            <w:r>
              <w:rPr>
                <w:color w:val="000000" w:themeColor="text1"/>
                <w:sz w:val="18"/>
                <w:szCs w:val="18"/>
              </w:rPr>
              <w:t>16</w:t>
            </w:r>
          </w:p>
        </w:tc>
        <w:tc>
          <w:tcPr>
            <w:tcW w:w="0" w:type="auto"/>
          </w:tcPr>
          <w:p w14:paraId="5B8BFEB2">
            <w:pPr>
              <w:ind w:left="88" w:hanging="88" w:hangingChars="49"/>
              <w:jc w:val="center"/>
              <w:rPr>
                <w:color w:val="000000" w:themeColor="text1"/>
                <w:sz w:val="18"/>
                <w:szCs w:val="18"/>
              </w:rPr>
            </w:pPr>
            <w:r>
              <w:rPr>
                <w:color w:val="000000" w:themeColor="text1"/>
                <w:sz w:val="18"/>
                <w:szCs w:val="18"/>
              </w:rPr>
              <w:t>500</w:t>
            </w:r>
          </w:p>
        </w:tc>
        <w:tc>
          <w:tcPr>
            <w:tcW w:w="0" w:type="auto"/>
          </w:tcPr>
          <w:p w14:paraId="4F77F42D">
            <w:pPr>
              <w:rPr>
                <w:color w:val="000000" w:themeColor="text1"/>
              </w:rPr>
            </w:pPr>
            <w:r>
              <w:rPr>
                <w:color w:val="000000" w:themeColor="text1"/>
                <w:sz w:val="18"/>
                <w:szCs w:val="18"/>
              </w:rPr>
              <w:t>达标</w:t>
            </w:r>
          </w:p>
        </w:tc>
        <w:tc>
          <w:tcPr>
            <w:tcW w:w="0" w:type="auto"/>
          </w:tcPr>
          <w:p w14:paraId="023FF629">
            <w:pPr>
              <w:ind w:left="88" w:hanging="88" w:hangingChars="49"/>
              <w:jc w:val="center"/>
              <w:rPr>
                <w:color w:val="000000" w:themeColor="text1"/>
                <w:sz w:val="18"/>
                <w:szCs w:val="18"/>
              </w:rPr>
            </w:pPr>
            <w:r>
              <w:rPr>
                <w:color w:val="000000" w:themeColor="text1"/>
                <w:sz w:val="18"/>
                <w:szCs w:val="18"/>
              </w:rPr>
              <w:t>19</w:t>
            </w:r>
          </w:p>
        </w:tc>
        <w:tc>
          <w:tcPr>
            <w:tcW w:w="0" w:type="auto"/>
          </w:tcPr>
          <w:p w14:paraId="5AB9482E">
            <w:pPr>
              <w:ind w:left="88" w:hanging="88" w:hangingChars="49"/>
              <w:jc w:val="center"/>
              <w:rPr>
                <w:color w:val="000000" w:themeColor="text1"/>
                <w:sz w:val="18"/>
                <w:szCs w:val="18"/>
              </w:rPr>
            </w:pPr>
            <w:r>
              <w:rPr>
                <w:color w:val="000000" w:themeColor="text1"/>
                <w:sz w:val="18"/>
                <w:szCs w:val="18"/>
              </w:rPr>
              <w:t>200</w:t>
            </w:r>
          </w:p>
        </w:tc>
        <w:tc>
          <w:tcPr>
            <w:tcW w:w="0" w:type="auto"/>
          </w:tcPr>
          <w:p w14:paraId="07664889">
            <w:pPr>
              <w:rPr>
                <w:color w:val="000000" w:themeColor="text1"/>
              </w:rPr>
            </w:pPr>
            <w:r>
              <w:rPr>
                <w:color w:val="000000" w:themeColor="text1"/>
                <w:sz w:val="18"/>
                <w:szCs w:val="18"/>
              </w:rPr>
              <w:t>达标</w:t>
            </w:r>
          </w:p>
        </w:tc>
        <w:tc>
          <w:tcPr>
            <w:tcW w:w="0" w:type="auto"/>
            <w:shd w:val="clear" w:color="auto" w:fill="auto"/>
            <w:vAlign w:val="center"/>
          </w:tcPr>
          <w:p w14:paraId="002F459F">
            <w:pPr>
              <w:ind w:left="88" w:hanging="88" w:hangingChars="49"/>
              <w:jc w:val="center"/>
              <w:rPr>
                <w:color w:val="000000" w:themeColor="text1"/>
                <w:sz w:val="18"/>
                <w:szCs w:val="18"/>
              </w:rPr>
            </w:pPr>
            <w:r>
              <w:rPr>
                <w:color w:val="000000" w:themeColor="text1"/>
                <w:sz w:val="18"/>
                <w:szCs w:val="18"/>
              </w:rPr>
              <w:t>0.32</w:t>
            </w:r>
          </w:p>
        </w:tc>
        <w:tc>
          <w:tcPr>
            <w:tcW w:w="0" w:type="auto"/>
            <w:shd w:val="clear" w:color="auto" w:fill="auto"/>
            <w:vAlign w:val="center"/>
          </w:tcPr>
          <w:p w14:paraId="5F408DB5">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2381B324">
            <w:pPr>
              <w:rPr>
                <w:color w:val="000000" w:themeColor="text1"/>
              </w:rPr>
            </w:pPr>
            <w:r>
              <w:rPr>
                <w:color w:val="000000" w:themeColor="text1"/>
                <w:sz w:val="18"/>
                <w:szCs w:val="18"/>
              </w:rPr>
              <w:t>达标</w:t>
            </w:r>
          </w:p>
        </w:tc>
      </w:tr>
      <w:tr w14:paraId="2FEA77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restart"/>
            <w:shd w:val="clear" w:color="auto" w:fill="auto"/>
            <w:vAlign w:val="center"/>
          </w:tcPr>
          <w:p w14:paraId="28A81B20">
            <w:pPr>
              <w:ind w:left="88" w:hanging="88" w:hangingChars="49"/>
              <w:jc w:val="center"/>
              <w:rPr>
                <w:color w:val="000000" w:themeColor="text1"/>
                <w:sz w:val="18"/>
                <w:szCs w:val="18"/>
              </w:rPr>
            </w:pPr>
            <w:r>
              <w:rPr>
                <w:color w:val="000000" w:themeColor="text1"/>
                <w:sz w:val="18"/>
                <w:szCs w:val="18"/>
              </w:rPr>
              <w:t>20191116</w:t>
            </w:r>
          </w:p>
        </w:tc>
        <w:tc>
          <w:tcPr>
            <w:tcW w:w="0" w:type="auto"/>
            <w:vAlign w:val="center"/>
          </w:tcPr>
          <w:p w14:paraId="7F2B0715">
            <w:pPr>
              <w:jc w:val="center"/>
              <w:rPr>
                <w:color w:val="000000" w:themeColor="text1"/>
                <w:sz w:val="18"/>
                <w:szCs w:val="18"/>
              </w:rPr>
            </w:pPr>
            <w:r>
              <w:rPr>
                <w:color w:val="000000" w:themeColor="text1"/>
                <w:sz w:val="18"/>
                <w:szCs w:val="18"/>
              </w:rPr>
              <w:t>02:00-03:00</w:t>
            </w:r>
          </w:p>
        </w:tc>
        <w:tc>
          <w:tcPr>
            <w:tcW w:w="0" w:type="auto"/>
          </w:tcPr>
          <w:p w14:paraId="3E38FC66">
            <w:pPr>
              <w:ind w:left="88" w:hanging="88" w:hangingChars="49"/>
              <w:jc w:val="center"/>
              <w:rPr>
                <w:color w:val="000000" w:themeColor="text1"/>
                <w:sz w:val="18"/>
                <w:szCs w:val="18"/>
              </w:rPr>
            </w:pPr>
            <w:r>
              <w:rPr>
                <w:color w:val="000000" w:themeColor="text1"/>
                <w:sz w:val="18"/>
                <w:szCs w:val="18"/>
              </w:rPr>
              <w:t>9</w:t>
            </w:r>
          </w:p>
        </w:tc>
        <w:tc>
          <w:tcPr>
            <w:tcW w:w="0" w:type="auto"/>
          </w:tcPr>
          <w:p w14:paraId="27C9A8F7">
            <w:pPr>
              <w:ind w:left="88" w:hanging="88" w:hangingChars="49"/>
              <w:jc w:val="center"/>
              <w:rPr>
                <w:color w:val="000000" w:themeColor="text1"/>
                <w:sz w:val="18"/>
                <w:szCs w:val="18"/>
              </w:rPr>
            </w:pPr>
            <w:r>
              <w:rPr>
                <w:color w:val="000000" w:themeColor="text1"/>
                <w:sz w:val="18"/>
                <w:szCs w:val="18"/>
              </w:rPr>
              <w:t>500</w:t>
            </w:r>
          </w:p>
        </w:tc>
        <w:tc>
          <w:tcPr>
            <w:tcW w:w="0" w:type="auto"/>
          </w:tcPr>
          <w:p w14:paraId="5ACE7F2C">
            <w:pPr>
              <w:rPr>
                <w:color w:val="000000" w:themeColor="text1"/>
              </w:rPr>
            </w:pPr>
            <w:r>
              <w:rPr>
                <w:color w:val="000000" w:themeColor="text1"/>
                <w:sz w:val="18"/>
                <w:szCs w:val="18"/>
              </w:rPr>
              <w:t>达标</w:t>
            </w:r>
          </w:p>
        </w:tc>
        <w:tc>
          <w:tcPr>
            <w:tcW w:w="0" w:type="auto"/>
          </w:tcPr>
          <w:p w14:paraId="781EEFDA">
            <w:pPr>
              <w:ind w:left="88" w:hanging="88" w:hangingChars="49"/>
              <w:jc w:val="center"/>
              <w:rPr>
                <w:color w:val="000000" w:themeColor="text1"/>
                <w:sz w:val="18"/>
                <w:szCs w:val="18"/>
              </w:rPr>
            </w:pPr>
            <w:r>
              <w:rPr>
                <w:color w:val="000000" w:themeColor="text1"/>
                <w:sz w:val="18"/>
                <w:szCs w:val="18"/>
              </w:rPr>
              <w:t>11</w:t>
            </w:r>
          </w:p>
        </w:tc>
        <w:tc>
          <w:tcPr>
            <w:tcW w:w="0" w:type="auto"/>
          </w:tcPr>
          <w:p w14:paraId="60D5D5C1">
            <w:pPr>
              <w:ind w:left="88" w:hanging="88" w:hangingChars="49"/>
              <w:jc w:val="center"/>
              <w:rPr>
                <w:color w:val="000000" w:themeColor="text1"/>
                <w:sz w:val="18"/>
                <w:szCs w:val="18"/>
              </w:rPr>
            </w:pPr>
            <w:r>
              <w:rPr>
                <w:color w:val="000000" w:themeColor="text1"/>
                <w:sz w:val="18"/>
                <w:szCs w:val="18"/>
              </w:rPr>
              <w:t>200</w:t>
            </w:r>
          </w:p>
        </w:tc>
        <w:tc>
          <w:tcPr>
            <w:tcW w:w="0" w:type="auto"/>
          </w:tcPr>
          <w:p w14:paraId="698CE784">
            <w:pPr>
              <w:rPr>
                <w:color w:val="000000" w:themeColor="text1"/>
              </w:rPr>
            </w:pPr>
            <w:r>
              <w:rPr>
                <w:color w:val="000000" w:themeColor="text1"/>
                <w:sz w:val="18"/>
                <w:szCs w:val="18"/>
              </w:rPr>
              <w:t>达标</w:t>
            </w:r>
          </w:p>
        </w:tc>
        <w:tc>
          <w:tcPr>
            <w:tcW w:w="0" w:type="auto"/>
            <w:shd w:val="clear" w:color="auto" w:fill="auto"/>
            <w:vAlign w:val="center"/>
          </w:tcPr>
          <w:p w14:paraId="23E3E04B">
            <w:pPr>
              <w:ind w:left="88" w:hanging="88" w:hangingChars="49"/>
              <w:jc w:val="center"/>
              <w:rPr>
                <w:color w:val="000000" w:themeColor="text1"/>
                <w:sz w:val="18"/>
                <w:szCs w:val="18"/>
              </w:rPr>
            </w:pPr>
            <w:r>
              <w:rPr>
                <w:color w:val="000000" w:themeColor="text1"/>
                <w:sz w:val="18"/>
                <w:szCs w:val="18"/>
              </w:rPr>
              <w:t>0.42</w:t>
            </w:r>
          </w:p>
        </w:tc>
        <w:tc>
          <w:tcPr>
            <w:tcW w:w="0" w:type="auto"/>
            <w:shd w:val="clear" w:color="auto" w:fill="auto"/>
            <w:vAlign w:val="center"/>
          </w:tcPr>
          <w:p w14:paraId="1166FA3B">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51483F53">
            <w:pPr>
              <w:rPr>
                <w:color w:val="000000" w:themeColor="text1"/>
              </w:rPr>
            </w:pPr>
            <w:r>
              <w:rPr>
                <w:color w:val="000000" w:themeColor="text1"/>
                <w:sz w:val="18"/>
                <w:szCs w:val="18"/>
              </w:rPr>
              <w:t>达标</w:t>
            </w:r>
          </w:p>
        </w:tc>
      </w:tr>
      <w:tr w14:paraId="4507C4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09A80842">
            <w:pPr>
              <w:ind w:left="88" w:hanging="88" w:hangingChars="49"/>
              <w:jc w:val="center"/>
              <w:rPr>
                <w:color w:val="000000" w:themeColor="text1"/>
                <w:sz w:val="18"/>
                <w:szCs w:val="18"/>
              </w:rPr>
            </w:pPr>
          </w:p>
        </w:tc>
        <w:tc>
          <w:tcPr>
            <w:tcW w:w="0" w:type="auto"/>
            <w:vAlign w:val="center"/>
          </w:tcPr>
          <w:p w14:paraId="5122A2AE">
            <w:pPr>
              <w:jc w:val="center"/>
              <w:rPr>
                <w:color w:val="000000" w:themeColor="text1"/>
                <w:sz w:val="18"/>
                <w:szCs w:val="18"/>
              </w:rPr>
            </w:pPr>
            <w:r>
              <w:rPr>
                <w:color w:val="000000" w:themeColor="text1"/>
                <w:sz w:val="18"/>
                <w:szCs w:val="18"/>
              </w:rPr>
              <w:t>08:00-09:00</w:t>
            </w:r>
          </w:p>
        </w:tc>
        <w:tc>
          <w:tcPr>
            <w:tcW w:w="0" w:type="auto"/>
          </w:tcPr>
          <w:p w14:paraId="3E7DF7CC">
            <w:pPr>
              <w:ind w:left="88" w:hanging="88" w:hangingChars="49"/>
              <w:jc w:val="center"/>
              <w:rPr>
                <w:color w:val="000000" w:themeColor="text1"/>
                <w:sz w:val="18"/>
                <w:szCs w:val="18"/>
              </w:rPr>
            </w:pPr>
            <w:r>
              <w:rPr>
                <w:color w:val="000000" w:themeColor="text1"/>
                <w:sz w:val="18"/>
                <w:szCs w:val="18"/>
              </w:rPr>
              <w:t>13</w:t>
            </w:r>
          </w:p>
        </w:tc>
        <w:tc>
          <w:tcPr>
            <w:tcW w:w="0" w:type="auto"/>
          </w:tcPr>
          <w:p w14:paraId="759F07CD">
            <w:pPr>
              <w:ind w:left="88" w:hanging="88" w:hangingChars="49"/>
              <w:jc w:val="center"/>
              <w:rPr>
                <w:color w:val="000000" w:themeColor="text1"/>
                <w:sz w:val="18"/>
                <w:szCs w:val="18"/>
              </w:rPr>
            </w:pPr>
            <w:r>
              <w:rPr>
                <w:color w:val="000000" w:themeColor="text1"/>
                <w:sz w:val="18"/>
                <w:szCs w:val="18"/>
              </w:rPr>
              <w:t>500</w:t>
            </w:r>
          </w:p>
        </w:tc>
        <w:tc>
          <w:tcPr>
            <w:tcW w:w="0" w:type="auto"/>
          </w:tcPr>
          <w:p w14:paraId="3BA71F58">
            <w:pPr>
              <w:rPr>
                <w:color w:val="000000" w:themeColor="text1"/>
              </w:rPr>
            </w:pPr>
            <w:r>
              <w:rPr>
                <w:color w:val="000000" w:themeColor="text1"/>
                <w:sz w:val="18"/>
                <w:szCs w:val="18"/>
              </w:rPr>
              <w:t>达标</w:t>
            </w:r>
          </w:p>
        </w:tc>
        <w:tc>
          <w:tcPr>
            <w:tcW w:w="0" w:type="auto"/>
          </w:tcPr>
          <w:p w14:paraId="0AEBA67C">
            <w:pPr>
              <w:ind w:left="88" w:hanging="88" w:hangingChars="49"/>
              <w:jc w:val="center"/>
              <w:rPr>
                <w:color w:val="000000" w:themeColor="text1"/>
                <w:sz w:val="18"/>
                <w:szCs w:val="18"/>
              </w:rPr>
            </w:pPr>
            <w:r>
              <w:rPr>
                <w:color w:val="000000" w:themeColor="text1"/>
                <w:sz w:val="18"/>
                <w:szCs w:val="18"/>
              </w:rPr>
              <w:t>23</w:t>
            </w:r>
          </w:p>
        </w:tc>
        <w:tc>
          <w:tcPr>
            <w:tcW w:w="0" w:type="auto"/>
          </w:tcPr>
          <w:p w14:paraId="60B7F29A">
            <w:pPr>
              <w:ind w:left="88" w:hanging="88" w:hangingChars="49"/>
              <w:jc w:val="center"/>
              <w:rPr>
                <w:color w:val="000000" w:themeColor="text1"/>
                <w:sz w:val="18"/>
                <w:szCs w:val="18"/>
              </w:rPr>
            </w:pPr>
            <w:r>
              <w:rPr>
                <w:color w:val="000000" w:themeColor="text1"/>
                <w:sz w:val="18"/>
                <w:szCs w:val="18"/>
              </w:rPr>
              <w:t>200</w:t>
            </w:r>
          </w:p>
        </w:tc>
        <w:tc>
          <w:tcPr>
            <w:tcW w:w="0" w:type="auto"/>
          </w:tcPr>
          <w:p w14:paraId="5885BABC">
            <w:pPr>
              <w:rPr>
                <w:color w:val="000000" w:themeColor="text1"/>
              </w:rPr>
            </w:pPr>
            <w:r>
              <w:rPr>
                <w:color w:val="000000" w:themeColor="text1"/>
                <w:sz w:val="18"/>
                <w:szCs w:val="18"/>
              </w:rPr>
              <w:t>达标</w:t>
            </w:r>
          </w:p>
        </w:tc>
        <w:tc>
          <w:tcPr>
            <w:tcW w:w="0" w:type="auto"/>
            <w:shd w:val="clear" w:color="auto" w:fill="auto"/>
            <w:vAlign w:val="center"/>
          </w:tcPr>
          <w:p w14:paraId="628AD429">
            <w:pPr>
              <w:ind w:left="88" w:hanging="88" w:hangingChars="49"/>
              <w:jc w:val="center"/>
              <w:rPr>
                <w:color w:val="000000" w:themeColor="text1"/>
                <w:sz w:val="18"/>
                <w:szCs w:val="18"/>
              </w:rPr>
            </w:pPr>
            <w:r>
              <w:rPr>
                <w:color w:val="000000" w:themeColor="text1"/>
                <w:sz w:val="18"/>
                <w:szCs w:val="18"/>
              </w:rPr>
              <w:t>0.38</w:t>
            </w:r>
          </w:p>
        </w:tc>
        <w:tc>
          <w:tcPr>
            <w:tcW w:w="0" w:type="auto"/>
            <w:shd w:val="clear" w:color="auto" w:fill="auto"/>
            <w:vAlign w:val="center"/>
          </w:tcPr>
          <w:p w14:paraId="5F55EA07">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1249FB2E">
            <w:pPr>
              <w:rPr>
                <w:color w:val="000000" w:themeColor="text1"/>
              </w:rPr>
            </w:pPr>
            <w:r>
              <w:rPr>
                <w:color w:val="000000" w:themeColor="text1"/>
                <w:sz w:val="18"/>
                <w:szCs w:val="18"/>
              </w:rPr>
              <w:t>达标</w:t>
            </w:r>
          </w:p>
        </w:tc>
      </w:tr>
      <w:tr w14:paraId="0EFDB8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58645B0C">
            <w:pPr>
              <w:ind w:left="88" w:hanging="88" w:hangingChars="49"/>
              <w:jc w:val="center"/>
              <w:rPr>
                <w:color w:val="000000" w:themeColor="text1"/>
                <w:sz w:val="18"/>
                <w:szCs w:val="18"/>
              </w:rPr>
            </w:pPr>
          </w:p>
        </w:tc>
        <w:tc>
          <w:tcPr>
            <w:tcW w:w="0" w:type="auto"/>
            <w:vAlign w:val="center"/>
          </w:tcPr>
          <w:p w14:paraId="670A773B">
            <w:pPr>
              <w:jc w:val="center"/>
              <w:rPr>
                <w:color w:val="000000" w:themeColor="text1"/>
                <w:sz w:val="18"/>
                <w:szCs w:val="18"/>
              </w:rPr>
            </w:pPr>
            <w:r>
              <w:rPr>
                <w:color w:val="000000" w:themeColor="text1"/>
                <w:sz w:val="18"/>
                <w:szCs w:val="18"/>
              </w:rPr>
              <w:t>14:00-15:00</w:t>
            </w:r>
          </w:p>
        </w:tc>
        <w:tc>
          <w:tcPr>
            <w:tcW w:w="0" w:type="auto"/>
          </w:tcPr>
          <w:p w14:paraId="4AEC99C6">
            <w:pPr>
              <w:ind w:left="88" w:hanging="88" w:hangingChars="49"/>
              <w:jc w:val="center"/>
              <w:rPr>
                <w:color w:val="000000" w:themeColor="text1"/>
                <w:sz w:val="18"/>
                <w:szCs w:val="18"/>
              </w:rPr>
            </w:pPr>
            <w:r>
              <w:rPr>
                <w:color w:val="000000" w:themeColor="text1"/>
                <w:sz w:val="18"/>
                <w:szCs w:val="18"/>
              </w:rPr>
              <w:t>18</w:t>
            </w:r>
          </w:p>
        </w:tc>
        <w:tc>
          <w:tcPr>
            <w:tcW w:w="0" w:type="auto"/>
          </w:tcPr>
          <w:p w14:paraId="4161B4D9">
            <w:pPr>
              <w:ind w:left="88" w:hanging="88" w:hangingChars="49"/>
              <w:jc w:val="center"/>
              <w:rPr>
                <w:color w:val="000000" w:themeColor="text1"/>
                <w:sz w:val="18"/>
                <w:szCs w:val="18"/>
              </w:rPr>
            </w:pPr>
            <w:r>
              <w:rPr>
                <w:color w:val="000000" w:themeColor="text1"/>
                <w:sz w:val="18"/>
                <w:szCs w:val="18"/>
              </w:rPr>
              <w:t>500</w:t>
            </w:r>
          </w:p>
        </w:tc>
        <w:tc>
          <w:tcPr>
            <w:tcW w:w="0" w:type="auto"/>
          </w:tcPr>
          <w:p w14:paraId="375916A5">
            <w:pPr>
              <w:rPr>
                <w:color w:val="000000" w:themeColor="text1"/>
              </w:rPr>
            </w:pPr>
            <w:r>
              <w:rPr>
                <w:color w:val="000000" w:themeColor="text1"/>
                <w:sz w:val="18"/>
                <w:szCs w:val="18"/>
              </w:rPr>
              <w:t>达标</w:t>
            </w:r>
          </w:p>
        </w:tc>
        <w:tc>
          <w:tcPr>
            <w:tcW w:w="0" w:type="auto"/>
          </w:tcPr>
          <w:p w14:paraId="319E0986">
            <w:pPr>
              <w:ind w:left="88" w:hanging="88" w:hangingChars="49"/>
              <w:jc w:val="center"/>
              <w:rPr>
                <w:color w:val="000000" w:themeColor="text1"/>
                <w:sz w:val="18"/>
                <w:szCs w:val="18"/>
              </w:rPr>
            </w:pPr>
            <w:r>
              <w:rPr>
                <w:color w:val="000000" w:themeColor="text1"/>
                <w:sz w:val="18"/>
                <w:szCs w:val="18"/>
              </w:rPr>
              <w:t>16</w:t>
            </w:r>
          </w:p>
        </w:tc>
        <w:tc>
          <w:tcPr>
            <w:tcW w:w="0" w:type="auto"/>
          </w:tcPr>
          <w:p w14:paraId="03F222B6">
            <w:pPr>
              <w:ind w:left="88" w:hanging="88" w:hangingChars="49"/>
              <w:jc w:val="center"/>
              <w:rPr>
                <w:color w:val="000000" w:themeColor="text1"/>
                <w:sz w:val="18"/>
                <w:szCs w:val="18"/>
              </w:rPr>
            </w:pPr>
            <w:r>
              <w:rPr>
                <w:color w:val="000000" w:themeColor="text1"/>
                <w:sz w:val="18"/>
                <w:szCs w:val="18"/>
              </w:rPr>
              <w:t>200</w:t>
            </w:r>
          </w:p>
        </w:tc>
        <w:tc>
          <w:tcPr>
            <w:tcW w:w="0" w:type="auto"/>
          </w:tcPr>
          <w:p w14:paraId="2553A453">
            <w:pPr>
              <w:rPr>
                <w:color w:val="000000" w:themeColor="text1"/>
              </w:rPr>
            </w:pPr>
            <w:r>
              <w:rPr>
                <w:color w:val="000000" w:themeColor="text1"/>
                <w:sz w:val="18"/>
                <w:szCs w:val="18"/>
              </w:rPr>
              <w:t>达标</w:t>
            </w:r>
          </w:p>
        </w:tc>
        <w:tc>
          <w:tcPr>
            <w:tcW w:w="0" w:type="auto"/>
            <w:shd w:val="clear" w:color="auto" w:fill="auto"/>
            <w:vAlign w:val="center"/>
          </w:tcPr>
          <w:p w14:paraId="46439FF1">
            <w:pPr>
              <w:ind w:left="88" w:hanging="88" w:hangingChars="49"/>
              <w:jc w:val="center"/>
              <w:rPr>
                <w:color w:val="000000" w:themeColor="text1"/>
                <w:sz w:val="18"/>
                <w:szCs w:val="18"/>
              </w:rPr>
            </w:pPr>
            <w:r>
              <w:rPr>
                <w:color w:val="000000" w:themeColor="text1"/>
                <w:sz w:val="18"/>
                <w:szCs w:val="18"/>
              </w:rPr>
              <w:t>0.34</w:t>
            </w:r>
          </w:p>
        </w:tc>
        <w:tc>
          <w:tcPr>
            <w:tcW w:w="0" w:type="auto"/>
            <w:shd w:val="clear" w:color="auto" w:fill="auto"/>
            <w:vAlign w:val="center"/>
          </w:tcPr>
          <w:p w14:paraId="3392FEC4">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7B89A7AC">
            <w:pPr>
              <w:rPr>
                <w:color w:val="000000" w:themeColor="text1"/>
              </w:rPr>
            </w:pPr>
            <w:r>
              <w:rPr>
                <w:color w:val="000000" w:themeColor="text1"/>
                <w:sz w:val="18"/>
                <w:szCs w:val="18"/>
              </w:rPr>
              <w:t>达标</w:t>
            </w:r>
          </w:p>
        </w:tc>
      </w:tr>
      <w:tr w14:paraId="621D88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777B24C8">
            <w:pPr>
              <w:ind w:left="88" w:hanging="88" w:hangingChars="49"/>
              <w:jc w:val="center"/>
              <w:rPr>
                <w:color w:val="000000" w:themeColor="text1"/>
                <w:sz w:val="18"/>
                <w:szCs w:val="18"/>
              </w:rPr>
            </w:pPr>
          </w:p>
        </w:tc>
        <w:tc>
          <w:tcPr>
            <w:tcW w:w="0" w:type="auto"/>
            <w:vAlign w:val="center"/>
          </w:tcPr>
          <w:p w14:paraId="02A841F0">
            <w:pPr>
              <w:jc w:val="center"/>
              <w:rPr>
                <w:color w:val="000000" w:themeColor="text1"/>
                <w:sz w:val="18"/>
                <w:szCs w:val="18"/>
              </w:rPr>
            </w:pPr>
            <w:r>
              <w:rPr>
                <w:color w:val="000000" w:themeColor="text1"/>
                <w:sz w:val="18"/>
                <w:szCs w:val="18"/>
              </w:rPr>
              <w:t>20:00-21:00</w:t>
            </w:r>
          </w:p>
        </w:tc>
        <w:tc>
          <w:tcPr>
            <w:tcW w:w="0" w:type="auto"/>
          </w:tcPr>
          <w:p w14:paraId="7743572D">
            <w:pPr>
              <w:ind w:left="88" w:hanging="88" w:hangingChars="49"/>
              <w:jc w:val="center"/>
              <w:rPr>
                <w:color w:val="000000" w:themeColor="text1"/>
                <w:sz w:val="18"/>
                <w:szCs w:val="18"/>
              </w:rPr>
            </w:pPr>
            <w:r>
              <w:rPr>
                <w:color w:val="000000" w:themeColor="text1"/>
                <w:sz w:val="18"/>
                <w:szCs w:val="18"/>
              </w:rPr>
              <w:t>12</w:t>
            </w:r>
          </w:p>
        </w:tc>
        <w:tc>
          <w:tcPr>
            <w:tcW w:w="0" w:type="auto"/>
          </w:tcPr>
          <w:p w14:paraId="42019B94">
            <w:pPr>
              <w:ind w:left="88" w:hanging="88" w:hangingChars="49"/>
              <w:jc w:val="center"/>
              <w:rPr>
                <w:color w:val="000000" w:themeColor="text1"/>
                <w:sz w:val="18"/>
                <w:szCs w:val="18"/>
              </w:rPr>
            </w:pPr>
            <w:r>
              <w:rPr>
                <w:color w:val="000000" w:themeColor="text1"/>
                <w:sz w:val="18"/>
                <w:szCs w:val="18"/>
              </w:rPr>
              <w:t>500</w:t>
            </w:r>
          </w:p>
        </w:tc>
        <w:tc>
          <w:tcPr>
            <w:tcW w:w="0" w:type="auto"/>
          </w:tcPr>
          <w:p w14:paraId="17DC40B2">
            <w:pPr>
              <w:rPr>
                <w:color w:val="000000" w:themeColor="text1"/>
              </w:rPr>
            </w:pPr>
            <w:r>
              <w:rPr>
                <w:color w:val="000000" w:themeColor="text1"/>
                <w:sz w:val="18"/>
                <w:szCs w:val="18"/>
              </w:rPr>
              <w:t>达标</w:t>
            </w:r>
          </w:p>
        </w:tc>
        <w:tc>
          <w:tcPr>
            <w:tcW w:w="0" w:type="auto"/>
          </w:tcPr>
          <w:p w14:paraId="51719489">
            <w:pPr>
              <w:ind w:left="88" w:hanging="88" w:hangingChars="49"/>
              <w:jc w:val="center"/>
              <w:rPr>
                <w:color w:val="000000" w:themeColor="text1"/>
                <w:sz w:val="18"/>
                <w:szCs w:val="18"/>
              </w:rPr>
            </w:pPr>
            <w:r>
              <w:rPr>
                <w:color w:val="000000" w:themeColor="text1"/>
                <w:sz w:val="18"/>
                <w:szCs w:val="18"/>
              </w:rPr>
              <w:t>21</w:t>
            </w:r>
          </w:p>
        </w:tc>
        <w:tc>
          <w:tcPr>
            <w:tcW w:w="0" w:type="auto"/>
          </w:tcPr>
          <w:p w14:paraId="14E56AE9">
            <w:pPr>
              <w:ind w:left="88" w:hanging="88" w:hangingChars="49"/>
              <w:jc w:val="center"/>
              <w:rPr>
                <w:color w:val="000000" w:themeColor="text1"/>
                <w:sz w:val="18"/>
                <w:szCs w:val="18"/>
              </w:rPr>
            </w:pPr>
            <w:r>
              <w:rPr>
                <w:color w:val="000000" w:themeColor="text1"/>
                <w:sz w:val="18"/>
                <w:szCs w:val="18"/>
              </w:rPr>
              <w:t>200</w:t>
            </w:r>
          </w:p>
        </w:tc>
        <w:tc>
          <w:tcPr>
            <w:tcW w:w="0" w:type="auto"/>
          </w:tcPr>
          <w:p w14:paraId="7B45408D">
            <w:pPr>
              <w:rPr>
                <w:color w:val="000000" w:themeColor="text1"/>
              </w:rPr>
            </w:pPr>
            <w:r>
              <w:rPr>
                <w:color w:val="000000" w:themeColor="text1"/>
                <w:sz w:val="18"/>
                <w:szCs w:val="18"/>
              </w:rPr>
              <w:t>达标</w:t>
            </w:r>
          </w:p>
        </w:tc>
        <w:tc>
          <w:tcPr>
            <w:tcW w:w="0" w:type="auto"/>
            <w:shd w:val="clear" w:color="auto" w:fill="auto"/>
            <w:vAlign w:val="center"/>
          </w:tcPr>
          <w:p w14:paraId="3AF9C592">
            <w:pPr>
              <w:ind w:left="88" w:hanging="88" w:hangingChars="49"/>
              <w:jc w:val="center"/>
              <w:rPr>
                <w:color w:val="000000" w:themeColor="text1"/>
                <w:sz w:val="18"/>
                <w:szCs w:val="18"/>
              </w:rPr>
            </w:pPr>
            <w:r>
              <w:rPr>
                <w:color w:val="000000" w:themeColor="text1"/>
                <w:sz w:val="18"/>
                <w:szCs w:val="18"/>
              </w:rPr>
              <w:t>0.30</w:t>
            </w:r>
          </w:p>
        </w:tc>
        <w:tc>
          <w:tcPr>
            <w:tcW w:w="0" w:type="auto"/>
            <w:shd w:val="clear" w:color="auto" w:fill="auto"/>
            <w:vAlign w:val="center"/>
          </w:tcPr>
          <w:p w14:paraId="287BD9AA">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61B65883">
            <w:pPr>
              <w:rPr>
                <w:color w:val="000000" w:themeColor="text1"/>
              </w:rPr>
            </w:pPr>
            <w:r>
              <w:rPr>
                <w:color w:val="000000" w:themeColor="text1"/>
                <w:sz w:val="18"/>
                <w:szCs w:val="18"/>
              </w:rPr>
              <w:t>达标</w:t>
            </w:r>
          </w:p>
        </w:tc>
      </w:tr>
      <w:tr w14:paraId="236896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restart"/>
            <w:shd w:val="clear" w:color="auto" w:fill="auto"/>
            <w:vAlign w:val="center"/>
          </w:tcPr>
          <w:p w14:paraId="3A8D000D">
            <w:pPr>
              <w:ind w:left="88" w:hanging="88" w:hangingChars="49"/>
              <w:jc w:val="center"/>
              <w:rPr>
                <w:color w:val="000000" w:themeColor="text1"/>
                <w:sz w:val="18"/>
                <w:szCs w:val="18"/>
              </w:rPr>
            </w:pPr>
            <w:r>
              <w:rPr>
                <w:color w:val="000000" w:themeColor="text1"/>
                <w:sz w:val="18"/>
                <w:szCs w:val="18"/>
              </w:rPr>
              <w:t>20191117</w:t>
            </w:r>
          </w:p>
        </w:tc>
        <w:tc>
          <w:tcPr>
            <w:tcW w:w="0" w:type="auto"/>
            <w:vAlign w:val="center"/>
          </w:tcPr>
          <w:p w14:paraId="3A17546C">
            <w:pPr>
              <w:jc w:val="center"/>
              <w:rPr>
                <w:color w:val="000000" w:themeColor="text1"/>
                <w:sz w:val="18"/>
                <w:szCs w:val="18"/>
              </w:rPr>
            </w:pPr>
            <w:r>
              <w:rPr>
                <w:color w:val="000000" w:themeColor="text1"/>
                <w:sz w:val="18"/>
                <w:szCs w:val="18"/>
              </w:rPr>
              <w:t>02:00-03:00</w:t>
            </w:r>
          </w:p>
        </w:tc>
        <w:tc>
          <w:tcPr>
            <w:tcW w:w="0" w:type="auto"/>
          </w:tcPr>
          <w:p w14:paraId="0487260E">
            <w:pPr>
              <w:ind w:left="88" w:hanging="88" w:hangingChars="49"/>
              <w:jc w:val="center"/>
              <w:rPr>
                <w:color w:val="000000" w:themeColor="text1"/>
                <w:sz w:val="18"/>
                <w:szCs w:val="18"/>
              </w:rPr>
            </w:pPr>
            <w:r>
              <w:rPr>
                <w:color w:val="000000" w:themeColor="text1"/>
                <w:sz w:val="18"/>
                <w:szCs w:val="18"/>
              </w:rPr>
              <w:t>8</w:t>
            </w:r>
          </w:p>
        </w:tc>
        <w:tc>
          <w:tcPr>
            <w:tcW w:w="0" w:type="auto"/>
          </w:tcPr>
          <w:p w14:paraId="64B2C459">
            <w:pPr>
              <w:ind w:left="88" w:hanging="88" w:hangingChars="49"/>
              <w:jc w:val="center"/>
              <w:rPr>
                <w:color w:val="000000" w:themeColor="text1"/>
                <w:sz w:val="18"/>
                <w:szCs w:val="18"/>
              </w:rPr>
            </w:pPr>
            <w:r>
              <w:rPr>
                <w:color w:val="000000" w:themeColor="text1"/>
                <w:sz w:val="18"/>
                <w:szCs w:val="18"/>
              </w:rPr>
              <w:t>500</w:t>
            </w:r>
          </w:p>
        </w:tc>
        <w:tc>
          <w:tcPr>
            <w:tcW w:w="0" w:type="auto"/>
          </w:tcPr>
          <w:p w14:paraId="71031054">
            <w:pPr>
              <w:rPr>
                <w:color w:val="000000" w:themeColor="text1"/>
              </w:rPr>
            </w:pPr>
            <w:r>
              <w:rPr>
                <w:color w:val="000000" w:themeColor="text1"/>
                <w:sz w:val="18"/>
                <w:szCs w:val="18"/>
              </w:rPr>
              <w:t>达标</w:t>
            </w:r>
          </w:p>
        </w:tc>
        <w:tc>
          <w:tcPr>
            <w:tcW w:w="0" w:type="auto"/>
          </w:tcPr>
          <w:p w14:paraId="04DCA787">
            <w:pPr>
              <w:ind w:left="88" w:hanging="88" w:hangingChars="49"/>
              <w:jc w:val="center"/>
              <w:rPr>
                <w:color w:val="000000" w:themeColor="text1"/>
                <w:sz w:val="18"/>
                <w:szCs w:val="18"/>
              </w:rPr>
            </w:pPr>
            <w:r>
              <w:rPr>
                <w:color w:val="000000" w:themeColor="text1"/>
                <w:sz w:val="18"/>
                <w:szCs w:val="18"/>
              </w:rPr>
              <w:t>8</w:t>
            </w:r>
          </w:p>
        </w:tc>
        <w:tc>
          <w:tcPr>
            <w:tcW w:w="0" w:type="auto"/>
          </w:tcPr>
          <w:p w14:paraId="23CB2FF4">
            <w:pPr>
              <w:ind w:left="88" w:hanging="88" w:hangingChars="49"/>
              <w:jc w:val="center"/>
              <w:rPr>
                <w:color w:val="000000" w:themeColor="text1"/>
                <w:sz w:val="18"/>
                <w:szCs w:val="18"/>
              </w:rPr>
            </w:pPr>
            <w:r>
              <w:rPr>
                <w:color w:val="000000" w:themeColor="text1"/>
                <w:sz w:val="18"/>
                <w:szCs w:val="18"/>
              </w:rPr>
              <w:t>200</w:t>
            </w:r>
          </w:p>
        </w:tc>
        <w:tc>
          <w:tcPr>
            <w:tcW w:w="0" w:type="auto"/>
          </w:tcPr>
          <w:p w14:paraId="0ACC9E70">
            <w:pPr>
              <w:rPr>
                <w:color w:val="000000" w:themeColor="text1"/>
              </w:rPr>
            </w:pPr>
            <w:r>
              <w:rPr>
                <w:color w:val="000000" w:themeColor="text1"/>
                <w:sz w:val="18"/>
                <w:szCs w:val="18"/>
              </w:rPr>
              <w:t>达标</w:t>
            </w:r>
          </w:p>
        </w:tc>
        <w:tc>
          <w:tcPr>
            <w:tcW w:w="0" w:type="auto"/>
            <w:shd w:val="clear" w:color="auto" w:fill="auto"/>
            <w:vAlign w:val="center"/>
          </w:tcPr>
          <w:p w14:paraId="65F4EADC">
            <w:pPr>
              <w:ind w:left="88" w:hanging="88" w:hangingChars="49"/>
              <w:jc w:val="center"/>
              <w:rPr>
                <w:color w:val="000000" w:themeColor="text1"/>
                <w:sz w:val="18"/>
                <w:szCs w:val="18"/>
              </w:rPr>
            </w:pPr>
            <w:r>
              <w:rPr>
                <w:color w:val="000000" w:themeColor="text1"/>
                <w:sz w:val="18"/>
                <w:szCs w:val="18"/>
              </w:rPr>
              <w:t>0.47</w:t>
            </w:r>
          </w:p>
        </w:tc>
        <w:tc>
          <w:tcPr>
            <w:tcW w:w="0" w:type="auto"/>
            <w:shd w:val="clear" w:color="auto" w:fill="auto"/>
            <w:vAlign w:val="center"/>
          </w:tcPr>
          <w:p w14:paraId="11C621DD">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2E747E34">
            <w:pPr>
              <w:rPr>
                <w:color w:val="000000" w:themeColor="text1"/>
              </w:rPr>
            </w:pPr>
            <w:r>
              <w:rPr>
                <w:color w:val="000000" w:themeColor="text1"/>
                <w:sz w:val="18"/>
                <w:szCs w:val="18"/>
              </w:rPr>
              <w:t>达标</w:t>
            </w:r>
          </w:p>
        </w:tc>
      </w:tr>
      <w:tr w14:paraId="7D31CC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793A4C2C">
            <w:pPr>
              <w:ind w:left="88" w:hanging="88" w:hangingChars="49"/>
              <w:jc w:val="center"/>
              <w:rPr>
                <w:color w:val="000000" w:themeColor="text1"/>
                <w:sz w:val="18"/>
                <w:szCs w:val="18"/>
              </w:rPr>
            </w:pPr>
          </w:p>
        </w:tc>
        <w:tc>
          <w:tcPr>
            <w:tcW w:w="0" w:type="auto"/>
            <w:vAlign w:val="center"/>
          </w:tcPr>
          <w:p w14:paraId="53BFB0B8">
            <w:pPr>
              <w:jc w:val="center"/>
              <w:rPr>
                <w:color w:val="000000" w:themeColor="text1"/>
                <w:sz w:val="18"/>
                <w:szCs w:val="18"/>
              </w:rPr>
            </w:pPr>
            <w:r>
              <w:rPr>
                <w:color w:val="000000" w:themeColor="text1"/>
                <w:sz w:val="18"/>
                <w:szCs w:val="18"/>
              </w:rPr>
              <w:t>08:00-09:00</w:t>
            </w:r>
          </w:p>
        </w:tc>
        <w:tc>
          <w:tcPr>
            <w:tcW w:w="0" w:type="auto"/>
          </w:tcPr>
          <w:p w14:paraId="6E7AEDD2">
            <w:pPr>
              <w:ind w:left="88" w:hanging="88" w:hangingChars="49"/>
              <w:jc w:val="center"/>
              <w:rPr>
                <w:color w:val="000000" w:themeColor="text1"/>
                <w:sz w:val="18"/>
                <w:szCs w:val="18"/>
              </w:rPr>
            </w:pPr>
            <w:r>
              <w:rPr>
                <w:color w:val="000000" w:themeColor="text1"/>
                <w:sz w:val="18"/>
                <w:szCs w:val="18"/>
              </w:rPr>
              <w:t>12</w:t>
            </w:r>
          </w:p>
        </w:tc>
        <w:tc>
          <w:tcPr>
            <w:tcW w:w="0" w:type="auto"/>
          </w:tcPr>
          <w:p w14:paraId="238DC439">
            <w:pPr>
              <w:ind w:left="88" w:hanging="88" w:hangingChars="49"/>
              <w:jc w:val="center"/>
              <w:rPr>
                <w:color w:val="000000" w:themeColor="text1"/>
                <w:sz w:val="18"/>
                <w:szCs w:val="18"/>
              </w:rPr>
            </w:pPr>
            <w:r>
              <w:rPr>
                <w:color w:val="000000" w:themeColor="text1"/>
                <w:sz w:val="18"/>
                <w:szCs w:val="18"/>
              </w:rPr>
              <w:t>500</w:t>
            </w:r>
          </w:p>
        </w:tc>
        <w:tc>
          <w:tcPr>
            <w:tcW w:w="0" w:type="auto"/>
          </w:tcPr>
          <w:p w14:paraId="14F99AA7">
            <w:pPr>
              <w:rPr>
                <w:color w:val="000000" w:themeColor="text1"/>
              </w:rPr>
            </w:pPr>
            <w:r>
              <w:rPr>
                <w:color w:val="000000" w:themeColor="text1"/>
                <w:sz w:val="18"/>
                <w:szCs w:val="18"/>
              </w:rPr>
              <w:t>达标</w:t>
            </w:r>
          </w:p>
        </w:tc>
        <w:tc>
          <w:tcPr>
            <w:tcW w:w="0" w:type="auto"/>
          </w:tcPr>
          <w:p w14:paraId="3996F03C">
            <w:pPr>
              <w:ind w:left="88" w:hanging="88" w:hangingChars="49"/>
              <w:jc w:val="center"/>
              <w:rPr>
                <w:color w:val="000000" w:themeColor="text1"/>
                <w:sz w:val="18"/>
                <w:szCs w:val="18"/>
              </w:rPr>
            </w:pPr>
            <w:r>
              <w:rPr>
                <w:color w:val="000000" w:themeColor="text1"/>
                <w:sz w:val="18"/>
                <w:szCs w:val="18"/>
              </w:rPr>
              <w:t>17</w:t>
            </w:r>
          </w:p>
        </w:tc>
        <w:tc>
          <w:tcPr>
            <w:tcW w:w="0" w:type="auto"/>
          </w:tcPr>
          <w:p w14:paraId="5814775A">
            <w:pPr>
              <w:ind w:left="88" w:hanging="88" w:hangingChars="49"/>
              <w:jc w:val="center"/>
              <w:rPr>
                <w:color w:val="000000" w:themeColor="text1"/>
                <w:sz w:val="18"/>
                <w:szCs w:val="18"/>
              </w:rPr>
            </w:pPr>
            <w:r>
              <w:rPr>
                <w:color w:val="000000" w:themeColor="text1"/>
                <w:sz w:val="18"/>
                <w:szCs w:val="18"/>
              </w:rPr>
              <w:t>200</w:t>
            </w:r>
          </w:p>
        </w:tc>
        <w:tc>
          <w:tcPr>
            <w:tcW w:w="0" w:type="auto"/>
          </w:tcPr>
          <w:p w14:paraId="2F06C03C">
            <w:pPr>
              <w:rPr>
                <w:color w:val="000000" w:themeColor="text1"/>
              </w:rPr>
            </w:pPr>
            <w:r>
              <w:rPr>
                <w:color w:val="000000" w:themeColor="text1"/>
                <w:sz w:val="18"/>
                <w:szCs w:val="18"/>
              </w:rPr>
              <w:t>达标</w:t>
            </w:r>
          </w:p>
        </w:tc>
        <w:tc>
          <w:tcPr>
            <w:tcW w:w="0" w:type="auto"/>
            <w:shd w:val="clear" w:color="auto" w:fill="auto"/>
            <w:vAlign w:val="center"/>
          </w:tcPr>
          <w:p w14:paraId="7DD2AA9E">
            <w:pPr>
              <w:ind w:left="88" w:hanging="88" w:hangingChars="49"/>
              <w:jc w:val="center"/>
              <w:rPr>
                <w:color w:val="000000" w:themeColor="text1"/>
                <w:sz w:val="18"/>
                <w:szCs w:val="18"/>
              </w:rPr>
            </w:pPr>
            <w:r>
              <w:rPr>
                <w:color w:val="000000" w:themeColor="text1"/>
                <w:sz w:val="18"/>
                <w:szCs w:val="18"/>
              </w:rPr>
              <w:t>0.44</w:t>
            </w:r>
          </w:p>
        </w:tc>
        <w:tc>
          <w:tcPr>
            <w:tcW w:w="0" w:type="auto"/>
            <w:shd w:val="clear" w:color="auto" w:fill="auto"/>
            <w:vAlign w:val="center"/>
          </w:tcPr>
          <w:p w14:paraId="4FF6676E">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39F2D009">
            <w:pPr>
              <w:rPr>
                <w:color w:val="000000" w:themeColor="text1"/>
              </w:rPr>
            </w:pPr>
            <w:r>
              <w:rPr>
                <w:color w:val="000000" w:themeColor="text1"/>
                <w:sz w:val="18"/>
                <w:szCs w:val="18"/>
              </w:rPr>
              <w:t>达标</w:t>
            </w:r>
          </w:p>
        </w:tc>
      </w:tr>
      <w:tr w14:paraId="60818F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61D2F9E2">
            <w:pPr>
              <w:ind w:left="88" w:hanging="88" w:hangingChars="49"/>
              <w:jc w:val="center"/>
              <w:rPr>
                <w:color w:val="000000" w:themeColor="text1"/>
                <w:sz w:val="18"/>
                <w:szCs w:val="18"/>
              </w:rPr>
            </w:pPr>
          </w:p>
        </w:tc>
        <w:tc>
          <w:tcPr>
            <w:tcW w:w="0" w:type="auto"/>
            <w:vAlign w:val="center"/>
          </w:tcPr>
          <w:p w14:paraId="533D9999">
            <w:pPr>
              <w:jc w:val="center"/>
              <w:rPr>
                <w:color w:val="000000" w:themeColor="text1"/>
                <w:sz w:val="18"/>
                <w:szCs w:val="18"/>
              </w:rPr>
            </w:pPr>
            <w:r>
              <w:rPr>
                <w:color w:val="000000" w:themeColor="text1"/>
                <w:sz w:val="18"/>
                <w:szCs w:val="18"/>
              </w:rPr>
              <w:t>14:00-15:00</w:t>
            </w:r>
          </w:p>
        </w:tc>
        <w:tc>
          <w:tcPr>
            <w:tcW w:w="0" w:type="auto"/>
          </w:tcPr>
          <w:p w14:paraId="245E6A91">
            <w:pPr>
              <w:ind w:left="88" w:hanging="88" w:hangingChars="49"/>
              <w:jc w:val="center"/>
              <w:rPr>
                <w:color w:val="000000" w:themeColor="text1"/>
                <w:sz w:val="18"/>
                <w:szCs w:val="18"/>
              </w:rPr>
            </w:pPr>
            <w:r>
              <w:rPr>
                <w:color w:val="000000" w:themeColor="text1"/>
                <w:sz w:val="18"/>
                <w:szCs w:val="18"/>
              </w:rPr>
              <w:t>16</w:t>
            </w:r>
          </w:p>
        </w:tc>
        <w:tc>
          <w:tcPr>
            <w:tcW w:w="0" w:type="auto"/>
          </w:tcPr>
          <w:p w14:paraId="65A6FB38">
            <w:pPr>
              <w:ind w:left="88" w:hanging="88" w:hangingChars="49"/>
              <w:jc w:val="center"/>
              <w:rPr>
                <w:color w:val="000000" w:themeColor="text1"/>
                <w:sz w:val="18"/>
                <w:szCs w:val="18"/>
              </w:rPr>
            </w:pPr>
            <w:r>
              <w:rPr>
                <w:color w:val="000000" w:themeColor="text1"/>
                <w:sz w:val="18"/>
                <w:szCs w:val="18"/>
              </w:rPr>
              <w:t>500</w:t>
            </w:r>
          </w:p>
        </w:tc>
        <w:tc>
          <w:tcPr>
            <w:tcW w:w="0" w:type="auto"/>
          </w:tcPr>
          <w:p w14:paraId="28F0045C">
            <w:pPr>
              <w:rPr>
                <w:color w:val="000000" w:themeColor="text1"/>
              </w:rPr>
            </w:pPr>
            <w:r>
              <w:rPr>
                <w:color w:val="000000" w:themeColor="text1"/>
                <w:sz w:val="18"/>
                <w:szCs w:val="18"/>
              </w:rPr>
              <w:t>达标</w:t>
            </w:r>
          </w:p>
        </w:tc>
        <w:tc>
          <w:tcPr>
            <w:tcW w:w="0" w:type="auto"/>
          </w:tcPr>
          <w:p w14:paraId="2EC44792">
            <w:pPr>
              <w:ind w:left="88" w:hanging="88" w:hangingChars="49"/>
              <w:jc w:val="center"/>
              <w:rPr>
                <w:color w:val="000000" w:themeColor="text1"/>
                <w:sz w:val="18"/>
                <w:szCs w:val="18"/>
              </w:rPr>
            </w:pPr>
            <w:r>
              <w:rPr>
                <w:color w:val="000000" w:themeColor="text1"/>
                <w:sz w:val="18"/>
                <w:szCs w:val="18"/>
              </w:rPr>
              <w:t>13</w:t>
            </w:r>
          </w:p>
        </w:tc>
        <w:tc>
          <w:tcPr>
            <w:tcW w:w="0" w:type="auto"/>
          </w:tcPr>
          <w:p w14:paraId="4972E2BD">
            <w:pPr>
              <w:ind w:left="88" w:hanging="88" w:hangingChars="49"/>
              <w:jc w:val="center"/>
              <w:rPr>
                <w:color w:val="000000" w:themeColor="text1"/>
                <w:sz w:val="18"/>
                <w:szCs w:val="18"/>
              </w:rPr>
            </w:pPr>
            <w:r>
              <w:rPr>
                <w:color w:val="000000" w:themeColor="text1"/>
                <w:sz w:val="18"/>
                <w:szCs w:val="18"/>
              </w:rPr>
              <w:t>200</w:t>
            </w:r>
          </w:p>
        </w:tc>
        <w:tc>
          <w:tcPr>
            <w:tcW w:w="0" w:type="auto"/>
          </w:tcPr>
          <w:p w14:paraId="43DB5356">
            <w:pPr>
              <w:rPr>
                <w:color w:val="000000" w:themeColor="text1"/>
              </w:rPr>
            </w:pPr>
            <w:r>
              <w:rPr>
                <w:color w:val="000000" w:themeColor="text1"/>
                <w:sz w:val="18"/>
                <w:szCs w:val="18"/>
              </w:rPr>
              <w:t>达标</w:t>
            </w:r>
          </w:p>
        </w:tc>
        <w:tc>
          <w:tcPr>
            <w:tcW w:w="0" w:type="auto"/>
            <w:shd w:val="clear" w:color="auto" w:fill="auto"/>
            <w:vAlign w:val="center"/>
          </w:tcPr>
          <w:p w14:paraId="4E6583DD">
            <w:pPr>
              <w:ind w:left="88" w:hanging="88" w:hangingChars="49"/>
              <w:jc w:val="center"/>
              <w:rPr>
                <w:color w:val="000000" w:themeColor="text1"/>
                <w:sz w:val="18"/>
                <w:szCs w:val="18"/>
              </w:rPr>
            </w:pPr>
            <w:r>
              <w:rPr>
                <w:color w:val="000000" w:themeColor="text1"/>
                <w:sz w:val="18"/>
                <w:szCs w:val="18"/>
              </w:rPr>
              <w:t>0.33</w:t>
            </w:r>
          </w:p>
        </w:tc>
        <w:tc>
          <w:tcPr>
            <w:tcW w:w="0" w:type="auto"/>
            <w:shd w:val="clear" w:color="auto" w:fill="auto"/>
            <w:vAlign w:val="center"/>
          </w:tcPr>
          <w:p w14:paraId="1B09AC70">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7D3C3AAB">
            <w:pPr>
              <w:rPr>
                <w:color w:val="000000" w:themeColor="text1"/>
              </w:rPr>
            </w:pPr>
            <w:r>
              <w:rPr>
                <w:color w:val="000000" w:themeColor="text1"/>
                <w:sz w:val="18"/>
                <w:szCs w:val="18"/>
              </w:rPr>
              <w:t>达标</w:t>
            </w:r>
          </w:p>
        </w:tc>
      </w:tr>
      <w:tr w14:paraId="495DC2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17523B83">
            <w:pPr>
              <w:ind w:left="88" w:hanging="88" w:hangingChars="49"/>
              <w:jc w:val="center"/>
              <w:rPr>
                <w:color w:val="000000" w:themeColor="text1"/>
                <w:sz w:val="18"/>
                <w:szCs w:val="18"/>
              </w:rPr>
            </w:pPr>
          </w:p>
        </w:tc>
        <w:tc>
          <w:tcPr>
            <w:tcW w:w="0" w:type="auto"/>
            <w:vAlign w:val="center"/>
          </w:tcPr>
          <w:p w14:paraId="27FEC06C">
            <w:pPr>
              <w:jc w:val="center"/>
              <w:rPr>
                <w:color w:val="000000" w:themeColor="text1"/>
                <w:sz w:val="18"/>
                <w:szCs w:val="18"/>
              </w:rPr>
            </w:pPr>
            <w:r>
              <w:rPr>
                <w:color w:val="000000" w:themeColor="text1"/>
                <w:sz w:val="18"/>
                <w:szCs w:val="18"/>
              </w:rPr>
              <w:t>20:00-21:00</w:t>
            </w:r>
          </w:p>
        </w:tc>
        <w:tc>
          <w:tcPr>
            <w:tcW w:w="0" w:type="auto"/>
          </w:tcPr>
          <w:p w14:paraId="2DDDD179">
            <w:pPr>
              <w:ind w:left="88" w:hanging="88" w:hangingChars="49"/>
              <w:jc w:val="center"/>
              <w:rPr>
                <w:color w:val="000000" w:themeColor="text1"/>
                <w:sz w:val="18"/>
                <w:szCs w:val="18"/>
              </w:rPr>
            </w:pPr>
            <w:r>
              <w:rPr>
                <w:color w:val="000000" w:themeColor="text1"/>
                <w:sz w:val="18"/>
                <w:szCs w:val="18"/>
              </w:rPr>
              <w:t>13</w:t>
            </w:r>
          </w:p>
        </w:tc>
        <w:tc>
          <w:tcPr>
            <w:tcW w:w="0" w:type="auto"/>
          </w:tcPr>
          <w:p w14:paraId="6F1C233B">
            <w:pPr>
              <w:ind w:left="88" w:hanging="88" w:hangingChars="49"/>
              <w:jc w:val="center"/>
              <w:rPr>
                <w:color w:val="000000" w:themeColor="text1"/>
                <w:sz w:val="18"/>
                <w:szCs w:val="18"/>
              </w:rPr>
            </w:pPr>
            <w:r>
              <w:rPr>
                <w:color w:val="000000" w:themeColor="text1"/>
                <w:sz w:val="18"/>
                <w:szCs w:val="18"/>
              </w:rPr>
              <w:t>500</w:t>
            </w:r>
          </w:p>
        </w:tc>
        <w:tc>
          <w:tcPr>
            <w:tcW w:w="0" w:type="auto"/>
          </w:tcPr>
          <w:p w14:paraId="26653849">
            <w:pPr>
              <w:rPr>
                <w:color w:val="000000" w:themeColor="text1"/>
              </w:rPr>
            </w:pPr>
            <w:r>
              <w:rPr>
                <w:color w:val="000000" w:themeColor="text1"/>
                <w:sz w:val="18"/>
                <w:szCs w:val="18"/>
              </w:rPr>
              <w:t>达标</w:t>
            </w:r>
          </w:p>
        </w:tc>
        <w:tc>
          <w:tcPr>
            <w:tcW w:w="0" w:type="auto"/>
          </w:tcPr>
          <w:p w14:paraId="5FFFAFC4">
            <w:pPr>
              <w:ind w:left="88" w:hanging="88" w:hangingChars="49"/>
              <w:jc w:val="center"/>
              <w:rPr>
                <w:color w:val="000000" w:themeColor="text1"/>
                <w:sz w:val="18"/>
                <w:szCs w:val="18"/>
              </w:rPr>
            </w:pPr>
            <w:r>
              <w:rPr>
                <w:color w:val="000000" w:themeColor="text1"/>
                <w:sz w:val="18"/>
                <w:szCs w:val="18"/>
              </w:rPr>
              <w:t>18</w:t>
            </w:r>
          </w:p>
        </w:tc>
        <w:tc>
          <w:tcPr>
            <w:tcW w:w="0" w:type="auto"/>
          </w:tcPr>
          <w:p w14:paraId="2152CFF5">
            <w:pPr>
              <w:ind w:left="88" w:hanging="88" w:hangingChars="49"/>
              <w:jc w:val="center"/>
              <w:rPr>
                <w:color w:val="000000" w:themeColor="text1"/>
                <w:sz w:val="18"/>
                <w:szCs w:val="18"/>
              </w:rPr>
            </w:pPr>
            <w:r>
              <w:rPr>
                <w:color w:val="000000" w:themeColor="text1"/>
                <w:sz w:val="18"/>
                <w:szCs w:val="18"/>
              </w:rPr>
              <w:t>200</w:t>
            </w:r>
          </w:p>
        </w:tc>
        <w:tc>
          <w:tcPr>
            <w:tcW w:w="0" w:type="auto"/>
          </w:tcPr>
          <w:p w14:paraId="685F58B4">
            <w:pPr>
              <w:rPr>
                <w:color w:val="000000" w:themeColor="text1"/>
              </w:rPr>
            </w:pPr>
            <w:r>
              <w:rPr>
                <w:color w:val="000000" w:themeColor="text1"/>
                <w:sz w:val="18"/>
                <w:szCs w:val="18"/>
              </w:rPr>
              <w:t>达标</w:t>
            </w:r>
          </w:p>
        </w:tc>
        <w:tc>
          <w:tcPr>
            <w:tcW w:w="0" w:type="auto"/>
            <w:shd w:val="clear" w:color="auto" w:fill="auto"/>
            <w:vAlign w:val="center"/>
          </w:tcPr>
          <w:p w14:paraId="31C3CBEB">
            <w:pPr>
              <w:ind w:left="88" w:hanging="88" w:hangingChars="49"/>
              <w:jc w:val="center"/>
              <w:rPr>
                <w:color w:val="000000" w:themeColor="text1"/>
                <w:sz w:val="18"/>
                <w:szCs w:val="18"/>
              </w:rPr>
            </w:pPr>
            <w:r>
              <w:rPr>
                <w:color w:val="000000" w:themeColor="text1"/>
                <w:sz w:val="18"/>
                <w:szCs w:val="18"/>
              </w:rPr>
              <w:t>0.28</w:t>
            </w:r>
          </w:p>
        </w:tc>
        <w:tc>
          <w:tcPr>
            <w:tcW w:w="0" w:type="auto"/>
            <w:shd w:val="clear" w:color="auto" w:fill="auto"/>
            <w:vAlign w:val="center"/>
          </w:tcPr>
          <w:p w14:paraId="5DBE8D80">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6133B231">
            <w:pPr>
              <w:rPr>
                <w:color w:val="000000" w:themeColor="text1"/>
              </w:rPr>
            </w:pPr>
            <w:r>
              <w:rPr>
                <w:color w:val="000000" w:themeColor="text1"/>
                <w:sz w:val="18"/>
                <w:szCs w:val="18"/>
              </w:rPr>
              <w:t>达标</w:t>
            </w:r>
          </w:p>
        </w:tc>
      </w:tr>
      <w:tr w14:paraId="3F482B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restart"/>
            <w:shd w:val="clear" w:color="auto" w:fill="auto"/>
            <w:vAlign w:val="center"/>
          </w:tcPr>
          <w:p w14:paraId="637BCE99">
            <w:pPr>
              <w:ind w:left="88" w:hanging="88" w:hangingChars="49"/>
              <w:jc w:val="center"/>
              <w:rPr>
                <w:color w:val="000000" w:themeColor="text1"/>
                <w:sz w:val="18"/>
                <w:szCs w:val="18"/>
              </w:rPr>
            </w:pPr>
            <w:r>
              <w:rPr>
                <w:color w:val="000000" w:themeColor="text1"/>
                <w:sz w:val="18"/>
                <w:szCs w:val="18"/>
              </w:rPr>
              <w:t>20191118</w:t>
            </w:r>
          </w:p>
        </w:tc>
        <w:tc>
          <w:tcPr>
            <w:tcW w:w="0" w:type="auto"/>
            <w:vAlign w:val="center"/>
          </w:tcPr>
          <w:p w14:paraId="4DBE5CEC">
            <w:pPr>
              <w:jc w:val="center"/>
              <w:rPr>
                <w:color w:val="000000" w:themeColor="text1"/>
                <w:sz w:val="18"/>
                <w:szCs w:val="18"/>
              </w:rPr>
            </w:pPr>
            <w:r>
              <w:rPr>
                <w:color w:val="000000" w:themeColor="text1"/>
                <w:sz w:val="18"/>
                <w:szCs w:val="18"/>
              </w:rPr>
              <w:t>02:00-03:00</w:t>
            </w:r>
          </w:p>
        </w:tc>
        <w:tc>
          <w:tcPr>
            <w:tcW w:w="0" w:type="auto"/>
          </w:tcPr>
          <w:p w14:paraId="4B34BED5">
            <w:pPr>
              <w:ind w:left="88" w:hanging="88" w:hangingChars="49"/>
              <w:jc w:val="center"/>
              <w:rPr>
                <w:color w:val="000000" w:themeColor="text1"/>
                <w:sz w:val="18"/>
                <w:szCs w:val="18"/>
              </w:rPr>
            </w:pPr>
            <w:r>
              <w:rPr>
                <w:color w:val="000000" w:themeColor="text1"/>
                <w:sz w:val="18"/>
                <w:szCs w:val="18"/>
              </w:rPr>
              <w:t>10</w:t>
            </w:r>
          </w:p>
        </w:tc>
        <w:tc>
          <w:tcPr>
            <w:tcW w:w="0" w:type="auto"/>
          </w:tcPr>
          <w:p w14:paraId="65E3BEB8">
            <w:pPr>
              <w:ind w:left="88" w:hanging="88" w:hangingChars="49"/>
              <w:jc w:val="center"/>
              <w:rPr>
                <w:color w:val="000000" w:themeColor="text1"/>
                <w:sz w:val="18"/>
                <w:szCs w:val="18"/>
              </w:rPr>
            </w:pPr>
            <w:r>
              <w:rPr>
                <w:color w:val="000000" w:themeColor="text1"/>
                <w:sz w:val="18"/>
                <w:szCs w:val="18"/>
              </w:rPr>
              <w:t>500</w:t>
            </w:r>
          </w:p>
        </w:tc>
        <w:tc>
          <w:tcPr>
            <w:tcW w:w="0" w:type="auto"/>
          </w:tcPr>
          <w:p w14:paraId="3946626A">
            <w:pPr>
              <w:rPr>
                <w:color w:val="000000" w:themeColor="text1"/>
              </w:rPr>
            </w:pPr>
            <w:r>
              <w:rPr>
                <w:color w:val="000000" w:themeColor="text1"/>
                <w:sz w:val="18"/>
                <w:szCs w:val="18"/>
              </w:rPr>
              <w:t>达标</w:t>
            </w:r>
          </w:p>
        </w:tc>
        <w:tc>
          <w:tcPr>
            <w:tcW w:w="0" w:type="auto"/>
          </w:tcPr>
          <w:p w14:paraId="2B14AC68">
            <w:pPr>
              <w:ind w:left="88" w:hanging="88" w:hangingChars="49"/>
              <w:jc w:val="center"/>
              <w:rPr>
                <w:color w:val="000000" w:themeColor="text1"/>
                <w:sz w:val="18"/>
                <w:szCs w:val="18"/>
              </w:rPr>
            </w:pPr>
            <w:r>
              <w:rPr>
                <w:color w:val="000000" w:themeColor="text1"/>
                <w:sz w:val="18"/>
                <w:szCs w:val="18"/>
              </w:rPr>
              <w:t>10</w:t>
            </w:r>
          </w:p>
        </w:tc>
        <w:tc>
          <w:tcPr>
            <w:tcW w:w="0" w:type="auto"/>
          </w:tcPr>
          <w:p w14:paraId="7C0D9CF6">
            <w:pPr>
              <w:ind w:left="88" w:hanging="88" w:hangingChars="49"/>
              <w:jc w:val="center"/>
              <w:rPr>
                <w:color w:val="000000" w:themeColor="text1"/>
                <w:sz w:val="18"/>
                <w:szCs w:val="18"/>
              </w:rPr>
            </w:pPr>
            <w:r>
              <w:rPr>
                <w:color w:val="000000" w:themeColor="text1"/>
                <w:sz w:val="18"/>
                <w:szCs w:val="18"/>
              </w:rPr>
              <w:t>200</w:t>
            </w:r>
          </w:p>
        </w:tc>
        <w:tc>
          <w:tcPr>
            <w:tcW w:w="0" w:type="auto"/>
          </w:tcPr>
          <w:p w14:paraId="5128149F">
            <w:pPr>
              <w:rPr>
                <w:color w:val="000000" w:themeColor="text1"/>
              </w:rPr>
            </w:pPr>
            <w:r>
              <w:rPr>
                <w:color w:val="000000" w:themeColor="text1"/>
                <w:sz w:val="18"/>
                <w:szCs w:val="18"/>
              </w:rPr>
              <w:t>达标</w:t>
            </w:r>
          </w:p>
        </w:tc>
        <w:tc>
          <w:tcPr>
            <w:tcW w:w="0" w:type="auto"/>
            <w:shd w:val="clear" w:color="auto" w:fill="auto"/>
            <w:vAlign w:val="center"/>
          </w:tcPr>
          <w:p w14:paraId="7360D2B9">
            <w:pPr>
              <w:ind w:left="88" w:hanging="88" w:hangingChars="49"/>
              <w:jc w:val="center"/>
              <w:rPr>
                <w:color w:val="000000" w:themeColor="text1"/>
                <w:sz w:val="18"/>
                <w:szCs w:val="18"/>
              </w:rPr>
            </w:pPr>
            <w:r>
              <w:rPr>
                <w:color w:val="000000" w:themeColor="text1"/>
                <w:sz w:val="18"/>
                <w:szCs w:val="18"/>
              </w:rPr>
              <w:t>0.30</w:t>
            </w:r>
          </w:p>
        </w:tc>
        <w:tc>
          <w:tcPr>
            <w:tcW w:w="0" w:type="auto"/>
            <w:shd w:val="clear" w:color="auto" w:fill="auto"/>
            <w:vAlign w:val="center"/>
          </w:tcPr>
          <w:p w14:paraId="78D2A168">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46D310EC">
            <w:pPr>
              <w:rPr>
                <w:color w:val="000000" w:themeColor="text1"/>
              </w:rPr>
            </w:pPr>
            <w:r>
              <w:rPr>
                <w:color w:val="000000" w:themeColor="text1"/>
                <w:sz w:val="18"/>
                <w:szCs w:val="18"/>
              </w:rPr>
              <w:t>达标</w:t>
            </w:r>
          </w:p>
        </w:tc>
      </w:tr>
      <w:tr w14:paraId="14C17D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758EED34">
            <w:pPr>
              <w:ind w:left="88" w:hanging="88" w:hangingChars="49"/>
              <w:jc w:val="center"/>
              <w:rPr>
                <w:color w:val="000000" w:themeColor="text1"/>
                <w:sz w:val="18"/>
                <w:szCs w:val="18"/>
              </w:rPr>
            </w:pPr>
          </w:p>
        </w:tc>
        <w:tc>
          <w:tcPr>
            <w:tcW w:w="0" w:type="auto"/>
            <w:vAlign w:val="center"/>
          </w:tcPr>
          <w:p w14:paraId="57F4F132">
            <w:pPr>
              <w:jc w:val="center"/>
              <w:rPr>
                <w:color w:val="000000" w:themeColor="text1"/>
                <w:sz w:val="18"/>
                <w:szCs w:val="18"/>
              </w:rPr>
            </w:pPr>
            <w:r>
              <w:rPr>
                <w:color w:val="000000" w:themeColor="text1"/>
                <w:sz w:val="18"/>
                <w:szCs w:val="18"/>
              </w:rPr>
              <w:t>08:00-09:00</w:t>
            </w:r>
          </w:p>
        </w:tc>
        <w:tc>
          <w:tcPr>
            <w:tcW w:w="0" w:type="auto"/>
          </w:tcPr>
          <w:p w14:paraId="526CDC89">
            <w:pPr>
              <w:ind w:left="88" w:hanging="88" w:hangingChars="49"/>
              <w:jc w:val="center"/>
              <w:rPr>
                <w:color w:val="000000" w:themeColor="text1"/>
                <w:sz w:val="18"/>
                <w:szCs w:val="18"/>
              </w:rPr>
            </w:pPr>
            <w:r>
              <w:rPr>
                <w:color w:val="000000" w:themeColor="text1"/>
                <w:sz w:val="18"/>
                <w:szCs w:val="18"/>
              </w:rPr>
              <w:t>13</w:t>
            </w:r>
          </w:p>
        </w:tc>
        <w:tc>
          <w:tcPr>
            <w:tcW w:w="0" w:type="auto"/>
          </w:tcPr>
          <w:p w14:paraId="67082D8C">
            <w:pPr>
              <w:ind w:left="88" w:hanging="88" w:hangingChars="49"/>
              <w:jc w:val="center"/>
              <w:rPr>
                <w:color w:val="000000" w:themeColor="text1"/>
                <w:sz w:val="18"/>
                <w:szCs w:val="18"/>
              </w:rPr>
            </w:pPr>
            <w:r>
              <w:rPr>
                <w:color w:val="000000" w:themeColor="text1"/>
                <w:sz w:val="18"/>
                <w:szCs w:val="18"/>
              </w:rPr>
              <w:t>500</w:t>
            </w:r>
          </w:p>
        </w:tc>
        <w:tc>
          <w:tcPr>
            <w:tcW w:w="0" w:type="auto"/>
          </w:tcPr>
          <w:p w14:paraId="255F2C55">
            <w:pPr>
              <w:rPr>
                <w:color w:val="000000" w:themeColor="text1"/>
              </w:rPr>
            </w:pPr>
            <w:r>
              <w:rPr>
                <w:color w:val="000000" w:themeColor="text1"/>
                <w:sz w:val="18"/>
                <w:szCs w:val="18"/>
              </w:rPr>
              <w:t>达标</w:t>
            </w:r>
          </w:p>
        </w:tc>
        <w:tc>
          <w:tcPr>
            <w:tcW w:w="0" w:type="auto"/>
          </w:tcPr>
          <w:p w14:paraId="35296D61">
            <w:pPr>
              <w:ind w:left="88" w:hanging="88" w:hangingChars="49"/>
              <w:jc w:val="center"/>
              <w:rPr>
                <w:color w:val="000000" w:themeColor="text1"/>
                <w:sz w:val="18"/>
                <w:szCs w:val="18"/>
              </w:rPr>
            </w:pPr>
            <w:r>
              <w:rPr>
                <w:color w:val="000000" w:themeColor="text1"/>
                <w:sz w:val="18"/>
                <w:szCs w:val="18"/>
              </w:rPr>
              <w:t>21</w:t>
            </w:r>
          </w:p>
        </w:tc>
        <w:tc>
          <w:tcPr>
            <w:tcW w:w="0" w:type="auto"/>
          </w:tcPr>
          <w:p w14:paraId="1E79B0EC">
            <w:pPr>
              <w:ind w:left="88" w:hanging="88" w:hangingChars="49"/>
              <w:jc w:val="center"/>
              <w:rPr>
                <w:color w:val="000000" w:themeColor="text1"/>
                <w:sz w:val="18"/>
                <w:szCs w:val="18"/>
              </w:rPr>
            </w:pPr>
            <w:r>
              <w:rPr>
                <w:color w:val="000000" w:themeColor="text1"/>
                <w:sz w:val="18"/>
                <w:szCs w:val="18"/>
              </w:rPr>
              <w:t>200</w:t>
            </w:r>
          </w:p>
        </w:tc>
        <w:tc>
          <w:tcPr>
            <w:tcW w:w="0" w:type="auto"/>
          </w:tcPr>
          <w:p w14:paraId="6C12C09E">
            <w:pPr>
              <w:rPr>
                <w:color w:val="000000" w:themeColor="text1"/>
              </w:rPr>
            </w:pPr>
            <w:r>
              <w:rPr>
                <w:color w:val="000000" w:themeColor="text1"/>
                <w:sz w:val="18"/>
                <w:szCs w:val="18"/>
              </w:rPr>
              <w:t>达标</w:t>
            </w:r>
          </w:p>
        </w:tc>
        <w:tc>
          <w:tcPr>
            <w:tcW w:w="0" w:type="auto"/>
            <w:shd w:val="clear" w:color="auto" w:fill="auto"/>
            <w:vAlign w:val="center"/>
          </w:tcPr>
          <w:p w14:paraId="7F3B4DB7">
            <w:pPr>
              <w:ind w:left="88" w:hanging="88" w:hangingChars="49"/>
              <w:jc w:val="center"/>
              <w:rPr>
                <w:color w:val="000000" w:themeColor="text1"/>
                <w:sz w:val="18"/>
                <w:szCs w:val="18"/>
              </w:rPr>
            </w:pPr>
            <w:r>
              <w:rPr>
                <w:color w:val="000000" w:themeColor="text1"/>
                <w:sz w:val="18"/>
                <w:szCs w:val="18"/>
              </w:rPr>
              <w:t>0.34</w:t>
            </w:r>
          </w:p>
        </w:tc>
        <w:tc>
          <w:tcPr>
            <w:tcW w:w="0" w:type="auto"/>
            <w:shd w:val="clear" w:color="auto" w:fill="auto"/>
            <w:vAlign w:val="center"/>
          </w:tcPr>
          <w:p w14:paraId="2D1F1016">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79DC9798">
            <w:pPr>
              <w:rPr>
                <w:color w:val="000000" w:themeColor="text1"/>
              </w:rPr>
            </w:pPr>
            <w:r>
              <w:rPr>
                <w:color w:val="000000" w:themeColor="text1"/>
                <w:sz w:val="18"/>
                <w:szCs w:val="18"/>
              </w:rPr>
              <w:t>达标</w:t>
            </w:r>
          </w:p>
        </w:tc>
      </w:tr>
      <w:tr w14:paraId="4B51AA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6D68B3C6">
            <w:pPr>
              <w:ind w:left="88" w:hanging="88" w:hangingChars="49"/>
              <w:jc w:val="center"/>
              <w:rPr>
                <w:color w:val="000000" w:themeColor="text1"/>
                <w:sz w:val="18"/>
                <w:szCs w:val="18"/>
              </w:rPr>
            </w:pPr>
          </w:p>
        </w:tc>
        <w:tc>
          <w:tcPr>
            <w:tcW w:w="0" w:type="auto"/>
            <w:vAlign w:val="center"/>
          </w:tcPr>
          <w:p w14:paraId="41182F3C">
            <w:pPr>
              <w:jc w:val="center"/>
              <w:rPr>
                <w:color w:val="000000" w:themeColor="text1"/>
                <w:sz w:val="18"/>
                <w:szCs w:val="18"/>
              </w:rPr>
            </w:pPr>
            <w:r>
              <w:rPr>
                <w:color w:val="000000" w:themeColor="text1"/>
                <w:sz w:val="18"/>
                <w:szCs w:val="18"/>
              </w:rPr>
              <w:t>14:00-15:00</w:t>
            </w:r>
          </w:p>
        </w:tc>
        <w:tc>
          <w:tcPr>
            <w:tcW w:w="0" w:type="auto"/>
          </w:tcPr>
          <w:p w14:paraId="7D9C2FE7">
            <w:pPr>
              <w:ind w:left="88" w:hanging="88" w:hangingChars="49"/>
              <w:jc w:val="center"/>
              <w:rPr>
                <w:color w:val="000000" w:themeColor="text1"/>
                <w:sz w:val="18"/>
                <w:szCs w:val="18"/>
              </w:rPr>
            </w:pPr>
            <w:r>
              <w:rPr>
                <w:color w:val="000000" w:themeColor="text1"/>
                <w:sz w:val="18"/>
                <w:szCs w:val="18"/>
              </w:rPr>
              <w:t>19</w:t>
            </w:r>
          </w:p>
        </w:tc>
        <w:tc>
          <w:tcPr>
            <w:tcW w:w="0" w:type="auto"/>
          </w:tcPr>
          <w:p w14:paraId="7EB78722">
            <w:pPr>
              <w:ind w:left="88" w:hanging="88" w:hangingChars="49"/>
              <w:jc w:val="center"/>
              <w:rPr>
                <w:color w:val="000000" w:themeColor="text1"/>
                <w:sz w:val="18"/>
                <w:szCs w:val="18"/>
              </w:rPr>
            </w:pPr>
            <w:r>
              <w:rPr>
                <w:color w:val="000000" w:themeColor="text1"/>
                <w:sz w:val="18"/>
                <w:szCs w:val="18"/>
              </w:rPr>
              <w:t>500</w:t>
            </w:r>
          </w:p>
        </w:tc>
        <w:tc>
          <w:tcPr>
            <w:tcW w:w="0" w:type="auto"/>
          </w:tcPr>
          <w:p w14:paraId="5A579A00">
            <w:pPr>
              <w:rPr>
                <w:color w:val="000000" w:themeColor="text1"/>
              </w:rPr>
            </w:pPr>
            <w:r>
              <w:rPr>
                <w:color w:val="000000" w:themeColor="text1"/>
                <w:sz w:val="18"/>
                <w:szCs w:val="18"/>
              </w:rPr>
              <w:t>达标</w:t>
            </w:r>
          </w:p>
        </w:tc>
        <w:tc>
          <w:tcPr>
            <w:tcW w:w="0" w:type="auto"/>
          </w:tcPr>
          <w:p w14:paraId="5A5E9C36">
            <w:pPr>
              <w:ind w:left="88" w:hanging="88" w:hangingChars="49"/>
              <w:jc w:val="center"/>
              <w:rPr>
                <w:color w:val="000000" w:themeColor="text1"/>
                <w:sz w:val="18"/>
                <w:szCs w:val="18"/>
              </w:rPr>
            </w:pPr>
            <w:r>
              <w:rPr>
                <w:color w:val="000000" w:themeColor="text1"/>
                <w:sz w:val="18"/>
                <w:szCs w:val="18"/>
              </w:rPr>
              <w:t>15</w:t>
            </w:r>
          </w:p>
        </w:tc>
        <w:tc>
          <w:tcPr>
            <w:tcW w:w="0" w:type="auto"/>
          </w:tcPr>
          <w:p w14:paraId="3D1F99F3">
            <w:pPr>
              <w:ind w:left="88" w:hanging="88" w:hangingChars="49"/>
              <w:jc w:val="center"/>
              <w:rPr>
                <w:color w:val="000000" w:themeColor="text1"/>
                <w:sz w:val="18"/>
                <w:szCs w:val="18"/>
              </w:rPr>
            </w:pPr>
            <w:r>
              <w:rPr>
                <w:color w:val="000000" w:themeColor="text1"/>
                <w:sz w:val="18"/>
                <w:szCs w:val="18"/>
              </w:rPr>
              <w:t>200</w:t>
            </w:r>
          </w:p>
        </w:tc>
        <w:tc>
          <w:tcPr>
            <w:tcW w:w="0" w:type="auto"/>
          </w:tcPr>
          <w:p w14:paraId="745F6FD9">
            <w:pPr>
              <w:rPr>
                <w:color w:val="000000" w:themeColor="text1"/>
              </w:rPr>
            </w:pPr>
            <w:r>
              <w:rPr>
                <w:color w:val="000000" w:themeColor="text1"/>
                <w:sz w:val="18"/>
                <w:szCs w:val="18"/>
              </w:rPr>
              <w:t>达标</w:t>
            </w:r>
          </w:p>
        </w:tc>
        <w:tc>
          <w:tcPr>
            <w:tcW w:w="0" w:type="auto"/>
            <w:shd w:val="clear" w:color="auto" w:fill="auto"/>
            <w:vAlign w:val="center"/>
          </w:tcPr>
          <w:p w14:paraId="57E084CE">
            <w:pPr>
              <w:ind w:left="88" w:hanging="88" w:hangingChars="49"/>
              <w:jc w:val="center"/>
              <w:rPr>
                <w:color w:val="000000" w:themeColor="text1"/>
                <w:sz w:val="18"/>
                <w:szCs w:val="18"/>
              </w:rPr>
            </w:pPr>
            <w:r>
              <w:rPr>
                <w:color w:val="000000" w:themeColor="text1"/>
                <w:sz w:val="18"/>
                <w:szCs w:val="18"/>
              </w:rPr>
              <w:t>0.46</w:t>
            </w:r>
          </w:p>
        </w:tc>
        <w:tc>
          <w:tcPr>
            <w:tcW w:w="0" w:type="auto"/>
            <w:shd w:val="clear" w:color="auto" w:fill="auto"/>
            <w:vAlign w:val="center"/>
          </w:tcPr>
          <w:p w14:paraId="5933307F">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0CE79C72">
            <w:pPr>
              <w:rPr>
                <w:color w:val="000000" w:themeColor="text1"/>
              </w:rPr>
            </w:pPr>
            <w:r>
              <w:rPr>
                <w:color w:val="000000" w:themeColor="text1"/>
                <w:sz w:val="18"/>
                <w:szCs w:val="18"/>
              </w:rPr>
              <w:t>达标</w:t>
            </w:r>
          </w:p>
        </w:tc>
      </w:tr>
      <w:tr w14:paraId="1BC54C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6EAC6BF7">
            <w:pPr>
              <w:ind w:left="88" w:hanging="88" w:hangingChars="49"/>
              <w:jc w:val="center"/>
              <w:rPr>
                <w:color w:val="000000" w:themeColor="text1"/>
                <w:sz w:val="18"/>
                <w:szCs w:val="18"/>
              </w:rPr>
            </w:pPr>
          </w:p>
        </w:tc>
        <w:tc>
          <w:tcPr>
            <w:tcW w:w="0" w:type="auto"/>
            <w:vAlign w:val="center"/>
          </w:tcPr>
          <w:p w14:paraId="49CEC521">
            <w:pPr>
              <w:jc w:val="center"/>
              <w:rPr>
                <w:color w:val="000000" w:themeColor="text1"/>
                <w:sz w:val="18"/>
                <w:szCs w:val="18"/>
              </w:rPr>
            </w:pPr>
            <w:r>
              <w:rPr>
                <w:color w:val="000000" w:themeColor="text1"/>
                <w:sz w:val="18"/>
                <w:szCs w:val="18"/>
              </w:rPr>
              <w:t>20:00-21:00</w:t>
            </w:r>
          </w:p>
        </w:tc>
        <w:tc>
          <w:tcPr>
            <w:tcW w:w="0" w:type="auto"/>
          </w:tcPr>
          <w:p w14:paraId="18B7D6DA">
            <w:pPr>
              <w:ind w:left="88" w:hanging="88" w:hangingChars="49"/>
              <w:jc w:val="center"/>
              <w:rPr>
                <w:color w:val="000000" w:themeColor="text1"/>
                <w:sz w:val="18"/>
                <w:szCs w:val="18"/>
              </w:rPr>
            </w:pPr>
            <w:r>
              <w:rPr>
                <w:color w:val="000000" w:themeColor="text1"/>
                <w:sz w:val="18"/>
                <w:szCs w:val="18"/>
              </w:rPr>
              <w:t>15</w:t>
            </w:r>
          </w:p>
        </w:tc>
        <w:tc>
          <w:tcPr>
            <w:tcW w:w="0" w:type="auto"/>
          </w:tcPr>
          <w:p w14:paraId="5AC0B538">
            <w:pPr>
              <w:ind w:left="88" w:hanging="88" w:hangingChars="49"/>
              <w:jc w:val="center"/>
              <w:rPr>
                <w:color w:val="000000" w:themeColor="text1"/>
                <w:sz w:val="18"/>
                <w:szCs w:val="18"/>
              </w:rPr>
            </w:pPr>
            <w:r>
              <w:rPr>
                <w:color w:val="000000" w:themeColor="text1"/>
                <w:sz w:val="18"/>
                <w:szCs w:val="18"/>
              </w:rPr>
              <w:t>500</w:t>
            </w:r>
          </w:p>
        </w:tc>
        <w:tc>
          <w:tcPr>
            <w:tcW w:w="0" w:type="auto"/>
          </w:tcPr>
          <w:p w14:paraId="24B6722E">
            <w:pPr>
              <w:rPr>
                <w:color w:val="000000" w:themeColor="text1"/>
              </w:rPr>
            </w:pPr>
            <w:r>
              <w:rPr>
                <w:color w:val="000000" w:themeColor="text1"/>
                <w:sz w:val="18"/>
                <w:szCs w:val="18"/>
              </w:rPr>
              <w:t>达标</w:t>
            </w:r>
          </w:p>
        </w:tc>
        <w:tc>
          <w:tcPr>
            <w:tcW w:w="0" w:type="auto"/>
          </w:tcPr>
          <w:p w14:paraId="12BF144B">
            <w:pPr>
              <w:ind w:left="88" w:hanging="88" w:hangingChars="49"/>
              <w:jc w:val="center"/>
              <w:rPr>
                <w:color w:val="000000" w:themeColor="text1"/>
                <w:sz w:val="18"/>
                <w:szCs w:val="18"/>
              </w:rPr>
            </w:pPr>
            <w:r>
              <w:rPr>
                <w:color w:val="000000" w:themeColor="text1"/>
                <w:sz w:val="18"/>
                <w:szCs w:val="18"/>
              </w:rPr>
              <w:t>20</w:t>
            </w:r>
          </w:p>
        </w:tc>
        <w:tc>
          <w:tcPr>
            <w:tcW w:w="0" w:type="auto"/>
          </w:tcPr>
          <w:p w14:paraId="5E7A1472">
            <w:pPr>
              <w:ind w:left="88" w:hanging="88" w:hangingChars="49"/>
              <w:jc w:val="center"/>
              <w:rPr>
                <w:color w:val="000000" w:themeColor="text1"/>
                <w:sz w:val="18"/>
                <w:szCs w:val="18"/>
              </w:rPr>
            </w:pPr>
            <w:r>
              <w:rPr>
                <w:color w:val="000000" w:themeColor="text1"/>
                <w:sz w:val="18"/>
                <w:szCs w:val="18"/>
              </w:rPr>
              <w:t>200</w:t>
            </w:r>
          </w:p>
        </w:tc>
        <w:tc>
          <w:tcPr>
            <w:tcW w:w="0" w:type="auto"/>
          </w:tcPr>
          <w:p w14:paraId="09612DFF">
            <w:pPr>
              <w:rPr>
                <w:color w:val="000000" w:themeColor="text1"/>
              </w:rPr>
            </w:pPr>
            <w:r>
              <w:rPr>
                <w:color w:val="000000" w:themeColor="text1"/>
                <w:sz w:val="18"/>
                <w:szCs w:val="18"/>
              </w:rPr>
              <w:t>达标</w:t>
            </w:r>
          </w:p>
        </w:tc>
        <w:tc>
          <w:tcPr>
            <w:tcW w:w="0" w:type="auto"/>
            <w:shd w:val="clear" w:color="auto" w:fill="auto"/>
            <w:vAlign w:val="center"/>
          </w:tcPr>
          <w:p w14:paraId="5F2F4268">
            <w:pPr>
              <w:ind w:left="88" w:hanging="88" w:hangingChars="49"/>
              <w:jc w:val="center"/>
              <w:rPr>
                <w:color w:val="000000" w:themeColor="text1"/>
                <w:sz w:val="18"/>
                <w:szCs w:val="18"/>
              </w:rPr>
            </w:pPr>
            <w:r>
              <w:rPr>
                <w:color w:val="000000" w:themeColor="text1"/>
                <w:sz w:val="18"/>
                <w:szCs w:val="18"/>
              </w:rPr>
              <w:t>0.40</w:t>
            </w:r>
          </w:p>
        </w:tc>
        <w:tc>
          <w:tcPr>
            <w:tcW w:w="0" w:type="auto"/>
            <w:shd w:val="clear" w:color="auto" w:fill="auto"/>
            <w:vAlign w:val="center"/>
          </w:tcPr>
          <w:p w14:paraId="4600FDA3">
            <w:pPr>
              <w:widowControl/>
              <w:jc w:val="center"/>
              <w:rPr>
                <w:color w:val="000000" w:themeColor="text1"/>
                <w:sz w:val="18"/>
                <w:szCs w:val="18"/>
              </w:rPr>
            </w:pPr>
            <w:r>
              <w:rPr>
                <w:color w:val="000000" w:themeColor="text1"/>
                <w:sz w:val="18"/>
                <w:szCs w:val="18"/>
              </w:rPr>
              <w:t>2</w:t>
            </w:r>
          </w:p>
        </w:tc>
        <w:tc>
          <w:tcPr>
            <w:tcW w:w="0" w:type="auto"/>
            <w:shd w:val="clear" w:color="auto" w:fill="auto"/>
          </w:tcPr>
          <w:p w14:paraId="5A6B5C51">
            <w:pPr>
              <w:rPr>
                <w:color w:val="000000" w:themeColor="text1"/>
              </w:rPr>
            </w:pPr>
            <w:r>
              <w:rPr>
                <w:color w:val="000000" w:themeColor="text1"/>
                <w:sz w:val="18"/>
                <w:szCs w:val="18"/>
              </w:rPr>
              <w:t>达标</w:t>
            </w:r>
          </w:p>
        </w:tc>
      </w:tr>
    </w:tbl>
    <w:p w14:paraId="68748539">
      <w:pPr>
        <w:spacing w:line="360" w:lineRule="auto"/>
        <w:ind w:firstLine="472"/>
        <w:jc w:val="left"/>
        <w:rPr>
          <w:b/>
          <w:color w:val="000000" w:themeColor="text1"/>
          <w:spacing w:val="-5"/>
          <w:sz w:val="24"/>
        </w:rPr>
      </w:pPr>
      <w:r>
        <w:rPr>
          <w:b/>
          <w:color w:val="000000" w:themeColor="text1"/>
          <w:spacing w:val="-5"/>
          <w:sz w:val="24"/>
        </w:rPr>
        <w:t>环境空气监测结果评价：</w:t>
      </w:r>
    </w:p>
    <w:p w14:paraId="72D9B672">
      <w:pPr>
        <w:spacing w:line="360" w:lineRule="auto"/>
        <w:ind w:firstLine="470"/>
        <w:jc w:val="left"/>
        <w:rPr>
          <w:color w:val="000000" w:themeColor="text1"/>
          <w:sz w:val="24"/>
        </w:rPr>
      </w:pPr>
      <w:r>
        <w:rPr>
          <w:color w:val="000000" w:themeColor="text1"/>
          <w:spacing w:val="-5"/>
          <w:sz w:val="24"/>
        </w:rPr>
        <w:t>由上表可知，各监测点</w:t>
      </w:r>
      <w:r>
        <w:rPr>
          <w:color w:val="000000" w:themeColor="text1"/>
          <w:spacing w:val="-10"/>
          <w:sz w:val="24"/>
        </w:rPr>
        <w:t>TSP（日均）、PM</w:t>
      </w:r>
      <w:r>
        <w:rPr>
          <w:color w:val="000000" w:themeColor="text1"/>
          <w:spacing w:val="-10"/>
          <w:position w:val="-2"/>
          <w:sz w:val="24"/>
          <w:vertAlign w:val="subscript"/>
        </w:rPr>
        <w:t>10</w:t>
      </w:r>
      <w:r>
        <w:rPr>
          <w:color w:val="000000" w:themeColor="text1"/>
          <w:spacing w:val="-10"/>
          <w:sz w:val="24"/>
        </w:rPr>
        <w:t>（日均）、SO</w:t>
      </w:r>
      <w:r>
        <w:rPr>
          <w:color w:val="000000" w:themeColor="text1"/>
          <w:spacing w:val="-10"/>
          <w:position w:val="-2"/>
          <w:sz w:val="24"/>
          <w:vertAlign w:val="subscript"/>
        </w:rPr>
        <w:t>2</w:t>
      </w:r>
      <w:r>
        <w:rPr>
          <w:color w:val="000000" w:themeColor="text1"/>
          <w:spacing w:val="-10"/>
          <w:sz w:val="24"/>
        </w:rPr>
        <w:t>（日均、小时）、NO</w:t>
      </w:r>
      <w:r>
        <w:rPr>
          <w:color w:val="000000" w:themeColor="text1"/>
          <w:spacing w:val="-10"/>
          <w:position w:val="-2"/>
          <w:sz w:val="24"/>
          <w:vertAlign w:val="subscript"/>
        </w:rPr>
        <w:t>2</w:t>
      </w:r>
      <w:r>
        <w:rPr>
          <w:color w:val="000000" w:themeColor="text1"/>
          <w:spacing w:val="-10"/>
          <w:sz w:val="24"/>
        </w:rPr>
        <w:t>（日均、小时）</w:t>
      </w:r>
      <w:r>
        <w:rPr>
          <w:color w:val="000000" w:themeColor="text1"/>
          <w:spacing w:val="-5"/>
          <w:sz w:val="24"/>
        </w:rPr>
        <w:t>浓度满足</w:t>
      </w:r>
      <w:r>
        <w:rPr>
          <w:color w:val="000000" w:themeColor="text1"/>
          <w:sz w:val="24"/>
        </w:rPr>
        <w:t>GB3095-2012</w:t>
      </w:r>
      <w:r>
        <w:rPr>
          <w:color w:val="000000" w:themeColor="text1"/>
          <w:spacing w:val="-5"/>
          <w:sz w:val="24"/>
        </w:rPr>
        <w:t>《环</w:t>
      </w:r>
      <w:r>
        <w:rPr>
          <w:color w:val="000000" w:themeColor="text1"/>
          <w:sz w:val="24"/>
        </w:rPr>
        <w:t>境空气质量标准》标准要求；</w:t>
      </w:r>
    </w:p>
    <w:p w14:paraId="54CCA02C">
      <w:pPr>
        <w:spacing w:line="360" w:lineRule="auto"/>
        <w:ind w:firstLine="466"/>
        <w:rPr>
          <w:color w:val="FF0000"/>
          <w:sz w:val="24"/>
        </w:rPr>
      </w:pPr>
      <w:r>
        <w:rPr>
          <w:color w:val="FF0000"/>
          <w:spacing w:val="-7"/>
          <w:sz w:val="24"/>
        </w:rPr>
        <w:t>非甲烷总烃小时浓度</w:t>
      </w:r>
      <w:r>
        <w:rPr>
          <w:color w:val="FF0000"/>
          <w:sz w:val="24"/>
        </w:rPr>
        <w:t>的监测浓度最大值为0.46mg/m</w:t>
      </w:r>
      <w:r>
        <w:rPr>
          <w:color w:val="FF0000"/>
          <w:sz w:val="24"/>
          <w:vertAlign w:val="superscript"/>
        </w:rPr>
        <w:t>3</w:t>
      </w:r>
      <w:r>
        <w:rPr>
          <w:color w:val="FF0000"/>
          <w:sz w:val="24"/>
        </w:rPr>
        <w:t>，满足《大气污染物综合排放标准详解》中2mg/m</w:t>
      </w:r>
      <w:r>
        <w:rPr>
          <w:color w:val="FF0000"/>
          <w:sz w:val="24"/>
          <w:vertAlign w:val="superscript"/>
        </w:rPr>
        <w:t>3</w:t>
      </w:r>
      <w:r>
        <w:rPr>
          <w:color w:val="FF0000"/>
          <w:sz w:val="24"/>
        </w:rPr>
        <w:t>要求；</w:t>
      </w:r>
    </w:p>
    <w:p w14:paraId="5E21F94D">
      <w:pPr>
        <w:spacing w:line="360" w:lineRule="auto"/>
        <w:ind w:firstLine="480"/>
        <w:jc w:val="left"/>
        <w:rPr>
          <w:color w:val="000000" w:themeColor="text1"/>
          <w:sz w:val="24"/>
        </w:rPr>
      </w:pPr>
      <w:r>
        <w:rPr>
          <w:color w:val="000000" w:themeColor="text1"/>
          <w:sz w:val="24"/>
        </w:rPr>
        <w:t>统计监测统计结果显示，项目周边大气环境空气质量良好。</w:t>
      </w:r>
    </w:p>
    <w:p w14:paraId="7901D204">
      <w:pPr>
        <w:pStyle w:val="105"/>
        <w:rPr>
          <w:rFonts w:cs="Times New Roman"/>
          <w:color w:val="000000" w:themeColor="text1"/>
        </w:rPr>
      </w:pPr>
      <w:r>
        <w:rPr>
          <w:rFonts w:cs="Times New Roman"/>
          <w:color w:val="000000" w:themeColor="text1"/>
        </w:rPr>
        <w:t>4.2.2地表水环境质量现状</w:t>
      </w:r>
    </w:p>
    <w:p w14:paraId="1AFA39E7">
      <w:pPr>
        <w:pStyle w:val="138"/>
        <w:tabs>
          <w:tab w:val="left" w:pos="5352"/>
        </w:tabs>
        <w:ind w:firstLine="482" w:firstLineChars="200"/>
        <w:jc w:val="left"/>
        <w:rPr>
          <w:rFonts w:eastAsia="Times New Roman"/>
          <w:b/>
          <w:color w:val="000000" w:themeColor="text1"/>
        </w:rPr>
      </w:pPr>
      <w:r>
        <w:rPr>
          <w:rFonts w:eastAsiaTheme="minorEastAsia"/>
          <w:b/>
          <w:color w:val="000000" w:themeColor="text1"/>
        </w:rPr>
        <w:t>1、</w:t>
      </w:r>
      <w:r>
        <w:rPr>
          <w:b/>
          <w:color w:val="000000" w:themeColor="text1"/>
        </w:rPr>
        <w:t>监测点布设</w:t>
      </w:r>
    </w:p>
    <w:p w14:paraId="094E3AB2">
      <w:pPr>
        <w:pStyle w:val="138"/>
        <w:tabs>
          <w:tab w:val="left" w:pos="5352"/>
        </w:tabs>
        <w:ind w:firstLine="480" w:firstLineChars="200"/>
        <w:jc w:val="left"/>
        <w:rPr>
          <w:rFonts w:eastAsia="Times New Roman"/>
          <w:color w:val="000000" w:themeColor="text1"/>
        </w:rPr>
      </w:pPr>
      <w:r>
        <w:rPr>
          <w:color w:val="000000" w:themeColor="text1"/>
        </w:rPr>
        <w:t>区域内共布设</w:t>
      </w:r>
      <w:r>
        <w:rPr>
          <w:rFonts w:eastAsiaTheme="minorEastAsia"/>
          <w:color w:val="000000" w:themeColor="text1"/>
        </w:rPr>
        <w:t>4</w:t>
      </w:r>
      <w:r>
        <w:rPr>
          <w:rFonts w:eastAsia="Times New Roman"/>
          <w:color w:val="000000" w:themeColor="text1"/>
        </w:rPr>
        <w:t xml:space="preserve"> </w:t>
      </w:r>
      <w:r>
        <w:rPr>
          <w:color w:val="000000" w:themeColor="text1"/>
        </w:rPr>
        <w:t>个监测断面，芒市大河上游</w:t>
      </w:r>
      <w:r>
        <w:rPr>
          <w:color w:val="000000" w:themeColor="text1"/>
          <w:spacing w:val="-67"/>
        </w:rPr>
        <w:t xml:space="preserve"> </w:t>
      </w:r>
      <w:r>
        <w:rPr>
          <w:rFonts w:eastAsia="Times New Roman"/>
          <w:color w:val="000000" w:themeColor="text1"/>
        </w:rPr>
        <w:t xml:space="preserve">500m </w:t>
      </w:r>
      <w:r>
        <w:rPr>
          <w:color w:val="000000" w:themeColor="text1"/>
        </w:rPr>
        <w:t>断面，芒市大河下游</w:t>
      </w:r>
      <w:r>
        <w:rPr>
          <w:color w:val="000000" w:themeColor="text1"/>
          <w:spacing w:val="-83"/>
        </w:rPr>
        <w:t xml:space="preserve"> </w:t>
      </w:r>
      <w:r>
        <w:rPr>
          <w:rFonts w:eastAsiaTheme="minorEastAsia"/>
          <w:color w:val="000000" w:themeColor="text1"/>
        </w:rPr>
        <w:t>1</w:t>
      </w:r>
      <w:r>
        <w:rPr>
          <w:rFonts w:eastAsia="Times New Roman"/>
          <w:color w:val="000000" w:themeColor="text1"/>
        </w:rPr>
        <w:t xml:space="preserve">000m </w:t>
      </w:r>
      <w:r>
        <w:rPr>
          <w:color w:val="000000" w:themeColor="text1"/>
        </w:rPr>
        <w:t>断面，</w:t>
      </w:r>
      <w:r>
        <w:rPr>
          <w:color w:val="000000" w:themeColor="text1"/>
          <w:szCs w:val="21"/>
        </w:rPr>
        <w:t>排鲁水库靠近项目区一侧，项目区北侧水塘。</w:t>
      </w:r>
    </w:p>
    <w:p w14:paraId="1FD79D16">
      <w:pPr>
        <w:spacing w:line="360" w:lineRule="auto"/>
        <w:ind w:firstLine="482"/>
        <w:jc w:val="left"/>
        <w:rPr>
          <w:b/>
          <w:bCs/>
          <w:color w:val="000000" w:themeColor="text1"/>
          <w:sz w:val="24"/>
        </w:rPr>
      </w:pPr>
      <w:r>
        <w:rPr>
          <w:b/>
          <w:bCs/>
          <w:color w:val="000000" w:themeColor="text1"/>
          <w:sz w:val="24"/>
        </w:rPr>
        <w:t>2、监测项目、时间与频次</w:t>
      </w:r>
    </w:p>
    <w:p w14:paraId="7CAAB569">
      <w:pPr>
        <w:spacing w:line="360" w:lineRule="auto"/>
        <w:ind w:firstLine="480"/>
        <w:jc w:val="left"/>
        <w:rPr>
          <w:color w:val="000000" w:themeColor="text1"/>
          <w:spacing w:val="-4"/>
          <w:sz w:val="24"/>
        </w:rPr>
      </w:pPr>
      <w:r>
        <w:rPr>
          <w:color w:val="000000" w:themeColor="text1"/>
          <w:spacing w:val="-4"/>
          <w:sz w:val="24"/>
        </w:rPr>
        <w:t>（1）监测项目：水温、pH、BOD</w:t>
      </w:r>
      <w:r>
        <w:rPr>
          <w:color w:val="000000" w:themeColor="text1"/>
          <w:spacing w:val="-4"/>
          <w:sz w:val="24"/>
          <w:vertAlign w:val="subscript"/>
        </w:rPr>
        <w:t>5</w:t>
      </w:r>
      <w:r>
        <w:rPr>
          <w:color w:val="000000" w:themeColor="text1"/>
          <w:spacing w:val="-4"/>
          <w:sz w:val="24"/>
        </w:rPr>
        <w:t>、CODcr、溶解氧、SS、氨氮、总氮、总磷、石油类</w:t>
      </w:r>
      <w:r>
        <w:rPr>
          <w:color w:val="000000" w:themeColor="text1"/>
          <w:sz w:val="24"/>
        </w:rPr>
        <w:t>。</w:t>
      </w:r>
    </w:p>
    <w:p w14:paraId="65787575">
      <w:pPr>
        <w:spacing w:line="360" w:lineRule="auto"/>
        <w:ind w:firstLine="480"/>
        <w:jc w:val="left"/>
        <w:rPr>
          <w:color w:val="000000" w:themeColor="text1"/>
          <w:sz w:val="24"/>
        </w:rPr>
      </w:pPr>
      <w:r>
        <w:rPr>
          <w:color w:val="000000" w:themeColor="text1"/>
          <w:sz w:val="24"/>
        </w:rPr>
        <w:t>（2）监测时间：2019年11月17日~19日；</w:t>
      </w:r>
    </w:p>
    <w:p w14:paraId="49153BB9">
      <w:pPr>
        <w:spacing w:line="360" w:lineRule="auto"/>
        <w:ind w:firstLine="480"/>
        <w:jc w:val="left"/>
        <w:rPr>
          <w:color w:val="000000" w:themeColor="text1"/>
          <w:sz w:val="24"/>
        </w:rPr>
      </w:pPr>
      <w:r>
        <w:rPr>
          <w:color w:val="000000" w:themeColor="text1"/>
          <w:sz w:val="24"/>
        </w:rPr>
        <w:t>（3）监测频次：每期连续监测3天，每天采集1个混合样。</w:t>
      </w:r>
    </w:p>
    <w:p w14:paraId="11ADF4D7">
      <w:pPr>
        <w:spacing w:line="360" w:lineRule="auto"/>
        <w:ind w:firstLine="482"/>
        <w:jc w:val="left"/>
        <w:rPr>
          <w:b/>
          <w:bCs/>
          <w:color w:val="000000" w:themeColor="text1"/>
          <w:sz w:val="24"/>
        </w:rPr>
      </w:pPr>
      <w:r>
        <w:rPr>
          <w:b/>
          <w:bCs/>
          <w:color w:val="000000" w:themeColor="text1"/>
          <w:sz w:val="24"/>
        </w:rPr>
        <w:t>3、评价标准</w:t>
      </w:r>
    </w:p>
    <w:p w14:paraId="22EBA74C">
      <w:pPr>
        <w:pStyle w:val="138"/>
        <w:tabs>
          <w:tab w:val="left" w:pos="5352"/>
        </w:tabs>
        <w:ind w:firstLine="480" w:firstLineChars="200"/>
        <w:jc w:val="left"/>
        <w:rPr>
          <w:color w:val="000000" w:themeColor="text1"/>
        </w:rPr>
      </w:pPr>
      <w:r>
        <w:rPr>
          <w:color w:val="000000" w:themeColor="text1"/>
        </w:rPr>
        <w:t>项目区周边地表水芒市大河，</w:t>
      </w:r>
      <w:r>
        <w:rPr>
          <w:color w:val="000000" w:themeColor="text1"/>
          <w:spacing w:val="-7"/>
        </w:rPr>
        <w:t>根据《云南省</w:t>
      </w:r>
      <w:r>
        <w:rPr>
          <w:color w:val="000000" w:themeColor="text1"/>
        </w:rPr>
        <w:t>地表水环境功能区划（</w:t>
      </w:r>
      <w:r>
        <w:rPr>
          <w:rFonts w:eastAsia="Times New Roman"/>
          <w:color w:val="000000" w:themeColor="text1"/>
        </w:rPr>
        <w:t>2010-2020</w:t>
      </w:r>
      <w:r>
        <w:rPr>
          <w:color w:val="000000" w:themeColor="text1"/>
        </w:rPr>
        <w:t>）》，该河段”源头—入芒市大河口”水环境功能为 “饮用二级”，水质类别为Ⅲ类。</w:t>
      </w:r>
    </w:p>
    <w:p w14:paraId="4B821CC3">
      <w:pPr>
        <w:spacing w:line="360" w:lineRule="auto"/>
        <w:ind w:firstLine="480"/>
        <w:jc w:val="left"/>
        <w:rPr>
          <w:color w:val="000000" w:themeColor="text1"/>
          <w:sz w:val="24"/>
        </w:rPr>
      </w:pPr>
      <w:r>
        <w:rPr>
          <w:color w:val="000000" w:themeColor="text1"/>
          <w:sz w:val="24"/>
        </w:rPr>
        <w:t>本次评价地表水环境执行GB3838-2002《地表水环境质量标准》中III类标准。</w:t>
      </w:r>
    </w:p>
    <w:p w14:paraId="2CD81CAD">
      <w:pPr>
        <w:jc w:val="center"/>
        <w:rPr>
          <w:b/>
          <w:bCs/>
          <w:color w:val="000000" w:themeColor="text1"/>
          <w:sz w:val="24"/>
        </w:rPr>
      </w:pPr>
      <w:r>
        <w:rPr>
          <w:b/>
          <w:bCs/>
          <w:color w:val="000000" w:themeColor="text1"/>
          <w:sz w:val="24"/>
        </w:rPr>
        <w:t>表4.2-4  地表水环境质量现状监测统计评价表  单位：mg/L</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15" w:type="dxa"/>
          <w:left w:w="15" w:type="dxa"/>
          <w:bottom w:w="15" w:type="dxa"/>
          <w:right w:w="15" w:type="dxa"/>
        </w:tblCellMar>
      </w:tblPr>
      <w:tblGrid>
        <w:gridCol w:w="456"/>
        <w:gridCol w:w="1512"/>
        <w:gridCol w:w="1122"/>
        <w:gridCol w:w="1122"/>
        <w:gridCol w:w="1122"/>
        <w:gridCol w:w="1122"/>
        <w:gridCol w:w="1122"/>
        <w:gridCol w:w="1082"/>
      </w:tblGrid>
      <w:tr w14:paraId="1E7003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1136" w:type="pct"/>
            <w:gridSpan w:val="2"/>
            <w:vAlign w:val="center"/>
          </w:tcPr>
          <w:p w14:paraId="4CBA5673">
            <w:pPr>
              <w:ind w:left="103" w:hanging="103" w:hangingChars="49"/>
              <w:jc w:val="center"/>
              <w:rPr>
                <w:b/>
                <w:bCs/>
                <w:color w:val="000000" w:themeColor="text1"/>
                <w:szCs w:val="21"/>
              </w:rPr>
            </w:pPr>
            <w:r>
              <w:rPr>
                <w:b/>
                <w:color w:val="000000" w:themeColor="text1"/>
                <w:szCs w:val="21"/>
              </w:rPr>
              <w:t>监测点位</w:t>
            </w:r>
          </w:p>
        </w:tc>
        <w:tc>
          <w:tcPr>
            <w:tcW w:w="1943" w:type="pct"/>
            <w:gridSpan w:val="3"/>
            <w:vAlign w:val="center"/>
          </w:tcPr>
          <w:p w14:paraId="74041E66">
            <w:pPr>
              <w:tabs>
                <w:tab w:val="left" w:pos="210"/>
                <w:tab w:val="center" w:pos="1965"/>
              </w:tabs>
              <w:ind w:left="103" w:hanging="103" w:hangingChars="49"/>
              <w:jc w:val="center"/>
              <w:rPr>
                <w:b/>
                <w:color w:val="000000" w:themeColor="text1"/>
                <w:szCs w:val="21"/>
              </w:rPr>
            </w:pPr>
            <w:r>
              <w:rPr>
                <w:b/>
                <w:color w:val="000000" w:themeColor="text1"/>
                <w:szCs w:val="21"/>
              </w:rPr>
              <w:t>项目区东面芒市大河上游500m</w:t>
            </w:r>
          </w:p>
        </w:tc>
        <w:tc>
          <w:tcPr>
            <w:tcW w:w="1921" w:type="pct"/>
            <w:gridSpan w:val="3"/>
            <w:vAlign w:val="center"/>
          </w:tcPr>
          <w:p w14:paraId="1AC1EB06">
            <w:pPr>
              <w:ind w:left="103" w:hanging="103" w:hangingChars="49"/>
              <w:jc w:val="center"/>
              <w:rPr>
                <w:b/>
                <w:color w:val="000000" w:themeColor="text1"/>
                <w:szCs w:val="21"/>
              </w:rPr>
            </w:pPr>
            <w:r>
              <w:rPr>
                <w:b/>
                <w:color w:val="000000" w:themeColor="text1"/>
                <w:szCs w:val="21"/>
              </w:rPr>
              <w:t>项目区东面芒市大河下游1000m</w:t>
            </w:r>
          </w:p>
        </w:tc>
      </w:tr>
      <w:tr w14:paraId="72620E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1136" w:type="pct"/>
            <w:gridSpan w:val="2"/>
            <w:vAlign w:val="center"/>
          </w:tcPr>
          <w:p w14:paraId="0339B978">
            <w:pPr>
              <w:ind w:left="103" w:hanging="103" w:hangingChars="49"/>
              <w:jc w:val="center"/>
              <w:rPr>
                <w:b/>
                <w:color w:val="000000" w:themeColor="text1"/>
                <w:szCs w:val="21"/>
              </w:rPr>
            </w:pPr>
            <w:r>
              <w:rPr>
                <w:b/>
                <w:color w:val="000000" w:themeColor="text1"/>
                <w:szCs w:val="21"/>
              </w:rPr>
              <w:t>采样时间</w:t>
            </w:r>
          </w:p>
        </w:tc>
        <w:tc>
          <w:tcPr>
            <w:tcW w:w="648" w:type="pct"/>
            <w:vAlign w:val="center"/>
          </w:tcPr>
          <w:p w14:paraId="01B61CF3">
            <w:pPr>
              <w:ind w:left="103" w:hanging="103" w:hangingChars="49"/>
              <w:jc w:val="center"/>
              <w:rPr>
                <w:b/>
                <w:bCs/>
                <w:color w:val="000000" w:themeColor="text1"/>
                <w:szCs w:val="21"/>
              </w:rPr>
            </w:pPr>
            <w:r>
              <w:rPr>
                <w:b/>
                <w:bCs/>
                <w:color w:val="000000" w:themeColor="text1"/>
                <w:szCs w:val="21"/>
              </w:rPr>
              <w:t>20191117</w:t>
            </w:r>
          </w:p>
        </w:tc>
        <w:tc>
          <w:tcPr>
            <w:tcW w:w="648" w:type="pct"/>
          </w:tcPr>
          <w:p w14:paraId="0AE53FE3">
            <w:pPr>
              <w:ind w:left="103" w:hanging="103" w:hangingChars="49"/>
              <w:jc w:val="center"/>
              <w:rPr>
                <w:b/>
                <w:bCs/>
                <w:color w:val="000000" w:themeColor="text1"/>
                <w:szCs w:val="21"/>
              </w:rPr>
            </w:pPr>
            <w:r>
              <w:rPr>
                <w:b/>
                <w:bCs/>
                <w:color w:val="000000" w:themeColor="text1"/>
                <w:szCs w:val="21"/>
              </w:rPr>
              <w:t>20191118</w:t>
            </w:r>
          </w:p>
        </w:tc>
        <w:tc>
          <w:tcPr>
            <w:tcW w:w="648" w:type="pct"/>
          </w:tcPr>
          <w:p w14:paraId="262AC86F">
            <w:pPr>
              <w:ind w:left="103" w:hanging="103" w:hangingChars="49"/>
              <w:jc w:val="center"/>
              <w:rPr>
                <w:b/>
                <w:bCs/>
                <w:color w:val="000000" w:themeColor="text1"/>
                <w:szCs w:val="21"/>
              </w:rPr>
            </w:pPr>
            <w:r>
              <w:rPr>
                <w:b/>
                <w:bCs/>
                <w:color w:val="000000" w:themeColor="text1"/>
                <w:szCs w:val="21"/>
              </w:rPr>
              <w:t>20191119</w:t>
            </w:r>
          </w:p>
        </w:tc>
        <w:tc>
          <w:tcPr>
            <w:tcW w:w="648" w:type="pct"/>
            <w:vAlign w:val="center"/>
          </w:tcPr>
          <w:p w14:paraId="0797285A">
            <w:pPr>
              <w:ind w:left="103" w:hanging="103" w:hangingChars="49"/>
              <w:jc w:val="center"/>
              <w:rPr>
                <w:b/>
                <w:bCs/>
                <w:color w:val="000000" w:themeColor="text1"/>
                <w:szCs w:val="21"/>
              </w:rPr>
            </w:pPr>
            <w:r>
              <w:rPr>
                <w:b/>
                <w:bCs/>
                <w:color w:val="000000" w:themeColor="text1"/>
                <w:szCs w:val="21"/>
              </w:rPr>
              <w:t>20191117</w:t>
            </w:r>
          </w:p>
        </w:tc>
        <w:tc>
          <w:tcPr>
            <w:tcW w:w="648" w:type="pct"/>
          </w:tcPr>
          <w:p w14:paraId="217CF72B">
            <w:pPr>
              <w:ind w:left="103" w:hanging="103" w:hangingChars="49"/>
              <w:jc w:val="center"/>
              <w:rPr>
                <w:b/>
                <w:bCs/>
                <w:color w:val="000000" w:themeColor="text1"/>
                <w:szCs w:val="21"/>
              </w:rPr>
            </w:pPr>
            <w:r>
              <w:rPr>
                <w:b/>
                <w:bCs/>
                <w:color w:val="000000" w:themeColor="text1"/>
                <w:szCs w:val="21"/>
              </w:rPr>
              <w:t>20191118</w:t>
            </w:r>
          </w:p>
        </w:tc>
        <w:tc>
          <w:tcPr>
            <w:tcW w:w="625" w:type="pct"/>
          </w:tcPr>
          <w:p w14:paraId="41A328C0">
            <w:pPr>
              <w:ind w:left="103" w:hanging="103" w:hangingChars="49"/>
              <w:jc w:val="center"/>
              <w:rPr>
                <w:b/>
                <w:bCs/>
                <w:color w:val="000000" w:themeColor="text1"/>
                <w:szCs w:val="21"/>
              </w:rPr>
            </w:pPr>
            <w:r>
              <w:rPr>
                <w:b/>
                <w:bCs/>
                <w:color w:val="000000" w:themeColor="text1"/>
                <w:szCs w:val="21"/>
              </w:rPr>
              <w:t>20191119</w:t>
            </w:r>
          </w:p>
        </w:tc>
      </w:tr>
      <w:tr w14:paraId="0170E8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restart"/>
            <w:vAlign w:val="center"/>
          </w:tcPr>
          <w:p w14:paraId="0DD776CC">
            <w:pPr>
              <w:jc w:val="center"/>
              <w:rPr>
                <w:b/>
                <w:color w:val="000000" w:themeColor="text1"/>
                <w:szCs w:val="21"/>
              </w:rPr>
            </w:pPr>
            <w:r>
              <w:rPr>
                <w:b/>
                <w:color w:val="000000" w:themeColor="text1"/>
                <w:szCs w:val="21"/>
              </w:rPr>
              <w:t xml:space="preserve">分析项目 </w:t>
            </w:r>
          </w:p>
        </w:tc>
        <w:tc>
          <w:tcPr>
            <w:tcW w:w="873" w:type="pct"/>
            <w:vAlign w:val="center"/>
          </w:tcPr>
          <w:p w14:paraId="1CE867A8">
            <w:pPr>
              <w:ind w:left="103" w:hanging="102" w:hangingChars="49"/>
              <w:jc w:val="center"/>
              <w:rPr>
                <w:bCs/>
                <w:color w:val="000000" w:themeColor="text1"/>
                <w:szCs w:val="21"/>
              </w:rPr>
            </w:pPr>
            <w:r>
              <w:rPr>
                <w:bCs/>
                <w:color w:val="000000" w:themeColor="text1"/>
                <w:szCs w:val="21"/>
              </w:rPr>
              <w:t>pH（无量纲）</w:t>
            </w:r>
          </w:p>
        </w:tc>
        <w:tc>
          <w:tcPr>
            <w:tcW w:w="648" w:type="pct"/>
            <w:vAlign w:val="center"/>
          </w:tcPr>
          <w:p w14:paraId="0980D1AA">
            <w:pPr>
              <w:ind w:left="103" w:hanging="102" w:hangingChars="49"/>
              <w:jc w:val="center"/>
              <w:rPr>
                <w:bCs/>
                <w:color w:val="000000" w:themeColor="text1"/>
                <w:szCs w:val="21"/>
              </w:rPr>
            </w:pPr>
            <w:r>
              <w:rPr>
                <w:bCs/>
                <w:color w:val="000000" w:themeColor="text1"/>
                <w:szCs w:val="21"/>
              </w:rPr>
              <w:t>7.25</w:t>
            </w:r>
          </w:p>
        </w:tc>
        <w:tc>
          <w:tcPr>
            <w:tcW w:w="648" w:type="pct"/>
            <w:vAlign w:val="center"/>
          </w:tcPr>
          <w:p w14:paraId="432BD1A2">
            <w:pPr>
              <w:ind w:left="103" w:hanging="102" w:hangingChars="49"/>
              <w:jc w:val="center"/>
              <w:rPr>
                <w:bCs/>
                <w:color w:val="000000" w:themeColor="text1"/>
                <w:szCs w:val="21"/>
              </w:rPr>
            </w:pPr>
            <w:r>
              <w:rPr>
                <w:bCs/>
                <w:color w:val="000000" w:themeColor="text1"/>
                <w:szCs w:val="21"/>
              </w:rPr>
              <w:t>7.18</w:t>
            </w:r>
          </w:p>
        </w:tc>
        <w:tc>
          <w:tcPr>
            <w:tcW w:w="648" w:type="pct"/>
            <w:vAlign w:val="center"/>
          </w:tcPr>
          <w:p w14:paraId="6889C856">
            <w:pPr>
              <w:ind w:left="103" w:hanging="102" w:hangingChars="49"/>
              <w:jc w:val="center"/>
              <w:rPr>
                <w:bCs/>
                <w:color w:val="000000" w:themeColor="text1"/>
                <w:szCs w:val="21"/>
              </w:rPr>
            </w:pPr>
            <w:r>
              <w:rPr>
                <w:bCs/>
                <w:color w:val="000000" w:themeColor="text1"/>
                <w:szCs w:val="21"/>
              </w:rPr>
              <w:t>7.16</w:t>
            </w:r>
          </w:p>
        </w:tc>
        <w:tc>
          <w:tcPr>
            <w:tcW w:w="648" w:type="pct"/>
            <w:vAlign w:val="center"/>
          </w:tcPr>
          <w:p w14:paraId="69982EB1">
            <w:pPr>
              <w:ind w:left="103" w:hanging="102" w:hangingChars="49"/>
              <w:jc w:val="center"/>
              <w:rPr>
                <w:bCs/>
                <w:color w:val="000000" w:themeColor="text1"/>
                <w:szCs w:val="21"/>
              </w:rPr>
            </w:pPr>
            <w:r>
              <w:rPr>
                <w:bCs/>
                <w:color w:val="000000" w:themeColor="text1"/>
                <w:szCs w:val="21"/>
              </w:rPr>
              <w:t>7.34</w:t>
            </w:r>
          </w:p>
        </w:tc>
        <w:tc>
          <w:tcPr>
            <w:tcW w:w="648" w:type="pct"/>
            <w:vAlign w:val="center"/>
          </w:tcPr>
          <w:p w14:paraId="6D5E3426">
            <w:pPr>
              <w:ind w:left="103" w:hanging="102" w:hangingChars="49"/>
              <w:jc w:val="center"/>
              <w:rPr>
                <w:bCs/>
                <w:color w:val="000000" w:themeColor="text1"/>
                <w:szCs w:val="21"/>
              </w:rPr>
            </w:pPr>
            <w:r>
              <w:rPr>
                <w:bCs/>
                <w:color w:val="000000" w:themeColor="text1"/>
                <w:szCs w:val="21"/>
              </w:rPr>
              <w:t>7.31</w:t>
            </w:r>
          </w:p>
        </w:tc>
        <w:tc>
          <w:tcPr>
            <w:tcW w:w="625" w:type="pct"/>
            <w:vAlign w:val="center"/>
          </w:tcPr>
          <w:p w14:paraId="0C1BF0A9">
            <w:pPr>
              <w:ind w:left="103" w:hanging="102" w:hangingChars="49"/>
              <w:jc w:val="center"/>
              <w:rPr>
                <w:bCs/>
                <w:color w:val="000000" w:themeColor="text1"/>
                <w:szCs w:val="21"/>
              </w:rPr>
            </w:pPr>
            <w:r>
              <w:rPr>
                <w:bCs/>
                <w:color w:val="000000" w:themeColor="text1"/>
                <w:szCs w:val="21"/>
              </w:rPr>
              <w:t>7.33</w:t>
            </w:r>
          </w:p>
        </w:tc>
      </w:tr>
      <w:tr w14:paraId="3E0168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1DFAA0C5">
            <w:pPr>
              <w:jc w:val="center"/>
              <w:rPr>
                <w:b/>
                <w:color w:val="000000" w:themeColor="text1"/>
                <w:szCs w:val="21"/>
              </w:rPr>
            </w:pPr>
          </w:p>
        </w:tc>
        <w:tc>
          <w:tcPr>
            <w:tcW w:w="873" w:type="pct"/>
            <w:vAlign w:val="center"/>
          </w:tcPr>
          <w:p w14:paraId="643AB30E">
            <w:pPr>
              <w:ind w:left="103" w:hanging="102" w:hangingChars="49"/>
              <w:jc w:val="center"/>
              <w:rPr>
                <w:bCs/>
                <w:color w:val="000000" w:themeColor="text1"/>
                <w:szCs w:val="21"/>
              </w:rPr>
            </w:pPr>
            <w:r>
              <w:rPr>
                <w:bCs/>
                <w:color w:val="000000" w:themeColor="text1"/>
                <w:szCs w:val="21"/>
              </w:rPr>
              <w:t>标准</w:t>
            </w:r>
          </w:p>
        </w:tc>
        <w:tc>
          <w:tcPr>
            <w:tcW w:w="648" w:type="pct"/>
          </w:tcPr>
          <w:p w14:paraId="74C559B7">
            <w:pPr>
              <w:jc w:val="center"/>
              <w:rPr>
                <w:color w:val="000000" w:themeColor="text1"/>
              </w:rPr>
            </w:pPr>
            <w:r>
              <w:rPr>
                <w:bCs/>
                <w:color w:val="000000" w:themeColor="text1"/>
                <w:szCs w:val="21"/>
                <w:lang w:val="zh-CN"/>
              </w:rPr>
              <w:t>6~9</w:t>
            </w:r>
          </w:p>
        </w:tc>
        <w:tc>
          <w:tcPr>
            <w:tcW w:w="648" w:type="pct"/>
          </w:tcPr>
          <w:p w14:paraId="27DB3C13">
            <w:pPr>
              <w:jc w:val="center"/>
              <w:rPr>
                <w:color w:val="000000" w:themeColor="text1"/>
              </w:rPr>
            </w:pPr>
            <w:r>
              <w:rPr>
                <w:bCs/>
                <w:color w:val="000000" w:themeColor="text1"/>
                <w:szCs w:val="21"/>
                <w:lang w:val="zh-CN"/>
              </w:rPr>
              <w:t>6~9</w:t>
            </w:r>
          </w:p>
        </w:tc>
        <w:tc>
          <w:tcPr>
            <w:tcW w:w="648" w:type="pct"/>
          </w:tcPr>
          <w:p w14:paraId="7749ABB0">
            <w:pPr>
              <w:jc w:val="center"/>
              <w:rPr>
                <w:color w:val="000000" w:themeColor="text1"/>
              </w:rPr>
            </w:pPr>
            <w:r>
              <w:rPr>
                <w:bCs/>
                <w:color w:val="000000" w:themeColor="text1"/>
                <w:szCs w:val="21"/>
                <w:lang w:val="zh-CN"/>
              </w:rPr>
              <w:t>6~9</w:t>
            </w:r>
          </w:p>
        </w:tc>
        <w:tc>
          <w:tcPr>
            <w:tcW w:w="648" w:type="pct"/>
          </w:tcPr>
          <w:p w14:paraId="0020AAEC">
            <w:pPr>
              <w:jc w:val="center"/>
              <w:rPr>
                <w:color w:val="000000" w:themeColor="text1"/>
              </w:rPr>
            </w:pPr>
            <w:r>
              <w:rPr>
                <w:bCs/>
                <w:color w:val="000000" w:themeColor="text1"/>
                <w:szCs w:val="21"/>
                <w:lang w:val="zh-CN"/>
              </w:rPr>
              <w:t>6~9</w:t>
            </w:r>
          </w:p>
        </w:tc>
        <w:tc>
          <w:tcPr>
            <w:tcW w:w="648" w:type="pct"/>
          </w:tcPr>
          <w:p w14:paraId="6BD1AC90">
            <w:pPr>
              <w:jc w:val="center"/>
              <w:rPr>
                <w:color w:val="000000" w:themeColor="text1"/>
              </w:rPr>
            </w:pPr>
            <w:r>
              <w:rPr>
                <w:bCs/>
                <w:color w:val="000000" w:themeColor="text1"/>
                <w:szCs w:val="21"/>
                <w:lang w:val="zh-CN"/>
              </w:rPr>
              <w:t>6~9</w:t>
            </w:r>
          </w:p>
        </w:tc>
        <w:tc>
          <w:tcPr>
            <w:tcW w:w="625" w:type="pct"/>
          </w:tcPr>
          <w:p w14:paraId="3C114BE8">
            <w:pPr>
              <w:jc w:val="center"/>
              <w:rPr>
                <w:color w:val="000000" w:themeColor="text1"/>
              </w:rPr>
            </w:pPr>
            <w:r>
              <w:rPr>
                <w:bCs/>
                <w:color w:val="000000" w:themeColor="text1"/>
                <w:szCs w:val="21"/>
                <w:lang w:val="zh-CN"/>
              </w:rPr>
              <w:t>6~9</w:t>
            </w:r>
          </w:p>
        </w:tc>
      </w:tr>
      <w:tr w14:paraId="548E68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438D4D72">
            <w:pPr>
              <w:jc w:val="center"/>
              <w:rPr>
                <w:b/>
                <w:color w:val="000000" w:themeColor="text1"/>
                <w:szCs w:val="21"/>
              </w:rPr>
            </w:pPr>
          </w:p>
        </w:tc>
        <w:tc>
          <w:tcPr>
            <w:tcW w:w="873" w:type="pct"/>
            <w:vAlign w:val="center"/>
          </w:tcPr>
          <w:p w14:paraId="78C948F6">
            <w:pPr>
              <w:ind w:left="103" w:hanging="103" w:hangingChars="49"/>
              <w:jc w:val="center"/>
              <w:rPr>
                <w:b/>
                <w:bCs/>
                <w:color w:val="000000" w:themeColor="text1"/>
                <w:szCs w:val="21"/>
              </w:rPr>
            </w:pPr>
            <w:r>
              <w:rPr>
                <w:b/>
                <w:bCs/>
                <w:color w:val="000000" w:themeColor="text1"/>
                <w:szCs w:val="21"/>
              </w:rPr>
              <w:t>达标情况</w:t>
            </w:r>
          </w:p>
        </w:tc>
        <w:tc>
          <w:tcPr>
            <w:tcW w:w="648" w:type="pct"/>
            <w:vAlign w:val="center"/>
          </w:tcPr>
          <w:p w14:paraId="254B794F">
            <w:pPr>
              <w:ind w:left="103" w:hanging="103" w:hangingChars="49"/>
              <w:jc w:val="center"/>
              <w:rPr>
                <w:b/>
                <w:bCs/>
                <w:color w:val="000000" w:themeColor="text1"/>
                <w:szCs w:val="21"/>
              </w:rPr>
            </w:pPr>
            <w:r>
              <w:rPr>
                <w:b/>
                <w:bCs/>
                <w:color w:val="000000" w:themeColor="text1"/>
                <w:szCs w:val="21"/>
              </w:rPr>
              <w:t>达标</w:t>
            </w:r>
          </w:p>
        </w:tc>
        <w:tc>
          <w:tcPr>
            <w:tcW w:w="648" w:type="pct"/>
          </w:tcPr>
          <w:p w14:paraId="763C45A3">
            <w:pPr>
              <w:jc w:val="center"/>
              <w:rPr>
                <w:b/>
                <w:color w:val="000000" w:themeColor="text1"/>
              </w:rPr>
            </w:pPr>
            <w:r>
              <w:rPr>
                <w:b/>
                <w:bCs/>
                <w:color w:val="000000" w:themeColor="text1"/>
                <w:szCs w:val="21"/>
              </w:rPr>
              <w:t>达标</w:t>
            </w:r>
          </w:p>
        </w:tc>
        <w:tc>
          <w:tcPr>
            <w:tcW w:w="648" w:type="pct"/>
          </w:tcPr>
          <w:p w14:paraId="5611A1B8">
            <w:pPr>
              <w:jc w:val="center"/>
              <w:rPr>
                <w:b/>
                <w:color w:val="000000" w:themeColor="text1"/>
              </w:rPr>
            </w:pPr>
            <w:r>
              <w:rPr>
                <w:b/>
                <w:bCs/>
                <w:color w:val="000000" w:themeColor="text1"/>
                <w:szCs w:val="21"/>
              </w:rPr>
              <w:t>达标</w:t>
            </w:r>
          </w:p>
        </w:tc>
        <w:tc>
          <w:tcPr>
            <w:tcW w:w="648" w:type="pct"/>
          </w:tcPr>
          <w:p w14:paraId="37CC626D">
            <w:pPr>
              <w:jc w:val="center"/>
              <w:rPr>
                <w:b/>
                <w:color w:val="000000" w:themeColor="text1"/>
              </w:rPr>
            </w:pPr>
            <w:r>
              <w:rPr>
                <w:b/>
                <w:bCs/>
                <w:color w:val="000000" w:themeColor="text1"/>
                <w:szCs w:val="21"/>
              </w:rPr>
              <w:t>达标</w:t>
            </w:r>
          </w:p>
        </w:tc>
        <w:tc>
          <w:tcPr>
            <w:tcW w:w="648" w:type="pct"/>
          </w:tcPr>
          <w:p w14:paraId="283B34EF">
            <w:pPr>
              <w:jc w:val="center"/>
              <w:rPr>
                <w:b/>
                <w:color w:val="000000" w:themeColor="text1"/>
              </w:rPr>
            </w:pPr>
            <w:r>
              <w:rPr>
                <w:b/>
                <w:bCs/>
                <w:color w:val="000000" w:themeColor="text1"/>
                <w:szCs w:val="21"/>
              </w:rPr>
              <w:t>达标</w:t>
            </w:r>
          </w:p>
        </w:tc>
        <w:tc>
          <w:tcPr>
            <w:tcW w:w="625" w:type="pct"/>
          </w:tcPr>
          <w:p w14:paraId="68A35202">
            <w:pPr>
              <w:jc w:val="center"/>
              <w:rPr>
                <w:b/>
                <w:color w:val="000000" w:themeColor="text1"/>
              </w:rPr>
            </w:pPr>
            <w:r>
              <w:rPr>
                <w:b/>
                <w:bCs/>
                <w:color w:val="000000" w:themeColor="text1"/>
                <w:szCs w:val="21"/>
              </w:rPr>
              <w:t>达标</w:t>
            </w:r>
          </w:p>
        </w:tc>
      </w:tr>
      <w:tr w14:paraId="4F829E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4A671D92">
            <w:pPr>
              <w:jc w:val="center"/>
              <w:rPr>
                <w:b/>
                <w:color w:val="000000" w:themeColor="text1"/>
                <w:szCs w:val="21"/>
              </w:rPr>
            </w:pPr>
          </w:p>
        </w:tc>
        <w:tc>
          <w:tcPr>
            <w:tcW w:w="873" w:type="pct"/>
            <w:vAlign w:val="center"/>
          </w:tcPr>
          <w:p w14:paraId="1301258B">
            <w:pPr>
              <w:ind w:left="103" w:hanging="102" w:hangingChars="49"/>
              <w:jc w:val="center"/>
              <w:rPr>
                <w:bCs/>
                <w:color w:val="000000" w:themeColor="text1"/>
                <w:szCs w:val="21"/>
              </w:rPr>
            </w:pPr>
            <w:r>
              <w:rPr>
                <w:bCs/>
                <w:color w:val="000000" w:themeColor="text1"/>
                <w:szCs w:val="21"/>
              </w:rPr>
              <w:t>CODcr</w:t>
            </w:r>
          </w:p>
        </w:tc>
        <w:tc>
          <w:tcPr>
            <w:tcW w:w="648" w:type="pct"/>
            <w:vAlign w:val="center"/>
          </w:tcPr>
          <w:p w14:paraId="3A389ABD">
            <w:pPr>
              <w:ind w:left="103" w:hanging="102" w:hangingChars="49"/>
              <w:jc w:val="center"/>
              <w:rPr>
                <w:bCs/>
                <w:color w:val="000000" w:themeColor="text1"/>
                <w:szCs w:val="21"/>
              </w:rPr>
            </w:pPr>
            <w:r>
              <w:rPr>
                <w:bCs/>
                <w:color w:val="000000" w:themeColor="text1"/>
                <w:szCs w:val="21"/>
              </w:rPr>
              <w:t>4</w:t>
            </w:r>
          </w:p>
        </w:tc>
        <w:tc>
          <w:tcPr>
            <w:tcW w:w="648" w:type="pct"/>
            <w:vAlign w:val="center"/>
          </w:tcPr>
          <w:p w14:paraId="0C227851">
            <w:pPr>
              <w:ind w:left="103" w:hanging="102" w:hangingChars="49"/>
              <w:jc w:val="center"/>
              <w:rPr>
                <w:bCs/>
                <w:color w:val="000000" w:themeColor="text1"/>
                <w:szCs w:val="21"/>
              </w:rPr>
            </w:pPr>
            <w:r>
              <w:rPr>
                <w:bCs/>
                <w:color w:val="000000" w:themeColor="text1"/>
                <w:szCs w:val="21"/>
              </w:rPr>
              <w:t>5</w:t>
            </w:r>
          </w:p>
        </w:tc>
        <w:tc>
          <w:tcPr>
            <w:tcW w:w="648" w:type="pct"/>
            <w:vAlign w:val="center"/>
          </w:tcPr>
          <w:p w14:paraId="63DD2AD9">
            <w:pPr>
              <w:ind w:left="103" w:hanging="102" w:hangingChars="49"/>
              <w:jc w:val="center"/>
              <w:rPr>
                <w:bCs/>
                <w:color w:val="000000" w:themeColor="text1"/>
                <w:szCs w:val="21"/>
              </w:rPr>
            </w:pPr>
            <w:r>
              <w:rPr>
                <w:bCs/>
                <w:color w:val="000000" w:themeColor="text1"/>
                <w:szCs w:val="21"/>
              </w:rPr>
              <w:t>4</w:t>
            </w:r>
          </w:p>
        </w:tc>
        <w:tc>
          <w:tcPr>
            <w:tcW w:w="648" w:type="pct"/>
            <w:vAlign w:val="center"/>
          </w:tcPr>
          <w:p w14:paraId="5D4619FD">
            <w:pPr>
              <w:ind w:left="103" w:hanging="102" w:hangingChars="49"/>
              <w:jc w:val="center"/>
              <w:rPr>
                <w:bCs/>
                <w:color w:val="000000" w:themeColor="text1"/>
                <w:szCs w:val="21"/>
              </w:rPr>
            </w:pPr>
            <w:r>
              <w:rPr>
                <w:bCs/>
                <w:color w:val="000000" w:themeColor="text1"/>
                <w:szCs w:val="21"/>
              </w:rPr>
              <w:t>16</w:t>
            </w:r>
          </w:p>
        </w:tc>
        <w:tc>
          <w:tcPr>
            <w:tcW w:w="648" w:type="pct"/>
            <w:vAlign w:val="center"/>
          </w:tcPr>
          <w:p w14:paraId="1F9DFFB7">
            <w:pPr>
              <w:ind w:left="103" w:hanging="102" w:hangingChars="49"/>
              <w:jc w:val="center"/>
              <w:rPr>
                <w:bCs/>
                <w:color w:val="000000" w:themeColor="text1"/>
                <w:szCs w:val="21"/>
              </w:rPr>
            </w:pPr>
            <w:r>
              <w:rPr>
                <w:bCs/>
                <w:color w:val="000000" w:themeColor="text1"/>
                <w:szCs w:val="21"/>
              </w:rPr>
              <w:t>14</w:t>
            </w:r>
          </w:p>
        </w:tc>
        <w:tc>
          <w:tcPr>
            <w:tcW w:w="625" w:type="pct"/>
            <w:vAlign w:val="center"/>
          </w:tcPr>
          <w:p w14:paraId="4A234650">
            <w:pPr>
              <w:ind w:left="103" w:hanging="102" w:hangingChars="49"/>
              <w:jc w:val="center"/>
              <w:rPr>
                <w:bCs/>
                <w:color w:val="000000" w:themeColor="text1"/>
                <w:szCs w:val="21"/>
              </w:rPr>
            </w:pPr>
            <w:r>
              <w:rPr>
                <w:bCs/>
                <w:color w:val="000000" w:themeColor="text1"/>
                <w:szCs w:val="21"/>
              </w:rPr>
              <w:t>13</w:t>
            </w:r>
          </w:p>
        </w:tc>
      </w:tr>
      <w:tr w14:paraId="3CD0CB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75FCFBEC">
            <w:pPr>
              <w:jc w:val="center"/>
              <w:rPr>
                <w:b/>
                <w:color w:val="000000" w:themeColor="text1"/>
                <w:szCs w:val="21"/>
              </w:rPr>
            </w:pPr>
          </w:p>
        </w:tc>
        <w:tc>
          <w:tcPr>
            <w:tcW w:w="873" w:type="pct"/>
            <w:vAlign w:val="center"/>
          </w:tcPr>
          <w:p w14:paraId="14D7C2CE">
            <w:pPr>
              <w:ind w:left="103" w:hanging="102" w:hangingChars="49"/>
              <w:jc w:val="center"/>
              <w:rPr>
                <w:bCs/>
                <w:color w:val="000000" w:themeColor="text1"/>
                <w:szCs w:val="21"/>
              </w:rPr>
            </w:pPr>
            <w:r>
              <w:rPr>
                <w:bCs/>
                <w:color w:val="000000" w:themeColor="text1"/>
                <w:szCs w:val="21"/>
              </w:rPr>
              <w:t>标准</w:t>
            </w:r>
          </w:p>
        </w:tc>
        <w:tc>
          <w:tcPr>
            <w:tcW w:w="648" w:type="pct"/>
          </w:tcPr>
          <w:p w14:paraId="683267CE">
            <w:pPr>
              <w:jc w:val="center"/>
              <w:rPr>
                <w:color w:val="000000" w:themeColor="text1"/>
              </w:rPr>
            </w:pPr>
            <w:r>
              <w:rPr>
                <w:bCs/>
                <w:color w:val="000000" w:themeColor="text1"/>
                <w:szCs w:val="21"/>
                <w:lang w:val="zh-CN"/>
              </w:rPr>
              <w:t>20</w:t>
            </w:r>
          </w:p>
        </w:tc>
        <w:tc>
          <w:tcPr>
            <w:tcW w:w="648" w:type="pct"/>
          </w:tcPr>
          <w:p w14:paraId="4CD2F133">
            <w:pPr>
              <w:jc w:val="center"/>
              <w:rPr>
                <w:color w:val="000000" w:themeColor="text1"/>
              </w:rPr>
            </w:pPr>
            <w:r>
              <w:rPr>
                <w:bCs/>
                <w:color w:val="000000" w:themeColor="text1"/>
                <w:szCs w:val="21"/>
                <w:lang w:val="zh-CN"/>
              </w:rPr>
              <w:t>20</w:t>
            </w:r>
          </w:p>
        </w:tc>
        <w:tc>
          <w:tcPr>
            <w:tcW w:w="648" w:type="pct"/>
          </w:tcPr>
          <w:p w14:paraId="130B4BE4">
            <w:pPr>
              <w:jc w:val="center"/>
              <w:rPr>
                <w:color w:val="000000" w:themeColor="text1"/>
              </w:rPr>
            </w:pPr>
            <w:r>
              <w:rPr>
                <w:bCs/>
                <w:color w:val="000000" w:themeColor="text1"/>
                <w:szCs w:val="21"/>
                <w:lang w:val="zh-CN"/>
              </w:rPr>
              <w:t>20</w:t>
            </w:r>
          </w:p>
        </w:tc>
        <w:tc>
          <w:tcPr>
            <w:tcW w:w="648" w:type="pct"/>
          </w:tcPr>
          <w:p w14:paraId="07ED540E">
            <w:pPr>
              <w:jc w:val="center"/>
              <w:rPr>
                <w:color w:val="000000" w:themeColor="text1"/>
              </w:rPr>
            </w:pPr>
            <w:r>
              <w:rPr>
                <w:bCs/>
                <w:color w:val="000000" w:themeColor="text1"/>
                <w:szCs w:val="21"/>
                <w:lang w:val="zh-CN"/>
              </w:rPr>
              <w:t>20</w:t>
            </w:r>
          </w:p>
        </w:tc>
        <w:tc>
          <w:tcPr>
            <w:tcW w:w="648" w:type="pct"/>
          </w:tcPr>
          <w:p w14:paraId="56201834">
            <w:pPr>
              <w:jc w:val="center"/>
              <w:rPr>
                <w:color w:val="000000" w:themeColor="text1"/>
              </w:rPr>
            </w:pPr>
            <w:r>
              <w:rPr>
                <w:bCs/>
                <w:color w:val="000000" w:themeColor="text1"/>
                <w:szCs w:val="21"/>
                <w:lang w:val="zh-CN"/>
              </w:rPr>
              <w:t>20</w:t>
            </w:r>
          </w:p>
        </w:tc>
        <w:tc>
          <w:tcPr>
            <w:tcW w:w="625" w:type="pct"/>
          </w:tcPr>
          <w:p w14:paraId="4EA99528">
            <w:pPr>
              <w:jc w:val="center"/>
              <w:rPr>
                <w:color w:val="000000" w:themeColor="text1"/>
              </w:rPr>
            </w:pPr>
            <w:r>
              <w:rPr>
                <w:bCs/>
                <w:color w:val="000000" w:themeColor="text1"/>
                <w:szCs w:val="21"/>
                <w:lang w:val="zh-CN"/>
              </w:rPr>
              <w:t>20</w:t>
            </w:r>
          </w:p>
        </w:tc>
      </w:tr>
      <w:tr w14:paraId="02D502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571F94CA">
            <w:pPr>
              <w:jc w:val="center"/>
              <w:rPr>
                <w:b/>
                <w:color w:val="000000" w:themeColor="text1"/>
                <w:szCs w:val="21"/>
              </w:rPr>
            </w:pPr>
          </w:p>
        </w:tc>
        <w:tc>
          <w:tcPr>
            <w:tcW w:w="873" w:type="pct"/>
            <w:vAlign w:val="center"/>
          </w:tcPr>
          <w:p w14:paraId="189EC2CA">
            <w:pPr>
              <w:ind w:left="103" w:hanging="103" w:hangingChars="49"/>
              <w:jc w:val="center"/>
              <w:rPr>
                <w:b/>
                <w:bCs/>
                <w:color w:val="000000" w:themeColor="text1"/>
                <w:szCs w:val="21"/>
              </w:rPr>
            </w:pPr>
            <w:r>
              <w:rPr>
                <w:b/>
                <w:bCs/>
                <w:color w:val="000000" w:themeColor="text1"/>
                <w:szCs w:val="21"/>
              </w:rPr>
              <w:t>达标情况</w:t>
            </w:r>
          </w:p>
        </w:tc>
        <w:tc>
          <w:tcPr>
            <w:tcW w:w="648" w:type="pct"/>
            <w:vAlign w:val="center"/>
          </w:tcPr>
          <w:p w14:paraId="10D3B51D">
            <w:pPr>
              <w:ind w:left="103" w:hanging="103" w:hangingChars="49"/>
              <w:jc w:val="center"/>
              <w:rPr>
                <w:b/>
                <w:bCs/>
                <w:color w:val="000000" w:themeColor="text1"/>
                <w:szCs w:val="21"/>
              </w:rPr>
            </w:pPr>
            <w:r>
              <w:rPr>
                <w:b/>
                <w:bCs/>
                <w:color w:val="000000" w:themeColor="text1"/>
                <w:szCs w:val="21"/>
              </w:rPr>
              <w:t>达标</w:t>
            </w:r>
          </w:p>
        </w:tc>
        <w:tc>
          <w:tcPr>
            <w:tcW w:w="648" w:type="pct"/>
          </w:tcPr>
          <w:p w14:paraId="7D66B0EE">
            <w:pPr>
              <w:jc w:val="center"/>
              <w:rPr>
                <w:b/>
                <w:color w:val="000000" w:themeColor="text1"/>
              </w:rPr>
            </w:pPr>
            <w:r>
              <w:rPr>
                <w:b/>
                <w:bCs/>
                <w:color w:val="000000" w:themeColor="text1"/>
                <w:szCs w:val="21"/>
              </w:rPr>
              <w:t>达标</w:t>
            </w:r>
          </w:p>
        </w:tc>
        <w:tc>
          <w:tcPr>
            <w:tcW w:w="648" w:type="pct"/>
          </w:tcPr>
          <w:p w14:paraId="65CD8A30">
            <w:pPr>
              <w:jc w:val="center"/>
              <w:rPr>
                <w:b/>
                <w:color w:val="000000" w:themeColor="text1"/>
              </w:rPr>
            </w:pPr>
            <w:r>
              <w:rPr>
                <w:b/>
                <w:bCs/>
                <w:color w:val="000000" w:themeColor="text1"/>
                <w:szCs w:val="21"/>
              </w:rPr>
              <w:t>达标</w:t>
            </w:r>
          </w:p>
        </w:tc>
        <w:tc>
          <w:tcPr>
            <w:tcW w:w="648" w:type="pct"/>
          </w:tcPr>
          <w:p w14:paraId="09FF0C47">
            <w:pPr>
              <w:jc w:val="center"/>
              <w:rPr>
                <w:b/>
                <w:color w:val="000000" w:themeColor="text1"/>
              </w:rPr>
            </w:pPr>
            <w:r>
              <w:rPr>
                <w:b/>
                <w:bCs/>
                <w:color w:val="000000" w:themeColor="text1"/>
                <w:szCs w:val="21"/>
              </w:rPr>
              <w:t>达标</w:t>
            </w:r>
          </w:p>
        </w:tc>
        <w:tc>
          <w:tcPr>
            <w:tcW w:w="648" w:type="pct"/>
          </w:tcPr>
          <w:p w14:paraId="77B6A191">
            <w:pPr>
              <w:jc w:val="center"/>
              <w:rPr>
                <w:b/>
                <w:color w:val="000000" w:themeColor="text1"/>
              </w:rPr>
            </w:pPr>
            <w:r>
              <w:rPr>
                <w:b/>
                <w:bCs/>
                <w:color w:val="000000" w:themeColor="text1"/>
                <w:szCs w:val="21"/>
              </w:rPr>
              <w:t>达标</w:t>
            </w:r>
          </w:p>
        </w:tc>
        <w:tc>
          <w:tcPr>
            <w:tcW w:w="625" w:type="pct"/>
          </w:tcPr>
          <w:p w14:paraId="27472059">
            <w:pPr>
              <w:jc w:val="center"/>
              <w:rPr>
                <w:b/>
                <w:color w:val="000000" w:themeColor="text1"/>
              </w:rPr>
            </w:pPr>
            <w:r>
              <w:rPr>
                <w:b/>
                <w:bCs/>
                <w:color w:val="000000" w:themeColor="text1"/>
                <w:szCs w:val="21"/>
              </w:rPr>
              <w:t>达标</w:t>
            </w:r>
          </w:p>
        </w:tc>
      </w:tr>
      <w:tr w14:paraId="6CFCE2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7562114F">
            <w:pPr>
              <w:jc w:val="center"/>
              <w:rPr>
                <w:b/>
                <w:color w:val="000000" w:themeColor="text1"/>
                <w:szCs w:val="21"/>
              </w:rPr>
            </w:pPr>
          </w:p>
        </w:tc>
        <w:tc>
          <w:tcPr>
            <w:tcW w:w="873" w:type="pct"/>
            <w:vAlign w:val="center"/>
          </w:tcPr>
          <w:p w14:paraId="589BC5E6">
            <w:pPr>
              <w:ind w:left="103" w:hanging="102" w:hangingChars="49"/>
              <w:jc w:val="center"/>
              <w:rPr>
                <w:bCs/>
                <w:color w:val="000000" w:themeColor="text1"/>
                <w:szCs w:val="21"/>
              </w:rPr>
            </w:pPr>
            <w:r>
              <w:rPr>
                <w:bCs/>
                <w:color w:val="000000" w:themeColor="text1"/>
                <w:szCs w:val="21"/>
              </w:rPr>
              <w:t>BOD</w:t>
            </w:r>
            <w:r>
              <w:rPr>
                <w:bCs/>
                <w:color w:val="000000" w:themeColor="text1"/>
                <w:szCs w:val="21"/>
                <w:vertAlign w:val="subscript"/>
              </w:rPr>
              <w:t>5</w:t>
            </w:r>
          </w:p>
        </w:tc>
        <w:tc>
          <w:tcPr>
            <w:tcW w:w="648" w:type="pct"/>
            <w:vAlign w:val="center"/>
          </w:tcPr>
          <w:p w14:paraId="0EBCE50B">
            <w:pPr>
              <w:ind w:left="103" w:hanging="102" w:hangingChars="49"/>
              <w:jc w:val="center"/>
              <w:rPr>
                <w:bCs/>
                <w:color w:val="000000" w:themeColor="text1"/>
                <w:szCs w:val="21"/>
              </w:rPr>
            </w:pPr>
            <w:r>
              <w:rPr>
                <w:bCs/>
                <w:color w:val="000000" w:themeColor="text1"/>
                <w:szCs w:val="21"/>
              </w:rPr>
              <w:t>0.8</w:t>
            </w:r>
          </w:p>
        </w:tc>
        <w:tc>
          <w:tcPr>
            <w:tcW w:w="648" w:type="pct"/>
            <w:vAlign w:val="center"/>
          </w:tcPr>
          <w:p w14:paraId="019E959F">
            <w:pPr>
              <w:ind w:left="103" w:hanging="102" w:hangingChars="49"/>
              <w:jc w:val="center"/>
              <w:rPr>
                <w:bCs/>
                <w:color w:val="000000" w:themeColor="text1"/>
                <w:szCs w:val="21"/>
              </w:rPr>
            </w:pPr>
            <w:r>
              <w:rPr>
                <w:bCs/>
                <w:color w:val="000000" w:themeColor="text1"/>
                <w:szCs w:val="21"/>
              </w:rPr>
              <w:t>0.9</w:t>
            </w:r>
          </w:p>
        </w:tc>
        <w:tc>
          <w:tcPr>
            <w:tcW w:w="648" w:type="pct"/>
            <w:vAlign w:val="center"/>
          </w:tcPr>
          <w:p w14:paraId="1B894F8C">
            <w:pPr>
              <w:ind w:left="103" w:hanging="102" w:hangingChars="49"/>
              <w:jc w:val="center"/>
              <w:rPr>
                <w:bCs/>
                <w:color w:val="000000" w:themeColor="text1"/>
                <w:szCs w:val="21"/>
              </w:rPr>
            </w:pPr>
            <w:r>
              <w:rPr>
                <w:bCs/>
                <w:color w:val="000000" w:themeColor="text1"/>
                <w:szCs w:val="21"/>
              </w:rPr>
              <w:t>0.7</w:t>
            </w:r>
          </w:p>
        </w:tc>
        <w:tc>
          <w:tcPr>
            <w:tcW w:w="648" w:type="pct"/>
            <w:vAlign w:val="center"/>
          </w:tcPr>
          <w:p w14:paraId="531196FB">
            <w:pPr>
              <w:ind w:left="103" w:hanging="102" w:hangingChars="49"/>
              <w:jc w:val="center"/>
              <w:rPr>
                <w:bCs/>
                <w:color w:val="000000" w:themeColor="text1"/>
                <w:szCs w:val="21"/>
              </w:rPr>
            </w:pPr>
            <w:r>
              <w:rPr>
                <w:bCs/>
                <w:color w:val="000000" w:themeColor="text1"/>
                <w:szCs w:val="21"/>
              </w:rPr>
              <w:t>3.0</w:t>
            </w:r>
          </w:p>
        </w:tc>
        <w:tc>
          <w:tcPr>
            <w:tcW w:w="648" w:type="pct"/>
            <w:vAlign w:val="center"/>
          </w:tcPr>
          <w:p w14:paraId="56830A00">
            <w:pPr>
              <w:ind w:left="103" w:hanging="102" w:hangingChars="49"/>
              <w:jc w:val="center"/>
              <w:rPr>
                <w:bCs/>
                <w:color w:val="000000" w:themeColor="text1"/>
                <w:szCs w:val="21"/>
              </w:rPr>
            </w:pPr>
            <w:r>
              <w:rPr>
                <w:bCs/>
                <w:color w:val="000000" w:themeColor="text1"/>
                <w:szCs w:val="21"/>
              </w:rPr>
              <w:t>2.7</w:t>
            </w:r>
          </w:p>
        </w:tc>
        <w:tc>
          <w:tcPr>
            <w:tcW w:w="625" w:type="pct"/>
            <w:vAlign w:val="center"/>
          </w:tcPr>
          <w:p w14:paraId="0451FD68">
            <w:pPr>
              <w:ind w:left="103" w:hanging="102" w:hangingChars="49"/>
              <w:jc w:val="center"/>
              <w:rPr>
                <w:bCs/>
                <w:color w:val="000000" w:themeColor="text1"/>
                <w:szCs w:val="21"/>
              </w:rPr>
            </w:pPr>
            <w:r>
              <w:rPr>
                <w:bCs/>
                <w:color w:val="000000" w:themeColor="text1"/>
                <w:szCs w:val="21"/>
              </w:rPr>
              <w:t>2.5</w:t>
            </w:r>
          </w:p>
        </w:tc>
      </w:tr>
      <w:tr w14:paraId="3B289B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3395C5C4">
            <w:pPr>
              <w:jc w:val="center"/>
              <w:rPr>
                <w:b/>
                <w:color w:val="000000" w:themeColor="text1"/>
                <w:szCs w:val="21"/>
              </w:rPr>
            </w:pPr>
          </w:p>
        </w:tc>
        <w:tc>
          <w:tcPr>
            <w:tcW w:w="873" w:type="pct"/>
            <w:vAlign w:val="center"/>
          </w:tcPr>
          <w:p w14:paraId="3576EC40">
            <w:pPr>
              <w:ind w:left="103" w:hanging="102" w:hangingChars="49"/>
              <w:jc w:val="center"/>
              <w:rPr>
                <w:bCs/>
                <w:color w:val="000000" w:themeColor="text1"/>
                <w:szCs w:val="21"/>
              </w:rPr>
            </w:pPr>
            <w:r>
              <w:rPr>
                <w:bCs/>
                <w:color w:val="000000" w:themeColor="text1"/>
                <w:szCs w:val="21"/>
              </w:rPr>
              <w:t>标准</w:t>
            </w:r>
          </w:p>
        </w:tc>
        <w:tc>
          <w:tcPr>
            <w:tcW w:w="648" w:type="pct"/>
          </w:tcPr>
          <w:p w14:paraId="015CB3F1">
            <w:pPr>
              <w:jc w:val="center"/>
              <w:rPr>
                <w:color w:val="000000" w:themeColor="text1"/>
              </w:rPr>
            </w:pPr>
            <w:r>
              <w:rPr>
                <w:bCs/>
                <w:color w:val="000000" w:themeColor="text1"/>
                <w:szCs w:val="21"/>
                <w:lang w:val="zh-CN"/>
              </w:rPr>
              <w:t>4</w:t>
            </w:r>
          </w:p>
        </w:tc>
        <w:tc>
          <w:tcPr>
            <w:tcW w:w="648" w:type="pct"/>
          </w:tcPr>
          <w:p w14:paraId="3243BDEB">
            <w:pPr>
              <w:jc w:val="center"/>
              <w:rPr>
                <w:color w:val="000000" w:themeColor="text1"/>
              </w:rPr>
            </w:pPr>
            <w:r>
              <w:rPr>
                <w:bCs/>
                <w:color w:val="000000" w:themeColor="text1"/>
                <w:szCs w:val="21"/>
                <w:lang w:val="zh-CN"/>
              </w:rPr>
              <w:t>4</w:t>
            </w:r>
          </w:p>
        </w:tc>
        <w:tc>
          <w:tcPr>
            <w:tcW w:w="648" w:type="pct"/>
          </w:tcPr>
          <w:p w14:paraId="3B31AE7C">
            <w:pPr>
              <w:jc w:val="center"/>
              <w:rPr>
                <w:color w:val="000000" w:themeColor="text1"/>
              </w:rPr>
            </w:pPr>
            <w:r>
              <w:rPr>
                <w:bCs/>
                <w:color w:val="000000" w:themeColor="text1"/>
                <w:szCs w:val="21"/>
                <w:lang w:val="zh-CN"/>
              </w:rPr>
              <w:t>4</w:t>
            </w:r>
          </w:p>
        </w:tc>
        <w:tc>
          <w:tcPr>
            <w:tcW w:w="648" w:type="pct"/>
          </w:tcPr>
          <w:p w14:paraId="1BF4D68B">
            <w:pPr>
              <w:jc w:val="center"/>
              <w:rPr>
                <w:color w:val="000000" w:themeColor="text1"/>
              </w:rPr>
            </w:pPr>
            <w:r>
              <w:rPr>
                <w:bCs/>
                <w:color w:val="000000" w:themeColor="text1"/>
                <w:szCs w:val="21"/>
                <w:lang w:val="zh-CN"/>
              </w:rPr>
              <w:t>4</w:t>
            </w:r>
          </w:p>
        </w:tc>
        <w:tc>
          <w:tcPr>
            <w:tcW w:w="648" w:type="pct"/>
          </w:tcPr>
          <w:p w14:paraId="105A8DFB">
            <w:pPr>
              <w:jc w:val="center"/>
              <w:rPr>
                <w:color w:val="000000" w:themeColor="text1"/>
              </w:rPr>
            </w:pPr>
            <w:r>
              <w:rPr>
                <w:bCs/>
                <w:color w:val="000000" w:themeColor="text1"/>
                <w:szCs w:val="21"/>
                <w:lang w:val="zh-CN"/>
              </w:rPr>
              <w:t>4</w:t>
            </w:r>
          </w:p>
        </w:tc>
        <w:tc>
          <w:tcPr>
            <w:tcW w:w="625" w:type="pct"/>
          </w:tcPr>
          <w:p w14:paraId="02A943DF">
            <w:pPr>
              <w:jc w:val="center"/>
              <w:rPr>
                <w:color w:val="000000" w:themeColor="text1"/>
              </w:rPr>
            </w:pPr>
            <w:r>
              <w:rPr>
                <w:bCs/>
                <w:color w:val="000000" w:themeColor="text1"/>
                <w:szCs w:val="21"/>
                <w:lang w:val="zh-CN"/>
              </w:rPr>
              <w:t>4</w:t>
            </w:r>
          </w:p>
        </w:tc>
      </w:tr>
      <w:tr w14:paraId="509C4C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5CBFFC67">
            <w:pPr>
              <w:jc w:val="center"/>
              <w:rPr>
                <w:b/>
                <w:color w:val="000000" w:themeColor="text1"/>
                <w:szCs w:val="21"/>
              </w:rPr>
            </w:pPr>
          </w:p>
        </w:tc>
        <w:tc>
          <w:tcPr>
            <w:tcW w:w="873" w:type="pct"/>
            <w:vAlign w:val="center"/>
          </w:tcPr>
          <w:p w14:paraId="1642B059">
            <w:pPr>
              <w:ind w:left="103" w:hanging="103" w:hangingChars="49"/>
              <w:jc w:val="center"/>
              <w:rPr>
                <w:b/>
                <w:bCs/>
                <w:color w:val="000000" w:themeColor="text1"/>
                <w:szCs w:val="21"/>
              </w:rPr>
            </w:pPr>
            <w:r>
              <w:rPr>
                <w:b/>
                <w:bCs/>
                <w:color w:val="000000" w:themeColor="text1"/>
                <w:szCs w:val="21"/>
              </w:rPr>
              <w:t>达标情况</w:t>
            </w:r>
          </w:p>
        </w:tc>
        <w:tc>
          <w:tcPr>
            <w:tcW w:w="648" w:type="pct"/>
            <w:vAlign w:val="center"/>
          </w:tcPr>
          <w:p w14:paraId="6CB6E214">
            <w:pPr>
              <w:ind w:left="103" w:hanging="103" w:hangingChars="49"/>
              <w:jc w:val="center"/>
              <w:rPr>
                <w:b/>
                <w:bCs/>
                <w:color w:val="000000" w:themeColor="text1"/>
                <w:szCs w:val="21"/>
              </w:rPr>
            </w:pPr>
            <w:r>
              <w:rPr>
                <w:b/>
                <w:bCs/>
                <w:color w:val="000000" w:themeColor="text1"/>
                <w:szCs w:val="21"/>
              </w:rPr>
              <w:t>达标</w:t>
            </w:r>
          </w:p>
        </w:tc>
        <w:tc>
          <w:tcPr>
            <w:tcW w:w="648" w:type="pct"/>
          </w:tcPr>
          <w:p w14:paraId="04E9CA02">
            <w:pPr>
              <w:jc w:val="center"/>
              <w:rPr>
                <w:b/>
                <w:color w:val="000000" w:themeColor="text1"/>
              </w:rPr>
            </w:pPr>
            <w:r>
              <w:rPr>
                <w:b/>
                <w:bCs/>
                <w:color w:val="000000" w:themeColor="text1"/>
                <w:szCs w:val="21"/>
              </w:rPr>
              <w:t>达标</w:t>
            </w:r>
          </w:p>
        </w:tc>
        <w:tc>
          <w:tcPr>
            <w:tcW w:w="648" w:type="pct"/>
          </w:tcPr>
          <w:p w14:paraId="24BEB73F">
            <w:pPr>
              <w:jc w:val="center"/>
              <w:rPr>
                <w:b/>
                <w:color w:val="000000" w:themeColor="text1"/>
              </w:rPr>
            </w:pPr>
            <w:r>
              <w:rPr>
                <w:b/>
                <w:bCs/>
                <w:color w:val="000000" w:themeColor="text1"/>
                <w:szCs w:val="21"/>
              </w:rPr>
              <w:t>达标</w:t>
            </w:r>
          </w:p>
        </w:tc>
        <w:tc>
          <w:tcPr>
            <w:tcW w:w="648" w:type="pct"/>
          </w:tcPr>
          <w:p w14:paraId="3E15C837">
            <w:pPr>
              <w:jc w:val="center"/>
              <w:rPr>
                <w:b/>
                <w:color w:val="000000" w:themeColor="text1"/>
              </w:rPr>
            </w:pPr>
            <w:r>
              <w:rPr>
                <w:b/>
                <w:bCs/>
                <w:color w:val="000000" w:themeColor="text1"/>
                <w:szCs w:val="21"/>
              </w:rPr>
              <w:t>达标</w:t>
            </w:r>
          </w:p>
        </w:tc>
        <w:tc>
          <w:tcPr>
            <w:tcW w:w="648" w:type="pct"/>
          </w:tcPr>
          <w:p w14:paraId="0BABF8B0">
            <w:pPr>
              <w:jc w:val="center"/>
              <w:rPr>
                <w:b/>
                <w:color w:val="000000" w:themeColor="text1"/>
              </w:rPr>
            </w:pPr>
            <w:r>
              <w:rPr>
                <w:b/>
                <w:bCs/>
                <w:color w:val="000000" w:themeColor="text1"/>
                <w:szCs w:val="21"/>
              </w:rPr>
              <w:t>达标</w:t>
            </w:r>
          </w:p>
        </w:tc>
        <w:tc>
          <w:tcPr>
            <w:tcW w:w="625" w:type="pct"/>
          </w:tcPr>
          <w:p w14:paraId="21BEB88E">
            <w:pPr>
              <w:jc w:val="center"/>
              <w:rPr>
                <w:b/>
                <w:color w:val="000000" w:themeColor="text1"/>
              </w:rPr>
            </w:pPr>
            <w:r>
              <w:rPr>
                <w:b/>
                <w:bCs/>
                <w:color w:val="000000" w:themeColor="text1"/>
                <w:szCs w:val="21"/>
              </w:rPr>
              <w:t>达标</w:t>
            </w:r>
          </w:p>
        </w:tc>
      </w:tr>
      <w:tr w14:paraId="5BD6A2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290F856E">
            <w:pPr>
              <w:jc w:val="center"/>
              <w:rPr>
                <w:b/>
                <w:color w:val="000000" w:themeColor="text1"/>
                <w:szCs w:val="21"/>
              </w:rPr>
            </w:pPr>
          </w:p>
        </w:tc>
        <w:tc>
          <w:tcPr>
            <w:tcW w:w="873" w:type="pct"/>
            <w:vAlign w:val="center"/>
          </w:tcPr>
          <w:p w14:paraId="6A03199F">
            <w:pPr>
              <w:ind w:left="103" w:hanging="102" w:hangingChars="49"/>
              <w:jc w:val="center"/>
              <w:rPr>
                <w:bCs/>
                <w:color w:val="000000" w:themeColor="text1"/>
                <w:szCs w:val="21"/>
              </w:rPr>
            </w:pPr>
            <w:r>
              <w:rPr>
                <w:bCs/>
                <w:color w:val="000000" w:themeColor="text1"/>
                <w:szCs w:val="21"/>
              </w:rPr>
              <w:t>SS</w:t>
            </w:r>
          </w:p>
        </w:tc>
        <w:tc>
          <w:tcPr>
            <w:tcW w:w="648" w:type="pct"/>
            <w:vAlign w:val="center"/>
          </w:tcPr>
          <w:p w14:paraId="46A29C8F">
            <w:pPr>
              <w:ind w:left="103" w:hanging="102" w:hangingChars="49"/>
              <w:jc w:val="center"/>
              <w:rPr>
                <w:bCs/>
                <w:color w:val="000000" w:themeColor="text1"/>
                <w:szCs w:val="21"/>
              </w:rPr>
            </w:pPr>
            <w:r>
              <w:rPr>
                <w:bCs/>
                <w:color w:val="000000" w:themeColor="text1"/>
                <w:szCs w:val="21"/>
              </w:rPr>
              <w:t>6</w:t>
            </w:r>
          </w:p>
        </w:tc>
        <w:tc>
          <w:tcPr>
            <w:tcW w:w="648" w:type="pct"/>
            <w:vAlign w:val="center"/>
          </w:tcPr>
          <w:p w14:paraId="54918D7F">
            <w:pPr>
              <w:ind w:left="103" w:hanging="102" w:hangingChars="49"/>
              <w:jc w:val="center"/>
              <w:rPr>
                <w:bCs/>
                <w:color w:val="000000" w:themeColor="text1"/>
                <w:szCs w:val="21"/>
              </w:rPr>
            </w:pPr>
            <w:r>
              <w:rPr>
                <w:bCs/>
                <w:color w:val="000000" w:themeColor="text1"/>
                <w:szCs w:val="21"/>
              </w:rPr>
              <w:t>8</w:t>
            </w:r>
          </w:p>
        </w:tc>
        <w:tc>
          <w:tcPr>
            <w:tcW w:w="648" w:type="pct"/>
            <w:vAlign w:val="center"/>
          </w:tcPr>
          <w:p w14:paraId="35B2E9AB">
            <w:pPr>
              <w:ind w:left="103" w:hanging="102" w:hangingChars="49"/>
              <w:jc w:val="center"/>
              <w:rPr>
                <w:bCs/>
                <w:color w:val="000000" w:themeColor="text1"/>
                <w:szCs w:val="21"/>
              </w:rPr>
            </w:pPr>
            <w:r>
              <w:rPr>
                <w:bCs/>
                <w:color w:val="000000" w:themeColor="text1"/>
                <w:szCs w:val="21"/>
              </w:rPr>
              <w:t>7</w:t>
            </w:r>
          </w:p>
        </w:tc>
        <w:tc>
          <w:tcPr>
            <w:tcW w:w="648" w:type="pct"/>
            <w:vAlign w:val="center"/>
          </w:tcPr>
          <w:p w14:paraId="68ABFF11">
            <w:pPr>
              <w:ind w:left="103" w:hanging="102" w:hangingChars="49"/>
              <w:jc w:val="center"/>
              <w:rPr>
                <w:bCs/>
                <w:color w:val="000000" w:themeColor="text1"/>
                <w:szCs w:val="21"/>
              </w:rPr>
            </w:pPr>
            <w:r>
              <w:rPr>
                <w:bCs/>
                <w:color w:val="000000" w:themeColor="text1"/>
                <w:szCs w:val="21"/>
              </w:rPr>
              <w:t>14</w:t>
            </w:r>
          </w:p>
        </w:tc>
        <w:tc>
          <w:tcPr>
            <w:tcW w:w="648" w:type="pct"/>
            <w:vAlign w:val="center"/>
          </w:tcPr>
          <w:p w14:paraId="583DBCEC">
            <w:pPr>
              <w:ind w:left="103" w:hanging="102" w:hangingChars="49"/>
              <w:jc w:val="center"/>
              <w:rPr>
                <w:bCs/>
                <w:color w:val="000000" w:themeColor="text1"/>
                <w:szCs w:val="21"/>
              </w:rPr>
            </w:pPr>
            <w:r>
              <w:rPr>
                <w:bCs/>
                <w:color w:val="000000" w:themeColor="text1"/>
                <w:szCs w:val="21"/>
              </w:rPr>
              <w:t>11</w:t>
            </w:r>
          </w:p>
        </w:tc>
        <w:tc>
          <w:tcPr>
            <w:tcW w:w="625" w:type="pct"/>
            <w:vAlign w:val="center"/>
          </w:tcPr>
          <w:p w14:paraId="5D378606">
            <w:pPr>
              <w:ind w:left="103" w:hanging="102" w:hangingChars="49"/>
              <w:jc w:val="center"/>
              <w:rPr>
                <w:bCs/>
                <w:color w:val="000000" w:themeColor="text1"/>
                <w:szCs w:val="21"/>
              </w:rPr>
            </w:pPr>
            <w:r>
              <w:rPr>
                <w:bCs/>
                <w:color w:val="000000" w:themeColor="text1"/>
                <w:szCs w:val="21"/>
              </w:rPr>
              <w:t>13</w:t>
            </w:r>
          </w:p>
        </w:tc>
      </w:tr>
      <w:tr w14:paraId="004BDE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3B4052FC">
            <w:pPr>
              <w:jc w:val="center"/>
              <w:rPr>
                <w:b/>
                <w:color w:val="000000" w:themeColor="text1"/>
                <w:szCs w:val="21"/>
              </w:rPr>
            </w:pPr>
          </w:p>
        </w:tc>
        <w:tc>
          <w:tcPr>
            <w:tcW w:w="873" w:type="pct"/>
            <w:vAlign w:val="center"/>
          </w:tcPr>
          <w:p w14:paraId="27A75984">
            <w:pPr>
              <w:ind w:left="103" w:hanging="102" w:hangingChars="49"/>
              <w:jc w:val="center"/>
              <w:rPr>
                <w:bCs/>
                <w:color w:val="000000" w:themeColor="text1"/>
                <w:szCs w:val="21"/>
              </w:rPr>
            </w:pPr>
            <w:r>
              <w:rPr>
                <w:bCs/>
                <w:color w:val="000000" w:themeColor="text1"/>
                <w:szCs w:val="21"/>
              </w:rPr>
              <w:t>标准</w:t>
            </w:r>
          </w:p>
        </w:tc>
        <w:tc>
          <w:tcPr>
            <w:tcW w:w="648" w:type="pct"/>
            <w:vAlign w:val="center"/>
          </w:tcPr>
          <w:p w14:paraId="5CD33ADD">
            <w:pPr>
              <w:ind w:left="103" w:hanging="102" w:hangingChars="49"/>
              <w:jc w:val="center"/>
              <w:rPr>
                <w:bCs/>
                <w:color w:val="000000" w:themeColor="text1"/>
                <w:szCs w:val="21"/>
              </w:rPr>
            </w:pPr>
            <w:r>
              <w:rPr>
                <w:bCs/>
                <w:color w:val="000000" w:themeColor="text1"/>
                <w:szCs w:val="21"/>
              </w:rPr>
              <w:t>/</w:t>
            </w:r>
          </w:p>
        </w:tc>
        <w:tc>
          <w:tcPr>
            <w:tcW w:w="648" w:type="pct"/>
            <w:vAlign w:val="center"/>
          </w:tcPr>
          <w:p w14:paraId="68BCABC6">
            <w:pPr>
              <w:ind w:left="103" w:hanging="102" w:hangingChars="49"/>
              <w:jc w:val="center"/>
              <w:rPr>
                <w:bCs/>
                <w:color w:val="000000" w:themeColor="text1"/>
                <w:szCs w:val="21"/>
              </w:rPr>
            </w:pPr>
            <w:r>
              <w:rPr>
                <w:bCs/>
                <w:color w:val="000000" w:themeColor="text1"/>
                <w:szCs w:val="21"/>
              </w:rPr>
              <w:t>/</w:t>
            </w:r>
          </w:p>
        </w:tc>
        <w:tc>
          <w:tcPr>
            <w:tcW w:w="648" w:type="pct"/>
            <w:vAlign w:val="center"/>
          </w:tcPr>
          <w:p w14:paraId="4EAD64DA">
            <w:pPr>
              <w:ind w:left="103" w:hanging="102" w:hangingChars="49"/>
              <w:jc w:val="center"/>
              <w:rPr>
                <w:bCs/>
                <w:color w:val="000000" w:themeColor="text1"/>
                <w:szCs w:val="21"/>
              </w:rPr>
            </w:pPr>
            <w:r>
              <w:rPr>
                <w:bCs/>
                <w:color w:val="000000" w:themeColor="text1"/>
                <w:szCs w:val="21"/>
              </w:rPr>
              <w:t>/</w:t>
            </w:r>
          </w:p>
        </w:tc>
        <w:tc>
          <w:tcPr>
            <w:tcW w:w="648" w:type="pct"/>
            <w:vAlign w:val="center"/>
          </w:tcPr>
          <w:p w14:paraId="00F3F8DE">
            <w:pPr>
              <w:ind w:left="103" w:hanging="102" w:hangingChars="49"/>
              <w:jc w:val="center"/>
              <w:rPr>
                <w:bCs/>
                <w:color w:val="000000" w:themeColor="text1"/>
                <w:szCs w:val="21"/>
              </w:rPr>
            </w:pPr>
            <w:r>
              <w:rPr>
                <w:bCs/>
                <w:color w:val="000000" w:themeColor="text1"/>
                <w:szCs w:val="21"/>
              </w:rPr>
              <w:t>/</w:t>
            </w:r>
          </w:p>
        </w:tc>
        <w:tc>
          <w:tcPr>
            <w:tcW w:w="648" w:type="pct"/>
            <w:vAlign w:val="center"/>
          </w:tcPr>
          <w:p w14:paraId="0C608788">
            <w:pPr>
              <w:ind w:left="103" w:hanging="102" w:hangingChars="49"/>
              <w:jc w:val="center"/>
              <w:rPr>
                <w:bCs/>
                <w:color w:val="000000" w:themeColor="text1"/>
                <w:szCs w:val="21"/>
              </w:rPr>
            </w:pPr>
            <w:r>
              <w:rPr>
                <w:bCs/>
                <w:color w:val="000000" w:themeColor="text1"/>
                <w:szCs w:val="21"/>
              </w:rPr>
              <w:t>/</w:t>
            </w:r>
          </w:p>
        </w:tc>
        <w:tc>
          <w:tcPr>
            <w:tcW w:w="625" w:type="pct"/>
            <w:vAlign w:val="center"/>
          </w:tcPr>
          <w:p w14:paraId="78295816">
            <w:pPr>
              <w:ind w:left="103" w:hanging="102" w:hangingChars="49"/>
              <w:jc w:val="center"/>
              <w:rPr>
                <w:bCs/>
                <w:color w:val="000000" w:themeColor="text1"/>
                <w:szCs w:val="21"/>
              </w:rPr>
            </w:pPr>
            <w:r>
              <w:rPr>
                <w:bCs/>
                <w:color w:val="000000" w:themeColor="text1"/>
                <w:szCs w:val="21"/>
              </w:rPr>
              <w:t>/</w:t>
            </w:r>
          </w:p>
        </w:tc>
      </w:tr>
      <w:tr w14:paraId="0E3C6C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6E511E8A">
            <w:pPr>
              <w:jc w:val="center"/>
              <w:rPr>
                <w:b/>
                <w:color w:val="000000" w:themeColor="text1"/>
                <w:szCs w:val="21"/>
              </w:rPr>
            </w:pPr>
          </w:p>
        </w:tc>
        <w:tc>
          <w:tcPr>
            <w:tcW w:w="873" w:type="pct"/>
            <w:vAlign w:val="center"/>
          </w:tcPr>
          <w:p w14:paraId="7592290C">
            <w:pPr>
              <w:ind w:left="103" w:hanging="103" w:hangingChars="49"/>
              <w:jc w:val="center"/>
              <w:rPr>
                <w:b/>
                <w:bCs/>
                <w:color w:val="000000" w:themeColor="text1"/>
                <w:szCs w:val="21"/>
              </w:rPr>
            </w:pPr>
            <w:r>
              <w:rPr>
                <w:b/>
                <w:bCs/>
                <w:color w:val="000000" w:themeColor="text1"/>
                <w:szCs w:val="21"/>
              </w:rPr>
              <w:t>达标情况</w:t>
            </w:r>
          </w:p>
        </w:tc>
        <w:tc>
          <w:tcPr>
            <w:tcW w:w="648" w:type="pct"/>
            <w:vAlign w:val="center"/>
          </w:tcPr>
          <w:p w14:paraId="106B183F">
            <w:pPr>
              <w:ind w:left="103" w:hanging="102" w:hangingChars="49"/>
              <w:jc w:val="center"/>
              <w:rPr>
                <w:bCs/>
                <w:color w:val="000000" w:themeColor="text1"/>
                <w:szCs w:val="21"/>
              </w:rPr>
            </w:pPr>
            <w:r>
              <w:rPr>
                <w:bCs/>
                <w:color w:val="000000" w:themeColor="text1"/>
                <w:szCs w:val="21"/>
              </w:rPr>
              <w:t>/</w:t>
            </w:r>
          </w:p>
        </w:tc>
        <w:tc>
          <w:tcPr>
            <w:tcW w:w="648" w:type="pct"/>
            <w:vAlign w:val="center"/>
          </w:tcPr>
          <w:p w14:paraId="083A5733">
            <w:pPr>
              <w:ind w:left="103" w:hanging="102" w:hangingChars="49"/>
              <w:jc w:val="center"/>
              <w:rPr>
                <w:bCs/>
                <w:color w:val="000000" w:themeColor="text1"/>
                <w:szCs w:val="21"/>
              </w:rPr>
            </w:pPr>
            <w:r>
              <w:rPr>
                <w:bCs/>
                <w:color w:val="000000" w:themeColor="text1"/>
                <w:szCs w:val="21"/>
              </w:rPr>
              <w:t>/</w:t>
            </w:r>
          </w:p>
        </w:tc>
        <w:tc>
          <w:tcPr>
            <w:tcW w:w="648" w:type="pct"/>
            <w:vAlign w:val="center"/>
          </w:tcPr>
          <w:p w14:paraId="29AB5C0C">
            <w:pPr>
              <w:ind w:left="103" w:hanging="102" w:hangingChars="49"/>
              <w:jc w:val="center"/>
              <w:rPr>
                <w:bCs/>
                <w:color w:val="000000" w:themeColor="text1"/>
                <w:szCs w:val="21"/>
              </w:rPr>
            </w:pPr>
            <w:r>
              <w:rPr>
                <w:bCs/>
                <w:color w:val="000000" w:themeColor="text1"/>
                <w:szCs w:val="21"/>
              </w:rPr>
              <w:t>/</w:t>
            </w:r>
          </w:p>
        </w:tc>
        <w:tc>
          <w:tcPr>
            <w:tcW w:w="648" w:type="pct"/>
            <w:vAlign w:val="center"/>
          </w:tcPr>
          <w:p w14:paraId="32BFF303">
            <w:pPr>
              <w:ind w:left="103" w:hanging="102" w:hangingChars="49"/>
              <w:jc w:val="center"/>
              <w:rPr>
                <w:bCs/>
                <w:color w:val="000000" w:themeColor="text1"/>
                <w:szCs w:val="21"/>
              </w:rPr>
            </w:pPr>
            <w:r>
              <w:rPr>
                <w:bCs/>
                <w:color w:val="000000" w:themeColor="text1"/>
                <w:szCs w:val="21"/>
              </w:rPr>
              <w:t>/</w:t>
            </w:r>
          </w:p>
        </w:tc>
        <w:tc>
          <w:tcPr>
            <w:tcW w:w="648" w:type="pct"/>
            <w:vAlign w:val="center"/>
          </w:tcPr>
          <w:p w14:paraId="0D6FA80E">
            <w:pPr>
              <w:ind w:left="103" w:hanging="102" w:hangingChars="49"/>
              <w:jc w:val="center"/>
              <w:rPr>
                <w:bCs/>
                <w:color w:val="000000" w:themeColor="text1"/>
                <w:szCs w:val="21"/>
              </w:rPr>
            </w:pPr>
            <w:r>
              <w:rPr>
                <w:bCs/>
                <w:color w:val="000000" w:themeColor="text1"/>
                <w:szCs w:val="21"/>
              </w:rPr>
              <w:t>/</w:t>
            </w:r>
          </w:p>
        </w:tc>
        <w:tc>
          <w:tcPr>
            <w:tcW w:w="625" w:type="pct"/>
            <w:vAlign w:val="center"/>
          </w:tcPr>
          <w:p w14:paraId="3B4C017D">
            <w:pPr>
              <w:ind w:left="103" w:hanging="102" w:hangingChars="49"/>
              <w:jc w:val="center"/>
              <w:rPr>
                <w:bCs/>
                <w:color w:val="000000" w:themeColor="text1"/>
                <w:szCs w:val="21"/>
              </w:rPr>
            </w:pPr>
            <w:r>
              <w:rPr>
                <w:bCs/>
                <w:color w:val="000000" w:themeColor="text1"/>
                <w:szCs w:val="21"/>
              </w:rPr>
              <w:t>/</w:t>
            </w:r>
          </w:p>
        </w:tc>
      </w:tr>
      <w:tr w14:paraId="30E22C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59EEA121">
            <w:pPr>
              <w:jc w:val="center"/>
              <w:rPr>
                <w:b/>
                <w:color w:val="000000" w:themeColor="text1"/>
                <w:szCs w:val="21"/>
              </w:rPr>
            </w:pPr>
          </w:p>
        </w:tc>
        <w:tc>
          <w:tcPr>
            <w:tcW w:w="873" w:type="pct"/>
            <w:vAlign w:val="center"/>
          </w:tcPr>
          <w:p w14:paraId="17BF31C9">
            <w:pPr>
              <w:ind w:left="103" w:hanging="102" w:hangingChars="49"/>
              <w:jc w:val="center"/>
              <w:rPr>
                <w:bCs/>
                <w:color w:val="000000" w:themeColor="text1"/>
                <w:szCs w:val="21"/>
              </w:rPr>
            </w:pPr>
            <w:r>
              <w:rPr>
                <w:bCs/>
                <w:color w:val="000000" w:themeColor="text1"/>
                <w:szCs w:val="21"/>
              </w:rPr>
              <w:t>氨氮</w:t>
            </w:r>
          </w:p>
        </w:tc>
        <w:tc>
          <w:tcPr>
            <w:tcW w:w="648" w:type="pct"/>
            <w:vAlign w:val="center"/>
          </w:tcPr>
          <w:p w14:paraId="29D150E6">
            <w:pPr>
              <w:ind w:left="103" w:hanging="102" w:hangingChars="49"/>
              <w:jc w:val="center"/>
              <w:rPr>
                <w:bCs/>
                <w:color w:val="000000" w:themeColor="text1"/>
                <w:szCs w:val="21"/>
              </w:rPr>
            </w:pPr>
            <w:r>
              <w:rPr>
                <w:bCs/>
                <w:color w:val="000000" w:themeColor="text1"/>
                <w:szCs w:val="21"/>
              </w:rPr>
              <w:t>0.105</w:t>
            </w:r>
          </w:p>
        </w:tc>
        <w:tc>
          <w:tcPr>
            <w:tcW w:w="648" w:type="pct"/>
            <w:vAlign w:val="center"/>
          </w:tcPr>
          <w:p w14:paraId="3DC6AF61">
            <w:pPr>
              <w:ind w:left="103" w:hanging="102" w:hangingChars="49"/>
              <w:jc w:val="center"/>
              <w:rPr>
                <w:bCs/>
                <w:color w:val="000000" w:themeColor="text1"/>
                <w:szCs w:val="21"/>
              </w:rPr>
            </w:pPr>
            <w:r>
              <w:rPr>
                <w:bCs/>
                <w:color w:val="000000" w:themeColor="text1"/>
                <w:szCs w:val="21"/>
              </w:rPr>
              <w:t>0.111</w:t>
            </w:r>
          </w:p>
        </w:tc>
        <w:tc>
          <w:tcPr>
            <w:tcW w:w="648" w:type="pct"/>
            <w:vAlign w:val="center"/>
          </w:tcPr>
          <w:p w14:paraId="7C2852B9">
            <w:pPr>
              <w:ind w:left="103" w:hanging="102" w:hangingChars="49"/>
              <w:jc w:val="center"/>
              <w:rPr>
                <w:bCs/>
                <w:color w:val="000000" w:themeColor="text1"/>
                <w:szCs w:val="21"/>
              </w:rPr>
            </w:pPr>
            <w:r>
              <w:rPr>
                <w:bCs/>
                <w:color w:val="000000" w:themeColor="text1"/>
                <w:szCs w:val="21"/>
              </w:rPr>
              <w:t>0.101</w:t>
            </w:r>
          </w:p>
        </w:tc>
        <w:tc>
          <w:tcPr>
            <w:tcW w:w="648" w:type="pct"/>
            <w:vAlign w:val="center"/>
          </w:tcPr>
          <w:p w14:paraId="09F161D4">
            <w:pPr>
              <w:ind w:left="103" w:hanging="102" w:hangingChars="49"/>
              <w:jc w:val="center"/>
              <w:rPr>
                <w:bCs/>
                <w:color w:val="000000" w:themeColor="text1"/>
                <w:szCs w:val="21"/>
              </w:rPr>
            </w:pPr>
            <w:r>
              <w:rPr>
                <w:bCs/>
                <w:color w:val="000000" w:themeColor="text1"/>
                <w:szCs w:val="21"/>
              </w:rPr>
              <w:t>0.108</w:t>
            </w:r>
          </w:p>
        </w:tc>
        <w:tc>
          <w:tcPr>
            <w:tcW w:w="648" w:type="pct"/>
            <w:vAlign w:val="center"/>
          </w:tcPr>
          <w:p w14:paraId="24166BA5">
            <w:pPr>
              <w:ind w:left="103" w:hanging="102" w:hangingChars="49"/>
              <w:jc w:val="center"/>
              <w:rPr>
                <w:bCs/>
                <w:color w:val="000000" w:themeColor="text1"/>
                <w:szCs w:val="21"/>
              </w:rPr>
            </w:pPr>
            <w:r>
              <w:rPr>
                <w:bCs/>
                <w:color w:val="000000" w:themeColor="text1"/>
                <w:szCs w:val="21"/>
              </w:rPr>
              <w:t>0.100</w:t>
            </w:r>
          </w:p>
        </w:tc>
        <w:tc>
          <w:tcPr>
            <w:tcW w:w="625" w:type="pct"/>
            <w:vAlign w:val="center"/>
          </w:tcPr>
          <w:p w14:paraId="7B122FCE">
            <w:pPr>
              <w:ind w:left="103" w:hanging="102" w:hangingChars="49"/>
              <w:jc w:val="center"/>
              <w:rPr>
                <w:bCs/>
                <w:color w:val="000000" w:themeColor="text1"/>
                <w:szCs w:val="21"/>
              </w:rPr>
            </w:pPr>
            <w:r>
              <w:rPr>
                <w:bCs/>
                <w:color w:val="000000" w:themeColor="text1"/>
                <w:szCs w:val="21"/>
              </w:rPr>
              <w:t>0.096</w:t>
            </w:r>
          </w:p>
        </w:tc>
      </w:tr>
      <w:tr w14:paraId="5360D2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4340DA00">
            <w:pPr>
              <w:jc w:val="center"/>
              <w:rPr>
                <w:b/>
                <w:color w:val="000000" w:themeColor="text1"/>
                <w:szCs w:val="21"/>
              </w:rPr>
            </w:pPr>
          </w:p>
        </w:tc>
        <w:tc>
          <w:tcPr>
            <w:tcW w:w="873" w:type="pct"/>
            <w:vAlign w:val="center"/>
          </w:tcPr>
          <w:p w14:paraId="41B4634D">
            <w:pPr>
              <w:ind w:left="103" w:hanging="102" w:hangingChars="49"/>
              <w:jc w:val="center"/>
              <w:rPr>
                <w:bCs/>
                <w:color w:val="000000" w:themeColor="text1"/>
                <w:szCs w:val="21"/>
              </w:rPr>
            </w:pPr>
            <w:r>
              <w:rPr>
                <w:bCs/>
                <w:color w:val="000000" w:themeColor="text1"/>
                <w:szCs w:val="21"/>
              </w:rPr>
              <w:t>标准</w:t>
            </w:r>
          </w:p>
        </w:tc>
        <w:tc>
          <w:tcPr>
            <w:tcW w:w="648" w:type="pct"/>
          </w:tcPr>
          <w:p w14:paraId="17C6264B">
            <w:pPr>
              <w:jc w:val="center"/>
              <w:rPr>
                <w:color w:val="000000" w:themeColor="text1"/>
              </w:rPr>
            </w:pPr>
            <w:r>
              <w:rPr>
                <w:bCs/>
                <w:color w:val="000000" w:themeColor="text1"/>
                <w:szCs w:val="21"/>
                <w:lang w:val="zh-CN"/>
              </w:rPr>
              <w:t>1.0</w:t>
            </w:r>
          </w:p>
        </w:tc>
        <w:tc>
          <w:tcPr>
            <w:tcW w:w="648" w:type="pct"/>
          </w:tcPr>
          <w:p w14:paraId="77BCD424">
            <w:pPr>
              <w:jc w:val="center"/>
              <w:rPr>
                <w:color w:val="000000" w:themeColor="text1"/>
              </w:rPr>
            </w:pPr>
            <w:r>
              <w:rPr>
                <w:bCs/>
                <w:color w:val="000000" w:themeColor="text1"/>
                <w:szCs w:val="21"/>
                <w:lang w:val="zh-CN"/>
              </w:rPr>
              <w:t>1.0</w:t>
            </w:r>
          </w:p>
        </w:tc>
        <w:tc>
          <w:tcPr>
            <w:tcW w:w="648" w:type="pct"/>
          </w:tcPr>
          <w:p w14:paraId="3B4ECB8A">
            <w:pPr>
              <w:jc w:val="center"/>
              <w:rPr>
                <w:color w:val="000000" w:themeColor="text1"/>
              </w:rPr>
            </w:pPr>
            <w:r>
              <w:rPr>
                <w:bCs/>
                <w:color w:val="000000" w:themeColor="text1"/>
                <w:szCs w:val="21"/>
                <w:lang w:val="zh-CN"/>
              </w:rPr>
              <w:t>1.0</w:t>
            </w:r>
          </w:p>
        </w:tc>
        <w:tc>
          <w:tcPr>
            <w:tcW w:w="648" w:type="pct"/>
          </w:tcPr>
          <w:p w14:paraId="5EA4B658">
            <w:pPr>
              <w:jc w:val="center"/>
              <w:rPr>
                <w:color w:val="000000" w:themeColor="text1"/>
              </w:rPr>
            </w:pPr>
            <w:r>
              <w:rPr>
                <w:bCs/>
                <w:color w:val="000000" w:themeColor="text1"/>
                <w:szCs w:val="21"/>
                <w:lang w:val="zh-CN"/>
              </w:rPr>
              <w:t>1.0</w:t>
            </w:r>
          </w:p>
        </w:tc>
        <w:tc>
          <w:tcPr>
            <w:tcW w:w="648" w:type="pct"/>
          </w:tcPr>
          <w:p w14:paraId="5DED94B0">
            <w:pPr>
              <w:jc w:val="center"/>
              <w:rPr>
                <w:color w:val="000000" w:themeColor="text1"/>
              </w:rPr>
            </w:pPr>
            <w:r>
              <w:rPr>
                <w:bCs/>
                <w:color w:val="000000" w:themeColor="text1"/>
                <w:szCs w:val="21"/>
                <w:lang w:val="zh-CN"/>
              </w:rPr>
              <w:t>1.0</w:t>
            </w:r>
          </w:p>
        </w:tc>
        <w:tc>
          <w:tcPr>
            <w:tcW w:w="625" w:type="pct"/>
          </w:tcPr>
          <w:p w14:paraId="5B0F202C">
            <w:pPr>
              <w:jc w:val="center"/>
              <w:rPr>
                <w:color w:val="000000" w:themeColor="text1"/>
              </w:rPr>
            </w:pPr>
            <w:r>
              <w:rPr>
                <w:bCs/>
                <w:color w:val="000000" w:themeColor="text1"/>
                <w:szCs w:val="21"/>
                <w:lang w:val="zh-CN"/>
              </w:rPr>
              <w:t>1.0</w:t>
            </w:r>
          </w:p>
        </w:tc>
      </w:tr>
      <w:tr w14:paraId="0CEAF6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08AC321E">
            <w:pPr>
              <w:jc w:val="center"/>
              <w:rPr>
                <w:b/>
                <w:color w:val="000000" w:themeColor="text1"/>
                <w:szCs w:val="21"/>
              </w:rPr>
            </w:pPr>
          </w:p>
        </w:tc>
        <w:tc>
          <w:tcPr>
            <w:tcW w:w="873" w:type="pct"/>
            <w:vAlign w:val="center"/>
          </w:tcPr>
          <w:p w14:paraId="4ADE460B">
            <w:pPr>
              <w:ind w:left="103" w:hanging="103" w:hangingChars="49"/>
              <w:jc w:val="center"/>
              <w:rPr>
                <w:b/>
                <w:bCs/>
                <w:color w:val="000000" w:themeColor="text1"/>
                <w:szCs w:val="21"/>
              </w:rPr>
            </w:pPr>
            <w:r>
              <w:rPr>
                <w:b/>
                <w:bCs/>
                <w:color w:val="000000" w:themeColor="text1"/>
                <w:szCs w:val="21"/>
              </w:rPr>
              <w:t>达标情况</w:t>
            </w:r>
          </w:p>
        </w:tc>
        <w:tc>
          <w:tcPr>
            <w:tcW w:w="648" w:type="pct"/>
            <w:vAlign w:val="center"/>
          </w:tcPr>
          <w:p w14:paraId="5A8007FB">
            <w:pPr>
              <w:ind w:left="103" w:hanging="103" w:hangingChars="49"/>
              <w:jc w:val="center"/>
              <w:rPr>
                <w:b/>
                <w:bCs/>
                <w:color w:val="000000" w:themeColor="text1"/>
                <w:szCs w:val="21"/>
              </w:rPr>
            </w:pPr>
            <w:r>
              <w:rPr>
                <w:b/>
                <w:bCs/>
                <w:color w:val="000000" w:themeColor="text1"/>
                <w:szCs w:val="21"/>
              </w:rPr>
              <w:t>达标</w:t>
            </w:r>
          </w:p>
        </w:tc>
        <w:tc>
          <w:tcPr>
            <w:tcW w:w="648" w:type="pct"/>
          </w:tcPr>
          <w:p w14:paraId="4252B1F3">
            <w:pPr>
              <w:jc w:val="center"/>
              <w:rPr>
                <w:b/>
                <w:color w:val="000000" w:themeColor="text1"/>
              </w:rPr>
            </w:pPr>
            <w:r>
              <w:rPr>
                <w:b/>
                <w:bCs/>
                <w:color w:val="000000" w:themeColor="text1"/>
                <w:szCs w:val="21"/>
              </w:rPr>
              <w:t>达标</w:t>
            </w:r>
          </w:p>
        </w:tc>
        <w:tc>
          <w:tcPr>
            <w:tcW w:w="648" w:type="pct"/>
          </w:tcPr>
          <w:p w14:paraId="340494D4">
            <w:pPr>
              <w:jc w:val="center"/>
              <w:rPr>
                <w:b/>
                <w:color w:val="000000" w:themeColor="text1"/>
              </w:rPr>
            </w:pPr>
            <w:r>
              <w:rPr>
                <w:b/>
                <w:bCs/>
                <w:color w:val="000000" w:themeColor="text1"/>
                <w:szCs w:val="21"/>
              </w:rPr>
              <w:t>达标</w:t>
            </w:r>
          </w:p>
        </w:tc>
        <w:tc>
          <w:tcPr>
            <w:tcW w:w="648" w:type="pct"/>
          </w:tcPr>
          <w:p w14:paraId="293670C9">
            <w:pPr>
              <w:jc w:val="center"/>
              <w:rPr>
                <w:b/>
                <w:color w:val="000000" w:themeColor="text1"/>
              </w:rPr>
            </w:pPr>
            <w:r>
              <w:rPr>
                <w:b/>
                <w:bCs/>
                <w:color w:val="000000" w:themeColor="text1"/>
                <w:szCs w:val="21"/>
              </w:rPr>
              <w:t>达标</w:t>
            </w:r>
          </w:p>
        </w:tc>
        <w:tc>
          <w:tcPr>
            <w:tcW w:w="648" w:type="pct"/>
          </w:tcPr>
          <w:p w14:paraId="2C4E4836">
            <w:pPr>
              <w:jc w:val="center"/>
              <w:rPr>
                <w:b/>
                <w:color w:val="000000" w:themeColor="text1"/>
              </w:rPr>
            </w:pPr>
            <w:r>
              <w:rPr>
                <w:b/>
                <w:bCs/>
                <w:color w:val="000000" w:themeColor="text1"/>
                <w:szCs w:val="21"/>
              </w:rPr>
              <w:t>达标</w:t>
            </w:r>
          </w:p>
        </w:tc>
        <w:tc>
          <w:tcPr>
            <w:tcW w:w="625" w:type="pct"/>
          </w:tcPr>
          <w:p w14:paraId="2F32EEF7">
            <w:pPr>
              <w:jc w:val="center"/>
              <w:rPr>
                <w:b/>
                <w:color w:val="000000" w:themeColor="text1"/>
              </w:rPr>
            </w:pPr>
            <w:r>
              <w:rPr>
                <w:b/>
                <w:bCs/>
                <w:color w:val="000000" w:themeColor="text1"/>
                <w:szCs w:val="21"/>
              </w:rPr>
              <w:t>达标</w:t>
            </w:r>
          </w:p>
        </w:tc>
      </w:tr>
      <w:tr w14:paraId="22C104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48C5D895">
            <w:pPr>
              <w:jc w:val="center"/>
              <w:rPr>
                <w:b/>
                <w:color w:val="000000" w:themeColor="text1"/>
                <w:szCs w:val="21"/>
              </w:rPr>
            </w:pPr>
          </w:p>
        </w:tc>
        <w:tc>
          <w:tcPr>
            <w:tcW w:w="873" w:type="pct"/>
            <w:vAlign w:val="center"/>
          </w:tcPr>
          <w:p w14:paraId="193589EE">
            <w:pPr>
              <w:ind w:left="103" w:hanging="102" w:hangingChars="49"/>
              <w:jc w:val="center"/>
              <w:rPr>
                <w:bCs/>
                <w:color w:val="000000" w:themeColor="text1"/>
                <w:szCs w:val="21"/>
              </w:rPr>
            </w:pPr>
            <w:r>
              <w:rPr>
                <w:bCs/>
                <w:color w:val="000000" w:themeColor="text1"/>
                <w:szCs w:val="21"/>
              </w:rPr>
              <w:t>总氮</w:t>
            </w:r>
          </w:p>
        </w:tc>
        <w:tc>
          <w:tcPr>
            <w:tcW w:w="648" w:type="pct"/>
            <w:vAlign w:val="center"/>
          </w:tcPr>
          <w:p w14:paraId="3C15845C">
            <w:pPr>
              <w:ind w:left="103" w:hanging="102" w:hangingChars="49"/>
              <w:jc w:val="center"/>
              <w:rPr>
                <w:bCs/>
                <w:color w:val="000000" w:themeColor="text1"/>
                <w:szCs w:val="21"/>
              </w:rPr>
            </w:pPr>
            <w:r>
              <w:rPr>
                <w:bCs/>
                <w:color w:val="000000" w:themeColor="text1"/>
                <w:szCs w:val="21"/>
              </w:rPr>
              <w:t>0.82</w:t>
            </w:r>
          </w:p>
        </w:tc>
        <w:tc>
          <w:tcPr>
            <w:tcW w:w="648" w:type="pct"/>
            <w:vAlign w:val="center"/>
          </w:tcPr>
          <w:p w14:paraId="7A173D05">
            <w:pPr>
              <w:ind w:left="103" w:hanging="102" w:hangingChars="49"/>
              <w:jc w:val="center"/>
              <w:rPr>
                <w:bCs/>
                <w:color w:val="000000" w:themeColor="text1"/>
                <w:szCs w:val="21"/>
              </w:rPr>
            </w:pPr>
            <w:r>
              <w:rPr>
                <w:bCs/>
                <w:color w:val="000000" w:themeColor="text1"/>
                <w:szCs w:val="21"/>
              </w:rPr>
              <w:t>0.86</w:t>
            </w:r>
          </w:p>
        </w:tc>
        <w:tc>
          <w:tcPr>
            <w:tcW w:w="648" w:type="pct"/>
            <w:vAlign w:val="center"/>
          </w:tcPr>
          <w:p w14:paraId="76D34AE9">
            <w:pPr>
              <w:ind w:left="103" w:hanging="102" w:hangingChars="49"/>
              <w:jc w:val="center"/>
              <w:rPr>
                <w:bCs/>
                <w:color w:val="000000" w:themeColor="text1"/>
                <w:szCs w:val="21"/>
              </w:rPr>
            </w:pPr>
            <w:r>
              <w:rPr>
                <w:bCs/>
                <w:color w:val="000000" w:themeColor="text1"/>
                <w:szCs w:val="21"/>
              </w:rPr>
              <w:t>0.79</w:t>
            </w:r>
          </w:p>
        </w:tc>
        <w:tc>
          <w:tcPr>
            <w:tcW w:w="648" w:type="pct"/>
            <w:vAlign w:val="center"/>
          </w:tcPr>
          <w:p w14:paraId="29F2CC96">
            <w:pPr>
              <w:ind w:left="103" w:hanging="102" w:hangingChars="49"/>
              <w:jc w:val="center"/>
              <w:rPr>
                <w:bCs/>
                <w:color w:val="000000" w:themeColor="text1"/>
                <w:szCs w:val="21"/>
              </w:rPr>
            </w:pPr>
            <w:r>
              <w:rPr>
                <w:bCs/>
                <w:color w:val="000000" w:themeColor="text1"/>
                <w:szCs w:val="21"/>
              </w:rPr>
              <w:t>0.96</w:t>
            </w:r>
          </w:p>
        </w:tc>
        <w:tc>
          <w:tcPr>
            <w:tcW w:w="648" w:type="pct"/>
            <w:vAlign w:val="center"/>
          </w:tcPr>
          <w:p w14:paraId="594335F7">
            <w:pPr>
              <w:ind w:left="103" w:hanging="102" w:hangingChars="49"/>
              <w:jc w:val="center"/>
              <w:rPr>
                <w:bCs/>
                <w:color w:val="000000" w:themeColor="text1"/>
                <w:szCs w:val="21"/>
              </w:rPr>
            </w:pPr>
            <w:r>
              <w:rPr>
                <w:bCs/>
                <w:color w:val="000000" w:themeColor="text1"/>
                <w:szCs w:val="21"/>
              </w:rPr>
              <w:t>0.89</w:t>
            </w:r>
          </w:p>
        </w:tc>
        <w:tc>
          <w:tcPr>
            <w:tcW w:w="625" w:type="pct"/>
            <w:vAlign w:val="center"/>
          </w:tcPr>
          <w:p w14:paraId="2D986395">
            <w:pPr>
              <w:ind w:left="103" w:hanging="102" w:hangingChars="49"/>
              <w:jc w:val="center"/>
              <w:rPr>
                <w:bCs/>
                <w:color w:val="000000" w:themeColor="text1"/>
                <w:szCs w:val="21"/>
              </w:rPr>
            </w:pPr>
            <w:r>
              <w:rPr>
                <w:bCs/>
                <w:color w:val="000000" w:themeColor="text1"/>
                <w:szCs w:val="21"/>
              </w:rPr>
              <w:t>0.93</w:t>
            </w:r>
          </w:p>
        </w:tc>
      </w:tr>
      <w:tr w14:paraId="307C25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5F2F93C1">
            <w:pPr>
              <w:jc w:val="center"/>
              <w:rPr>
                <w:b/>
                <w:color w:val="000000" w:themeColor="text1"/>
                <w:szCs w:val="21"/>
              </w:rPr>
            </w:pPr>
          </w:p>
        </w:tc>
        <w:tc>
          <w:tcPr>
            <w:tcW w:w="873" w:type="pct"/>
            <w:vAlign w:val="center"/>
          </w:tcPr>
          <w:p w14:paraId="577D6285">
            <w:pPr>
              <w:ind w:left="103" w:hanging="102" w:hangingChars="49"/>
              <w:jc w:val="center"/>
              <w:rPr>
                <w:bCs/>
                <w:color w:val="000000" w:themeColor="text1"/>
                <w:szCs w:val="21"/>
              </w:rPr>
            </w:pPr>
            <w:r>
              <w:rPr>
                <w:bCs/>
                <w:color w:val="000000" w:themeColor="text1"/>
                <w:szCs w:val="21"/>
              </w:rPr>
              <w:t>标准</w:t>
            </w:r>
          </w:p>
        </w:tc>
        <w:tc>
          <w:tcPr>
            <w:tcW w:w="648" w:type="pct"/>
          </w:tcPr>
          <w:p w14:paraId="6500D335">
            <w:pPr>
              <w:jc w:val="center"/>
              <w:rPr>
                <w:color w:val="000000" w:themeColor="text1"/>
              </w:rPr>
            </w:pPr>
            <w:r>
              <w:rPr>
                <w:bCs/>
                <w:color w:val="000000" w:themeColor="text1"/>
                <w:szCs w:val="21"/>
                <w:lang w:val="zh-CN"/>
              </w:rPr>
              <w:t>1.0</w:t>
            </w:r>
          </w:p>
        </w:tc>
        <w:tc>
          <w:tcPr>
            <w:tcW w:w="648" w:type="pct"/>
          </w:tcPr>
          <w:p w14:paraId="28C7FA00">
            <w:pPr>
              <w:jc w:val="center"/>
              <w:rPr>
                <w:color w:val="000000" w:themeColor="text1"/>
              </w:rPr>
            </w:pPr>
            <w:r>
              <w:rPr>
                <w:bCs/>
                <w:color w:val="000000" w:themeColor="text1"/>
                <w:szCs w:val="21"/>
                <w:lang w:val="zh-CN"/>
              </w:rPr>
              <w:t>1.0</w:t>
            </w:r>
          </w:p>
        </w:tc>
        <w:tc>
          <w:tcPr>
            <w:tcW w:w="648" w:type="pct"/>
          </w:tcPr>
          <w:p w14:paraId="141B789E">
            <w:pPr>
              <w:jc w:val="center"/>
              <w:rPr>
                <w:color w:val="000000" w:themeColor="text1"/>
              </w:rPr>
            </w:pPr>
            <w:r>
              <w:rPr>
                <w:bCs/>
                <w:color w:val="000000" w:themeColor="text1"/>
                <w:szCs w:val="21"/>
                <w:lang w:val="zh-CN"/>
              </w:rPr>
              <w:t>1.0</w:t>
            </w:r>
          </w:p>
        </w:tc>
        <w:tc>
          <w:tcPr>
            <w:tcW w:w="648" w:type="pct"/>
          </w:tcPr>
          <w:p w14:paraId="6E5274E1">
            <w:pPr>
              <w:jc w:val="center"/>
              <w:rPr>
                <w:color w:val="000000" w:themeColor="text1"/>
              </w:rPr>
            </w:pPr>
            <w:r>
              <w:rPr>
                <w:bCs/>
                <w:color w:val="000000" w:themeColor="text1"/>
                <w:szCs w:val="21"/>
                <w:lang w:val="zh-CN"/>
              </w:rPr>
              <w:t>1.0</w:t>
            </w:r>
          </w:p>
        </w:tc>
        <w:tc>
          <w:tcPr>
            <w:tcW w:w="648" w:type="pct"/>
          </w:tcPr>
          <w:p w14:paraId="65D3409A">
            <w:pPr>
              <w:jc w:val="center"/>
              <w:rPr>
                <w:color w:val="000000" w:themeColor="text1"/>
              </w:rPr>
            </w:pPr>
            <w:r>
              <w:rPr>
                <w:bCs/>
                <w:color w:val="000000" w:themeColor="text1"/>
                <w:szCs w:val="21"/>
                <w:lang w:val="zh-CN"/>
              </w:rPr>
              <w:t>1.0</w:t>
            </w:r>
          </w:p>
        </w:tc>
        <w:tc>
          <w:tcPr>
            <w:tcW w:w="625" w:type="pct"/>
          </w:tcPr>
          <w:p w14:paraId="7930FE48">
            <w:pPr>
              <w:jc w:val="center"/>
              <w:rPr>
                <w:color w:val="000000" w:themeColor="text1"/>
              </w:rPr>
            </w:pPr>
            <w:r>
              <w:rPr>
                <w:bCs/>
                <w:color w:val="000000" w:themeColor="text1"/>
                <w:szCs w:val="21"/>
                <w:lang w:val="zh-CN"/>
              </w:rPr>
              <w:t>1.0</w:t>
            </w:r>
          </w:p>
        </w:tc>
      </w:tr>
      <w:tr w14:paraId="6C1276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48A8C845">
            <w:pPr>
              <w:jc w:val="center"/>
              <w:rPr>
                <w:b/>
                <w:color w:val="000000" w:themeColor="text1"/>
                <w:szCs w:val="21"/>
              </w:rPr>
            </w:pPr>
          </w:p>
        </w:tc>
        <w:tc>
          <w:tcPr>
            <w:tcW w:w="873" w:type="pct"/>
            <w:vAlign w:val="center"/>
          </w:tcPr>
          <w:p w14:paraId="706CFA10">
            <w:pPr>
              <w:ind w:left="103" w:hanging="103" w:hangingChars="49"/>
              <w:jc w:val="center"/>
              <w:rPr>
                <w:b/>
                <w:bCs/>
                <w:color w:val="000000" w:themeColor="text1"/>
                <w:szCs w:val="21"/>
              </w:rPr>
            </w:pPr>
            <w:r>
              <w:rPr>
                <w:b/>
                <w:bCs/>
                <w:color w:val="000000" w:themeColor="text1"/>
                <w:szCs w:val="21"/>
              </w:rPr>
              <w:t>达标情况</w:t>
            </w:r>
          </w:p>
        </w:tc>
        <w:tc>
          <w:tcPr>
            <w:tcW w:w="648" w:type="pct"/>
            <w:vAlign w:val="center"/>
          </w:tcPr>
          <w:p w14:paraId="2D827299">
            <w:pPr>
              <w:ind w:left="103" w:hanging="103" w:hangingChars="49"/>
              <w:jc w:val="center"/>
              <w:rPr>
                <w:b/>
                <w:bCs/>
                <w:color w:val="000000" w:themeColor="text1"/>
                <w:szCs w:val="21"/>
              </w:rPr>
            </w:pPr>
            <w:r>
              <w:rPr>
                <w:b/>
                <w:bCs/>
                <w:color w:val="000000" w:themeColor="text1"/>
                <w:szCs w:val="21"/>
              </w:rPr>
              <w:t>达标</w:t>
            </w:r>
          </w:p>
        </w:tc>
        <w:tc>
          <w:tcPr>
            <w:tcW w:w="648" w:type="pct"/>
          </w:tcPr>
          <w:p w14:paraId="5CA8095B">
            <w:pPr>
              <w:jc w:val="center"/>
              <w:rPr>
                <w:b/>
                <w:color w:val="000000" w:themeColor="text1"/>
              </w:rPr>
            </w:pPr>
            <w:r>
              <w:rPr>
                <w:b/>
                <w:bCs/>
                <w:color w:val="000000" w:themeColor="text1"/>
                <w:szCs w:val="21"/>
              </w:rPr>
              <w:t>达标</w:t>
            </w:r>
          </w:p>
        </w:tc>
        <w:tc>
          <w:tcPr>
            <w:tcW w:w="648" w:type="pct"/>
          </w:tcPr>
          <w:p w14:paraId="37D3C162">
            <w:pPr>
              <w:jc w:val="center"/>
              <w:rPr>
                <w:b/>
                <w:color w:val="000000" w:themeColor="text1"/>
              </w:rPr>
            </w:pPr>
            <w:r>
              <w:rPr>
                <w:b/>
                <w:bCs/>
                <w:color w:val="000000" w:themeColor="text1"/>
                <w:szCs w:val="21"/>
              </w:rPr>
              <w:t>达标</w:t>
            </w:r>
          </w:p>
        </w:tc>
        <w:tc>
          <w:tcPr>
            <w:tcW w:w="648" w:type="pct"/>
          </w:tcPr>
          <w:p w14:paraId="027267C9">
            <w:pPr>
              <w:jc w:val="center"/>
              <w:rPr>
                <w:b/>
                <w:color w:val="000000" w:themeColor="text1"/>
              </w:rPr>
            </w:pPr>
            <w:r>
              <w:rPr>
                <w:b/>
                <w:bCs/>
                <w:color w:val="000000" w:themeColor="text1"/>
                <w:szCs w:val="21"/>
              </w:rPr>
              <w:t>达标</w:t>
            </w:r>
          </w:p>
        </w:tc>
        <w:tc>
          <w:tcPr>
            <w:tcW w:w="648" w:type="pct"/>
          </w:tcPr>
          <w:p w14:paraId="77188C18">
            <w:pPr>
              <w:jc w:val="center"/>
              <w:rPr>
                <w:b/>
                <w:color w:val="000000" w:themeColor="text1"/>
              </w:rPr>
            </w:pPr>
            <w:r>
              <w:rPr>
                <w:b/>
                <w:bCs/>
                <w:color w:val="000000" w:themeColor="text1"/>
                <w:szCs w:val="21"/>
              </w:rPr>
              <w:t>达标</w:t>
            </w:r>
          </w:p>
        </w:tc>
        <w:tc>
          <w:tcPr>
            <w:tcW w:w="625" w:type="pct"/>
          </w:tcPr>
          <w:p w14:paraId="16CCFB2A">
            <w:pPr>
              <w:jc w:val="center"/>
              <w:rPr>
                <w:b/>
                <w:color w:val="000000" w:themeColor="text1"/>
              </w:rPr>
            </w:pPr>
            <w:r>
              <w:rPr>
                <w:b/>
                <w:bCs/>
                <w:color w:val="000000" w:themeColor="text1"/>
                <w:szCs w:val="21"/>
              </w:rPr>
              <w:t>达标</w:t>
            </w:r>
          </w:p>
        </w:tc>
      </w:tr>
      <w:tr w14:paraId="015609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654DF60C">
            <w:pPr>
              <w:jc w:val="center"/>
              <w:rPr>
                <w:b/>
                <w:color w:val="000000" w:themeColor="text1"/>
                <w:szCs w:val="21"/>
              </w:rPr>
            </w:pPr>
          </w:p>
        </w:tc>
        <w:tc>
          <w:tcPr>
            <w:tcW w:w="873" w:type="pct"/>
            <w:vAlign w:val="center"/>
          </w:tcPr>
          <w:p w14:paraId="69B238D1">
            <w:pPr>
              <w:ind w:left="103" w:hanging="102" w:hangingChars="49"/>
              <w:jc w:val="center"/>
              <w:rPr>
                <w:bCs/>
                <w:color w:val="000000" w:themeColor="text1"/>
                <w:szCs w:val="21"/>
              </w:rPr>
            </w:pPr>
            <w:r>
              <w:rPr>
                <w:bCs/>
                <w:color w:val="000000" w:themeColor="text1"/>
                <w:szCs w:val="21"/>
              </w:rPr>
              <w:t>总磷</w:t>
            </w:r>
          </w:p>
        </w:tc>
        <w:tc>
          <w:tcPr>
            <w:tcW w:w="648" w:type="pct"/>
            <w:vAlign w:val="center"/>
          </w:tcPr>
          <w:p w14:paraId="19BB00CD">
            <w:pPr>
              <w:ind w:left="103" w:hanging="102" w:hangingChars="49"/>
              <w:jc w:val="center"/>
              <w:rPr>
                <w:bCs/>
                <w:color w:val="000000" w:themeColor="text1"/>
                <w:szCs w:val="21"/>
              </w:rPr>
            </w:pPr>
            <w:r>
              <w:rPr>
                <w:bCs/>
                <w:color w:val="000000" w:themeColor="text1"/>
                <w:szCs w:val="21"/>
              </w:rPr>
              <w:t>0.13</w:t>
            </w:r>
          </w:p>
        </w:tc>
        <w:tc>
          <w:tcPr>
            <w:tcW w:w="648" w:type="pct"/>
            <w:vAlign w:val="center"/>
          </w:tcPr>
          <w:p w14:paraId="57FE25FE">
            <w:pPr>
              <w:ind w:left="103" w:hanging="102" w:hangingChars="49"/>
              <w:jc w:val="center"/>
              <w:rPr>
                <w:bCs/>
                <w:color w:val="000000" w:themeColor="text1"/>
                <w:szCs w:val="21"/>
              </w:rPr>
            </w:pPr>
            <w:r>
              <w:rPr>
                <w:bCs/>
                <w:color w:val="000000" w:themeColor="text1"/>
                <w:szCs w:val="21"/>
              </w:rPr>
              <w:t>0.12</w:t>
            </w:r>
          </w:p>
        </w:tc>
        <w:tc>
          <w:tcPr>
            <w:tcW w:w="648" w:type="pct"/>
            <w:vAlign w:val="center"/>
          </w:tcPr>
          <w:p w14:paraId="1CF04E9C">
            <w:pPr>
              <w:ind w:left="103" w:hanging="102" w:hangingChars="49"/>
              <w:jc w:val="center"/>
              <w:rPr>
                <w:bCs/>
                <w:color w:val="000000" w:themeColor="text1"/>
                <w:szCs w:val="21"/>
              </w:rPr>
            </w:pPr>
            <w:r>
              <w:rPr>
                <w:bCs/>
                <w:color w:val="000000" w:themeColor="text1"/>
                <w:szCs w:val="21"/>
              </w:rPr>
              <w:t>0.13</w:t>
            </w:r>
          </w:p>
        </w:tc>
        <w:tc>
          <w:tcPr>
            <w:tcW w:w="648" w:type="pct"/>
            <w:vAlign w:val="center"/>
          </w:tcPr>
          <w:p w14:paraId="1D62C131">
            <w:pPr>
              <w:ind w:left="103" w:hanging="102" w:hangingChars="49"/>
              <w:jc w:val="center"/>
              <w:rPr>
                <w:bCs/>
                <w:color w:val="000000" w:themeColor="text1"/>
                <w:szCs w:val="21"/>
              </w:rPr>
            </w:pPr>
            <w:r>
              <w:rPr>
                <w:bCs/>
                <w:color w:val="000000" w:themeColor="text1"/>
                <w:szCs w:val="21"/>
              </w:rPr>
              <w:t>0.06</w:t>
            </w:r>
          </w:p>
        </w:tc>
        <w:tc>
          <w:tcPr>
            <w:tcW w:w="648" w:type="pct"/>
            <w:vAlign w:val="center"/>
          </w:tcPr>
          <w:p w14:paraId="6388C3EB">
            <w:pPr>
              <w:ind w:left="103" w:hanging="102" w:hangingChars="49"/>
              <w:jc w:val="center"/>
              <w:rPr>
                <w:bCs/>
                <w:color w:val="000000" w:themeColor="text1"/>
                <w:szCs w:val="21"/>
              </w:rPr>
            </w:pPr>
            <w:r>
              <w:rPr>
                <w:bCs/>
                <w:color w:val="000000" w:themeColor="text1"/>
                <w:szCs w:val="21"/>
              </w:rPr>
              <w:t>0.05</w:t>
            </w:r>
          </w:p>
        </w:tc>
        <w:tc>
          <w:tcPr>
            <w:tcW w:w="625" w:type="pct"/>
            <w:vAlign w:val="center"/>
          </w:tcPr>
          <w:p w14:paraId="2E02C622">
            <w:pPr>
              <w:ind w:left="103" w:hanging="102" w:hangingChars="49"/>
              <w:jc w:val="center"/>
              <w:rPr>
                <w:bCs/>
                <w:color w:val="000000" w:themeColor="text1"/>
                <w:szCs w:val="21"/>
              </w:rPr>
            </w:pPr>
            <w:r>
              <w:rPr>
                <w:bCs/>
                <w:color w:val="000000" w:themeColor="text1"/>
                <w:szCs w:val="21"/>
              </w:rPr>
              <w:t>0.06</w:t>
            </w:r>
          </w:p>
        </w:tc>
      </w:tr>
      <w:tr w14:paraId="231CDA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3F91B81E">
            <w:pPr>
              <w:jc w:val="center"/>
              <w:rPr>
                <w:b/>
                <w:color w:val="000000" w:themeColor="text1"/>
                <w:szCs w:val="21"/>
              </w:rPr>
            </w:pPr>
          </w:p>
        </w:tc>
        <w:tc>
          <w:tcPr>
            <w:tcW w:w="873" w:type="pct"/>
            <w:vAlign w:val="center"/>
          </w:tcPr>
          <w:p w14:paraId="07099FEB">
            <w:pPr>
              <w:ind w:left="103" w:hanging="102" w:hangingChars="49"/>
              <w:jc w:val="center"/>
              <w:rPr>
                <w:bCs/>
                <w:color w:val="000000" w:themeColor="text1"/>
                <w:szCs w:val="21"/>
              </w:rPr>
            </w:pPr>
            <w:r>
              <w:rPr>
                <w:bCs/>
                <w:color w:val="000000" w:themeColor="text1"/>
                <w:szCs w:val="21"/>
              </w:rPr>
              <w:t>标准</w:t>
            </w:r>
          </w:p>
        </w:tc>
        <w:tc>
          <w:tcPr>
            <w:tcW w:w="648" w:type="pct"/>
          </w:tcPr>
          <w:p w14:paraId="3A5B0828">
            <w:pPr>
              <w:jc w:val="center"/>
              <w:rPr>
                <w:color w:val="000000" w:themeColor="text1"/>
              </w:rPr>
            </w:pPr>
            <w:r>
              <w:rPr>
                <w:bCs/>
                <w:color w:val="000000" w:themeColor="text1"/>
                <w:szCs w:val="32"/>
                <w:lang w:val="zh-CN"/>
              </w:rPr>
              <w:t>0.2</w:t>
            </w:r>
          </w:p>
        </w:tc>
        <w:tc>
          <w:tcPr>
            <w:tcW w:w="648" w:type="pct"/>
          </w:tcPr>
          <w:p w14:paraId="536D27D8">
            <w:pPr>
              <w:jc w:val="center"/>
              <w:rPr>
                <w:color w:val="000000" w:themeColor="text1"/>
              </w:rPr>
            </w:pPr>
            <w:r>
              <w:rPr>
                <w:bCs/>
                <w:color w:val="000000" w:themeColor="text1"/>
                <w:szCs w:val="32"/>
                <w:lang w:val="zh-CN"/>
              </w:rPr>
              <w:t>0.2</w:t>
            </w:r>
          </w:p>
        </w:tc>
        <w:tc>
          <w:tcPr>
            <w:tcW w:w="648" w:type="pct"/>
          </w:tcPr>
          <w:p w14:paraId="2B45E4B9">
            <w:pPr>
              <w:jc w:val="center"/>
              <w:rPr>
                <w:color w:val="000000" w:themeColor="text1"/>
              </w:rPr>
            </w:pPr>
            <w:r>
              <w:rPr>
                <w:bCs/>
                <w:color w:val="000000" w:themeColor="text1"/>
                <w:szCs w:val="32"/>
                <w:lang w:val="zh-CN"/>
              </w:rPr>
              <w:t>0.2</w:t>
            </w:r>
          </w:p>
        </w:tc>
        <w:tc>
          <w:tcPr>
            <w:tcW w:w="648" w:type="pct"/>
          </w:tcPr>
          <w:p w14:paraId="19AEA173">
            <w:pPr>
              <w:jc w:val="center"/>
              <w:rPr>
                <w:color w:val="000000" w:themeColor="text1"/>
              </w:rPr>
            </w:pPr>
            <w:r>
              <w:rPr>
                <w:bCs/>
                <w:color w:val="000000" w:themeColor="text1"/>
                <w:szCs w:val="32"/>
                <w:lang w:val="zh-CN"/>
              </w:rPr>
              <w:t>0.2</w:t>
            </w:r>
          </w:p>
        </w:tc>
        <w:tc>
          <w:tcPr>
            <w:tcW w:w="648" w:type="pct"/>
          </w:tcPr>
          <w:p w14:paraId="63A25FD6">
            <w:pPr>
              <w:jc w:val="center"/>
              <w:rPr>
                <w:color w:val="000000" w:themeColor="text1"/>
              </w:rPr>
            </w:pPr>
            <w:r>
              <w:rPr>
                <w:bCs/>
                <w:color w:val="000000" w:themeColor="text1"/>
                <w:szCs w:val="32"/>
                <w:lang w:val="zh-CN"/>
              </w:rPr>
              <w:t>0.2</w:t>
            </w:r>
          </w:p>
        </w:tc>
        <w:tc>
          <w:tcPr>
            <w:tcW w:w="625" w:type="pct"/>
          </w:tcPr>
          <w:p w14:paraId="4BB99D69">
            <w:pPr>
              <w:jc w:val="center"/>
              <w:rPr>
                <w:color w:val="000000" w:themeColor="text1"/>
              </w:rPr>
            </w:pPr>
            <w:r>
              <w:rPr>
                <w:bCs/>
                <w:color w:val="000000" w:themeColor="text1"/>
                <w:szCs w:val="32"/>
                <w:lang w:val="zh-CN"/>
              </w:rPr>
              <w:t>0.2</w:t>
            </w:r>
          </w:p>
        </w:tc>
      </w:tr>
      <w:tr w14:paraId="6CFCDC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58A2CEA7">
            <w:pPr>
              <w:jc w:val="center"/>
              <w:rPr>
                <w:b/>
                <w:color w:val="000000" w:themeColor="text1"/>
                <w:szCs w:val="21"/>
              </w:rPr>
            </w:pPr>
          </w:p>
        </w:tc>
        <w:tc>
          <w:tcPr>
            <w:tcW w:w="873" w:type="pct"/>
            <w:vAlign w:val="center"/>
          </w:tcPr>
          <w:p w14:paraId="6C13D8F5">
            <w:pPr>
              <w:ind w:left="103" w:hanging="103" w:hangingChars="49"/>
              <w:jc w:val="center"/>
              <w:rPr>
                <w:b/>
                <w:bCs/>
                <w:color w:val="000000" w:themeColor="text1"/>
                <w:szCs w:val="21"/>
              </w:rPr>
            </w:pPr>
            <w:r>
              <w:rPr>
                <w:b/>
                <w:bCs/>
                <w:color w:val="000000" w:themeColor="text1"/>
                <w:szCs w:val="21"/>
              </w:rPr>
              <w:t>达标情况</w:t>
            </w:r>
          </w:p>
        </w:tc>
        <w:tc>
          <w:tcPr>
            <w:tcW w:w="648" w:type="pct"/>
            <w:vAlign w:val="center"/>
          </w:tcPr>
          <w:p w14:paraId="7B22F163">
            <w:pPr>
              <w:ind w:left="103" w:hanging="103" w:hangingChars="49"/>
              <w:jc w:val="center"/>
              <w:rPr>
                <w:b/>
                <w:bCs/>
                <w:color w:val="000000" w:themeColor="text1"/>
                <w:szCs w:val="21"/>
              </w:rPr>
            </w:pPr>
            <w:r>
              <w:rPr>
                <w:b/>
                <w:bCs/>
                <w:color w:val="000000" w:themeColor="text1"/>
                <w:szCs w:val="21"/>
              </w:rPr>
              <w:t>达标</w:t>
            </w:r>
          </w:p>
        </w:tc>
        <w:tc>
          <w:tcPr>
            <w:tcW w:w="648" w:type="pct"/>
          </w:tcPr>
          <w:p w14:paraId="3D89F9AF">
            <w:pPr>
              <w:jc w:val="center"/>
              <w:rPr>
                <w:b/>
                <w:color w:val="000000" w:themeColor="text1"/>
              </w:rPr>
            </w:pPr>
            <w:r>
              <w:rPr>
                <w:b/>
                <w:bCs/>
                <w:color w:val="000000" w:themeColor="text1"/>
                <w:szCs w:val="21"/>
              </w:rPr>
              <w:t>达标</w:t>
            </w:r>
          </w:p>
        </w:tc>
        <w:tc>
          <w:tcPr>
            <w:tcW w:w="648" w:type="pct"/>
          </w:tcPr>
          <w:p w14:paraId="00B810FA">
            <w:pPr>
              <w:jc w:val="center"/>
              <w:rPr>
                <w:b/>
                <w:color w:val="000000" w:themeColor="text1"/>
              </w:rPr>
            </w:pPr>
            <w:r>
              <w:rPr>
                <w:b/>
                <w:bCs/>
                <w:color w:val="000000" w:themeColor="text1"/>
                <w:szCs w:val="21"/>
              </w:rPr>
              <w:t>达标</w:t>
            </w:r>
          </w:p>
        </w:tc>
        <w:tc>
          <w:tcPr>
            <w:tcW w:w="648" w:type="pct"/>
          </w:tcPr>
          <w:p w14:paraId="436FB68C">
            <w:pPr>
              <w:jc w:val="center"/>
              <w:rPr>
                <w:b/>
                <w:color w:val="000000" w:themeColor="text1"/>
              </w:rPr>
            </w:pPr>
            <w:r>
              <w:rPr>
                <w:b/>
                <w:bCs/>
                <w:color w:val="000000" w:themeColor="text1"/>
                <w:szCs w:val="21"/>
              </w:rPr>
              <w:t>达标</w:t>
            </w:r>
          </w:p>
        </w:tc>
        <w:tc>
          <w:tcPr>
            <w:tcW w:w="648" w:type="pct"/>
          </w:tcPr>
          <w:p w14:paraId="4791FFC2">
            <w:pPr>
              <w:jc w:val="center"/>
              <w:rPr>
                <w:b/>
                <w:color w:val="000000" w:themeColor="text1"/>
              </w:rPr>
            </w:pPr>
            <w:r>
              <w:rPr>
                <w:b/>
                <w:bCs/>
                <w:color w:val="000000" w:themeColor="text1"/>
                <w:szCs w:val="21"/>
              </w:rPr>
              <w:t>达标</w:t>
            </w:r>
          </w:p>
        </w:tc>
        <w:tc>
          <w:tcPr>
            <w:tcW w:w="625" w:type="pct"/>
          </w:tcPr>
          <w:p w14:paraId="3B04D7E3">
            <w:pPr>
              <w:jc w:val="center"/>
              <w:rPr>
                <w:b/>
                <w:color w:val="000000" w:themeColor="text1"/>
              </w:rPr>
            </w:pPr>
            <w:r>
              <w:rPr>
                <w:b/>
                <w:bCs/>
                <w:color w:val="000000" w:themeColor="text1"/>
                <w:szCs w:val="21"/>
              </w:rPr>
              <w:t>达标</w:t>
            </w:r>
          </w:p>
        </w:tc>
      </w:tr>
      <w:tr w14:paraId="18970F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15A24A13">
            <w:pPr>
              <w:jc w:val="center"/>
              <w:rPr>
                <w:b/>
                <w:bCs/>
                <w:color w:val="000000" w:themeColor="text1"/>
                <w:szCs w:val="21"/>
              </w:rPr>
            </w:pPr>
          </w:p>
        </w:tc>
        <w:tc>
          <w:tcPr>
            <w:tcW w:w="873" w:type="pct"/>
            <w:vAlign w:val="center"/>
          </w:tcPr>
          <w:p w14:paraId="655CD9B9">
            <w:pPr>
              <w:ind w:left="103" w:hanging="102" w:hangingChars="49"/>
              <w:jc w:val="center"/>
              <w:rPr>
                <w:bCs/>
                <w:color w:val="000000" w:themeColor="text1"/>
                <w:szCs w:val="21"/>
              </w:rPr>
            </w:pPr>
            <w:r>
              <w:rPr>
                <w:bCs/>
                <w:color w:val="000000" w:themeColor="text1"/>
                <w:szCs w:val="21"/>
              </w:rPr>
              <w:t>石油类</w:t>
            </w:r>
          </w:p>
        </w:tc>
        <w:tc>
          <w:tcPr>
            <w:tcW w:w="648" w:type="pct"/>
            <w:vAlign w:val="center"/>
          </w:tcPr>
          <w:p w14:paraId="2BD22869">
            <w:pPr>
              <w:ind w:left="103" w:hanging="102" w:hangingChars="49"/>
              <w:jc w:val="center"/>
              <w:rPr>
                <w:bCs/>
                <w:color w:val="000000" w:themeColor="text1"/>
                <w:szCs w:val="21"/>
              </w:rPr>
            </w:pPr>
            <w:r>
              <w:rPr>
                <w:bCs/>
                <w:color w:val="000000" w:themeColor="text1"/>
                <w:szCs w:val="21"/>
              </w:rPr>
              <w:t>0.01</w:t>
            </w:r>
          </w:p>
        </w:tc>
        <w:tc>
          <w:tcPr>
            <w:tcW w:w="648" w:type="pct"/>
            <w:vAlign w:val="center"/>
          </w:tcPr>
          <w:p w14:paraId="14CF0804">
            <w:pPr>
              <w:ind w:left="103" w:hanging="102" w:hangingChars="49"/>
              <w:jc w:val="center"/>
              <w:rPr>
                <w:bCs/>
                <w:color w:val="000000" w:themeColor="text1"/>
                <w:szCs w:val="21"/>
              </w:rPr>
            </w:pPr>
            <w:r>
              <w:rPr>
                <w:bCs/>
                <w:color w:val="000000" w:themeColor="text1"/>
                <w:szCs w:val="21"/>
              </w:rPr>
              <w:t>0.02</w:t>
            </w:r>
          </w:p>
        </w:tc>
        <w:tc>
          <w:tcPr>
            <w:tcW w:w="648" w:type="pct"/>
            <w:vAlign w:val="center"/>
          </w:tcPr>
          <w:p w14:paraId="2F89BD65">
            <w:pPr>
              <w:ind w:left="103" w:hanging="102" w:hangingChars="49"/>
              <w:jc w:val="center"/>
              <w:rPr>
                <w:bCs/>
                <w:color w:val="000000" w:themeColor="text1"/>
                <w:szCs w:val="21"/>
              </w:rPr>
            </w:pPr>
            <w:r>
              <w:rPr>
                <w:bCs/>
                <w:color w:val="000000" w:themeColor="text1"/>
                <w:szCs w:val="21"/>
              </w:rPr>
              <w:t>0.01</w:t>
            </w:r>
          </w:p>
        </w:tc>
        <w:tc>
          <w:tcPr>
            <w:tcW w:w="648" w:type="pct"/>
            <w:vAlign w:val="center"/>
          </w:tcPr>
          <w:p w14:paraId="159C0BB7">
            <w:pPr>
              <w:ind w:left="103" w:hanging="102" w:hangingChars="49"/>
              <w:jc w:val="center"/>
              <w:rPr>
                <w:bCs/>
                <w:color w:val="000000" w:themeColor="text1"/>
                <w:szCs w:val="21"/>
              </w:rPr>
            </w:pPr>
            <w:r>
              <w:rPr>
                <w:bCs/>
                <w:color w:val="000000" w:themeColor="text1"/>
                <w:szCs w:val="21"/>
              </w:rPr>
              <w:t>0.02</w:t>
            </w:r>
          </w:p>
        </w:tc>
        <w:tc>
          <w:tcPr>
            <w:tcW w:w="648" w:type="pct"/>
            <w:vAlign w:val="center"/>
          </w:tcPr>
          <w:p w14:paraId="03F81CCB">
            <w:pPr>
              <w:ind w:left="103" w:hanging="102" w:hangingChars="49"/>
              <w:jc w:val="center"/>
              <w:rPr>
                <w:bCs/>
                <w:color w:val="000000" w:themeColor="text1"/>
                <w:szCs w:val="21"/>
              </w:rPr>
            </w:pPr>
            <w:r>
              <w:rPr>
                <w:bCs/>
                <w:color w:val="000000" w:themeColor="text1"/>
                <w:szCs w:val="21"/>
              </w:rPr>
              <w:t>0.02</w:t>
            </w:r>
          </w:p>
        </w:tc>
        <w:tc>
          <w:tcPr>
            <w:tcW w:w="625" w:type="pct"/>
            <w:vAlign w:val="center"/>
          </w:tcPr>
          <w:p w14:paraId="77C30B0B">
            <w:pPr>
              <w:ind w:left="103" w:hanging="102" w:hangingChars="49"/>
              <w:jc w:val="center"/>
              <w:rPr>
                <w:bCs/>
                <w:color w:val="000000" w:themeColor="text1"/>
                <w:szCs w:val="21"/>
              </w:rPr>
            </w:pPr>
            <w:r>
              <w:rPr>
                <w:bCs/>
                <w:color w:val="000000" w:themeColor="text1"/>
                <w:szCs w:val="21"/>
              </w:rPr>
              <w:t>0.02</w:t>
            </w:r>
          </w:p>
        </w:tc>
      </w:tr>
      <w:tr w14:paraId="6950F5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5080BA4D">
            <w:pPr>
              <w:jc w:val="center"/>
              <w:rPr>
                <w:b/>
                <w:bCs/>
                <w:color w:val="000000" w:themeColor="text1"/>
                <w:szCs w:val="21"/>
              </w:rPr>
            </w:pPr>
          </w:p>
        </w:tc>
        <w:tc>
          <w:tcPr>
            <w:tcW w:w="873" w:type="pct"/>
            <w:vAlign w:val="center"/>
          </w:tcPr>
          <w:p w14:paraId="699AF227">
            <w:pPr>
              <w:ind w:left="103" w:hanging="102" w:hangingChars="49"/>
              <w:jc w:val="center"/>
              <w:rPr>
                <w:bCs/>
                <w:color w:val="000000" w:themeColor="text1"/>
                <w:szCs w:val="21"/>
              </w:rPr>
            </w:pPr>
            <w:r>
              <w:rPr>
                <w:bCs/>
                <w:color w:val="000000" w:themeColor="text1"/>
                <w:szCs w:val="21"/>
              </w:rPr>
              <w:t>标准</w:t>
            </w:r>
          </w:p>
        </w:tc>
        <w:tc>
          <w:tcPr>
            <w:tcW w:w="648" w:type="pct"/>
          </w:tcPr>
          <w:p w14:paraId="1209EF22">
            <w:pPr>
              <w:jc w:val="center"/>
              <w:rPr>
                <w:color w:val="000000" w:themeColor="text1"/>
              </w:rPr>
            </w:pPr>
            <w:r>
              <w:rPr>
                <w:bCs/>
                <w:color w:val="000000" w:themeColor="text1"/>
                <w:szCs w:val="21"/>
                <w:lang w:val="zh-CN"/>
              </w:rPr>
              <w:t>0.05</w:t>
            </w:r>
          </w:p>
        </w:tc>
        <w:tc>
          <w:tcPr>
            <w:tcW w:w="648" w:type="pct"/>
          </w:tcPr>
          <w:p w14:paraId="6CE20C75">
            <w:pPr>
              <w:jc w:val="center"/>
              <w:rPr>
                <w:color w:val="000000" w:themeColor="text1"/>
              </w:rPr>
            </w:pPr>
            <w:r>
              <w:rPr>
                <w:bCs/>
                <w:color w:val="000000" w:themeColor="text1"/>
                <w:szCs w:val="21"/>
                <w:lang w:val="zh-CN"/>
              </w:rPr>
              <w:t>0.05</w:t>
            </w:r>
          </w:p>
        </w:tc>
        <w:tc>
          <w:tcPr>
            <w:tcW w:w="648" w:type="pct"/>
          </w:tcPr>
          <w:p w14:paraId="03427472">
            <w:pPr>
              <w:jc w:val="center"/>
              <w:rPr>
                <w:color w:val="000000" w:themeColor="text1"/>
              </w:rPr>
            </w:pPr>
            <w:r>
              <w:rPr>
                <w:bCs/>
                <w:color w:val="000000" w:themeColor="text1"/>
                <w:szCs w:val="21"/>
                <w:lang w:val="zh-CN"/>
              </w:rPr>
              <w:t>0.05</w:t>
            </w:r>
          </w:p>
        </w:tc>
        <w:tc>
          <w:tcPr>
            <w:tcW w:w="648" w:type="pct"/>
          </w:tcPr>
          <w:p w14:paraId="60F18A03">
            <w:pPr>
              <w:jc w:val="center"/>
              <w:rPr>
                <w:color w:val="000000" w:themeColor="text1"/>
              </w:rPr>
            </w:pPr>
            <w:r>
              <w:rPr>
                <w:bCs/>
                <w:color w:val="000000" w:themeColor="text1"/>
                <w:szCs w:val="21"/>
                <w:lang w:val="zh-CN"/>
              </w:rPr>
              <w:t>0.05</w:t>
            </w:r>
          </w:p>
        </w:tc>
        <w:tc>
          <w:tcPr>
            <w:tcW w:w="648" w:type="pct"/>
          </w:tcPr>
          <w:p w14:paraId="2F26E2F9">
            <w:pPr>
              <w:jc w:val="center"/>
              <w:rPr>
                <w:color w:val="000000" w:themeColor="text1"/>
              </w:rPr>
            </w:pPr>
            <w:r>
              <w:rPr>
                <w:bCs/>
                <w:color w:val="000000" w:themeColor="text1"/>
                <w:szCs w:val="21"/>
                <w:lang w:val="zh-CN"/>
              </w:rPr>
              <w:t>0.05</w:t>
            </w:r>
          </w:p>
        </w:tc>
        <w:tc>
          <w:tcPr>
            <w:tcW w:w="625" w:type="pct"/>
          </w:tcPr>
          <w:p w14:paraId="28278E48">
            <w:pPr>
              <w:jc w:val="center"/>
              <w:rPr>
                <w:color w:val="000000" w:themeColor="text1"/>
              </w:rPr>
            </w:pPr>
            <w:r>
              <w:rPr>
                <w:bCs/>
                <w:color w:val="000000" w:themeColor="text1"/>
                <w:szCs w:val="21"/>
                <w:lang w:val="zh-CN"/>
              </w:rPr>
              <w:t>0.05</w:t>
            </w:r>
          </w:p>
        </w:tc>
      </w:tr>
      <w:tr w14:paraId="7C3C93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2E9C6C55">
            <w:pPr>
              <w:jc w:val="center"/>
              <w:rPr>
                <w:b/>
                <w:bCs/>
                <w:color w:val="000000" w:themeColor="text1"/>
                <w:szCs w:val="21"/>
              </w:rPr>
            </w:pPr>
          </w:p>
        </w:tc>
        <w:tc>
          <w:tcPr>
            <w:tcW w:w="873" w:type="pct"/>
            <w:vAlign w:val="center"/>
          </w:tcPr>
          <w:p w14:paraId="7A2A80CA">
            <w:pPr>
              <w:ind w:left="103" w:hanging="103" w:hangingChars="49"/>
              <w:jc w:val="center"/>
              <w:rPr>
                <w:b/>
                <w:bCs/>
                <w:color w:val="000000" w:themeColor="text1"/>
                <w:szCs w:val="21"/>
              </w:rPr>
            </w:pPr>
            <w:r>
              <w:rPr>
                <w:b/>
                <w:bCs/>
                <w:color w:val="000000" w:themeColor="text1"/>
                <w:szCs w:val="21"/>
              </w:rPr>
              <w:t>达标情况</w:t>
            </w:r>
          </w:p>
        </w:tc>
        <w:tc>
          <w:tcPr>
            <w:tcW w:w="648" w:type="pct"/>
            <w:vAlign w:val="center"/>
          </w:tcPr>
          <w:p w14:paraId="59AEB7F9">
            <w:pPr>
              <w:ind w:left="103" w:hanging="103" w:hangingChars="49"/>
              <w:jc w:val="center"/>
              <w:rPr>
                <w:b/>
                <w:bCs/>
                <w:color w:val="000000" w:themeColor="text1"/>
                <w:szCs w:val="21"/>
              </w:rPr>
            </w:pPr>
            <w:r>
              <w:rPr>
                <w:b/>
                <w:bCs/>
                <w:color w:val="000000" w:themeColor="text1"/>
                <w:szCs w:val="21"/>
              </w:rPr>
              <w:t>达标</w:t>
            </w:r>
          </w:p>
        </w:tc>
        <w:tc>
          <w:tcPr>
            <w:tcW w:w="648" w:type="pct"/>
          </w:tcPr>
          <w:p w14:paraId="3FDC37AE">
            <w:pPr>
              <w:jc w:val="center"/>
              <w:rPr>
                <w:b/>
                <w:color w:val="000000" w:themeColor="text1"/>
              </w:rPr>
            </w:pPr>
            <w:r>
              <w:rPr>
                <w:b/>
                <w:bCs/>
                <w:color w:val="000000" w:themeColor="text1"/>
                <w:szCs w:val="21"/>
              </w:rPr>
              <w:t>达标</w:t>
            </w:r>
          </w:p>
        </w:tc>
        <w:tc>
          <w:tcPr>
            <w:tcW w:w="648" w:type="pct"/>
          </w:tcPr>
          <w:p w14:paraId="1AB7547F">
            <w:pPr>
              <w:jc w:val="center"/>
              <w:rPr>
                <w:b/>
                <w:color w:val="000000" w:themeColor="text1"/>
              </w:rPr>
            </w:pPr>
            <w:r>
              <w:rPr>
                <w:b/>
                <w:bCs/>
                <w:color w:val="000000" w:themeColor="text1"/>
                <w:szCs w:val="21"/>
              </w:rPr>
              <w:t>达标</w:t>
            </w:r>
          </w:p>
        </w:tc>
        <w:tc>
          <w:tcPr>
            <w:tcW w:w="648" w:type="pct"/>
          </w:tcPr>
          <w:p w14:paraId="4CF1A619">
            <w:pPr>
              <w:jc w:val="center"/>
              <w:rPr>
                <w:b/>
                <w:color w:val="000000" w:themeColor="text1"/>
              </w:rPr>
            </w:pPr>
            <w:r>
              <w:rPr>
                <w:b/>
                <w:bCs/>
                <w:color w:val="000000" w:themeColor="text1"/>
                <w:szCs w:val="21"/>
              </w:rPr>
              <w:t>达标</w:t>
            </w:r>
          </w:p>
        </w:tc>
        <w:tc>
          <w:tcPr>
            <w:tcW w:w="648" w:type="pct"/>
          </w:tcPr>
          <w:p w14:paraId="717A7DA0">
            <w:pPr>
              <w:jc w:val="center"/>
              <w:rPr>
                <w:b/>
                <w:color w:val="000000" w:themeColor="text1"/>
              </w:rPr>
            </w:pPr>
            <w:r>
              <w:rPr>
                <w:b/>
                <w:bCs/>
                <w:color w:val="000000" w:themeColor="text1"/>
                <w:szCs w:val="21"/>
              </w:rPr>
              <w:t>达标</w:t>
            </w:r>
          </w:p>
        </w:tc>
        <w:tc>
          <w:tcPr>
            <w:tcW w:w="625" w:type="pct"/>
          </w:tcPr>
          <w:p w14:paraId="6E07DDB7">
            <w:pPr>
              <w:jc w:val="center"/>
              <w:rPr>
                <w:b/>
                <w:color w:val="000000" w:themeColor="text1"/>
              </w:rPr>
            </w:pPr>
            <w:r>
              <w:rPr>
                <w:b/>
                <w:bCs/>
                <w:color w:val="000000" w:themeColor="text1"/>
                <w:szCs w:val="21"/>
              </w:rPr>
              <w:t>达标</w:t>
            </w:r>
          </w:p>
        </w:tc>
      </w:tr>
      <w:tr w14:paraId="40C44D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5000" w:type="pct"/>
            <w:gridSpan w:val="8"/>
            <w:vAlign w:val="center"/>
          </w:tcPr>
          <w:p w14:paraId="3C044B41">
            <w:pPr>
              <w:jc w:val="left"/>
              <w:rPr>
                <w:b/>
                <w:bCs/>
                <w:color w:val="000000" w:themeColor="text1"/>
                <w:szCs w:val="21"/>
              </w:rPr>
            </w:pPr>
            <w:r>
              <w:rPr>
                <w:b/>
                <w:bCs/>
                <w:color w:val="FF0000"/>
                <w:szCs w:val="21"/>
              </w:rPr>
              <w:t>备注</w:t>
            </w:r>
            <w:r>
              <w:rPr>
                <w:b/>
                <w:bCs/>
                <w:color w:val="000000" w:themeColor="text1"/>
                <w:szCs w:val="21"/>
              </w:rPr>
              <w:t>：</w:t>
            </w:r>
            <w:r>
              <w:rPr>
                <w:color w:val="000000" w:themeColor="text1"/>
                <w:szCs w:val="21"/>
              </w:rPr>
              <w:t>表中”L”表示该项目分析结果低于方法检出限。</w:t>
            </w:r>
          </w:p>
        </w:tc>
      </w:tr>
    </w:tbl>
    <w:p w14:paraId="1241329C">
      <w:pPr>
        <w:jc w:val="center"/>
        <w:rPr>
          <w:b/>
          <w:bCs/>
          <w:color w:val="00B050"/>
          <w:sz w:val="24"/>
        </w:rPr>
      </w:pPr>
    </w:p>
    <w:p w14:paraId="0D64F0D3">
      <w:pPr>
        <w:jc w:val="center"/>
        <w:rPr>
          <w:b/>
          <w:bCs/>
          <w:color w:val="00B050"/>
          <w:sz w:val="24"/>
        </w:rPr>
      </w:pPr>
    </w:p>
    <w:p w14:paraId="48E35849">
      <w:pPr>
        <w:jc w:val="center"/>
        <w:rPr>
          <w:b/>
          <w:bCs/>
          <w:color w:val="000000" w:themeColor="text1"/>
          <w:sz w:val="24"/>
        </w:rPr>
      </w:pPr>
      <w:r>
        <w:rPr>
          <w:b/>
          <w:bCs/>
          <w:color w:val="000000" w:themeColor="text1"/>
          <w:sz w:val="24"/>
        </w:rPr>
        <w:t>表4.2-5  地表水环境质量现状监测统计评价表  单位：mg/L</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15" w:type="dxa"/>
          <w:left w:w="15" w:type="dxa"/>
          <w:bottom w:w="15" w:type="dxa"/>
          <w:right w:w="15" w:type="dxa"/>
        </w:tblCellMar>
      </w:tblPr>
      <w:tblGrid>
        <w:gridCol w:w="456"/>
        <w:gridCol w:w="1516"/>
        <w:gridCol w:w="1122"/>
        <w:gridCol w:w="1122"/>
        <w:gridCol w:w="1122"/>
        <w:gridCol w:w="1122"/>
        <w:gridCol w:w="1122"/>
        <w:gridCol w:w="1078"/>
      </w:tblGrid>
      <w:tr w14:paraId="6D3FA4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1138" w:type="pct"/>
            <w:gridSpan w:val="2"/>
            <w:vAlign w:val="center"/>
          </w:tcPr>
          <w:p w14:paraId="66DCBE11">
            <w:pPr>
              <w:ind w:left="103" w:hanging="103" w:hangingChars="49"/>
              <w:jc w:val="center"/>
              <w:rPr>
                <w:b/>
                <w:bCs/>
                <w:color w:val="000000" w:themeColor="text1"/>
                <w:szCs w:val="21"/>
              </w:rPr>
            </w:pPr>
            <w:r>
              <w:rPr>
                <w:b/>
                <w:color w:val="000000" w:themeColor="text1"/>
                <w:szCs w:val="21"/>
              </w:rPr>
              <w:t>监测点位</w:t>
            </w:r>
          </w:p>
        </w:tc>
        <w:tc>
          <w:tcPr>
            <w:tcW w:w="1943" w:type="pct"/>
            <w:gridSpan w:val="3"/>
            <w:vAlign w:val="center"/>
          </w:tcPr>
          <w:p w14:paraId="0FA9FC93">
            <w:pPr>
              <w:tabs>
                <w:tab w:val="left" w:pos="210"/>
                <w:tab w:val="center" w:pos="1965"/>
              </w:tabs>
              <w:ind w:left="103" w:hanging="103" w:hangingChars="49"/>
              <w:jc w:val="center"/>
              <w:rPr>
                <w:b/>
                <w:color w:val="000000" w:themeColor="text1"/>
                <w:szCs w:val="21"/>
              </w:rPr>
            </w:pPr>
            <w:r>
              <w:rPr>
                <w:b/>
                <w:color w:val="000000" w:themeColor="text1"/>
                <w:szCs w:val="21"/>
              </w:rPr>
              <w:t>排鲁水库靠近项目区一侧</w:t>
            </w:r>
          </w:p>
        </w:tc>
        <w:tc>
          <w:tcPr>
            <w:tcW w:w="1919" w:type="pct"/>
            <w:gridSpan w:val="3"/>
            <w:vAlign w:val="center"/>
          </w:tcPr>
          <w:p w14:paraId="4B5DABAD">
            <w:pPr>
              <w:ind w:left="103" w:hanging="103" w:hangingChars="49"/>
              <w:jc w:val="center"/>
              <w:rPr>
                <w:b/>
                <w:color w:val="000000" w:themeColor="text1"/>
                <w:szCs w:val="21"/>
              </w:rPr>
            </w:pPr>
            <w:r>
              <w:rPr>
                <w:b/>
                <w:color w:val="000000" w:themeColor="text1"/>
                <w:szCs w:val="21"/>
              </w:rPr>
              <w:t>水塘</w:t>
            </w:r>
          </w:p>
        </w:tc>
      </w:tr>
      <w:tr w14:paraId="059D2A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1138" w:type="pct"/>
            <w:gridSpan w:val="2"/>
            <w:vAlign w:val="center"/>
          </w:tcPr>
          <w:p w14:paraId="2E19852F">
            <w:pPr>
              <w:ind w:left="103" w:hanging="103" w:hangingChars="49"/>
              <w:jc w:val="center"/>
              <w:rPr>
                <w:b/>
                <w:color w:val="000000" w:themeColor="text1"/>
                <w:szCs w:val="21"/>
              </w:rPr>
            </w:pPr>
            <w:r>
              <w:rPr>
                <w:b/>
                <w:color w:val="000000" w:themeColor="text1"/>
                <w:szCs w:val="21"/>
              </w:rPr>
              <w:t>采样时间</w:t>
            </w:r>
          </w:p>
        </w:tc>
        <w:tc>
          <w:tcPr>
            <w:tcW w:w="648" w:type="pct"/>
            <w:vAlign w:val="center"/>
          </w:tcPr>
          <w:p w14:paraId="78FB685F">
            <w:pPr>
              <w:ind w:left="103" w:hanging="103" w:hangingChars="49"/>
              <w:jc w:val="center"/>
              <w:rPr>
                <w:b/>
                <w:bCs/>
                <w:color w:val="000000" w:themeColor="text1"/>
                <w:szCs w:val="21"/>
              </w:rPr>
            </w:pPr>
            <w:r>
              <w:rPr>
                <w:b/>
                <w:bCs/>
                <w:color w:val="000000" w:themeColor="text1"/>
                <w:szCs w:val="21"/>
              </w:rPr>
              <w:t>20191117</w:t>
            </w:r>
          </w:p>
        </w:tc>
        <w:tc>
          <w:tcPr>
            <w:tcW w:w="648" w:type="pct"/>
          </w:tcPr>
          <w:p w14:paraId="52A47B4A">
            <w:pPr>
              <w:ind w:left="103" w:hanging="103" w:hangingChars="49"/>
              <w:jc w:val="center"/>
              <w:rPr>
                <w:b/>
                <w:bCs/>
                <w:color w:val="000000" w:themeColor="text1"/>
                <w:szCs w:val="21"/>
              </w:rPr>
            </w:pPr>
            <w:r>
              <w:rPr>
                <w:b/>
                <w:bCs/>
                <w:color w:val="000000" w:themeColor="text1"/>
                <w:szCs w:val="21"/>
              </w:rPr>
              <w:t>20191118</w:t>
            </w:r>
          </w:p>
        </w:tc>
        <w:tc>
          <w:tcPr>
            <w:tcW w:w="648" w:type="pct"/>
          </w:tcPr>
          <w:p w14:paraId="327EEF99">
            <w:pPr>
              <w:ind w:left="103" w:hanging="103" w:hangingChars="49"/>
              <w:jc w:val="center"/>
              <w:rPr>
                <w:b/>
                <w:bCs/>
                <w:color w:val="000000" w:themeColor="text1"/>
                <w:szCs w:val="21"/>
              </w:rPr>
            </w:pPr>
            <w:r>
              <w:rPr>
                <w:b/>
                <w:bCs/>
                <w:color w:val="000000" w:themeColor="text1"/>
                <w:szCs w:val="21"/>
              </w:rPr>
              <w:t>20191119</w:t>
            </w:r>
          </w:p>
        </w:tc>
        <w:tc>
          <w:tcPr>
            <w:tcW w:w="648" w:type="pct"/>
            <w:vAlign w:val="center"/>
          </w:tcPr>
          <w:p w14:paraId="691A08A4">
            <w:pPr>
              <w:ind w:left="103" w:hanging="103" w:hangingChars="49"/>
              <w:jc w:val="center"/>
              <w:rPr>
                <w:b/>
                <w:bCs/>
                <w:color w:val="000000" w:themeColor="text1"/>
                <w:szCs w:val="21"/>
              </w:rPr>
            </w:pPr>
            <w:r>
              <w:rPr>
                <w:b/>
                <w:bCs/>
                <w:color w:val="000000" w:themeColor="text1"/>
                <w:szCs w:val="21"/>
              </w:rPr>
              <w:t>20191117</w:t>
            </w:r>
          </w:p>
        </w:tc>
        <w:tc>
          <w:tcPr>
            <w:tcW w:w="648" w:type="pct"/>
          </w:tcPr>
          <w:p w14:paraId="1C77E643">
            <w:pPr>
              <w:ind w:left="103" w:hanging="103" w:hangingChars="49"/>
              <w:jc w:val="center"/>
              <w:rPr>
                <w:b/>
                <w:bCs/>
                <w:color w:val="000000" w:themeColor="text1"/>
                <w:szCs w:val="21"/>
              </w:rPr>
            </w:pPr>
            <w:r>
              <w:rPr>
                <w:b/>
                <w:bCs/>
                <w:color w:val="000000" w:themeColor="text1"/>
                <w:szCs w:val="21"/>
              </w:rPr>
              <w:t>20191118</w:t>
            </w:r>
          </w:p>
        </w:tc>
        <w:tc>
          <w:tcPr>
            <w:tcW w:w="623" w:type="pct"/>
          </w:tcPr>
          <w:p w14:paraId="2A23A0C3">
            <w:pPr>
              <w:ind w:left="103" w:hanging="103" w:hangingChars="49"/>
              <w:jc w:val="center"/>
              <w:rPr>
                <w:b/>
                <w:bCs/>
                <w:color w:val="000000" w:themeColor="text1"/>
                <w:szCs w:val="21"/>
              </w:rPr>
            </w:pPr>
            <w:r>
              <w:rPr>
                <w:b/>
                <w:bCs/>
                <w:color w:val="000000" w:themeColor="text1"/>
                <w:szCs w:val="21"/>
              </w:rPr>
              <w:t>20191119</w:t>
            </w:r>
          </w:p>
        </w:tc>
      </w:tr>
      <w:tr w14:paraId="2065A7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restart"/>
            <w:vAlign w:val="center"/>
          </w:tcPr>
          <w:p w14:paraId="0145676F">
            <w:pPr>
              <w:jc w:val="center"/>
              <w:rPr>
                <w:b/>
                <w:color w:val="000000" w:themeColor="text1"/>
                <w:szCs w:val="21"/>
              </w:rPr>
            </w:pPr>
            <w:r>
              <w:rPr>
                <w:b/>
                <w:color w:val="000000" w:themeColor="text1"/>
                <w:szCs w:val="21"/>
              </w:rPr>
              <w:t>分</w:t>
            </w:r>
          </w:p>
          <w:p w14:paraId="50ADCCB5">
            <w:pPr>
              <w:jc w:val="center"/>
              <w:rPr>
                <w:b/>
                <w:color w:val="000000" w:themeColor="text1"/>
                <w:szCs w:val="21"/>
              </w:rPr>
            </w:pPr>
            <w:r>
              <w:rPr>
                <w:b/>
                <w:color w:val="000000" w:themeColor="text1"/>
                <w:szCs w:val="21"/>
              </w:rPr>
              <w:t>析</w:t>
            </w:r>
          </w:p>
          <w:p w14:paraId="28C21F3B">
            <w:pPr>
              <w:jc w:val="center"/>
              <w:rPr>
                <w:b/>
                <w:color w:val="000000" w:themeColor="text1"/>
                <w:szCs w:val="21"/>
              </w:rPr>
            </w:pPr>
            <w:r>
              <w:rPr>
                <w:b/>
                <w:color w:val="000000" w:themeColor="text1"/>
                <w:szCs w:val="21"/>
              </w:rPr>
              <w:t>项</w:t>
            </w:r>
          </w:p>
          <w:p w14:paraId="19DD556D">
            <w:pPr>
              <w:jc w:val="center"/>
              <w:rPr>
                <w:b/>
                <w:color w:val="000000" w:themeColor="text1"/>
                <w:szCs w:val="21"/>
              </w:rPr>
            </w:pPr>
            <w:r>
              <w:rPr>
                <w:b/>
                <w:color w:val="000000" w:themeColor="text1"/>
                <w:szCs w:val="21"/>
              </w:rPr>
              <w:t>目</w:t>
            </w:r>
          </w:p>
        </w:tc>
        <w:tc>
          <w:tcPr>
            <w:tcW w:w="875" w:type="pct"/>
            <w:vAlign w:val="center"/>
          </w:tcPr>
          <w:p w14:paraId="2D8363E0">
            <w:pPr>
              <w:ind w:left="103" w:hanging="102" w:hangingChars="49"/>
              <w:jc w:val="center"/>
              <w:rPr>
                <w:bCs/>
                <w:color w:val="000000" w:themeColor="text1"/>
                <w:szCs w:val="21"/>
              </w:rPr>
            </w:pPr>
            <w:r>
              <w:rPr>
                <w:bCs/>
                <w:color w:val="000000" w:themeColor="text1"/>
                <w:szCs w:val="21"/>
              </w:rPr>
              <w:t>水温（℃）</w:t>
            </w:r>
          </w:p>
        </w:tc>
        <w:tc>
          <w:tcPr>
            <w:tcW w:w="648" w:type="pct"/>
            <w:vAlign w:val="center"/>
          </w:tcPr>
          <w:p w14:paraId="64D4D5C2">
            <w:pPr>
              <w:ind w:left="103" w:hanging="102" w:hangingChars="49"/>
              <w:jc w:val="center"/>
              <w:rPr>
                <w:bCs/>
                <w:color w:val="000000" w:themeColor="text1"/>
                <w:szCs w:val="21"/>
              </w:rPr>
            </w:pPr>
            <w:r>
              <w:rPr>
                <w:bCs/>
                <w:color w:val="000000" w:themeColor="text1"/>
                <w:szCs w:val="21"/>
              </w:rPr>
              <w:t>17.9</w:t>
            </w:r>
          </w:p>
        </w:tc>
        <w:tc>
          <w:tcPr>
            <w:tcW w:w="648" w:type="pct"/>
            <w:vAlign w:val="center"/>
          </w:tcPr>
          <w:p w14:paraId="44AEF1D5">
            <w:pPr>
              <w:ind w:left="103" w:hanging="102" w:hangingChars="49"/>
              <w:jc w:val="center"/>
              <w:rPr>
                <w:bCs/>
                <w:color w:val="000000" w:themeColor="text1"/>
                <w:szCs w:val="21"/>
              </w:rPr>
            </w:pPr>
            <w:r>
              <w:rPr>
                <w:bCs/>
                <w:color w:val="000000" w:themeColor="text1"/>
                <w:szCs w:val="21"/>
              </w:rPr>
              <w:t>18.4</w:t>
            </w:r>
          </w:p>
        </w:tc>
        <w:tc>
          <w:tcPr>
            <w:tcW w:w="648" w:type="pct"/>
            <w:vAlign w:val="center"/>
          </w:tcPr>
          <w:p w14:paraId="53331293">
            <w:pPr>
              <w:ind w:left="103" w:hanging="102" w:hangingChars="49"/>
              <w:jc w:val="center"/>
              <w:rPr>
                <w:bCs/>
                <w:color w:val="000000" w:themeColor="text1"/>
                <w:szCs w:val="21"/>
              </w:rPr>
            </w:pPr>
            <w:r>
              <w:rPr>
                <w:bCs/>
                <w:color w:val="000000" w:themeColor="text1"/>
                <w:szCs w:val="21"/>
              </w:rPr>
              <w:t>18.9</w:t>
            </w:r>
          </w:p>
        </w:tc>
        <w:tc>
          <w:tcPr>
            <w:tcW w:w="648" w:type="pct"/>
            <w:vAlign w:val="center"/>
          </w:tcPr>
          <w:p w14:paraId="4ADE4EBD">
            <w:pPr>
              <w:ind w:left="103" w:hanging="102" w:hangingChars="49"/>
              <w:jc w:val="center"/>
              <w:rPr>
                <w:bCs/>
                <w:color w:val="000000" w:themeColor="text1"/>
                <w:szCs w:val="21"/>
              </w:rPr>
            </w:pPr>
            <w:r>
              <w:rPr>
                <w:bCs/>
                <w:color w:val="000000" w:themeColor="text1"/>
                <w:szCs w:val="21"/>
              </w:rPr>
              <w:t>17.3</w:t>
            </w:r>
          </w:p>
        </w:tc>
        <w:tc>
          <w:tcPr>
            <w:tcW w:w="648" w:type="pct"/>
            <w:vAlign w:val="center"/>
          </w:tcPr>
          <w:p w14:paraId="0C690116">
            <w:pPr>
              <w:ind w:left="103" w:hanging="102" w:hangingChars="49"/>
              <w:jc w:val="center"/>
              <w:rPr>
                <w:bCs/>
                <w:color w:val="000000" w:themeColor="text1"/>
                <w:szCs w:val="21"/>
              </w:rPr>
            </w:pPr>
            <w:r>
              <w:rPr>
                <w:bCs/>
                <w:color w:val="000000" w:themeColor="text1"/>
                <w:szCs w:val="21"/>
              </w:rPr>
              <w:t>18.2</w:t>
            </w:r>
          </w:p>
        </w:tc>
        <w:tc>
          <w:tcPr>
            <w:tcW w:w="623" w:type="pct"/>
            <w:vAlign w:val="center"/>
          </w:tcPr>
          <w:p w14:paraId="582C7A14">
            <w:pPr>
              <w:ind w:left="103" w:hanging="102" w:hangingChars="49"/>
              <w:jc w:val="center"/>
              <w:rPr>
                <w:bCs/>
                <w:color w:val="000000" w:themeColor="text1"/>
                <w:szCs w:val="21"/>
              </w:rPr>
            </w:pPr>
            <w:r>
              <w:rPr>
                <w:bCs/>
                <w:color w:val="000000" w:themeColor="text1"/>
                <w:szCs w:val="21"/>
              </w:rPr>
              <w:t>18.9</w:t>
            </w:r>
          </w:p>
        </w:tc>
      </w:tr>
      <w:tr w14:paraId="634731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1F4AA8CC">
            <w:pPr>
              <w:jc w:val="center"/>
              <w:rPr>
                <w:b/>
                <w:color w:val="000000" w:themeColor="text1"/>
                <w:szCs w:val="21"/>
              </w:rPr>
            </w:pPr>
          </w:p>
        </w:tc>
        <w:tc>
          <w:tcPr>
            <w:tcW w:w="875" w:type="pct"/>
            <w:vAlign w:val="center"/>
          </w:tcPr>
          <w:p w14:paraId="3986CC37">
            <w:pPr>
              <w:ind w:left="103" w:hanging="102" w:hangingChars="49"/>
              <w:jc w:val="center"/>
              <w:rPr>
                <w:bCs/>
                <w:color w:val="000000" w:themeColor="text1"/>
                <w:szCs w:val="21"/>
              </w:rPr>
            </w:pPr>
            <w:r>
              <w:rPr>
                <w:bCs/>
                <w:color w:val="000000" w:themeColor="text1"/>
                <w:szCs w:val="21"/>
              </w:rPr>
              <w:t>pH（无量纲）</w:t>
            </w:r>
          </w:p>
        </w:tc>
        <w:tc>
          <w:tcPr>
            <w:tcW w:w="648" w:type="pct"/>
            <w:vAlign w:val="center"/>
          </w:tcPr>
          <w:p w14:paraId="4F9D6B0F">
            <w:pPr>
              <w:ind w:left="103" w:hanging="102" w:hangingChars="49"/>
              <w:jc w:val="center"/>
              <w:rPr>
                <w:bCs/>
                <w:color w:val="000000" w:themeColor="text1"/>
                <w:szCs w:val="21"/>
              </w:rPr>
            </w:pPr>
            <w:r>
              <w:rPr>
                <w:bCs/>
                <w:color w:val="000000" w:themeColor="text1"/>
                <w:szCs w:val="21"/>
              </w:rPr>
              <w:t>7.64</w:t>
            </w:r>
          </w:p>
        </w:tc>
        <w:tc>
          <w:tcPr>
            <w:tcW w:w="648" w:type="pct"/>
            <w:vAlign w:val="center"/>
          </w:tcPr>
          <w:p w14:paraId="3F6E49BF">
            <w:pPr>
              <w:ind w:left="103" w:hanging="102" w:hangingChars="49"/>
              <w:jc w:val="center"/>
              <w:rPr>
                <w:bCs/>
                <w:color w:val="000000" w:themeColor="text1"/>
                <w:szCs w:val="21"/>
              </w:rPr>
            </w:pPr>
            <w:r>
              <w:rPr>
                <w:bCs/>
                <w:color w:val="000000" w:themeColor="text1"/>
                <w:szCs w:val="21"/>
              </w:rPr>
              <w:t>7.62</w:t>
            </w:r>
          </w:p>
        </w:tc>
        <w:tc>
          <w:tcPr>
            <w:tcW w:w="648" w:type="pct"/>
            <w:vAlign w:val="center"/>
          </w:tcPr>
          <w:p w14:paraId="5396BC9F">
            <w:pPr>
              <w:ind w:left="103" w:hanging="102" w:hangingChars="49"/>
              <w:jc w:val="center"/>
              <w:rPr>
                <w:bCs/>
                <w:color w:val="000000" w:themeColor="text1"/>
                <w:szCs w:val="21"/>
              </w:rPr>
            </w:pPr>
            <w:r>
              <w:rPr>
                <w:bCs/>
                <w:color w:val="000000" w:themeColor="text1"/>
                <w:szCs w:val="21"/>
              </w:rPr>
              <w:t>7.59</w:t>
            </w:r>
          </w:p>
        </w:tc>
        <w:tc>
          <w:tcPr>
            <w:tcW w:w="648" w:type="pct"/>
            <w:vAlign w:val="center"/>
          </w:tcPr>
          <w:p w14:paraId="6DECABC4">
            <w:pPr>
              <w:ind w:left="103" w:hanging="102" w:hangingChars="49"/>
              <w:jc w:val="center"/>
              <w:rPr>
                <w:bCs/>
                <w:color w:val="000000" w:themeColor="text1"/>
                <w:szCs w:val="21"/>
              </w:rPr>
            </w:pPr>
            <w:r>
              <w:rPr>
                <w:bCs/>
                <w:color w:val="000000" w:themeColor="text1"/>
                <w:szCs w:val="21"/>
              </w:rPr>
              <w:t>7.87</w:t>
            </w:r>
          </w:p>
        </w:tc>
        <w:tc>
          <w:tcPr>
            <w:tcW w:w="648" w:type="pct"/>
            <w:vAlign w:val="center"/>
          </w:tcPr>
          <w:p w14:paraId="281B5D07">
            <w:pPr>
              <w:ind w:left="103" w:hanging="102" w:hangingChars="49"/>
              <w:jc w:val="center"/>
              <w:rPr>
                <w:bCs/>
                <w:color w:val="000000" w:themeColor="text1"/>
                <w:szCs w:val="21"/>
              </w:rPr>
            </w:pPr>
            <w:r>
              <w:rPr>
                <w:bCs/>
                <w:color w:val="000000" w:themeColor="text1"/>
                <w:szCs w:val="21"/>
              </w:rPr>
              <w:t>7.82</w:t>
            </w:r>
          </w:p>
        </w:tc>
        <w:tc>
          <w:tcPr>
            <w:tcW w:w="623" w:type="pct"/>
            <w:vAlign w:val="center"/>
          </w:tcPr>
          <w:p w14:paraId="0310BD00">
            <w:pPr>
              <w:ind w:left="103" w:hanging="102" w:hangingChars="49"/>
              <w:jc w:val="center"/>
              <w:rPr>
                <w:bCs/>
                <w:color w:val="000000" w:themeColor="text1"/>
                <w:szCs w:val="21"/>
              </w:rPr>
            </w:pPr>
            <w:r>
              <w:rPr>
                <w:bCs/>
                <w:color w:val="000000" w:themeColor="text1"/>
                <w:szCs w:val="21"/>
              </w:rPr>
              <w:t>7.80</w:t>
            </w:r>
          </w:p>
        </w:tc>
      </w:tr>
      <w:tr w14:paraId="4D7DA4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200143F9">
            <w:pPr>
              <w:jc w:val="center"/>
              <w:rPr>
                <w:b/>
                <w:color w:val="000000" w:themeColor="text1"/>
                <w:szCs w:val="21"/>
              </w:rPr>
            </w:pPr>
          </w:p>
        </w:tc>
        <w:tc>
          <w:tcPr>
            <w:tcW w:w="875" w:type="pct"/>
            <w:vAlign w:val="center"/>
          </w:tcPr>
          <w:p w14:paraId="59C99545">
            <w:pPr>
              <w:ind w:left="103" w:hanging="102" w:hangingChars="49"/>
              <w:jc w:val="center"/>
              <w:rPr>
                <w:bCs/>
                <w:color w:val="000000" w:themeColor="text1"/>
                <w:szCs w:val="21"/>
              </w:rPr>
            </w:pPr>
            <w:r>
              <w:rPr>
                <w:bCs/>
                <w:color w:val="000000" w:themeColor="text1"/>
                <w:szCs w:val="21"/>
              </w:rPr>
              <w:t>标准</w:t>
            </w:r>
          </w:p>
        </w:tc>
        <w:tc>
          <w:tcPr>
            <w:tcW w:w="648" w:type="pct"/>
          </w:tcPr>
          <w:p w14:paraId="0392FB31">
            <w:pPr>
              <w:jc w:val="center"/>
              <w:rPr>
                <w:color w:val="000000" w:themeColor="text1"/>
              </w:rPr>
            </w:pPr>
            <w:r>
              <w:rPr>
                <w:bCs/>
                <w:color w:val="000000" w:themeColor="text1"/>
                <w:szCs w:val="21"/>
                <w:lang w:val="zh-CN"/>
              </w:rPr>
              <w:t>6~9</w:t>
            </w:r>
          </w:p>
        </w:tc>
        <w:tc>
          <w:tcPr>
            <w:tcW w:w="648" w:type="pct"/>
          </w:tcPr>
          <w:p w14:paraId="56246F9C">
            <w:pPr>
              <w:jc w:val="center"/>
              <w:rPr>
                <w:color w:val="000000" w:themeColor="text1"/>
              </w:rPr>
            </w:pPr>
            <w:r>
              <w:rPr>
                <w:bCs/>
                <w:color w:val="000000" w:themeColor="text1"/>
                <w:szCs w:val="21"/>
                <w:lang w:val="zh-CN"/>
              </w:rPr>
              <w:t>6~9</w:t>
            </w:r>
          </w:p>
        </w:tc>
        <w:tc>
          <w:tcPr>
            <w:tcW w:w="648" w:type="pct"/>
          </w:tcPr>
          <w:p w14:paraId="4881046B">
            <w:pPr>
              <w:jc w:val="center"/>
              <w:rPr>
                <w:color w:val="000000" w:themeColor="text1"/>
              </w:rPr>
            </w:pPr>
            <w:r>
              <w:rPr>
                <w:bCs/>
                <w:color w:val="000000" w:themeColor="text1"/>
                <w:szCs w:val="21"/>
                <w:lang w:val="zh-CN"/>
              </w:rPr>
              <w:t>6~9</w:t>
            </w:r>
          </w:p>
        </w:tc>
        <w:tc>
          <w:tcPr>
            <w:tcW w:w="648" w:type="pct"/>
          </w:tcPr>
          <w:p w14:paraId="0F966EF0">
            <w:pPr>
              <w:jc w:val="center"/>
              <w:rPr>
                <w:color w:val="000000" w:themeColor="text1"/>
              </w:rPr>
            </w:pPr>
            <w:r>
              <w:rPr>
                <w:bCs/>
                <w:color w:val="000000" w:themeColor="text1"/>
                <w:szCs w:val="21"/>
                <w:lang w:val="zh-CN"/>
              </w:rPr>
              <w:t>6~9</w:t>
            </w:r>
          </w:p>
        </w:tc>
        <w:tc>
          <w:tcPr>
            <w:tcW w:w="648" w:type="pct"/>
          </w:tcPr>
          <w:p w14:paraId="47F7870D">
            <w:pPr>
              <w:jc w:val="center"/>
              <w:rPr>
                <w:color w:val="000000" w:themeColor="text1"/>
              </w:rPr>
            </w:pPr>
            <w:r>
              <w:rPr>
                <w:bCs/>
                <w:color w:val="000000" w:themeColor="text1"/>
                <w:szCs w:val="21"/>
                <w:lang w:val="zh-CN"/>
              </w:rPr>
              <w:t>6~9</w:t>
            </w:r>
          </w:p>
        </w:tc>
        <w:tc>
          <w:tcPr>
            <w:tcW w:w="623" w:type="pct"/>
          </w:tcPr>
          <w:p w14:paraId="1AA760F7">
            <w:pPr>
              <w:jc w:val="center"/>
              <w:rPr>
                <w:color w:val="000000" w:themeColor="text1"/>
              </w:rPr>
            </w:pPr>
            <w:r>
              <w:rPr>
                <w:bCs/>
                <w:color w:val="000000" w:themeColor="text1"/>
                <w:szCs w:val="21"/>
                <w:lang w:val="zh-CN"/>
              </w:rPr>
              <w:t>6~9</w:t>
            </w:r>
          </w:p>
        </w:tc>
      </w:tr>
      <w:tr w14:paraId="1A2E61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4F0E68F8">
            <w:pPr>
              <w:jc w:val="center"/>
              <w:rPr>
                <w:b/>
                <w:color w:val="000000" w:themeColor="text1"/>
                <w:szCs w:val="21"/>
              </w:rPr>
            </w:pPr>
          </w:p>
        </w:tc>
        <w:tc>
          <w:tcPr>
            <w:tcW w:w="875" w:type="pct"/>
            <w:vAlign w:val="center"/>
          </w:tcPr>
          <w:p w14:paraId="3EABF766">
            <w:pPr>
              <w:ind w:left="103" w:hanging="103" w:hangingChars="49"/>
              <w:jc w:val="center"/>
              <w:rPr>
                <w:b/>
                <w:bCs/>
                <w:color w:val="000000" w:themeColor="text1"/>
                <w:szCs w:val="21"/>
              </w:rPr>
            </w:pPr>
            <w:r>
              <w:rPr>
                <w:b/>
                <w:bCs/>
                <w:color w:val="000000" w:themeColor="text1"/>
                <w:szCs w:val="21"/>
              </w:rPr>
              <w:t>达标情况</w:t>
            </w:r>
          </w:p>
        </w:tc>
        <w:tc>
          <w:tcPr>
            <w:tcW w:w="648" w:type="pct"/>
            <w:vAlign w:val="center"/>
          </w:tcPr>
          <w:p w14:paraId="2476904E">
            <w:pPr>
              <w:ind w:left="103" w:hanging="103" w:hangingChars="49"/>
              <w:jc w:val="center"/>
              <w:rPr>
                <w:b/>
                <w:bCs/>
                <w:color w:val="000000" w:themeColor="text1"/>
                <w:szCs w:val="21"/>
              </w:rPr>
            </w:pPr>
            <w:r>
              <w:rPr>
                <w:b/>
                <w:bCs/>
                <w:color w:val="000000" w:themeColor="text1"/>
                <w:szCs w:val="21"/>
              </w:rPr>
              <w:t>达标</w:t>
            </w:r>
          </w:p>
        </w:tc>
        <w:tc>
          <w:tcPr>
            <w:tcW w:w="648" w:type="pct"/>
          </w:tcPr>
          <w:p w14:paraId="1071F538">
            <w:pPr>
              <w:jc w:val="center"/>
              <w:rPr>
                <w:b/>
                <w:color w:val="000000" w:themeColor="text1"/>
              </w:rPr>
            </w:pPr>
            <w:r>
              <w:rPr>
                <w:b/>
                <w:bCs/>
                <w:color w:val="000000" w:themeColor="text1"/>
                <w:szCs w:val="21"/>
              </w:rPr>
              <w:t>达标</w:t>
            </w:r>
          </w:p>
        </w:tc>
        <w:tc>
          <w:tcPr>
            <w:tcW w:w="648" w:type="pct"/>
          </w:tcPr>
          <w:p w14:paraId="2AD46959">
            <w:pPr>
              <w:jc w:val="center"/>
              <w:rPr>
                <w:b/>
                <w:color w:val="000000" w:themeColor="text1"/>
              </w:rPr>
            </w:pPr>
            <w:r>
              <w:rPr>
                <w:b/>
                <w:bCs/>
                <w:color w:val="000000" w:themeColor="text1"/>
                <w:szCs w:val="21"/>
              </w:rPr>
              <w:t>达标</w:t>
            </w:r>
          </w:p>
        </w:tc>
        <w:tc>
          <w:tcPr>
            <w:tcW w:w="648" w:type="pct"/>
          </w:tcPr>
          <w:p w14:paraId="4BCA4A55">
            <w:pPr>
              <w:jc w:val="center"/>
              <w:rPr>
                <w:b/>
                <w:color w:val="000000" w:themeColor="text1"/>
              </w:rPr>
            </w:pPr>
            <w:r>
              <w:rPr>
                <w:b/>
                <w:bCs/>
                <w:color w:val="000000" w:themeColor="text1"/>
                <w:szCs w:val="21"/>
              </w:rPr>
              <w:t>达标</w:t>
            </w:r>
          </w:p>
        </w:tc>
        <w:tc>
          <w:tcPr>
            <w:tcW w:w="648" w:type="pct"/>
          </w:tcPr>
          <w:p w14:paraId="6C2D351A">
            <w:pPr>
              <w:jc w:val="center"/>
              <w:rPr>
                <w:b/>
                <w:color w:val="000000" w:themeColor="text1"/>
              </w:rPr>
            </w:pPr>
            <w:r>
              <w:rPr>
                <w:b/>
                <w:bCs/>
                <w:color w:val="000000" w:themeColor="text1"/>
                <w:szCs w:val="21"/>
              </w:rPr>
              <w:t>达标</w:t>
            </w:r>
          </w:p>
        </w:tc>
        <w:tc>
          <w:tcPr>
            <w:tcW w:w="623" w:type="pct"/>
          </w:tcPr>
          <w:p w14:paraId="0D66A924">
            <w:pPr>
              <w:jc w:val="center"/>
              <w:rPr>
                <w:b/>
                <w:color w:val="000000" w:themeColor="text1"/>
              </w:rPr>
            </w:pPr>
            <w:r>
              <w:rPr>
                <w:b/>
                <w:bCs/>
                <w:color w:val="000000" w:themeColor="text1"/>
                <w:szCs w:val="21"/>
              </w:rPr>
              <w:t>达标</w:t>
            </w:r>
          </w:p>
        </w:tc>
      </w:tr>
      <w:tr w14:paraId="103377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49DFA496">
            <w:pPr>
              <w:jc w:val="center"/>
              <w:rPr>
                <w:b/>
                <w:color w:val="000000" w:themeColor="text1"/>
                <w:szCs w:val="21"/>
              </w:rPr>
            </w:pPr>
          </w:p>
        </w:tc>
        <w:tc>
          <w:tcPr>
            <w:tcW w:w="875" w:type="pct"/>
            <w:vAlign w:val="center"/>
          </w:tcPr>
          <w:p w14:paraId="673EEDB5">
            <w:pPr>
              <w:ind w:left="103" w:hanging="102" w:hangingChars="49"/>
              <w:jc w:val="center"/>
              <w:rPr>
                <w:bCs/>
                <w:color w:val="000000" w:themeColor="text1"/>
                <w:szCs w:val="21"/>
              </w:rPr>
            </w:pPr>
            <w:r>
              <w:rPr>
                <w:bCs/>
                <w:color w:val="000000" w:themeColor="text1"/>
                <w:szCs w:val="21"/>
              </w:rPr>
              <w:t>CODcr</w:t>
            </w:r>
          </w:p>
        </w:tc>
        <w:tc>
          <w:tcPr>
            <w:tcW w:w="648" w:type="pct"/>
            <w:vAlign w:val="center"/>
          </w:tcPr>
          <w:p w14:paraId="7B74C170">
            <w:pPr>
              <w:ind w:left="103" w:hanging="102" w:hangingChars="49"/>
              <w:jc w:val="center"/>
              <w:rPr>
                <w:bCs/>
                <w:color w:val="000000" w:themeColor="text1"/>
                <w:szCs w:val="21"/>
              </w:rPr>
            </w:pPr>
            <w:r>
              <w:rPr>
                <w:bCs/>
                <w:color w:val="000000" w:themeColor="text1"/>
                <w:szCs w:val="21"/>
              </w:rPr>
              <w:t>10</w:t>
            </w:r>
          </w:p>
        </w:tc>
        <w:tc>
          <w:tcPr>
            <w:tcW w:w="648" w:type="pct"/>
            <w:vAlign w:val="center"/>
          </w:tcPr>
          <w:p w14:paraId="730A3CF9">
            <w:pPr>
              <w:ind w:left="103" w:hanging="102" w:hangingChars="49"/>
              <w:jc w:val="center"/>
              <w:rPr>
                <w:bCs/>
                <w:color w:val="000000" w:themeColor="text1"/>
                <w:szCs w:val="21"/>
              </w:rPr>
            </w:pPr>
            <w:r>
              <w:rPr>
                <w:bCs/>
                <w:color w:val="000000" w:themeColor="text1"/>
                <w:szCs w:val="21"/>
              </w:rPr>
              <w:t>8</w:t>
            </w:r>
          </w:p>
        </w:tc>
        <w:tc>
          <w:tcPr>
            <w:tcW w:w="648" w:type="pct"/>
            <w:vAlign w:val="center"/>
          </w:tcPr>
          <w:p w14:paraId="764862B7">
            <w:pPr>
              <w:ind w:left="103" w:hanging="102" w:hangingChars="49"/>
              <w:jc w:val="center"/>
              <w:rPr>
                <w:bCs/>
                <w:color w:val="000000" w:themeColor="text1"/>
                <w:szCs w:val="21"/>
              </w:rPr>
            </w:pPr>
            <w:r>
              <w:rPr>
                <w:bCs/>
                <w:color w:val="000000" w:themeColor="text1"/>
                <w:szCs w:val="21"/>
              </w:rPr>
              <w:t>7</w:t>
            </w:r>
          </w:p>
        </w:tc>
        <w:tc>
          <w:tcPr>
            <w:tcW w:w="648" w:type="pct"/>
            <w:vAlign w:val="center"/>
          </w:tcPr>
          <w:p w14:paraId="52DA7F60">
            <w:pPr>
              <w:ind w:left="103" w:hanging="102" w:hangingChars="49"/>
              <w:jc w:val="center"/>
              <w:rPr>
                <w:bCs/>
                <w:color w:val="000000" w:themeColor="text1"/>
                <w:szCs w:val="21"/>
              </w:rPr>
            </w:pPr>
            <w:r>
              <w:rPr>
                <w:bCs/>
                <w:color w:val="000000" w:themeColor="text1"/>
                <w:szCs w:val="21"/>
              </w:rPr>
              <w:t>4L</w:t>
            </w:r>
          </w:p>
        </w:tc>
        <w:tc>
          <w:tcPr>
            <w:tcW w:w="648" w:type="pct"/>
          </w:tcPr>
          <w:p w14:paraId="4E36BF59">
            <w:pPr>
              <w:jc w:val="center"/>
              <w:rPr>
                <w:color w:val="000000" w:themeColor="text1"/>
              </w:rPr>
            </w:pPr>
            <w:r>
              <w:rPr>
                <w:bCs/>
                <w:color w:val="000000" w:themeColor="text1"/>
                <w:szCs w:val="21"/>
              </w:rPr>
              <w:t>4L</w:t>
            </w:r>
          </w:p>
        </w:tc>
        <w:tc>
          <w:tcPr>
            <w:tcW w:w="623" w:type="pct"/>
          </w:tcPr>
          <w:p w14:paraId="641F7DDD">
            <w:pPr>
              <w:jc w:val="center"/>
              <w:rPr>
                <w:color w:val="000000" w:themeColor="text1"/>
              </w:rPr>
            </w:pPr>
            <w:r>
              <w:rPr>
                <w:bCs/>
                <w:color w:val="000000" w:themeColor="text1"/>
                <w:szCs w:val="21"/>
              </w:rPr>
              <w:t>4L</w:t>
            </w:r>
          </w:p>
        </w:tc>
      </w:tr>
      <w:tr w14:paraId="57C158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77EAA322">
            <w:pPr>
              <w:jc w:val="center"/>
              <w:rPr>
                <w:b/>
                <w:color w:val="000000" w:themeColor="text1"/>
                <w:szCs w:val="21"/>
              </w:rPr>
            </w:pPr>
          </w:p>
        </w:tc>
        <w:tc>
          <w:tcPr>
            <w:tcW w:w="875" w:type="pct"/>
            <w:vAlign w:val="center"/>
          </w:tcPr>
          <w:p w14:paraId="47A402F0">
            <w:pPr>
              <w:ind w:left="103" w:hanging="102" w:hangingChars="49"/>
              <w:jc w:val="center"/>
              <w:rPr>
                <w:bCs/>
                <w:color w:val="000000" w:themeColor="text1"/>
                <w:szCs w:val="21"/>
              </w:rPr>
            </w:pPr>
            <w:r>
              <w:rPr>
                <w:bCs/>
                <w:color w:val="000000" w:themeColor="text1"/>
                <w:szCs w:val="21"/>
              </w:rPr>
              <w:t>标准</w:t>
            </w:r>
          </w:p>
        </w:tc>
        <w:tc>
          <w:tcPr>
            <w:tcW w:w="648" w:type="pct"/>
          </w:tcPr>
          <w:p w14:paraId="43A65FDF">
            <w:pPr>
              <w:jc w:val="center"/>
              <w:rPr>
                <w:color w:val="000000" w:themeColor="text1"/>
              </w:rPr>
            </w:pPr>
            <w:r>
              <w:rPr>
                <w:bCs/>
                <w:color w:val="000000" w:themeColor="text1"/>
                <w:szCs w:val="21"/>
                <w:lang w:val="zh-CN"/>
              </w:rPr>
              <w:t>20</w:t>
            </w:r>
          </w:p>
        </w:tc>
        <w:tc>
          <w:tcPr>
            <w:tcW w:w="648" w:type="pct"/>
          </w:tcPr>
          <w:p w14:paraId="4A18CF64">
            <w:pPr>
              <w:jc w:val="center"/>
              <w:rPr>
                <w:color w:val="000000" w:themeColor="text1"/>
              </w:rPr>
            </w:pPr>
            <w:r>
              <w:rPr>
                <w:bCs/>
                <w:color w:val="000000" w:themeColor="text1"/>
                <w:szCs w:val="21"/>
                <w:lang w:val="zh-CN"/>
              </w:rPr>
              <w:t>20</w:t>
            </w:r>
          </w:p>
        </w:tc>
        <w:tc>
          <w:tcPr>
            <w:tcW w:w="648" w:type="pct"/>
          </w:tcPr>
          <w:p w14:paraId="4E36A073">
            <w:pPr>
              <w:jc w:val="center"/>
              <w:rPr>
                <w:color w:val="000000" w:themeColor="text1"/>
              </w:rPr>
            </w:pPr>
            <w:r>
              <w:rPr>
                <w:bCs/>
                <w:color w:val="000000" w:themeColor="text1"/>
                <w:szCs w:val="21"/>
                <w:lang w:val="zh-CN"/>
              </w:rPr>
              <w:t>20</w:t>
            </w:r>
          </w:p>
        </w:tc>
        <w:tc>
          <w:tcPr>
            <w:tcW w:w="648" w:type="pct"/>
          </w:tcPr>
          <w:p w14:paraId="627D7BD1">
            <w:pPr>
              <w:jc w:val="center"/>
              <w:rPr>
                <w:color w:val="000000" w:themeColor="text1"/>
              </w:rPr>
            </w:pPr>
            <w:r>
              <w:rPr>
                <w:bCs/>
                <w:color w:val="000000" w:themeColor="text1"/>
                <w:szCs w:val="21"/>
                <w:lang w:val="zh-CN"/>
              </w:rPr>
              <w:t>20</w:t>
            </w:r>
          </w:p>
        </w:tc>
        <w:tc>
          <w:tcPr>
            <w:tcW w:w="648" w:type="pct"/>
          </w:tcPr>
          <w:p w14:paraId="112F310E">
            <w:pPr>
              <w:jc w:val="center"/>
              <w:rPr>
                <w:color w:val="000000" w:themeColor="text1"/>
              </w:rPr>
            </w:pPr>
            <w:r>
              <w:rPr>
                <w:bCs/>
                <w:color w:val="000000" w:themeColor="text1"/>
                <w:szCs w:val="21"/>
                <w:lang w:val="zh-CN"/>
              </w:rPr>
              <w:t>20</w:t>
            </w:r>
          </w:p>
        </w:tc>
        <w:tc>
          <w:tcPr>
            <w:tcW w:w="623" w:type="pct"/>
          </w:tcPr>
          <w:p w14:paraId="2DAE9201">
            <w:pPr>
              <w:jc w:val="center"/>
              <w:rPr>
                <w:color w:val="000000" w:themeColor="text1"/>
              </w:rPr>
            </w:pPr>
            <w:r>
              <w:rPr>
                <w:bCs/>
                <w:color w:val="000000" w:themeColor="text1"/>
                <w:szCs w:val="21"/>
                <w:lang w:val="zh-CN"/>
              </w:rPr>
              <w:t>20</w:t>
            </w:r>
          </w:p>
        </w:tc>
      </w:tr>
      <w:tr w14:paraId="40B5E8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7DEAC782">
            <w:pPr>
              <w:jc w:val="center"/>
              <w:rPr>
                <w:b/>
                <w:color w:val="000000" w:themeColor="text1"/>
                <w:szCs w:val="21"/>
              </w:rPr>
            </w:pPr>
          </w:p>
        </w:tc>
        <w:tc>
          <w:tcPr>
            <w:tcW w:w="875" w:type="pct"/>
            <w:vAlign w:val="center"/>
          </w:tcPr>
          <w:p w14:paraId="3CBE0A16">
            <w:pPr>
              <w:ind w:left="103" w:hanging="103" w:hangingChars="49"/>
              <w:jc w:val="center"/>
              <w:rPr>
                <w:b/>
                <w:bCs/>
                <w:color w:val="000000" w:themeColor="text1"/>
                <w:szCs w:val="21"/>
              </w:rPr>
            </w:pPr>
            <w:r>
              <w:rPr>
                <w:b/>
                <w:bCs/>
                <w:color w:val="000000" w:themeColor="text1"/>
                <w:szCs w:val="21"/>
              </w:rPr>
              <w:t>达标情况</w:t>
            </w:r>
          </w:p>
        </w:tc>
        <w:tc>
          <w:tcPr>
            <w:tcW w:w="648" w:type="pct"/>
            <w:vAlign w:val="center"/>
          </w:tcPr>
          <w:p w14:paraId="78D911EB">
            <w:pPr>
              <w:ind w:left="103" w:hanging="103" w:hangingChars="49"/>
              <w:jc w:val="center"/>
              <w:rPr>
                <w:b/>
                <w:bCs/>
                <w:color w:val="000000" w:themeColor="text1"/>
                <w:szCs w:val="21"/>
              </w:rPr>
            </w:pPr>
            <w:r>
              <w:rPr>
                <w:b/>
                <w:bCs/>
                <w:color w:val="000000" w:themeColor="text1"/>
                <w:szCs w:val="21"/>
              </w:rPr>
              <w:t>达标</w:t>
            </w:r>
          </w:p>
        </w:tc>
        <w:tc>
          <w:tcPr>
            <w:tcW w:w="648" w:type="pct"/>
          </w:tcPr>
          <w:p w14:paraId="17AD2A9B">
            <w:pPr>
              <w:jc w:val="center"/>
              <w:rPr>
                <w:b/>
                <w:color w:val="000000" w:themeColor="text1"/>
              </w:rPr>
            </w:pPr>
            <w:r>
              <w:rPr>
                <w:b/>
                <w:bCs/>
                <w:color w:val="000000" w:themeColor="text1"/>
                <w:szCs w:val="21"/>
              </w:rPr>
              <w:t>达标</w:t>
            </w:r>
          </w:p>
        </w:tc>
        <w:tc>
          <w:tcPr>
            <w:tcW w:w="648" w:type="pct"/>
          </w:tcPr>
          <w:p w14:paraId="5597E89F">
            <w:pPr>
              <w:jc w:val="center"/>
              <w:rPr>
                <w:b/>
                <w:color w:val="000000" w:themeColor="text1"/>
              </w:rPr>
            </w:pPr>
            <w:r>
              <w:rPr>
                <w:b/>
                <w:bCs/>
                <w:color w:val="000000" w:themeColor="text1"/>
                <w:szCs w:val="21"/>
              </w:rPr>
              <w:t>达标</w:t>
            </w:r>
          </w:p>
        </w:tc>
        <w:tc>
          <w:tcPr>
            <w:tcW w:w="648" w:type="pct"/>
          </w:tcPr>
          <w:p w14:paraId="3F88DD93">
            <w:pPr>
              <w:jc w:val="center"/>
              <w:rPr>
                <w:b/>
                <w:color w:val="000000" w:themeColor="text1"/>
              </w:rPr>
            </w:pPr>
            <w:r>
              <w:rPr>
                <w:b/>
                <w:bCs/>
                <w:color w:val="000000" w:themeColor="text1"/>
                <w:szCs w:val="21"/>
              </w:rPr>
              <w:t>达标</w:t>
            </w:r>
          </w:p>
        </w:tc>
        <w:tc>
          <w:tcPr>
            <w:tcW w:w="648" w:type="pct"/>
          </w:tcPr>
          <w:p w14:paraId="0760ECB8">
            <w:pPr>
              <w:jc w:val="center"/>
              <w:rPr>
                <w:b/>
                <w:color w:val="000000" w:themeColor="text1"/>
              </w:rPr>
            </w:pPr>
            <w:r>
              <w:rPr>
                <w:b/>
                <w:bCs/>
                <w:color w:val="000000" w:themeColor="text1"/>
                <w:szCs w:val="21"/>
              </w:rPr>
              <w:t>达标</w:t>
            </w:r>
          </w:p>
        </w:tc>
        <w:tc>
          <w:tcPr>
            <w:tcW w:w="623" w:type="pct"/>
          </w:tcPr>
          <w:p w14:paraId="7AC69AC8">
            <w:pPr>
              <w:jc w:val="center"/>
              <w:rPr>
                <w:b/>
                <w:color w:val="000000" w:themeColor="text1"/>
              </w:rPr>
            </w:pPr>
            <w:r>
              <w:rPr>
                <w:b/>
                <w:bCs/>
                <w:color w:val="000000" w:themeColor="text1"/>
                <w:szCs w:val="21"/>
              </w:rPr>
              <w:t>达标</w:t>
            </w:r>
          </w:p>
        </w:tc>
      </w:tr>
      <w:tr w14:paraId="3C2448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62F6B9AD">
            <w:pPr>
              <w:jc w:val="center"/>
              <w:rPr>
                <w:b/>
                <w:color w:val="000000" w:themeColor="text1"/>
                <w:szCs w:val="21"/>
              </w:rPr>
            </w:pPr>
          </w:p>
        </w:tc>
        <w:tc>
          <w:tcPr>
            <w:tcW w:w="875" w:type="pct"/>
            <w:vAlign w:val="center"/>
          </w:tcPr>
          <w:p w14:paraId="4A1BD9F8">
            <w:pPr>
              <w:ind w:left="103" w:hanging="102" w:hangingChars="49"/>
              <w:jc w:val="center"/>
              <w:rPr>
                <w:bCs/>
                <w:color w:val="000000" w:themeColor="text1"/>
                <w:szCs w:val="21"/>
              </w:rPr>
            </w:pPr>
            <w:r>
              <w:rPr>
                <w:bCs/>
                <w:color w:val="000000" w:themeColor="text1"/>
                <w:szCs w:val="21"/>
              </w:rPr>
              <w:t>BOD</w:t>
            </w:r>
            <w:r>
              <w:rPr>
                <w:bCs/>
                <w:color w:val="000000" w:themeColor="text1"/>
                <w:szCs w:val="21"/>
                <w:vertAlign w:val="subscript"/>
              </w:rPr>
              <w:t>5</w:t>
            </w:r>
          </w:p>
        </w:tc>
        <w:tc>
          <w:tcPr>
            <w:tcW w:w="648" w:type="pct"/>
            <w:vAlign w:val="center"/>
          </w:tcPr>
          <w:p w14:paraId="13935370">
            <w:pPr>
              <w:ind w:left="103" w:hanging="102" w:hangingChars="49"/>
              <w:jc w:val="center"/>
              <w:rPr>
                <w:bCs/>
                <w:color w:val="000000" w:themeColor="text1"/>
                <w:szCs w:val="21"/>
              </w:rPr>
            </w:pPr>
            <w:r>
              <w:rPr>
                <w:bCs/>
                <w:color w:val="000000" w:themeColor="text1"/>
                <w:szCs w:val="21"/>
              </w:rPr>
              <w:t>1.9</w:t>
            </w:r>
          </w:p>
        </w:tc>
        <w:tc>
          <w:tcPr>
            <w:tcW w:w="648" w:type="pct"/>
            <w:vAlign w:val="center"/>
          </w:tcPr>
          <w:p w14:paraId="38C6C250">
            <w:pPr>
              <w:ind w:left="103" w:hanging="102" w:hangingChars="49"/>
              <w:jc w:val="center"/>
              <w:rPr>
                <w:bCs/>
                <w:color w:val="000000" w:themeColor="text1"/>
                <w:szCs w:val="21"/>
              </w:rPr>
            </w:pPr>
            <w:r>
              <w:rPr>
                <w:bCs/>
                <w:color w:val="000000" w:themeColor="text1"/>
                <w:szCs w:val="21"/>
              </w:rPr>
              <w:t>1.7</w:t>
            </w:r>
          </w:p>
        </w:tc>
        <w:tc>
          <w:tcPr>
            <w:tcW w:w="648" w:type="pct"/>
            <w:vAlign w:val="center"/>
          </w:tcPr>
          <w:p w14:paraId="772D828D">
            <w:pPr>
              <w:ind w:left="103" w:hanging="102" w:hangingChars="49"/>
              <w:jc w:val="center"/>
              <w:rPr>
                <w:bCs/>
                <w:color w:val="000000" w:themeColor="text1"/>
                <w:szCs w:val="21"/>
              </w:rPr>
            </w:pPr>
            <w:r>
              <w:rPr>
                <w:bCs/>
                <w:color w:val="000000" w:themeColor="text1"/>
                <w:szCs w:val="21"/>
              </w:rPr>
              <w:t>1.6</w:t>
            </w:r>
          </w:p>
        </w:tc>
        <w:tc>
          <w:tcPr>
            <w:tcW w:w="648" w:type="pct"/>
          </w:tcPr>
          <w:p w14:paraId="68E9E86C">
            <w:pPr>
              <w:jc w:val="center"/>
              <w:rPr>
                <w:color w:val="000000" w:themeColor="text1"/>
                <w:szCs w:val="21"/>
              </w:rPr>
            </w:pPr>
            <w:r>
              <w:rPr>
                <w:bCs/>
                <w:color w:val="000000" w:themeColor="text1"/>
                <w:szCs w:val="21"/>
              </w:rPr>
              <w:t>0.5L</w:t>
            </w:r>
          </w:p>
        </w:tc>
        <w:tc>
          <w:tcPr>
            <w:tcW w:w="648" w:type="pct"/>
          </w:tcPr>
          <w:p w14:paraId="6FF0A92D">
            <w:pPr>
              <w:jc w:val="center"/>
              <w:rPr>
                <w:color w:val="000000" w:themeColor="text1"/>
                <w:szCs w:val="21"/>
              </w:rPr>
            </w:pPr>
            <w:r>
              <w:rPr>
                <w:bCs/>
                <w:color w:val="000000" w:themeColor="text1"/>
                <w:szCs w:val="21"/>
              </w:rPr>
              <w:t>0.5L</w:t>
            </w:r>
          </w:p>
        </w:tc>
        <w:tc>
          <w:tcPr>
            <w:tcW w:w="623" w:type="pct"/>
          </w:tcPr>
          <w:p w14:paraId="76C4AF85">
            <w:pPr>
              <w:jc w:val="center"/>
              <w:rPr>
                <w:color w:val="000000" w:themeColor="text1"/>
                <w:szCs w:val="21"/>
              </w:rPr>
            </w:pPr>
            <w:r>
              <w:rPr>
                <w:bCs/>
                <w:color w:val="000000" w:themeColor="text1"/>
                <w:szCs w:val="21"/>
              </w:rPr>
              <w:t>0.5L</w:t>
            </w:r>
          </w:p>
        </w:tc>
      </w:tr>
      <w:tr w14:paraId="283CE2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12ADCE1E">
            <w:pPr>
              <w:jc w:val="center"/>
              <w:rPr>
                <w:b/>
                <w:color w:val="000000" w:themeColor="text1"/>
                <w:szCs w:val="21"/>
              </w:rPr>
            </w:pPr>
          </w:p>
        </w:tc>
        <w:tc>
          <w:tcPr>
            <w:tcW w:w="875" w:type="pct"/>
            <w:vAlign w:val="center"/>
          </w:tcPr>
          <w:p w14:paraId="1404DB57">
            <w:pPr>
              <w:ind w:left="103" w:hanging="102" w:hangingChars="49"/>
              <w:jc w:val="center"/>
              <w:rPr>
                <w:bCs/>
                <w:color w:val="000000" w:themeColor="text1"/>
                <w:szCs w:val="21"/>
              </w:rPr>
            </w:pPr>
            <w:r>
              <w:rPr>
                <w:bCs/>
                <w:color w:val="000000" w:themeColor="text1"/>
                <w:szCs w:val="21"/>
              </w:rPr>
              <w:t>标准</w:t>
            </w:r>
          </w:p>
        </w:tc>
        <w:tc>
          <w:tcPr>
            <w:tcW w:w="648" w:type="pct"/>
          </w:tcPr>
          <w:p w14:paraId="46308DAA">
            <w:pPr>
              <w:jc w:val="center"/>
              <w:rPr>
                <w:color w:val="000000" w:themeColor="text1"/>
              </w:rPr>
            </w:pPr>
            <w:r>
              <w:rPr>
                <w:bCs/>
                <w:color w:val="000000" w:themeColor="text1"/>
                <w:szCs w:val="21"/>
                <w:lang w:val="zh-CN"/>
              </w:rPr>
              <w:t>4</w:t>
            </w:r>
          </w:p>
        </w:tc>
        <w:tc>
          <w:tcPr>
            <w:tcW w:w="648" w:type="pct"/>
          </w:tcPr>
          <w:p w14:paraId="167B59F0">
            <w:pPr>
              <w:jc w:val="center"/>
              <w:rPr>
                <w:color w:val="000000" w:themeColor="text1"/>
              </w:rPr>
            </w:pPr>
            <w:r>
              <w:rPr>
                <w:bCs/>
                <w:color w:val="000000" w:themeColor="text1"/>
                <w:szCs w:val="21"/>
                <w:lang w:val="zh-CN"/>
              </w:rPr>
              <w:t>4</w:t>
            </w:r>
          </w:p>
        </w:tc>
        <w:tc>
          <w:tcPr>
            <w:tcW w:w="648" w:type="pct"/>
          </w:tcPr>
          <w:p w14:paraId="42B317C6">
            <w:pPr>
              <w:jc w:val="center"/>
              <w:rPr>
                <w:color w:val="000000" w:themeColor="text1"/>
              </w:rPr>
            </w:pPr>
            <w:r>
              <w:rPr>
                <w:bCs/>
                <w:color w:val="000000" w:themeColor="text1"/>
                <w:szCs w:val="21"/>
                <w:lang w:val="zh-CN"/>
              </w:rPr>
              <w:t>4</w:t>
            </w:r>
          </w:p>
        </w:tc>
        <w:tc>
          <w:tcPr>
            <w:tcW w:w="648" w:type="pct"/>
          </w:tcPr>
          <w:p w14:paraId="7A658CBC">
            <w:pPr>
              <w:jc w:val="center"/>
              <w:rPr>
                <w:color w:val="000000" w:themeColor="text1"/>
              </w:rPr>
            </w:pPr>
            <w:r>
              <w:rPr>
                <w:bCs/>
                <w:color w:val="000000" w:themeColor="text1"/>
                <w:szCs w:val="21"/>
                <w:lang w:val="zh-CN"/>
              </w:rPr>
              <w:t>4</w:t>
            </w:r>
          </w:p>
        </w:tc>
        <w:tc>
          <w:tcPr>
            <w:tcW w:w="648" w:type="pct"/>
          </w:tcPr>
          <w:p w14:paraId="68AE63B5">
            <w:pPr>
              <w:jc w:val="center"/>
              <w:rPr>
                <w:color w:val="000000" w:themeColor="text1"/>
              </w:rPr>
            </w:pPr>
            <w:r>
              <w:rPr>
                <w:bCs/>
                <w:color w:val="000000" w:themeColor="text1"/>
                <w:szCs w:val="21"/>
                <w:lang w:val="zh-CN"/>
              </w:rPr>
              <w:t>4</w:t>
            </w:r>
          </w:p>
        </w:tc>
        <w:tc>
          <w:tcPr>
            <w:tcW w:w="623" w:type="pct"/>
          </w:tcPr>
          <w:p w14:paraId="36BE6D42">
            <w:pPr>
              <w:jc w:val="center"/>
              <w:rPr>
                <w:color w:val="000000" w:themeColor="text1"/>
              </w:rPr>
            </w:pPr>
            <w:r>
              <w:rPr>
                <w:bCs/>
                <w:color w:val="000000" w:themeColor="text1"/>
                <w:szCs w:val="21"/>
                <w:lang w:val="zh-CN"/>
              </w:rPr>
              <w:t>4</w:t>
            </w:r>
          </w:p>
        </w:tc>
      </w:tr>
      <w:tr w14:paraId="5CC74B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6AEF8559">
            <w:pPr>
              <w:jc w:val="center"/>
              <w:rPr>
                <w:b/>
                <w:color w:val="000000" w:themeColor="text1"/>
                <w:szCs w:val="21"/>
              </w:rPr>
            </w:pPr>
          </w:p>
        </w:tc>
        <w:tc>
          <w:tcPr>
            <w:tcW w:w="875" w:type="pct"/>
            <w:vAlign w:val="center"/>
          </w:tcPr>
          <w:p w14:paraId="6F22393F">
            <w:pPr>
              <w:ind w:left="103" w:hanging="103" w:hangingChars="49"/>
              <w:jc w:val="center"/>
              <w:rPr>
                <w:b/>
                <w:bCs/>
                <w:color w:val="000000" w:themeColor="text1"/>
                <w:szCs w:val="21"/>
              </w:rPr>
            </w:pPr>
            <w:r>
              <w:rPr>
                <w:b/>
                <w:bCs/>
                <w:color w:val="000000" w:themeColor="text1"/>
                <w:szCs w:val="21"/>
              </w:rPr>
              <w:t>达标情况</w:t>
            </w:r>
          </w:p>
        </w:tc>
        <w:tc>
          <w:tcPr>
            <w:tcW w:w="648" w:type="pct"/>
            <w:vAlign w:val="center"/>
          </w:tcPr>
          <w:p w14:paraId="10402974">
            <w:pPr>
              <w:ind w:left="103" w:hanging="103" w:hangingChars="49"/>
              <w:jc w:val="center"/>
              <w:rPr>
                <w:b/>
                <w:bCs/>
                <w:color w:val="000000" w:themeColor="text1"/>
                <w:szCs w:val="21"/>
              </w:rPr>
            </w:pPr>
            <w:r>
              <w:rPr>
                <w:b/>
                <w:bCs/>
                <w:color w:val="000000" w:themeColor="text1"/>
                <w:szCs w:val="21"/>
              </w:rPr>
              <w:t>达标</w:t>
            </w:r>
          </w:p>
        </w:tc>
        <w:tc>
          <w:tcPr>
            <w:tcW w:w="648" w:type="pct"/>
          </w:tcPr>
          <w:p w14:paraId="2F4EDF75">
            <w:pPr>
              <w:jc w:val="center"/>
              <w:rPr>
                <w:b/>
                <w:color w:val="000000" w:themeColor="text1"/>
              </w:rPr>
            </w:pPr>
            <w:r>
              <w:rPr>
                <w:b/>
                <w:bCs/>
                <w:color w:val="000000" w:themeColor="text1"/>
                <w:szCs w:val="21"/>
              </w:rPr>
              <w:t>达标</w:t>
            </w:r>
          </w:p>
        </w:tc>
        <w:tc>
          <w:tcPr>
            <w:tcW w:w="648" w:type="pct"/>
          </w:tcPr>
          <w:p w14:paraId="5D25EEF6">
            <w:pPr>
              <w:jc w:val="center"/>
              <w:rPr>
                <w:b/>
                <w:color w:val="000000" w:themeColor="text1"/>
              </w:rPr>
            </w:pPr>
            <w:r>
              <w:rPr>
                <w:b/>
                <w:bCs/>
                <w:color w:val="000000" w:themeColor="text1"/>
                <w:szCs w:val="21"/>
              </w:rPr>
              <w:t>达标</w:t>
            </w:r>
          </w:p>
        </w:tc>
        <w:tc>
          <w:tcPr>
            <w:tcW w:w="648" w:type="pct"/>
          </w:tcPr>
          <w:p w14:paraId="63FAD66E">
            <w:pPr>
              <w:jc w:val="center"/>
              <w:rPr>
                <w:b/>
                <w:color w:val="000000" w:themeColor="text1"/>
              </w:rPr>
            </w:pPr>
            <w:r>
              <w:rPr>
                <w:b/>
                <w:bCs/>
                <w:color w:val="000000" w:themeColor="text1"/>
                <w:szCs w:val="21"/>
              </w:rPr>
              <w:t>达标</w:t>
            </w:r>
          </w:p>
        </w:tc>
        <w:tc>
          <w:tcPr>
            <w:tcW w:w="648" w:type="pct"/>
          </w:tcPr>
          <w:p w14:paraId="3E01B189">
            <w:pPr>
              <w:jc w:val="center"/>
              <w:rPr>
                <w:b/>
                <w:color w:val="000000" w:themeColor="text1"/>
              </w:rPr>
            </w:pPr>
            <w:r>
              <w:rPr>
                <w:b/>
                <w:bCs/>
                <w:color w:val="000000" w:themeColor="text1"/>
                <w:szCs w:val="21"/>
              </w:rPr>
              <w:t>达标</w:t>
            </w:r>
          </w:p>
        </w:tc>
        <w:tc>
          <w:tcPr>
            <w:tcW w:w="623" w:type="pct"/>
          </w:tcPr>
          <w:p w14:paraId="1504C757">
            <w:pPr>
              <w:jc w:val="center"/>
              <w:rPr>
                <w:b/>
                <w:color w:val="000000" w:themeColor="text1"/>
              </w:rPr>
            </w:pPr>
            <w:r>
              <w:rPr>
                <w:b/>
                <w:bCs/>
                <w:color w:val="000000" w:themeColor="text1"/>
                <w:szCs w:val="21"/>
              </w:rPr>
              <w:t>达标</w:t>
            </w:r>
          </w:p>
        </w:tc>
      </w:tr>
      <w:tr w14:paraId="0724A6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3CA5EBCA">
            <w:pPr>
              <w:jc w:val="center"/>
              <w:rPr>
                <w:b/>
                <w:color w:val="000000" w:themeColor="text1"/>
                <w:szCs w:val="21"/>
              </w:rPr>
            </w:pPr>
          </w:p>
        </w:tc>
        <w:tc>
          <w:tcPr>
            <w:tcW w:w="875" w:type="pct"/>
            <w:vAlign w:val="center"/>
          </w:tcPr>
          <w:p w14:paraId="0905108A">
            <w:pPr>
              <w:ind w:left="103" w:hanging="102" w:hangingChars="49"/>
              <w:jc w:val="center"/>
              <w:rPr>
                <w:bCs/>
                <w:color w:val="000000" w:themeColor="text1"/>
                <w:szCs w:val="21"/>
              </w:rPr>
            </w:pPr>
            <w:r>
              <w:rPr>
                <w:bCs/>
                <w:color w:val="000000" w:themeColor="text1"/>
                <w:szCs w:val="21"/>
              </w:rPr>
              <w:t>SS</w:t>
            </w:r>
          </w:p>
        </w:tc>
        <w:tc>
          <w:tcPr>
            <w:tcW w:w="648" w:type="pct"/>
            <w:vAlign w:val="center"/>
          </w:tcPr>
          <w:p w14:paraId="07F7546A">
            <w:pPr>
              <w:ind w:left="103" w:hanging="102" w:hangingChars="49"/>
              <w:jc w:val="center"/>
              <w:rPr>
                <w:bCs/>
                <w:color w:val="000000" w:themeColor="text1"/>
                <w:szCs w:val="21"/>
              </w:rPr>
            </w:pPr>
            <w:r>
              <w:rPr>
                <w:bCs/>
                <w:color w:val="000000" w:themeColor="text1"/>
                <w:szCs w:val="21"/>
              </w:rPr>
              <w:t>6</w:t>
            </w:r>
          </w:p>
        </w:tc>
        <w:tc>
          <w:tcPr>
            <w:tcW w:w="648" w:type="pct"/>
            <w:vAlign w:val="center"/>
          </w:tcPr>
          <w:p w14:paraId="0DAA33D5">
            <w:pPr>
              <w:ind w:left="103" w:hanging="102" w:hangingChars="49"/>
              <w:jc w:val="center"/>
              <w:rPr>
                <w:bCs/>
                <w:color w:val="000000" w:themeColor="text1"/>
                <w:szCs w:val="21"/>
              </w:rPr>
            </w:pPr>
            <w:r>
              <w:rPr>
                <w:bCs/>
                <w:color w:val="000000" w:themeColor="text1"/>
                <w:szCs w:val="21"/>
              </w:rPr>
              <w:t>7</w:t>
            </w:r>
          </w:p>
        </w:tc>
        <w:tc>
          <w:tcPr>
            <w:tcW w:w="648" w:type="pct"/>
            <w:vAlign w:val="center"/>
          </w:tcPr>
          <w:p w14:paraId="4A033DDF">
            <w:pPr>
              <w:ind w:left="103" w:hanging="102" w:hangingChars="49"/>
              <w:jc w:val="center"/>
              <w:rPr>
                <w:bCs/>
                <w:color w:val="000000" w:themeColor="text1"/>
                <w:szCs w:val="21"/>
              </w:rPr>
            </w:pPr>
            <w:r>
              <w:rPr>
                <w:bCs/>
                <w:color w:val="000000" w:themeColor="text1"/>
                <w:szCs w:val="21"/>
              </w:rPr>
              <w:t>5</w:t>
            </w:r>
          </w:p>
        </w:tc>
        <w:tc>
          <w:tcPr>
            <w:tcW w:w="648" w:type="pct"/>
            <w:vAlign w:val="center"/>
          </w:tcPr>
          <w:p w14:paraId="1C4368B8">
            <w:pPr>
              <w:ind w:left="103" w:hanging="102" w:hangingChars="49"/>
              <w:jc w:val="center"/>
              <w:rPr>
                <w:bCs/>
                <w:color w:val="000000" w:themeColor="text1"/>
                <w:szCs w:val="21"/>
              </w:rPr>
            </w:pPr>
            <w:r>
              <w:rPr>
                <w:bCs/>
                <w:color w:val="000000" w:themeColor="text1"/>
                <w:szCs w:val="21"/>
              </w:rPr>
              <w:t>8</w:t>
            </w:r>
          </w:p>
        </w:tc>
        <w:tc>
          <w:tcPr>
            <w:tcW w:w="648" w:type="pct"/>
            <w:vAlign w:val="center"/>
          </w:tcPr>
          <w:p w14:paraId="2356D736">
            <w:pPr>
              <w:ind w:left="103" w:hanging="102" w:hangingChars="49"/>
              <w:jc w:val="center"/>
              <w:rPr>
                <w:bCs/>
                <w:color w:val="000000" w:themeColor="text1"/>
                <w:szCs w:val="21"/>
              </w:rPr>
            </w:pPr>
            <w:r>
              <w:rPr>
                <w:bCs/>
                <w:color w:val="000000" w:themeColor="text1"/>
                <w:szCs w:val="21"/>
              </w:rPr>
              <w:t>5</w:t>
            </w:r>
          </w:p>
        </w:tc>
        <w:tc>
          <w:tcPr>
            <w:tcW w:w="623" w:type="pct"/>
            <w:vAlign w:val="center"/>
          </w:tcPr>
          <w:p w14:paraId="73E8395B">
            <w:pPr>
              <w:ind w:left="103" w:hanging="102" w:hangingChars="49"/>
              <w:jc w:val="center"/>
              <w:rPr>
                <w:bCs/>
                <w:color w:val="000000" w:themeColor="text1"/>
                <w:szCs w:val="21"/>
              </w:rPr>
            </w:pPr>
            <w:r>
              <w:rPr>
                <w:bCs/>
                <w:color w:val="000000" w:themeColor="text1"/>
                <w:szCs w:val="21"/>
              </w:rPr>
              <w:t>6</w:t>
            </w:r>
          </w:p>
        </w:tc>
      </w:tr>
      <w:tr w14:paraId="684169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6B1873B6">
            <w:pPr>
              <w:jc w:val="center"/>
              <w:rPr>
                <w:b/>
                <w:color w:val="000000" w:themeColor="text1"/>
                <w:szCs w:val="21"/>
              </w:rPr>
            </w:pPr>
          </w:p>
        </w:tc>
        <w:tc>
          <w:tcPr>
            <w:tcW w:w="875" w:type="pct"/>
            <w:vAlign w:val="center"/>
          </w:tcPr>
          <w:p w14:paraId="05D5938C">
            <w:pPr>
              <w:ind w:left="103" w:hanging="102" w:hangingChars="49"/>
              <w:jc w:val="center"/>
              <w:rPr>
                <w:bCs/>
                <w:color w:val="000000" w:themeColor="text1"/>
                <w:szCs w:val="21"/>
              </w:rPr>
            </w:pPr>
            <w:r>
              <w:rPr>
                <w:bCs/>
                <w:color w:val="000000" w:themeColor="text1"/>
                <w:szCs w:val="21"/>
              </w:rPr>
              <w:t>标准</w:t>
            </w:r>
          </w:p>
        </w:tc>
        <w:tc>
          <w:tcPr>
            <w:tcW w:w="648" w:type="pct"/>
            <w:vAlign w:val="center"/>
          </w:tcPr>
          <w:p w14:paraId="30D5D4D7">
            <w:pPr>
              <w:ind w:left="103" w:hanging="102" w:hangingChars="49"/>
              <w:jc w:val="center"/>
              <w:rPr>
                <w:bCs/>
                <w:color w:val="000000" w:themeColor="text1"/>
                <w:szCs w:val="21"/>
              </w:rPr>
            </w:pPr>
            <w:r>
              <w:rPr>
                <w:bCs/>
                <w:color w:val="000000" w:themeColor="text1"/>
                <w:szCs w:val="21"/>
              </w:rPr>
              <w:t>/</w:t>
            </w:r>
          </w:p>
        </w:tc>
        <w:tc>
          <w:tcPr>
            <w:tcW w:w="648" w:type="pct"/>
            <w:vAlign w:val="center"/>
          </w:tcPr>
          <w:p w14:paraId="0015DE78">
            <w:pPr>
              <w:ind w:left="103" w:hanging="102" w:hangingChars="49"/>
              <w:jc w:val="center"/>
              <w:rPr>
                <w:bCs/>
                <w:color w:val="000000" w:themeColor="text1"/>
                <w:szCs w:val="21"/>
              </w:rPr>
            </w:pPr>
            <w:r>
              <w:rPr>
                <w:bCs/>
                <w:color w:val="000000" w:themeColor="text1"/>
                <w:szCs w:val="21"/>
              </w:rPr>
              <w:t>/</w:t>
            </w:r>
          </w:p>
        </w:tc>
        <w:tc>
          <w:tcPr>
            <w:tcW w:w="648" w:type="pct"/>
            <w:vAlign w:val="center"/>
          </w:tcPr>
          <w:p w14:paraId="2003E591">
            <w:pPr>
              <w:ind w:left="103" w:hanging="102" w:hangingChars="49"/>
              <w:jc w:val="center"/>
              <w:rPr>
                <w:bCs/>
                <w:color w:val="000000" w:themeColor="text1"/>
                <w:szCs w:val="21"/>
              </w:rPr>
            </w:pPr>
            <w:r>
              <w:rPr>
                <w:bCs/>
                <w:color w:val="000000" w:themeColor="text1"/>
                <w:szCs w:val="21"/>
              </w:rPr>
              <w:t>/</w:t>
            </w:r>
          </w:p>
        </w:tc>
        <w:tc>
          <w:tcPr>
            <w:tcW w:w="648" w:type="pct"/>
            <w:vAlign w:val="center"/>
          </w:tcPr>
          <w:p w14:paraId="11DFD831">
            <w:pPr>
              <w:ind w:left="103" w:hanging="102" w:hangingChars="49"/>
              <w:jc w:val="center"/>
              <w:rPr>
                <w:bCs/>
                <w:color w:val="000000" w:themeColor="text1"/>
                <w:szCs w:val="21"/>
              </w:rPr>
            </w:pPr>
            <w:r>
              <w:rPr>
                <w:bCs/>
                <w:color w:val="000000" w:themeColor="text1"/>
                <w:szCs w:val="21"/>
              </w:rPr>
              <w:t>/</w:t>
            </w:r>
          </w:p>
        </w:tc>
        <w:tc>
          <w:tcPr>
            <w:tcW w:w="648" w:type="pct"/>
            <w:vAlign w:val="center"/>
          </w:tcPr>
          <w:p w14:paraId="71663C2A">
            <w:pPr>
              <w:ind w:left="103" w:hanging="102" w:hangingChars="49"/>
              <w:jc w:val="center"/>
              <w:rPr>
                <w:bCs/>
                <w:color w:val="000000" w:themeColor="text1"/>
                <w:szCs w:val="21"/>
              </w:rPr>
            </w:pPr>
            <w:r>
              <w:rPr>
                <w:bCs/>
                <w:color w:val="000000" w:themeColor="text1"/>
                <w:szCs w:val="21"/>
              </w:rPr>
              <w:t>/</w:t>
            </w:r>
          </w:p>
        </w:tc>
        <w:tc>
          <w:tcPr>
            <w:tcW w:w="623" w:type="pct"/>
            <w:vAlign w:val="center"/>
          </w:tcPr>
          <w:p w14:paraId="2AE40EA5">
            <w:pPr>
              <w:ind w:left="103" w:hanging="102" w:hangingChars="49"/>
              <w:jc w:val="center"/>
              <w:rPr>
                <w:bCs/>
                <w:color w:val="000000" w:themeColor="text1"/>
                <w:szCs w:val="21"/>
              </w:rPr>
            </w:pPr>
            <w:r>
              <w:rPr>
                <w:bCs/>
                <w:color w:val="000000" w:themeColor="text1"/>
                <w:szCs w:val="21"/>
              </w:rPr>
              <w:t>/</w:t>
            </w:r>
          </w:p>
        </w:tc>
      </w:tr>
      <w:tr w14:paraId="75A37F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2F27AE46">
            <w:pPr>
              <w:jc w:val="center"/>
              <w:rPr>
                <w:b/>
                <w:color w:val="000000" w:themeColor="text1"/>
                <w:szCs w:val="21"/>
              </w:rPr>
            </w:pPr>
          </w:p>
        </w:tc>
        <w:tc>
          <w:tcPr>
            <w:tcW w:w="875" w:type="pct"/>
            <w:vAlign w:val="center"/>
          </w:tcPr>
          <w:p w14:paraId="2886E582">
            <w:pPr>
              <w:ind w:left="103" w:hanging="103" w:hangingChars="49"/>
              <w:jc w:val="center"/>
              <w:rPr>
                <w:b/>
                <w:bCs/>
                <w:color w:val="000000" w:themeColor="text1"/>
                <w:szCs w:val="21"/>
              </w:rPr>
            </w:pPr>
            <w:r>
              <w:rPr>
                <w:b/>
                <w:bCs/>
                <w:color w:val="000000" w:themeColor="text1"/>
                <w:szCs w:val="21"/>
              </w:rPr>
              <w:t>达标情况</w:t>
            </w:r>
          </w:p>
        </w:tc>
        <w:tc>
          <w:tcPr>
            <w:tcW w:w="648" w:type="pct"/>
            <w:vAlign w:val="center"/>
          </w:tcPr>
          <w:p w14:paraId="1C3665C8">
            <w:pPr>
              <w:ind w:left="103" w:hanging="102" w:hangingChars="49"/>
              <w:jc w:val="center"/>
              <w:rPr>
                <w:bCs/>
                <w:color w:val="000000" w:themeColor="text1"/>
                <w:szCs w:val="21"/>
              </w:rPr>
            </w:pPr>
            <w:r>
              <w:rPr>
                <w:bCs/>
                <w:color w:val="000000" w:themeColor="text1"/>
                <w:szCs w:val="21"/>
              </w:rPr>
              <w:t>/</w:t>
            </w:r>
          </w:p>
        </w:tc>
        <w:tc>
          <w:tcPr>
            <w:tcW w:w="648" w:type="pct"/>
            <w:vAlign w:val="center"/>
          </w:tcPr>
          <w:p w14:paraId="01068747">
            <w:pPr>
              <w:ind w:left="103" w:hanging="102" w:hangingChars="49"/>
              <w:jc w:val="center"/>
              <w:rPr>
                <w:bCs/>
                <w:color w:val="000000" w:themeColor="text1"/>
                <w:szCs w:val="21"/>
              </w:rPr>
            </w:pPr>
            <w:r>
              <w:rPr>
                <w:bCs/>
                <w:color w:val="000000" w:themeColor="text1"/>
                <w:szCs w:val="21"/>
              </w:rPr>
              <w:t>/</w:t>
            </w:r>
          </w:p>
        </w:tc>
        <w:tc>
          <w:tcPr>
            <w:tcW w:w="648" w:type="pct"/>
            <w:vAlign w:val="center"/>
          </w:tcPr>
          <w:p w14:paraId="3FC79596">
            <w:pPr>
              <w:ind w:left="103" w:hanging="102" w:hangingChars="49"/>
              <w:jc w:val="center"/>
              <w:rPr>
                <w:bCs/>
                <w:color w:val="000000" w:themeColor="text1"/>
                <w:szCs w:val="21"/>
              </w:rPr>
            </w:pPr>
            <w:r>
              <w:rPr>
                <w:bCs/>
                <w:color w:val="000000" w:themeColor="text1"/>
                <w:szCs w:val="21"/>
              </w:rPr>
              <w:t>/</w:t>
            </w:r>
          </w:p>
        </w:tc>
        <w:tc>
          <w:tcPr>
            <w:tcW w:w="648" w:type="pct"/>
            <w:vAlign w:val="center"/>
          </w:tcPr>
          <w:p w14:paraId="42B78312">
            <w:pPr>
              <w:ind w:left="103" w:hanging="102" w:hangingChars="49"/>
              <w:jc w:val="center"/>
              <w:rPr>
                <w:bCs/>
                <w:color w:val="000000" w:themeColor="text1"/>
                <w:szCs w:val="21"/>
              </w:rPr>
            </w:pPr>
            <w:r>
              <w:rPr>
                <w:bCs/>
                <w:color w:val="000000" w:themeColor="text1"/>
                <w:szCs w:val="21"/>
              </w:rPr>
              <w:t>/</w:t>
            </w:r>
          </w:p>
        </w:tc>
        <w:tc>
          <w:tcPr>
            <w:tcW w:w="648" w:type="pct"/>
            <w:vAlign w:val="center"/>
          </w:tcPr>
          <w:p w14:paraId="72C252BA">
            <w:pPr>
              <w:ind w:left="103" w:hanging="102" w:hangingChars="49"/>
              <w:jc w:val="center"/>
              <w:rPr>
                <w:bCs/>
                <w:color w:val="000000" w:themeColor="text1"/>
                <w:szCs w:val="21"/>
              </w:rPr>
            </w:pPr>
            <w:r>
              <w:rPr>
                <w:bCs/>
                <w:color w:val="000000" w:themeColor="text1"/>
                <w:szCs w:val="21"/>
              </w:rPr>
              <w:t>/</w:t>
            </w:r>
          </w:p>
        </w:tc>
        <w:tc>
          <w:tcPr>
            <w:tcW w:w="623" w:type="pct"/>
            <w:vAlign w:val="center"/>
          </w:tcPr>
          <w:p w14:paraId="5D912165">
            <w:pPr>
              <w:ind w:left="103" w:hanging="102" w:hangingChars="49"/>
              <w:jc w:val="center"/>
              <w:rPr>
                <w:bCs/>
                <w:color w:val="000000" w:themeColor="text1"/>
                <w:szCs w:val="21"/>
              </w:rPr>
            </w:pPr>
            <w:r>
              <w:rPr>
                <w:bCs/>
                <w:color w:val="000000" w:themeColor="text1"/>
                <w:szCs w:val="21"/>
              </w:rPr>
              <w:t>/</w:t>
            </w:r>
          </w:p>
        </w:tc>
      </w:tr>
      <w:tr w14:paraId="4CC6DF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1C60912A">
            <w:pPr>
              <w:jc w:val="center"/>
              <w:rPr>
                <w:b/>
                <w:color w:val="000000" w:themeColor="text1"/>
                <w:szCs w:val="21"/>
              </w:rPr>
            </w:pPr>
          </w:p>
        </w:tc>
        <w:tc>
          <w:tcPr>
            <w:tcW w:w="875" w:type="pct"/>
            <w:vAlign w:val="center"/>
          </w:tcPr>
          <w:p w14:paraId="33CE8941">
            <w:pPr>
              <w:ind w:left="103" w:hanging="102" w:hangingChars="49"/>
              <w:jc w:val="center"/>
              <w:rPr>
                <w:bCs/>
                <w:color w:val="000000" w:themeColor="text1"/>
                <w:szCs w:val="21"/>
              </w:rPr>
            </w:pPr>
            <w:r>
              <w:rPr>
                <w:bCs/>
                <w:color w:val="000000" w:themeColor="text1"/>
                <w:szCs w:val="21"/>
              </w:rPr>
              <w:t>氨氮</w:t>
            </w:r>
          </w:p>
        </w:tc>
        <w:tc>
          <w:tcPr>
            <w:tcW w:w="648" w:type="pct"/>
            <w:vAlign w:val="center"/>
          </w:tcPr>
          <w:p w14:paraId="4EB0BA5A">
            <w:pPr>
              <w:ind w:left="103" w:hanging="102" w:hangingChars="49"/>
              <w:jc w:val="center"/>
              <w:rPr>
                <w:bCs/>
                <w:color w:val="000000" w:themeColor="text1"/>
                <w:szCs w:val="21"/>
              </w:rPr>
            </w:pPr>
            <w:r>
              <w:rPr>
                <w:bCs/>
                <w:color w:val="000000" w:themeColor="text1"/>
                <w:szCs w:val="21"/>
              </w:rPr>
              <w:t>0.180</w:t>
            </w:r>
          </w:p>
        </w:tc>
        <w:tc>
          <w:tcPr>
            <w:tcW w:w="648" w:type="pct"/>
            <w:vAlign w:val="center"/>
          </w:tcPr>
          <w:p w14:paraId="0BBADD9A">
            <w:pPr>
              <w:ind w:left="103" w:hanging="102" w:hangingChars="49"/>
              <w:jc w:val="center"/>
              <w:rPr>
                <w:bCs/>
                <w:color w:val="000000" w:themeColor="text1"/>
                <w:szCs w:val="21"/>
              </w:rPr>
            </w:pPr>
            <w:r>
              <w:rPr>
                <w:bCs/>
                <w:color w:val="000000" w:themeColor="text1"/>
                <w:szCs w:val="21"/>
              </w:rPr>
              <w:t>0.175</w:t>
            </w:r>
          </w:p>
        </w:tc>
        <w:tc>
          <w:tcPr>
            <w:tcW w:w="648" w:type="pct"/>
            <w:vAlign w:val="center"/>
          </w:tcPr>
          <w:p w14:paraId="69F068F2">
            <w:pPr>
              <w:ind w:left="103" w:hanging="102" w:hangingChars="49"/>
              <w:jc w:val="center"/>
              <w:rPr>
                <w:bCs/>
                <w:color w:val="000000" w:themeColor="text1"/>
                <w:szCs w:val="21"/>
              </w:rPr>
            </w:pPr>
            <w:r>
              <w:rPr>
                <w:bCs/>
                <w:color w:val="000000" w:themeColor="text1"/>
                <w:szCs w:val="21"/>
              </w:rPr>
              <w:t>0.165</w:t>
            </w:r>
          </w:p>
        </w:tc>
        <w:tc>
          <w:tcPr>
            <w:tcW w:w="648" w:type="pct"/>
            <w:vAlign w:val="center"/>
          </w:tcPr>
          <w:p w14:paraId="177A8A87">
            <w:pPr>
              <w:ind w:left="103" w:hanging="102" w:hangingChars="49"/>
              <w:jc w:val="center"/>
              <w:rPr>
                <w:bCs/>
                <w:color w:val="000000" w:themeColor="text1"/>
                <w:szCs w:val="21"/>
              </w:rPr>
            </w:pPr>
            <w:r>
              <w:rPr>
                <w:bCs/>
                <w:color w:val="000000" w:themeColor="text1"/>
                <w:szCs w:val="21"/>
              </w:rPr>
              <w:t>0.504</w:t>
            </w:r>
          </w:p>
        </w:tc>
        <w:tc>
          <w:tcPr>
            <w:tcW w:w="648" w:type="pct"/>
            <w:vAlign w:val="center"/>
          </w:tcPr>
          <w:p w14:paraId="26FE78F0">
            <w:pPr>
              <w:ind w:left="103" w:hanging="102" w:hangingChars="49"/>
              <w:jc w:val="center"/>
              <w:rPr>
                <w:bCs/>
                <w:color w:val="000000" w:themeColor="text1"/>
                <w:szCs w:val="21"/>
              </w:rPr>
            </w:pPr>
            <w:r>
              <w:rPr>
                <w:bCs/>
                <w:color w:val="000000" w:themeColor="text1"/>
                <w:szCs w:val="21"/>
              </w:rPr>
              <w:t>0.490</w:t>
            </w:r>
          </w:p>
        </w:tc>
        <w:tc>
          <w:tcPr>
            <w:tcW w:w="623" w:type="pct"/>
            <w:vAlign w:val="center"/>
          </w:tcPr>
          <w:p w14:paraId="3FED0B7B">
            <w:pPr>
              <w:ind w:left="103" w:hanging="102" w:hangingChars="49"/>
              <w:jc w:val="center"/>
              <w:rPr>
                <w:bCs/>
                <w:color w:val="000000" w:themeColor="text1"/>
                <w:szCs w:val="21"/>
              </w:rPr>
            </w:pPr>
            <w:r>
              <w:rPr>
                <w:bCs/>
                <w:color w:val="000000" w:themeColor="text1"/>
                <w:szCs w:val="21"/>
              </w:rPr>
              <w:t>0.497</w:t>
            </w:r>
          </w:p>
        </w:tc>
      </w:tr>
      <w:tr w14:paraId="067E1C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2427E18C">
            <w:pPr>
              <w:jc w:val="center"/>
              <w:rPr>
                <w:b/>
                <w:color w:val="000000" w:themeColor="text1"/>
                <w:szCs w:val="21"/>
              </w:rPr>
            </w:pPr>
          </w:p>
        </w:tc>
        <w:tc>
          <w:tcPr>
            <w:tcW w:w="875" w:type="pct"/>
            <w:vAlign w:val="center"/>
          </w:tcPr>
          <w:p w14:paraId="0CD4427B">
            <w:pPr>
              <w:ind w:left="103" w:hanging="102" w:hangingChars="49"/>
              <w:jc w:val="center"/>
              <w:rPr>
                <w:bCs/>
                <w:color w:val="000000" w:themeColor="text1"/>
                <w:szCs w:val="21"/>
              </w:rPr>
            </w:pPr>
            <w:r>
              <w:rPr>
                <w:bCs/>
                <w:color w:val="000000" w:themeColor="text1"/>
                <w:szCs w:val="21"/>
              </w:rPr>
              <w:t>标准</w:t>
            </w:r>
          </w:p>
        </w:tc>
        <w:tc>
          <w:tcPr>
            <w:tcW w:w="648" w:type="pct"/>
          </w:tcPr>
          <w:p w14:paraId="1C0F8F70">
            <w:pPr>
              <w:jc w:val="center"/>
              <w:rPr>
                <w:color w:val="000000" w:themeColor="text1"/>
              </w:rPr>
            </w:pPr>
            <w:r>
              <w:rPr>
                <w:bCs/>
                <w:color w:val="000000" w:themeColor="text1"/>
                <w:szCs w:val="21"/>
                <w:lang w:val="zh-CN"/>
              </w:rPr>
              <w:t>1.0</w:t>
            </w:r>
          </w:p>
        </w:tc>
        <w:tc>
          <w:tcPr>
            <w:tcW w:w="648" w:type="pct"/>
          </w:tcPr>
          <w:p w14:paraId="54E019B4">
            <w:pPr>
              <w:jc w:val="center"/>
              <w:rPr>
                <w:color w:val="000000" w:themeColor="text1"/>
              </w:rPr>
            </w:pPr>
            <w:r>
              <w:rPr>
                <w:bCs/>
                <w:color w:val="000000" w:themeColor="text1"/>
                <w:szCs w:val="21"/>
                <w:lang w:val="zh-CN"/>
              </w:rPr>
              <w:t>1.0</w:t>
            </w:r>
          </w:p>
        </w:tc>
        <w:tc>
          <w:tcPr>
            <w:tcW w:w="648" w:type="pct"/>
          </w:tcPr>
          <w:p w14:paraId="3A9E2F19">
            <w:pPr>
              <w:jc w:val="center"/>
              <w:rPr>
                <w:color w:val="000000" w:themeColor="text1"/>
              </w:rPr>
            </w:pPr>
            <w:r>
              <w:rPr>
                <w:bCs/>
                <w:color w:val="000000" w:themeColor="text1"/>
                <w:szCs w:val="21"/>
                <w:lang w:val="zh-CN"/>
              </w:rPr>
              <w:t>1.0</w:t>
            </w:r>
          </w:p>
        </w:tc>
        <w:tc>
          <w:tcPr>
            <w:tcW w:w="648" w:type="pct"/>
          </w:tcPr>
          <w:p w14:paraId="3224D72A">
            <w:pPr>
              <w:jc w:val="center"/>
              <w:rPr>
                <w:color w:val="000000" w:themeColor="text1"/>
              </w:rPr>
            </w:pPr>
            <w:r>
              <w:rPr>
                <w:bCs/>
                <w:color w:val="000000" w:themeColor="text1"/>
                <w:szCs w:val="21"/>
                <w:lang w:val="zh-CN"/>
              </w:rPr>
              <w:t>1.0</w:t>
            </w:r>
          </w:p>
        </w:tc>
        <w:tc>
          <w:tcPr>
            <w:tcW w:w="648" w:type="pct"/>
          </w:tcPr>
          <w:p w14:paraId="1C1368D3">
            <w:pPr>
              <w:jc w:val="center"/>
              <w:rPr>
                <w:color w:val="000000" w:themeColor="text1"/>
              </w:rPr>
            </w:pPr>
            <w:r>
              <w:rPr>
                <w:bCs/>
                <w:color w:val="000000" w:themeColor="text1"/>
                <w:szCs w:val="21"/>
                <w:lang w:val="zh-CN"/>
              </w:rPr>
              <w:t>1.0</w:t>
            </w:r>
          </w:p>
        </w:tc>
        <w:tc>
          <w:tcPr>
            <w:tcW w:w="623" w:type="pct"/>
          </w:tcPr>
          <w:p w14:paraId="6CB61607">
            <w:pPr>
              <w:jc w:val="center"/>
              <w:rPr>
                <w:color w:val="000000" w:themeColor="text1"/>
              </w:rPr>
            </w:pPr>
            <w:r>
              <w:rPr>
                <w:bCs/>
                <w:color w:val="000000" w:themeColor="text1"/>
                <w:szCs w:val="21"/>
                <w:lang w:val="zh-CN"/>
              </w:rPr>
              <w:t>1.0</w:t>
            </w:r>
          </w:p>
        </w:tc>
      </w:tr>
      <w:tr w14:paraId="4DF182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7964EB7A">
            <w:pPr>
              <w:jc w:val="center"/>
              <w:rPr>
                <w:b/>
                <w:color w:val="000000" w:themeColor="text1"/>
                <w:szCs w:val="21"/>
              </w:rPr>
            </w:pPr>
          </w:p>
        </w:tc>
        <w:tc>
          <w:tcPr>
            <w:tcW w:w="875" w:type="pct"/>
            <w:vAlign w:val="center"/>
          </w:tcPr>
          <w:p w14:paraId="298A252E">
            <w:pPr>
              <w:ind w:left="103" w:hanging="103" w:hangingChars="49"/>
              <w:jc w:val="center"/>
              <w:rPr>
                <w:b/>
                <w:bCs/>
                <w:color w:val="000000" w:themeColor="text1"/>
                <w:szCs w:val="21"/>
              </w:rPr>
            </w:pPr>
            <w:r>
              <w:rPr>
                <w:b/>
                <w:bCs/>
                <w:color w:val="000000" w:themeColor="text1"/>
                <w:szCs w:val="21"/>
              </w:rPr>
              <w:t>达标情况</w:t>
            </w:r>
          </w:p>
        </w:tc>
        <w:tc>
          <w:tcPr>
            <w:tcW w:w="648" w:type="pct"/>
            <w:vAlign w:val="center"/>
          </w:tcPr>
          <w:p w14:paraId="7E8A1C62">
            <w:pPr>
              <w:ind w:left="103" w:hanging="103" w:hangingChars="49"/>
              <w:jc w:val="center"/>
              <w:rPr>
                <w:b/>
                <w:bCs/>
                <w:color w:val="000000" w:themeColor="text1"/>
                <w:szCs w:val="21"/>
              </w:rPr>
            </w:pPr>
            <w:r>
              <w:rPr>
                <w:b/>
                <w:bCs/>
                <w:color w:val="000000" w:themeColor="text1"/>
                <w:szCs w:val="21"/>
              </w:rPr>
              <w:t>达标</w:t>
            </w:r>
          </w:p>
        </w:tc>
        <w:tc>
          <w:tcPr>
            <w:tcW w:w="648" w:type="pct"/>
          </w:tcPr>
          <w:p w14:paraId="161B00F0">
            <w:pPr>
              <w:jc w:val="center"/>
              <w:rPr>
                <w:b/>
                <w:color w:val="000000" w:themeColor="text1"/>
              </w:rPr>
            </w:pPr>
            <w:r>
              <w:rPr>
                <w:b/>
                <w:bCs/>
                <w:color w:val="000000" w:themeColor="text1"/>
                <w:szCs w:val="21"/>
              </w:rPr>
              <w:t>达标</w:t>
            </w:r>
          </w:p>
        </w:tc>
        <w:tc>
          <w:tcPr>
            <w:tcW w:w="648" w:type="pct"/>
          </w:tcPr>
          <w:p w14:paraId="68278553">
            <w:pPr>
              <w:jc w:val="center"/>
              <w:rPr>
                <w:b/>
                <w:color w:val="000000" w:themeColor="text1"/>
              </w:rPr>
            </w:pPr>
            <w:r>
              <w:rPr>
                <w:b/>
                <w:bCs/>
                <w:color w:val="000000" w:themeColor="text1"/>
                <w:szCs w:val="21"/>
              </w:rPr>
              <w:t>达标</w:t>
            </w:r>
          </w:p>
        </w:tc>
        <w:tc>
          <w:tcPr>
            <w:tcW w:w="648" w:type="pct"/>
          </w:tcPr>
          <w:p w14:paraId="695C1897">
            <w:pPr>
              <w:jc w:val="center"/>
              <w:rPr>
                <w:b/>
                <w:color w:val="000000" w:themeColor="text1"/>
              </w:rPr>
            </w:pPr>
            <w:r>
              <w:rPr>
                <w:b/>
                <w:bCs/>
                <w:color w:val="000000" w:themeColor="text1"/>
                <w:szCs w:val="21"/>
              </w:rPr>
              <w:t>达标</w:t>
            </w:r>
          </w:p>
        </w:tc>
        <w:tc>
          <w:tcPr>
            <w:tcW w:w="648" w:type="pct"/>
          </w:tcPr>
          <w:p w14:paraId="39BD52D1">
            <w:pPr>
              <w:jc w:val="center"/>
              <w:rPr>
                <w:b/>
                <w:color w:val="000000" w:themeColor="text1"/>
              </w:rPr>
            </w:pPr>
            <w:r>
              <w:rPr>
                <w:b/>
                <w:bCs/>
                <w:color w:val="000000" w:themeColor="text1"/>
                <w:szCs w:val="21"/>
              </w:rPr>
              <w:t>达标</w:t>
            </w:r>
          </w:p>
        </w:tc>
        <w:tc>
          <w:tcPr>
            <w:tcW w:w="623" w:type="pct"/>
          </w:tcPr>
          <w:p w14:paraId="7D3FE18A">
            <w:pPr>
              <w:jc w:val="center"/>
              <w:rPr>
                <w:b/>
                <w:color w:val="000000" w:themeColor="text1"/>
              </w:rPr>
            </w:pPr>
            <w:r>
              <w:rPr>
                <w:b/>
                <w:bCs/>
                <w:color w:val="000000" w:themeColor="text1"/>
                <w:szCs w:val="21"/>
              </w:rPr>
              <w:t>达标</w:t>
            </w:r>
          </w:p>
        </w:tc>
      </w:tr>
      <w:tr w14:paraId="5C08FD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6C473427">
            <w:pPr>
              <w:jc w:val="center"/>
              <w:rPr>
                <w:b/>
                <w:color w:val="000000" w:themeColor="text1"/>
                <w:szCs w:val="21"/>
              </w:rPr>
            </w:pPr>
          </w:p>
        </w:tc>
        <w:tc>
          <w:tcPr>
            <w:tcW w:w="875" w:type="pct"/>
            <w:vAlign w:val="center"/>
          </w:tcPr>
          <w:p w14:paraId="384CDA56">
            <w:pPr>
              <w:ind w:left="103" w:hanging="102" w:hangingChars="49"/>
              <w:jc w:val="center"/>
              <w:rPr>
                <w:bCs/>
                <w:color w:val="000000" w:themeColor="text1"/>
                <w:szCs w:val="21"/>
              </w:rPr>
            </w:pPr>
            <w:r>
              <w:rPr>
                <w:bCs/>
                <w:color w:val="000000" w:themeColor="text1"/>
                <w:szCs w:val="21"/>
              </w:rPr>
              <w:t>总氮</w:t>
            </w:r>
          </w:p>
        </w:tc>
        <w:tc>
          <w:tcPr>
            <w:tcW w:w="648" w:type="pct"/>
            <w:vAlign w:val="center"/>
          </w:tcPr>
          <w:p w14:paraId="21AAA4DF">
            <w:pPr>
              <w:ind w:left="103" w:hanging="102" w:hangingChars="49"/>
              <w:jc w:val="center"/>
              <w:rPr>
                <w:bCs/>
                <w:color w:val="000000" w:themeColor="text1"/>
                <w:szCs w:val="21"/>
              </w:rPr>
            </w:pPr>
            <w:r>
              <w:rPr>
                <w:bCs/>
                <w:color w:val="000000" w:themeColor="text1"/>
                <w:szCs w:val="21"/>
              </w:rPr>
              <w:t>0.51</w:t>
            </w:r>
          </w:p>
        </w:tc>
        <w:tc>
          <w:tcPr>
            <w:tcW w:w="648" w:type="pct"/>
            <w:vAlign w:val="center"/>
          </w:tcPr>
          <w:p w14:paraId="0039AC71">
            <w:pPr>
              <w:ind w:left="103" w:hanging="102" w:hangingChars="49"/>
              <w:jc w:val="center"/>
              <w:rPr>
                <w:bCs/>
                <w:color w:val="000000" w:themeColor="text1"/>
                <w:szCs w:val="21"/>
              </w:rPr>
            </w:pPr>
            <w:r>
              <w:rPr>
                <w:bCs/>
                <w:color w:val="000000" w:themeColor="text1"/>
                <w:szCs w:val="21"/>
              </w:rPr>
              <w:t>0.47</w:t>
            </w:r>
          </w:p>
        </w:tc>
        <w:tc>
          <w:tcPr>
            <w:tcW w:w="648" w:type="pct"/>
            <w:vAlign w:val="center"/>
          </w:tcPr>
          <w:p w14:paraId="70E302FA">
            <w:pPr>
              <w:ind w:left="103" w:hanging="102" w:hangingChars="49"/>
              <w:jc w:val="center"/>
              <w:rPr>
                <w:bCs/>
                <w:color w:val="000000" w:themeColor="text1"/>
                <w:szCs w:val="21"/>
              </w:rPr>
            </w:pPr>
            <w:r>
              <w:rPr>
                <w:bCs/>
                <w:color w:val="000000" w:themeColor="text1"/>
                <w:szCs w:val="21"/>
              </w:rPr>
              <w:t>0.43</w:t>
            </w:r>
          </w:p>
        </w:tc>
        <w:tc>
          <w:tcPr>
            <w:tcW w:w="648" w:type="pct"/>
            <w:vAlign w:val="center"/>
          </w:tcPr>
          <w:p w14:paraId="089C194A">
            <w:pPr>
              <w:ind w:left="103" w:hanging="102" w:hangingChars="49"/>
              <w:jc w:val="center"/>
              <w:rPr>
                <w:bCs/>
                <w:color w:val="000000" w:themeColor="text1"/>
                <w:szCs w:val="21"/>
              </w:rPr>
            </w:pPr>
            <w:r>
              <w:rPr>
                <w:bCs/>
                <w:color w:val="000000" w:themeColor="text1"/>
                <w:szCs w:val="21"/>
              </w:rPr>
              <w:t>0.97</w:t>
            </w:r>
          </w:p>
        </w:tc>
        <w:tc>
          <w:tcPr>
            <w:tcW w:w="648" w:type="pct"/>
            <w:vAlign w:val="center"/>
          </w:tcPr>
          <w:p w14:paraId="6822AE74">
            <w:pPr>
              <w:ind w:left="103" w:hanging="102" w:hangingChars="49"/>
              <w:jc w:val="center"/>
              <w:rPr>
                <w:bCs/>
                <w:color w:val="000000" w:themeColor="text1"/>
                <w:szCs w:val="21"/>
              </w:rPr>
            </w:pPr>
            <w:r>
              <w:rPr>
                <w:bCs/>
                <w:color w:val="000000" w:themeColor="text1"/>
                <w:szCs w:val="21"/>
              </w:rPr>
              <w:t>0.88</w:t>
            </w:r>
          </w:p>
        </w:tc>
        <w:tc>
          <w:tcPr>
            <w:tcW w:w="623" w:type="pct"/>
            <w:vAlign w:val="center"/>
          </w:tcPr>
          <w:p w14:paraId="6281F6CC">
            <w:pPr>
              <w:ind w:left="103" w:hanging="102" w:hangingChars="49"/>
              <w:jc w:val="center"/>
              <w:rPr>
                <w:bCs/>
                <w:color w:val="000000" w:themeColor="text1"/>
                <w:szCs w:val="21"/>
              </w:rPr>
            </w:pPr>
            <w:r>
              <w:rPr>
                <w:bCs/>
                <w:color w:val="000000" w:themeColor="text1"/>
                <w:szCs w:val="21"/>
              </w:rPr>
              <w:t>0.92</w:t>
            </w:r>
          </w:p>
        </w:tc>
      </w:tr>
      <w:tr w14:paraId="7ABFF8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4612665F">
            <w:pPr>
              <w:jc w:val="center"/>
              <w:rPr>
                <w:b/>
                <w:color w:val="000000" w:themeColor="text1"/>
                <w:szCs w:val="21"/>
              </w:rPr>
            </w:pPr>
          </w:p>
        </w:tc>
        <w:tc>
          <w:tcPr>
            <w:tcW w:w="875" w:type="pct"/>
            <w:vAlign w:val="center"/>
          </w:tcPr>
          <w:p w14:paraId="18FCD657">
            <w:pPr>
              <w:ind w:left="103" w:hanging="102" w:hangingChars="49"/>
              <w:jc w:val="center"/>
              <w:rPr>
                <w:bCs/>
                <w:color w:val="000000" w:themeColor="text1"/>
                <w:szCs w:val="21"/>
              </w:rPr>
            </w:pPr>
            <w:r>
              <w:rPr>
                <w:bCs/>
                <w:color w:val="000000" w:themeColor="text1"/>
                <w:szCs w:val="21"/>
              </w:rPr>
              <w:t>标准</w:t>
            </w:r>
          </w:p>
        </w:tc>
        <w:tc>
          <w:tcPr>
            <w:tcW w:w="648" w:type="pct"/>
          </w:tcPr>
          <w:p w14:paraId="27074F09">
            <w:pPr>
              <w:jc w:val="center"/>
              <w:rPr>
                <w:color w:val="000000" w:themeColor="text1"/>
              </w:rPr>
            </w:pPr>
            <w:r>
              <w:rPr>
                <w:bCs/>
                <w:color w:val="000000" w:themeColor="text1"/>
                <w:szCs w:val="21"/>
                <w:lang w:val="zh-CN"/>
              </w:rPr>
              <w:t>1.0</w:t>
            </w:r>
          </w:p>
        </w:tc>
        <w:tc>
          <w:tcPr>
            <w:tcW w:w="648" w:type="pct"/>
          </w:tcPr>
          <w:p w14:paraId="0B3415DB">
            <w:pPr>
              <w:jc w:val="center"/>
              <w:rPr>
                <w:color w:val="000000" w:themeColor="text1"/>
              </w:rPr>
            </w:pPr>
            <w:r>
              <w:rPr>
                <w:bCs/>
                <w:color w:val="000000" w:themeColor="text1"/>
                <w:szCs w:val="21"/>
                <w:lang w:val="zh-CN"/>
              </w:rPr>
              <w:t>1.0</w:t>
            </w:r>
          </w:p>
        </w:tc>
        <w:tc>
          <w:tcPr>
            <w:tcW w:w="648" w:type="pct"/>
          </w:tcPr>
          <w:p w14:paraId="17396EC7">
            <w:pPr>
              <w:jc w:val="center"/>
              <w:rPr>
                <w:color w:val="000000" w:themeColor="text1"/>
              </w:rPr>
            </w:pPr>
            <w:r>
              <w:rPr>
                <w:bCs/>
                <w:color w:val="000000" w:themeColor="text1"/>
                <w:szCs w:val="21"/>
                <w:lang w:val="zh-CN"/>
              </w:rPr>
              <w:t>1.0</w:t>
            </w:r>
          </w:p>
        </w:tc>
        <w:tc>
          <w:tcPr>
            <w:tcW w:w="648" w:type="pct"/>
          </w:tcPr>
          <w:p w14:paraId="4EAD11F9">
            <w:pPr>
              <w:jc w:val="center"/>
              <w:rPr>
                <w:color w:val="000000" w:themeColor="text1"/>
              </w:rPr>
            </w:pPr>
            <w:r>
              <w:rPr>
                <w:bCs/>
                <w:color w:val="000000" w:themeColor="text1"/>
                <w:szCs w:val="21"/>
                <w:lang w:val="zh-CN"/>
              </w:rPr>
              <w:t>1.0</w:t>
            </w:r>
          </w:p>
        </w:tc>
        <w:tc>
          <w:tcPr>
            <w:tcW w:w="648" w:type="pct"/>
          </w:tcPr>
          <w:p w14:paraId="0D27C9FC">
            <w:pPr>
              <w:jc w:val="center"/>
              <w:rPr>
                <w:color w:val="000000" w:themeColor="text1"/>
              </w:rPr>
            </w:pPr>
            <w:r>
              <w:rPr>
                <w:bCs/>
                <w:color w:val="000000" w:themeColor="text1"/>
                <w:szCs w:val="21"/>
                <w:lang w:val="zh-CN"/>
              </w:rPr>
              <w:t>1.0</w:t>
            </w:r>
          </w:p>
        </w:tc>
        <w:tc>
          <w:tcPr>
            <w:tcW w:w="623" w:type="pct"/>
          </w:tcPr>
          <w:p w14:paraId="1C501FBE">
            <w:pPr>
              <w:jc w:val="center"/>
              <w:rPr>
                <w:color w:val="000000" w:themeColor="text1"/>
              </w:rPr>
            </w:pPr>
            <w:r>
              <w:rPr>
                <w:bCs/>
                <w:color w:val="000000" w:themeColor="text1"/>
                <w:szCs w:val="21"/>
                <w:lang w:val="zh-CN"/>
              </w:rPr>
              <w:t>1.0</w:t>
            </w:r>
          </w:p>
        </w:tc>
      </w:tr>
      <w:tr w14:paraId="1D7A8F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0BBA67F0">
            <w:pPr>
              <w:jc w:val="center"/>
              <w:rPr>
                <w:b/>
                <w:color w:val="000000" w:themeColor="text1"/>
                <w:szCs w:val="21"/>
              </w:rPr>
            </w:pPr>
          </w:p>
        </w:tc>
        <w:tc>
          <w:tcPr>
            <w:tcW w:w="875" w:type="pct"/>
            <w:vAlign w:val="center"/>
          </w:tcPr>
          <w:p w14:paraId="0D6903AA">
            <w:pPr>
              <w:ind w:left="103" w:hanging="103" w:hangingChars="49"/>
              <w:jc w:val="center"/>
              <w:rPr>
                <w:b/>
                <w:bCs/>
                <w:color w:val="000000" w:themeColor="text1"/>
                <w:szCs w:val="21"/>
              </w:rPr>
            </w:pPr>
            <w:r>
              <w:rPr>
                <w:b/>
                <w:bCs/>
                <w:color w:val="000000" w:themeColor="text1"/>
                <w:szCs w:val="21"/>
              </w:rPr>
              <w:t>达标情况</w:t>
            </w:r>
          </w:p>
        </w:tc>
        <w:tc>
          <w:tcPr>
            <w:tcW w:w="648" w:type="pct"/>
            <w:vAlign w:val="center"/>
          </w:tcPr>
          <w:p w14:paraId="0DC54018">
            <w:pPr>
              <w:ind w:left="103" w:hanging="103" w:hangingChars="49"/>
              <w:jc w:val="center"/>
              <w:rPr>
                <w:b/>
                <w:bCs/>
                <w:color w:val="000000" w:themeColor="text1"/>
                <w:szCs w:val="21"/>
              </w:rPr>
            </w:pPr>
            <w:r>
              <w:rPr>
                <w:b/>
                <w:bCs/>
                <w:color w:val="000000" w:themeColor="text1"/>
                <w:szCs w:val="21"/>
              </w:rPr>
              <w:t>达标</w:t>
            </w:r>
          </w:p>
        </w:tc>
        <w:tc>
          <w:tcPr>
            <w:tcW w:w="648" w:type="pct"/>
          </w:tcPr>
          <w:p w14:paraId="5F176877">
            <w:pPr>
              <w:jc w:val="center"/>
              <w:rPr>
                <w:b/>
                <w:color w:val="000000" w:themeColor="text1"/>
              </w:rPr>
            </w:pPr>
            <w:r>
              <w:rPr>
                <w:b/>
                <w:bCs/>
                <w:color w:val="000000" w:themeColor="text1"/>
                <w:szCs w:val="21"/>
              </w:rPr>
              <w:t>达标</w:t>
            </w:r>
          </w:p>
        </w:tc>
        <w:tc>
          <w:tcPr>
            <w:tcW w:w="648" w:type="pct"/>
          </w:tcPr>
          <w:p w14:paraId="4CDBD0C1">
            <w:pPr>
              <w:jc w:val="center"/>
              <w:rPr>
                <w:b/>
                <w:color w:val="000000" w:themeColor="text1"/>
              </w:rPr>
            </w:pPr>
            <w:r>
              <w:rPr>
                <w:b/>
                <w:bCs/>
                <w:color w:val="000000" w:themeColor="text1"/>
                <w:szCs w:val="21"/>
              </w:rPr>
              <w:t>达标</w:t>
            </w:r>
          </w:p>
        </w:tc>
        <w:tc>
          <w:tcPr>
            <w:tcW w:w="648" w:type="pct"/>
          </w:tcPr>
          <w:p w14:paraId="5F427BA5">
            <w:pPr>
              <w:jc w:val="center"/>
              <w:rPr>
                <w:b/>
                <w:color w:val="000000" w:themeColor="text1"/>
              </w:rPr>
            </w:pPr>
            <w:r>
              <w:rPr>
                <w:b/>
                <w:bCs/>
                <w:color w:val="000000" w:themeColor="text1"/>
                <w:szCs w:val="21"/>
              </w:rPr>
              <w:t>达标</w:t>
            </w:r>
          </w:p>
        </w:tc>
        <w:tc>
          <w:tcPr>
            <w:tcW w:w="648" w:type="pct"/>
          </w:tcPr>
          <w:p w14:paraId="35D4DF6E">
            <w:pPr>
              <w:jc w:val="center"/>
              <w:rPr>
                <w:b/>
                <w:color w:val="000000" w:themeColor="text1"/>
              </w:rPr>
            </w:pPr>
            <w:r>
              <w:rPr>
                <w:b/>
                <w:bCs/>
                <w:color w:val="000000" w:themeColor="text1"/>
                <w:szCs w:val="21"/>
              </w:rPr>
              <w:t>达标</w:t>
            </w:r>
          </w:p>
        </w:tc>
        <w:tc>
          <w:tcPr>
            <w:tcW w:w="623" w:type="pct"/>
          </w:tcPr>
          <w:p w14:paraId="20CBC8CF">
            <w:pPr>
              <w:jc w:val="center"/>
              <w:rPr>
                <w:b/>
                <w:color w:val="000000" w:themeColor="text1"/>
              </w:rPr>
            </w:pPr>
            <w:r>
              <w:rPr>
                <w:b/>
                <w:bCs/>
                <w:color w:val="000000" w:themeColor="text1"/>
                <w:szCs w:val="21"/>
              </w:rPr>
              <w:t>达标</w:t>
            </w:r>
          </w:p>
        </w:tc>
      </w:tr>
      <w:tr w14:paraId="7113E6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05DB9205">
            <w:pPr>
              <w:jc w:val="center"/>
              <w:rPr>
                <w:b/>
                <w:color w:val="000000" w:themeColor="text1"/>
                <w:szCs w:val="21"/>
              </w:rPr>
            </w:pPr>
          </w:p>
        </w:tc>
        <w:tc>
          <w:tcPr>
            <w:tcW w:w="875" w:type="pct"/>
            <w:vAlign w:val="center"/>
          </w:tcPr>
          <w:p w14:paraId="66B61819">
            <w:pPr>
              <w:ind w:left="103" w:hanging="102" w:hangingChars="49"/>
              <w:jc w:val="center"/>
              <w:rPr>
                <w:bCs/>
                <w:color w:val="000000" w:themeColor="text1"/>
                <w:szCs w:val="21"/>
              </w:rPr>
            </w:pPr>
            <w:r>
              <w:rPr>
                <w:bCs/>
                <w:color w:val="000000" w:themeColor="text1"/>
                <w:szCs w:val="21"/>
              </w:rPr>
              <w:t>总磷</w:t>
            </w:r>
          </w:p>
        </w:tc>
        <w:tc>
          <w:tcPr>
            <w:tcW w:w="648" w:type="pct"/>
            <w:vAlign w:val="center"/>
          </w:tcPr>
          <w:p w14:paraId="40E93F63">
            <w:pPr>
              <w:ind w:left="103" w:hanging="102" w:hangingChars="49"/>
              <w:jc w:val="center"/>
              <w:rPr>
                <w:bCs/>
                <w:color w:val="000000" w:themeColor="text1"/>
                <w:szCs w:val="21"/>
              </w:rPr>
            </w:pPr>
            <w:r>
              <w:rPr>
                <w:bCs/>
                <w:color w:val="000000" w:themeColor="text1"/>
                <w:szCs w:val="21"/>
              </w:rPr>
              <w:t>0.01</w:t>
            </w:r>
          </w:p>
        </w:tc>
        <w:tc>
          <w:tcPr>
            <w:tcW w:w="648" w:type="pct"/>
            <w:vAlign w:val="center"/>
          </w:tcPr>
          <w:p w14:paraId="0A40AE6A">
            <w:pPr>
              <w:ind w:left="103" w:hanging="102" w:hangingChars="49"/>
              <w:jc w:val="center"/>
              <w:rPr>
                <w:bCs/>
                <w:color w:val="000000" w:themeColor="text1"/>
                <w:szCs w:val="21"/>
              </w:rPr>
            </w:pPr>
            <w:r>
              <w:rPr>
                <w:bCs/>
                <w:color w:val="000000" w:themeColor="text1"/>
                <w:szCs w:val="21"/>
              </w:rPr>
              <w:t>0.01</w:t>
            </w:r>
          </w:p>
        </w:tc>
        <w:tc>
          <w:tcPr>
            <w:tcW w:w="648" w:type="pct"/>
            <w:vAlign w:val="center"/>
          </w:tcPr>
          <w:p w14:paraId="111C0D79">
            <w:pPr>
              <w:ind w:left="103" w:hanging="102" w:hangingChars="49"/>
              <w:jc w:val="center"/>
              <w:rPr>
                <w:bCs/>
                <w:color w:val="000000" w:themeColor="text1"/>
                <w:szCs w:val="21"/>
              </w:rPr>
            </w:pPr>
            <w:r>
              <w:rPr>
                <w:bCs/>
                <w:color w:val="000000" w:themeColor="text1"/>
                <w:szCs w:val="21"/>
              </w:rPr>
              <w:t>0.01</w:t>
            </w:r>
          </w:p>
        </w:tc>
        <w:tc>
          <w:tcPr>
            <w:tcW w:w="648" w:type="pct"/>
            <w:vAlign w:val="center"/>
          </w:tcPr>
          <w:p w14:paraId="54CBEA72">
            <w:pPr>
              <w:ind w:left="103" w:hanging="102" w:hangingChars="49"/>
              <w:jc w:val="center"/>
              <w:rPr>
                <w:bCs/>
                <w:color w:val="000000" w:themeColor="text1"/>
                <w:szCs w:val="21"/>
              </w:rPr>
            </w:pPr>
            <w:r>
              <w:rPr>
                <w:bCs/>
                <w:color w:val="000000" w:themeColor="text1"/>
                <w:szCs w:val="21"/>
              </w:rPr>
              <w:t>0.01</w:t>
            </w:r>
          </w:p>
        </w:tc>
        <w:tc>
          <w:tcPr>
            <w:tcW w:w="648" w:type="pct"/>
            <w:vAlign w:val="center"/>
          </w:tcPr>
          <w:p w14:paraId="65CE1640">
            <w:pPr>
              <w:ind w:left="103" w:hanging="102" w:hangingChars="49"/>
              <w:jc w:val="center"/>
              <w:rPr>
                <w:bCs/>
                <w:color w:val="000000" w:themeColor="text1"/>
                <w:szCs w:val="21"/>
              </w:rPr>
            </w:pPr>
            <w:r>
              <w:rPr>
                <w:bCs/>
                <w:color w:val="000000" w:themeColor="text1"/>
                <w:szCs w:val="21"/>
              </w:rPr>
              <w:t>0.01</w:t>
            </w:r>
          </w:p>
        </w:tc>
        <w:tc>
          <w:tcPr>
            <w:tcW w:w="623" w:type="pct"/>
            <w:vAlign w:val="center"/>
          </w:tcPr>
          <w:p w14:paraId="4868E7DD">
            <w:pPr>
              <w:ind w:left="103" w:hanging="102" w:hangingChars="49"/>
              <w:jc w:val="center"/>
              <w:rPr>
                <w:bCs/>
                <w:color w:val="000000" w:themeColor="text1"/>
                <w:szCs w:val="21"/>
              </w:rPr>
            </w:pPr>
            <w:r>
              <w:rPr>
                <w:bCs/>
                <w:color w:val="000000" w:themeColor="text1"/>
                <w:szCs w:val="21"/>
              </w:rPr>
              <w:t>0.02</w:t>
            </w:r>
          </w:p>
        </w:tc>
      </w:tr>
      <w:tr w14:paraId="5007C8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483DA8C8">
            <w:pPr>
              <w:jc w:val="center"/>
              <w:rPr>
                <w:b/>
                <w:color w:val="000000" w:themeColor="text1"/>
                <w:szCs w:val="21"/>
              </w:rPr>
            </w:pPr>
          </w:p>
        </w:tc>
        <w:tc>
          <w:tcPr>
            <w:tcW w:w="875" w:type="pct"/>
            <w:vAlign w:val="center"/>
          </w:tcPr>
          <w:p w14:paraId="2DB509A1">
            <w:pPr>
              <w:ind w:left="103" w:hanging="102" w:hangingChars="49"/>
              <w:jc w:val="center"/>
              <w:rPr>
                <w:bCs/>
                <w:color w:val="000000" w:themeColor="text1"/>
                <w:szCs w:val="21"/>
              </w:rPr>
            </w:pPr>
            <w:r>
              <w:rPr>
                <w:bCs/>
                <w:color w:val="000000" w:themeColor="text1"/>
                <w:szCs w:val="21"/>
              </w:rPr>
              <w:t>标准</w:t>
            </w:r>
          </w:p>
        </w:tc>
        <w:tc>
          <w:tcPr>
            <w:tcW w:w="648" w:type="pct"/>
          </w:tcPr>
          <w:p w14:paraId="43100C02">
            <w:pPr>
              <w:jc w:val="center"/>
              <w:rPr>
                <w:color w:val="000000" w:themeColor="text1"/>
              </w:rPr>
            </w:pPr>
            <w:r>
              <w:rPr>
                <w:color w:val="000000" w:themeColor="text1"/>
              </w:rPr>
              <w:t>0.05</w:t>
            </w:r>
          </w:p>
        </w:tc>
        <w:tc>
          <w:tcPr>
            <w:tcW w:w="648" w:type="pct"/>
          </w:tcPr>
          <w:p w14:paraId="4F605159">
            <w:pPr>
              <w:jc w:val="center"/>
              <w:rPr>
                <w:color w:val="000000" w:themeColor="text1"/>
              </w:rPr>
            </w:pPr>
            <w:r>
              <w:rPr>
                <w:color w:val="000000" w:themeColor="text1"/>
              </w:rPr>
              <w:t>0.05</w:t>
            </w:r>
          </w:p>
        </w:tc>
        <w:tc>
          <w:tcPr>
            <w:tcW w:w="648" w:type="pct"/>
          </w:tcPr>
          <w:p w14:paraId="12EEC89D">
            <w:pPr>
              <w:jc w:val="center"/>
              <w:rPr>
                <w:color w:val="000000" w:themeColor="text1"/>
              </w:rPr>
            </w:pPr>
            <w:r>
              <w:rPr>
                <w:color w:val="000000" w:themeColor="text1"/>
              </w:rPr>
              <w:t>0.05</w:t>
            </w:r>
          </w:p>
        </w:tc>
        <w:tc>
          <w:tcPr>
            <w:tcW w:w="648" w:type="pct"/>
          </w:tcPr>
          <w:p w14:paraId="220CAB3E">
            <w:pPr>
              <w:jc w:val="center"/>
              <w:rPr>
                <w:color w:val="000000" w:themeColor="text1"/>
              </w:rPr>
            </w:pPr>
            <w:r>
              <w:rPr>
                <w:color w:val="000000" w:themeColor="text1"/>
              </w:rPr>
              <w:t>0.05</w:t>
            </w:r>
          </w:p>
        </w:tc>
        <w:tc>
          <w:tcPr>
            <w:tcW w:w="648" w:type="pct"/>
          </w:tcPr>
          <w:p w14:paraId="52DD9E65">
            <w:pPr>
              <w:jc w:val="center"/>
              <w:rPr>
                <w:color w:val="000000" w:themeColor="text1"/>
              </w:rPr>
            </w:pPr>
            <w:r>
              <w:rPr>
                <w:color w:val="000000" w:themeColor="text1"/>
              </w:rPr>
              <w:t>0.05</w:t>
            </w:r>
          </w:p>
        </w:tc>
        <w:tc>
          <w:tcPr>
            <w:tcW w:w="623" w:type="pct"/>
          </w:tcPr>
          <w:p w14:paraId="4CB936F5">
            <w:pPr>
              <w:jc w:val="center"/>
              <w:rPr>
                <w:color w:val="000000" w:themeColor="text1"/>
              </w:rPr>
            </w:pPr>
            <w:r>
              <w:rPr>
                <w:color w:val="000000" w:themeColor="text1"/>
              </w:rPr>
              <w:t>0.05</w:t>
            </w:r>
          </w:p>
        </w:tc>
      </w:tr>
      <w:tr w14:paraId="11810F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7D04A2D4">
            <w:pPr>
              <w:jc w:val="center"/>
              <w:rPr>
                <w:b/>
                <w:color w:val="000000" w:themeColor="text1"/>
                <w:szCs w:val="21"/>
              </w:rPr>
            </w:pPr>
          </w:p>
        </w:tc>
        <w:tc>
          <w:tcPr>
            <w:tcW w:w="875" w:type="pct"/>
            <w:vAlign w:val="center"/>
          </w:tcPr>
          <w:p w14:paraId="05F401AD">
            <w:pPr>
              <w:ind w:left="103" w:hanging="103" w:hangingChars="49"/>
              <w:jc w:val="center"/>
              <w:rPr>
                <w:b/>
                <w:bCs/>
                <w:color w:val="000000" w:themeColor="text1"/>
                <w:szCs w:val="21"/>
              </w:rPr>
            </w:pPr>
            <w:r>
              <w:rPr>
                <w:b/>
                <w:bCs/>
                <w:color w:val="000000" w:themeColor="text1"/>
                <w:szCs w:val="21"/>
              </w:rPr>
              <w:t>达标情况</w:t>
            </w:r>
          </w:p>
        </w:tc>
        <w:tc>
          <w:tcPr>
            <w:tcW w:w="648" w:type="pct"/>
            <w:vAlign w:val="center"/>
          </w:tcPr>
          <w:p w14:paraId="5D0F2A7F">
            <w:pPr>
              <w:ind w:left="103" w:hanging="103" w:hangingChars="49"/>
              <w:jc w:val="center"/>
              <w:rPr>
                <w:b/>
                <w:bCs/>
                <w:color w:val="000000" w:themeColor="text1"/>
                <w:szCs w:val="21"/>
              </w:rPr>
            </w:pPr>
            <w:r>
              <w:rPr>
                <w:b/>
                <w:bCs/>
                <w:color w:val="000000" w:themeColor="text1"/>
                <w:szCs w:val="21"/>
              </w:rPr>
              <w:t>达标</w:t>
            </w:r>
          </w:p>
        </w:tc>
        <w:tc>
          <w:tcPr>
            <w:tcW w:w="648" w:type="pct"/>
          </w:tcPr>
          <w:p w14:paraId="0690EF74">
            <w:pPr>
              <w:jc w:val="center"/>
              <w:rPr>
                <w:b/>
                <w:color w:val="000000" w:themeColor="text1"/>
              </w:rPr>
            </w:pPr>
            <w:r>
              <w:rPr>
                <w:b/>
                <w:bCs/>
                <w:color w:val="000000" w:themeColor="text1"/>
                <w:szCs w:val="21"/>
              </w:rPr>
              <w:t>达标</w:t>
            </w:r>
          </w:p>
        </w:tc>
        <w:tc>
          <w:tcPr>
            <w:tcW w:w="648" w:type="pct"/>
          </w:tcPr>
          <w:p w14:paraId="0B88DE5F">
            <w:pPr>
              <w:jc w:val="center"/>
              <w:rPr>
                <w:b/>
                <w:color w:val="000000" w:themeColor="text1"/>
              </w:rPr>
            </w:pPr>
            <w:r>
              <w:rPr>
                <w:b/>
                <w:bCs/>
                <w:color w:val="000000" w:themeColor="text1"/>
                <w:szCs w:val="21"/>
              </w:rPr>
              <w:t>达标</w:t>
            </w:r>
          </w:p>
        </w:tc>
        <w:tc>
          <w:tcPr>
            <w:tcW w:w="648" w:type="pct"/>
          </w:tcPr>
          <w:p w14:paraId="0E6A9E6C">
            <w:pPr>
              <w:jc w:val="center"/>
              <w:rPr>
                <w:b/>
                <w:color w:val="000000" w:themeColor="text1"/>
              </w:rPr>
            </w:pPr>
            <w:r>
              <w:rPr>
                <w:b/>
                <w:bCs/>
                <w:color w:val="000000" w:themeColor="text1"/>
                <w:szCs w:val="21"/>
              </w:rPr>
              <w:t>达标</w:t>
            </w:r>
          </w:p>
        </w:tc>
        <w:tc>
          <w:tcPr>
            <w:tcW w:w="648" w:type="pct"/>
          </w:tcPr>
          <w:p w14:paraId="060D48E6">
            <w:pPr>
              <w:jc w:val="center"/>
              <w:rPr>
                <w:b/>
                <w:color w:val="000000" w:themeColor="text1"/>
              </w:rPr>
            </w:pPr>
            <w:r>
              <w:rPr>
                <w:b/>
                <w:bCs/>
                <w:color w:val="000000" w:themeColor="text1"/>
                <w:szCs w:val="21"/>
              </w:rPr>
              <w:t>达标</w:t>
            </w:r>
          </w:p>
        </w:tc>
        <w:tc>
          <w:tcPr>
            <w:tcW w:w="623" w:type="pct"/>
          </w:tcPr>
          <w:p w14:paraId="486E7E7B">
            <w:pPr>
              <w:jc w:val="center"/>
              <w:rPr>
                <w:b/>
                <w:color w:val="000000" w:themeColor="text1"/>
              </w:rPr>
            </w:pPr>
            <w:r>
              <w:rPr>
                <w:b/>
                <w:bCs/>
                <w:color w:val="000000" w:themeColor="text1"/>
                <w:szCs w:val="21"/>
              </w:rPr>
              <w:t>达标</w:t>
            </w:r>
          </w:p>
        </w:tc>
      </w:tr>
      <w:tr w14:paraId="7406B4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37591A37">
            <w:pPr>
              <w:jc w:val="center"/>
              <w:rPr>
                <w:b/>
                <w:bCs/>
                <w:color w:val="000000" w:themeColor="text1"/>
                <w:szCs w:val="21"/>
              </w:rPr>
            </w:pPr>
          </w:p>
        </w:tc>
        <w:tc>
          <w:tcPr>
            <w:tcW w:w="875" w:type="pct"/>
            <w:vAlign w:val="center"/>
          </w:tcPr>
          <w:p w14:paraId="5D6B073D">
            <w:pPr>
              <w:ind w:left="103" w:hanging="102" w:hangingChars="49"/>
              <w:jc w:val="center"/>
              <w:rPr>
                <w:bCs/>
                <w:color w:val="000000" w:themeColor="text1"/>
                <w:szCs w:val="21"/>
              </w:rPr>
            </w:pPr>
            <w:r>
              <w:rPr>
                <w:bCs/>
                <w:color w:val="000000" w:themeColor="text1"/>
                <w:szCs w:val="21"/>
              </w:rPr>
              <w:t>石油类</w:t>
            </w:r>
          </w:p>
        </w:tc>
        <w:tc>
          <w:tcPr>
            <w:tcW w:w="648" w:type="pct"/>
            <w:vAlign w:val="center"/>
          </w:tcPr>
          <w:p w14:paraId="63196C39">
            <w:pPr>
              <w:ind w:left="103" w:hanging="102" w:hangingChars="49"/>
              <w:jc w:val="center"/>
              <w:rPr>
                <w:bCs/>
                <w:color w:val="000000" w:themeColor="text1"/>
                <w:szCs w:val="21"/>
              </w:rPr>
            </w:pPr>
            <w:r>
              <w:rPr>
                <w:bCs/>
                <w:color w:val="000000" w:themeColor="text1"/>
                <w:szCs w:val="21"/>
              </w:rPr>
              <w:t>0.01</w:t>
            </w:r>
          </w:p>
        </w:tc>
        <w:tc>
          <w:tcPr>
            <w:tcW w:w="648" w:type="pct"/>
            <w:vAlign w:val="center"/>
          </w:tcPr>
          <w:p w14:paraId="7EFB438B">
            <w:pPr>
              <w:ind w:left="103" w:hanging="102" w:hangingChars="49"/>
              <w:jc w:val="center"/>
              <w:rPr>
                <w:bCs/>
                <w:color w:val="000000" w:themeColor="text1"/>
                <w:szCs w:val="21"/>
              </w:rPr>
            </w:pPr>
            <w:r>
              <w:rPr>
                <w:bCs/>
                <w:color w:val="000000" w:themeColor="text1"/>
                <w:szCs w:val="21"/>
              </w:rPr>
              <w:t>0.01</w:t>
            </w:r>
          </w:p>
        </w:tc>
        <w:tc>
          <w:tcPr>
            <w:tcW w:w="648" w:type="pct"/>
            <w:vAlign w:val="center"/>
          </w:tcPr>
          <w:p w14:paraId="2510744D">
            <w:pPr>
              <w:ind w:left="103" w:hanging="102" w:hangingChars="49"/>
              <w:jc w:val="center"/>
              <w:rPr>
                <w:bCs/>
                <w:color w:val="000000" w:themeColor="text1"/>
                <w:szCs w:val="21"/>
              </w:rPr>
            </w:pPr>
            <w:r>
              <w:rPr>
                <w:bCs/>
                <w:color w:val="000000" w:themeColor="text1"/>
                <w:szCs w:val="21"/>
              </w:rPr>
              <w:t>0.02</w:t>
            </w:r>
          </w:p>
        </w:tc>
        <w:tc>
          <w:tcPr>
            <w:tcW w:w="648" w:type="pct"/>
            <w:vAlign w:val="center"/>
          </w:tcPr>
          <w:p w14:paraId="495F501F">
            <w:pPr>
              <w:ind w:left="103" w:hanging="102" w:hangingChars="49"/>
              <w:jc w:val="center"/>
              <w:rPr>
                <w:bCs/>
                <w:color w:val="000000" w:themeColor="text1"/>
                <w:szCs w:val="21"/>
              </w:rPr>
            </w:pPr>
            <w:r>
              <w:rPr>
                <w:bCs/>
                <w:color w:val="000000" w:themeColor="text1"/>
                <w:szCs w:val="21"/>
              </w:rPr>
              <w:t>0.01</w:t>
            </w:r>
          </w:p>
        </w:tc>
        <w:tc>
          <w:tcPr>
            <w:tcW w:w="648" w:type="pct"/>
            <w:vAlign w:val="center"/>
          </w:tcPr>
          <w:p w14:paraId="5C29DD21">
            <w:pPr>
              <w:ind w:left="103" w:hanging="102" w:hangingChars="49"/>
              <w:jc w:val="center"/>
              <w:rPr>
                <w:bCs/>
                <w:color w:val="000000" w:themeColor="text1"/>
                <w:szCs w:val="21"/>
              </w:rPr>
            </w:pPr>
            <w:r>
              <w:rPr>
                <w:bCs/>
                <w:color w:val="000000" w:themeColor="text1"/>
                <w:szCs w:val="21"/>
              </w:rPr>
              <w:t>0.01</w:t>
            </w:r>
          </w:p>
        </w:tc>
        <w:tc>
          <w:tcPr>
            <w:tcW w:w="623" w:type="pct"/>
            <w:vAlign w:val="center"/>
          </w:tcPr>
          <w:p w14:paraId="5016DCA7">
            <w:pPr>
              <w:ind w:left="103" w:hanging="102" w:hangingChars="49"/>
              <w:jc w:val="center"/>
              <w:rPr>
                <w:bCs/>
                <w:color w:val="000000" w:themeColor="text1"/>
                <w:szCs w:val="21"/>
              </w:rPr>
            </w:pPr>
            <w:r>
              <w:rPr>
                <w:bCs/>
                <w:color w:val="000000" w:themeColor="text1"/>
                <w:szCs w:val="21"/>
              </w:rPr>
              <w:t>0.01</w:t>
            </w:r>
          </w:p>
        </w:tc>
      </w:tr>
      <w:tr w14:paraId="2B47A3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4E57F93F">
            <w:pPr>
              <w:jc w:val="center"/>
              <w:rPr>
                <w:b/>
                <w:bCs/>
                <w:color w:val="000000" w:themeColor="text1"/>
                <w:szCs w:val="21"/>
              </w:rPr>
            </w:pPr>
          </w:p>
        </w:tc>
        <w:tc>
          <w:tcPr>
            <w:tcW w:w="875" w:type="pct"/>
            <w:vAlign w:val="center"/>
          </w:tcPr>
          <w:p w14:paraId="197B9BE0">
            <w:pPr>
              <w:ind w:left="103" w:hanging="102" w:hangingChars="49"/>
              <w:jc w:val="center"/>
              <w:rPr>
                <w:bCs/>
                <w:color w:val="000000" w:themeColor="text1"/>
                <w:szCs w:val="21"/>
              </w:rPr>
            </w:pPr>
            <w:r>
              <w:rPr>
                <w:bCs/>
                <w:color w:val="000000" w:themeColor="text1"/>
                <w:szCs w:val="21"/>
              </w:rPr>
              <w:t>标准</w:t>
            </w:r>
          </w:p>
        </w:tc>
        <w:tc>
          <w:tcPr>
            <w:tcW w:w="648" w:type="pct"/>
          </w:tcPr>
          <w:p w14:paraId="19DA8F32">
            <w:pPr>
              <w:jc w:val="center"/>
              <w:rPr>
                <w:color w:val="000000" w:themeColor="text1"/>
              </w:rPr>
            </w:pPr>
            <w:r>
              <w:rPr>
                <w:bCs/>
                <w:color w:val="000000" w:themeColor="text1"/>
                <w:szCs w:val="21"/>
                <w:lang w:val="zh-CN"/>
              </w:rPr>
              <w:t>0.05</w:t>
            </w:r>
          </w:p>
        </w:tc>
        <w:tc>
          <w:tcPr>
            <w:tcW w:w="648" w:type="pct"/>
          </w:tcPr>
          <w:p w14:paraId="7949AB4F">
            <w:pPr>
              <w:jc w:val="center"/>
              <w:rPr>
                <w:color w:val="000000" w:themeColor="text1"/>
              </w:rPr>
            </w:pPr>
            <w:r>
              <w:rPr>
                <w:bCs/>
                <w:color w:val="000000" w:themeColor="text1"/>
                <w:szCs w:val="21"/>
                <w:lang w:val="zh-CN"/>
              </w:rPr>
              <w:t>0.05</w:t>
            </w:r>
          </w:p>
        </w:tc>
        <w:tc>
          <w:tcPr>
            <w:tcW w:w="648" w:type="pct"/>
          </w:tcPr>
          <w:p w14:paraId="7CB82716">
            <w:pPr>
              <w:jc w:val="center"/>
              <w:rPr>
                <w:color w:val="000000" w:themeColor="text1"/>
              </w:rPr>
            </w:pPr>
            <w:r>
              <w:rPr>
                <w:bCs/>
                <w:color w:val="000000" w:themeColor="text1"/>
                <w:szCs w:val="21"/>
                <w:lang w:val="zh-CN"/>
              </w:rPr>
              <w:t>0.05</w:t>
            </w:r>
          </w:p>
        </w:tc>
        <w:tc>
          <w:tcPr>
            <w:tcW w:w="648" w:type="pct"/>
          </w:tcPr>
          <w:p w14:paraId="15437F1B">
            <w:pPr>
              <w:jc w:val="center"/>
              <w:rPr>
                <w:color w:val="000000" w:themeColor="text1"/>
              </w:rPr>
            </w:pPr>
            <w:r>
              <w:rPr>
                <w:bCs/>
                <w:color w:val="000000" w:themeColor="text1"/>
                <w:szCs w:val="21"/>
                <w:lang w:val="zh-CN"/>
              </w:rPr>
              <w:t>0.05</w:t>
            </w:r>
          </w:p>
        </w:tc>
        <w:tc>
          <w:tcPr>
            <w:tcW w:w="648" w:type="pct"/>
          </w:tcPr>
          <w:p w14:paraId="4E4A2099">
            <w:pPr>
              <w:jc w:val="center"/>
              <w:rPr>
                <w:color w:val="000000" w:themeColor="text1"/>
              </w:rPr>
            </w:pPr>
            <w:r>
              <w:rPr>
                <w:bCs/>
                <w:color w:val="000000" w:themeColor="text1"/>
                <w:szCs w:val="21"/>
                <w:lang w:val="zh-CN"/>
              </w:rPr>
              <w:t>0.05</w:t>
            </w:r>
          </w:p>
        </w:tc>
        <w:tc>
          <w:tcPr>
            <w:tcW w:w="623" w:type="pct"/>
          </w:tcPr>
          <w:p w14:paraId="7BDAB6B5">
            <w:pPr>
              <w:jc w:val="center"/>
              <w:rPr>
                <w:color w:val="000000" w:themeColor="text1"/>
              </w:rPr>
            </w:pPr>
            <w:r>
              <w:rPr>
                <w:bCs/>
                <w:color w:val="000000" w:themeColor="text1"/>
                <w:szCs w:val="21"/>
                <w:lang w:val="zh-CN"/>
              </w:rPr>
              <w:t>0.05</w:t>
            </w:r>
          </w:p>
        </w:tc>
      </w:tr>
      <w:tr w14:paraId="611308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263" w:type="pct"/>
            <w:vMerge w:val="continue"/>
            <w:vAlign w:val="center"/>
          </w:tcPr>
          <w:p w14:paraId="74763E06">
            <w:pPr>
              <w:jc w:val="center"/>
              <w:rPr>
                <w:b/>
                <w:bCs/>
                <w:color w:val="000000" w:themeColor="text1"/>
                <w:szCs w:val="21"/>
              </w:rPr>
            </w:pPr>
          </w:p>
        </w:tc>
        <w:tc>
          <w:tcPr>
            <w:tcW w:w="875" w:type="pct"/>
            <w:vAlign w:val="center"/>
          </w:tcPr>
          <w:p w14:paraId="1E8A9532">
            <w:pPr>
              <w:ind w:left="103" w:hanging="103" w:hangingChars="49"/>
              <w:jc w:val="center"/>
              <w:rPr>
                <w:b/>
                <w:bCs/>
                <w:color w:val="000000" w:themeColor="text1"/>
                <w:szCs w:val="21"/>
              </w:rPr>
            </w:pPr>
            <w:r>
              <w:rPr>
                <w:b/>
                <w:bCs/>
                <w:color w:val="000000" w:themeColor="text1"/>
                <w:szCs w:val="21"/>
              </w:rPr>
              <w:t>达标情况</w:t>
            </w:r>
          </w:p>
        </w:tc>
        <w:tc>
          <w:tcPr>
            <w:tcW w:w="648" w:type="pct"/>
            <w:vAlign w:val="center"/>
          </w:tcPr>
          <w:p w14:paraId="3E1632C3">
            <w:pPr>
              <w:ind w:left="103" w:hanging="103" w:hangingChars="49"/>
              <w:jc w:val="center"/>
              <w:rPr>
                <w:b/>
                <w:bCs/>
                <w:color w:val="000000" w:themeColor="text1"/>
                <w:szCs w:val="21"/>
              </w:rPr>
            </w:pPr>
            <w:r>
              <w:rPr>
                <w:b/>
                <w:bCs/>
                <w:color w:val="000000" w:themeColor="text1"/>
                <w:szCs w:val="21"/>
              </w:rPr>
              <w:t>达标</w:t>
            </w:r>
          </w:p>
        </w:tc>
        <w:tc>
          <w:tcPr>
            <w:tcW w:w="648" w:type="pct"/>
          </w:tcPr>
          <w:p w14:paraId="46AE1151">
            <w:pPr>
              <w:jc w:val="center"/>
              <w:rPr>
                <w:b/>
                <w:color w:val="000000" w:themeColor="text1"/>
              </w:rPr>
            </w:pPr>
            <w:r>
              <w:rPr>
                <w:b/>
                <w:bCs/>
                <w:color w:val="000000" w:themeColor="text1"/>
                <w:szCs w:val="21"/>
              </w:rPr>
              <w:t>达标</w:t>
            </w:r>
          </w:p>
        </w:tc>
        <w:tc>
          <w:tcPr>
            <w:tcW w:w="648" w:type="pct"/>
          </w:tcPr>
          <w:p w14:paraId="7C383F0C">
            <w:pPr>
              <w:jc w:val="center"/>
              <w:rPr>
                <w:b/>
                <w:color w:val="000000" w:themeColor="text1"/>
              </w:rPr>
            </w:pPr>
            <w:r>
              <w:rPr>
                <w:b/>
                <w:bCs/>
                <w:color w:val="000000" w:themeColor="text1"/>
                <w:szCs w:val="21"/>
              </w:rPr>
              <w:t>达标</w:t>
            </w:r>
          </w:p>
        </w:tc>
        <w:tc>
          <w:tcPr>
            <w:tcW w:w="648" w:type="pct"/>
          </w:tcPr>
          <w:p w14:paraId="32B13764">
            <w:pPr>
              <w:jc w:val="center"/>
              <w:rPr>
                <w:b/>
                <w:color w:val="000000" w:themeColor="text1"/>
              </w:rPr>
            </w:pPr>
            <w:r>
              <w:rPr>
                <w:b/>
                <w:bCs/>
                <w:color w:val="000000" w:themeColor="text1"/>
                <w:szCs w:val="21"/>
              </w:rPr>
              <w:t>达标</w:t>
            </w:r>
          </w:p>
        </w:tc>
        <w:tc>
          <w:tcPr>
            <w:tcW w:w="648" w:type="pct"/>
          </w:tcPr>
          <w:p w14:paraId="770EDAB6">
            <w:pPr>
              <w:jc w:val="center"/>
              <w:rPr>
                <w:b/>
                <w:color w:val="000000" w:themeColor="text1"/>
              </w:rPr>
            </w:pPr>
            <w:r>
              <w:rPr>
                <w:b/>
                <w:bCs/>
                <w:color w:val="000000" w:themeColor="text1"/>
                <w:szCs w:val="21"/>
              </w:rPr>
              <w:t>达标</w:t>
            </w:r>
          </w:p>
        </w:tc>
        <w:tc>
          <w:tcPr>
            <w:tcW w:w="623" w:type="pct"/>
          </w:tcPr>
          <w:p w14:paraId="316737A2">
            <w:pPr>
              <w:jc w:val="center"/>
              <w:rPr>
                <w:b/>
                <w:color w:val="000000" w:themeColor="text1"/>
              </w:rPr>
            </w:pPr>
            <w:r>
              <w:rPr>
                <w:b/>
                <w:bCs/>
                <w:color w:val="000000" w:themeColor="text1"/>
                <w:szCs w:val="21"/>
              </w:rPr>
              <w:t>达标</w:t>
            </w:r>
          </w:p>
        </w:tc>
      </w:tr>
      <w:tr w14:paraId="101CB0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jc w:val="center"/>
        </w:trPr>
        <w:tc>
          <w:tcPr>
            <w:tcW w:w="5000" w:type="pct"/>
            <w:gridSpan w:val="8"/>
            <w:vAlign w:val="center"/>
          </w:tcPr>
          <w:p w14:paraId="6D28AD86">
            <w:pPr>
              <w:jc w:val="left"/>
              <w:rPr>
                <w:b/>
                <w:bCs/>
                <w:color w:val="000000" w:themeColor="text1"/>
                <w:szCs w:val="21"/>
              </w:rPr>
            </w:pPr>
            <w:r>
              <w:rPr>
                <w:b/>
                <w:bCs/>
                <w:color w:val="000000" w:themeColor="text1"/>
                <w:szCs w:val="21"/>
              </w:rPr>
              <w:t>备注：</w:t>
            </w:r>
            <w:r>
              <w:rPr>
                <w:color w:val="000000" w:themeColor="text1"/>
                <w:szCs w:val="21"/>
              </w:rPr>
              <w:t>表中”L”表示该项目分析结果低于方法检出限。</w:t>
            </w:r>
          </w:p>
        </w:tc>
      </w:tr>
    </w:tbl>
    <w:p w14:paraId="77BF5BE1">
      <w:pPr>
        <w:spacing w:line="360" w:lineRule="auto"/>
        <w:ind w:firstLine="480"/>
        <w:rPr>
          <w:b/>
          <w:color w:val="000000" w:themeColor="text1"/>
          <w:sz w:val="24"/>
        </w:rPr>
      </w:pPr>
      <w:r>
        <w:rPr>
          <w:color w:val="000000" w:themeColor="text1"/>
          <w:sz w:val="24"/>
        </w:rPr>
        <w:t>芒市大河两个监测断面、排鲁水库靠近项目区一侧，项目区西南侧水塘的pH、BOD</w:t>
      </w:r>
      <w:r>
        <w:rPr>
          <w:color w:val="000000" w:themeColor="text1"/>
          <w:sz w:val="24"/>
          <w:vertAlign w:val="subscript"/>
        </w:rPr>
        <w:t>5</w:t>
      </w:r>
      <w:r>
        <w:rPr>
          <w:color w:val="000000" w:themeColor="text1"/>
          <w:sz w:val="24"/>
        </w:rPr>
        <w:t>、CODcr、溶解氧、SS、氨氮、总氮、总磷、石油类监测指标均达到GB3838-2002《地表水环境质量标准》Ⅲ类标准。</w:t>
      </w:r>
    </w:p>
    <w:p w14:paraId="24568F07">
      <w:pPr>
        <w:pStyle w:val="105"/>
        <w:rPr>
          <w:rFonts w:cs="Times New Roman"/>
          <w:color w:val="000000" w:themeColor="text1"/>
        </w:rPr>
      </w:pPr>
      <w:r>
        <w:rPr>
          <w:rFonts w:cs="Times New Roman"/>
          <w:color w:val="000000" w:themeColor="text1"/>
        </w:rPr>
        <w:t>4.2.3地下水环境质量现状</w:t>
      </w:r>
    </w:p>
    <w:p w14:paraId="2749D829">
      <w:pPr>
        <w:spacing w:line="360" w:lineRule="auto"/>
        <w:ind w:firstLine="482"/>
        <w:rPr>
          <w:b/>
          <w:bCs/>
          <w:color w:val="000000" w:themeColor="text1"/>
          <w:sz w:val="24"/>
        </w:rPr>
      </w:pPr>
      <w:r>
        <w:rPr>
          <w:b/>
          <w:bCs/>
          <w:color w:val="000000" w:themeColor="text1"/>
          <w:sz w:val="24"/>
        </w:rPr>
        <w:t>1、监测范围及点位布置</w:t>
      </w:r>
    </w:p>
    <w:p w14:paraId="7BA0C2D6">
      <w:pPr>
        <w:spacing w:line="360" w:lineRule="auto"/>
        <w:ind w:firstLine="480"/>
        <w:rPr>
          <w:color w:val="000000" w:themeColor="text1"/>
          <w:sz w:val="24"/>
        </w:rPr>
      </w:pPr>
      <w:r>
        <w:rPr>
          <w:color w:val="000000" w:themeColor="text1"/>
          <w:sz w:val="24"/>
        </w:rPr>
        <w:t>此次监测点布置是根据项目特点、周边环境概况，结合敏感目标处布点，布点覆盖整个项目调查区。水质现状监测点共3</w:t>
      </w:r>
      <w:r>
        <w:rPr>
          <w:color w:val="000000" w:themeColor="text1"/>
          <w:spacing w:val="-6"/>
          <w:sz w:val="24"/>
        </w:rPr>
        <w:t>个点，</w:t>
      </w:r>
      <w:r>
        <w:rPr>
          <w:bCs/>
          <w:color w:val="000000" w:themeColor="text1"/>
          <w:sz w:val="24"/>
        </w:rPr>
        <w:t>户拉村</w:t>
      </w:r>
      <w:r>
        <w:rPr>
          <w:color w:val="000000" w:themeColor="text1"/>
          <w:sz w:val="24"/>
        </w:rPr>
        <w:t xml:space="preserve"> 1#、</w:t>
      </w:r>
      <w:r>
        <w:rPr>
          <w:bCs/>
          <w:color w:val="000000" w:themeColor="text1"/>
          <w:sz w:val="24"/>
        </w:rPr>
        <w:t>排鲁村</w:t>
      </w:r>
      <w:r>
        <w:rPr>
          <w:color w:val="000000" w:themeColor="text1"/>
          <w:sz w:val="24"/>
        </w:rPr>
        <w:t xml:space="preserve"> 2#、芒市晨明塑料加工项目东南侧泉点 3#。</w:t>
      </w:r>
    </w:p>
    <w:p w14:paraId="58778C28">
      <w:pPr>
        <w:spacing w:line="360" w:lineRule="auto"/>
        <w:ind w:firstLine="480"/>
        <w:rPr>
          <w:color w:val="000000" w:themeColor="text1"/>
          <w:sz w:val="24"/>
        </w:rPr>
      </w:pPr>
      <w:r>
        <w:rPr>
          <w:color w:val="000000" w:themeColor="text1"/>
          <w:sz w:val="24"/>
        </w:rPr>
        <w:t>1#~3#点位均为村庄附近的泉点，主要功能为补充地表水，不涉及饮用灌溉等特殊功能。</w:t>
      </w:r>
    </w:p>
    <w:p w14:paraId="1CBE72FA">
      <w:pPr>
        <w:spacing w:line="360" w:lineRule="auto"/>
        <w:ind w:firstLine="482"/>
        <w:rPr>
          <w:b/>
          <w:bCs/>
          <w:color w:val="000000" w:themeColor="text1"/>
          <w:sz w:val="24"/>
        </w:rPr>
      </w:pPr>
      <w:r>
        <w:rPr>
          <w:b/>
          <w:bCs/>
          <w:color w:val="000000" w:themeColor="text1"/>
          <w:sz w:val="24"/>
        </w:rPr>
        <w:t>2、监测项目</w:t>
      </w:r>
    </w:p>
    <w:p w14:paraId="191D717F">
      <w:pPr>
        <w:spacing w:line="360" w:lineRule="auto"/>
        <w:ind w:firstLine="480"/>
        <w:rPr>
          <w:color w:val="000000" w:themeColor="text1"/>
          <w:sz w:val="24"/>
        </w:rPr>
      </w:pPr>
      <w:r>
        <w:rPr>
          <w:color w:val="000000" w:themeColor="text1"/>
          <w:sz w:val="24"/>
        </w:rPr>
        <w:t>水质监测指标：pH、溶解性总固体、耗氧量、氨氮、挥发酚、氯化物、硫酸盐、氟化物、菌落总数、总大肠菌群、铁、锰、铅，共 13 项。</w:t>
      </w:r>
    </w:p>
    <w:p w14:paraId="0B6FD888">
      <w:pPr>
        <w:spacing w:line="360" w:lineRule="auto"/>
        <w:ind w:firstLine="482"/>
        <w:rPr>
          <w:b/>
          <w:bCs/>
          <w:color w:val="000000" w:themeColor="text1"/>
          <w:sz w:val="24"/>
        </w:rPr>
      </w:pPr>
      <w:r>
        <w:rPr>
          <w:b/>
          <w:bCs/>
          <w:color w:val="000000" w:themeColor="text1"/>
          <w:sz w:val="24"/>
        </w:rPr>
        <w:t>3、监测频率和监测时间</w:t>
      </w:r>
    </w:p>
    <w:p w14:paraId="36E2A580">
      <w:pPr>
        <w:spacing w:line="360" w:lineRule="auto"/>
        <w:ind w:firstLine="480"/>
        <w:rPr>
          <w:color w:val="000000" w:themeColor="text1"/>
          <w:sz w:val="24"/>
        </w:rPr>
      </w:pPr>
      <w:r>
        <w:rPr>
          <w:color w:val="000000" w:themeColor="text1"/>
          <w:sz w:val="24"/>
        </w:rPr>
        <w:t>此次地下水监测取样时间：</w:t>
      </w:r>
      <w:r>
        <w:rPr>
          <w:color w:val="FF0000"/>
          <w:sz w:val="24"/>
        </w:rPr>
        <w:t>2019年11月18日至19日共2天。</w:t>
      </w:r>
    </w:p>
    <w:p w14:paraId="140E10E9">
      <w:pPr>
        <w:spacing w:line="360" w:lineRule="auto"/>
        <w:ind w:firstLine="482"/>
        <w:rPr>
          <w:b/>
          <w:color w:val="000000" w:themeColor="text1"/>
          <w:sz w:val="24"/>
        </w:rPr>
      </w:pPr>
      <w:r>
        <w:rPr>
          <w:b/>
          <w:color w:val="000000" w:themeColor="text1"/>
          <w:sz w:val="24"/>
        </w:rPr>
        <w:t>4、水质监测结果及分析</w:t>
      </w:r>
    </w:p>
    <w:p w14:paraId="2C9036D3">
      <w:pPr>
        <w:jc w:val="center"/>
        <w:rPr>
          <w:b/>
          <w:color w:val="000000" w:themeColor="text1"/>
          <w:sz w:val="24"/>
        </w:rPr>
      </w:pPr>
    </w:p>
    <w:p w14:paraId="59C46904">
      <w:pPr>
        <w:jc w:val="center"/>
        <w:rPr>
          <w:b/>
          <w:color w:val="000000" w:themeColor="text1"/>
          <w:sz w:val="24"/>
        </w:rPr>
      </w:pPr>
      <w:r>
        <w:rPr>
          <w:b/>
          <w:color w:val="000000" w:themeColor="text1"/>
          <w:sz w:val="24"/>
        </w:rPr>
        <w:t>表4.2-5 地下水水质监测结果</w:t>
      </w:r>
    </w:p>
    <w:tbl>
      <w:tblPr>
        <w:tblStyle w:val="4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15" w:type="dxa"/>
          <w:left w:w="15" w:type="dxa"/>
          <w:bottom w:w="15" w:type="dxa"/>
          <w:right w:w="15" w:type="dxa"/>
        </w:tblCellMar>
      </w:tblPr>
      <w:tblGrid>
        <w:gridCol w:w="1682"/>
        <w:gridCol w:w="1079"/>
        <w:gridCol w:w="1178"/>
        <w:gridCol w:w="1179"/>
        <w:gridCol w:w="1179"/>
        <w:gridCol w:w="1179"/>
        <w:gridCol w:w="1184"/>
      </w:tblGrid>
      <w:tr w14:paraId="67B0A3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tblHeader/>
          <w:jc w:val="center"/>
        </w:trPr>
        <w:tc>
          <w:tcPr>
            <w:tcW w:w="971" w:type="pct"/>
            <w:vAlign w:val="center"/>
          </w:tcPr>
          <w:p w14:paraId="1E05A510">
            <w:pPr>
              <w:jc w:val="center"/>
              <w:rPr>
                <w:b/>
                <w:bCs/>
                <w:color w:val="000000" w:themeColor="text1"/>
                <w:szCs w:val="21"/>
              </w:rPr>
            </w:pPr>
            <w:r>
              <w:rPr>
                <w:b/>
                <w:color w:val="000000" w:themeColor="text1"/>
                <w:szCs w:val="21"/>
              </w:rPr>
              <w:t>监测点位</w:t>
            </w:r>
          </w:p>
        </w:tc>
        <w:tc>
          <w:tcPr>
            <w:tcW w:w="1303" w:type="pct"/>
            <w:gridSpan w:val="2"/>
            <w:vAlign w:val="center"/>
          </w:tcPr>
          <w:p w14:paraId="1C27D5A9">
            <w:pPr>
              <w:ind w:left="95" w:hanging="95" w:hangingChars="49"/>
              <w:jc w:val="center"/>
              <w:rPr>
                <w:b/>
                <w:color w:val="000000" w:themeColor="text1"/>
                <w:szCs w:val="21"/>
              </w:rPr>
            </w:pPr>
            <w:r>
              <w:rPr>
                <w:b/>
                <w:bCs/>
                <w:color w:val="000000" w:themeColor="text1"/>
                <w:spacing w:val="-8"/>
                <w:szCs w:val="21"/>
              </w:rPr>
              <w:t>户拉村</w:t>
            </w:r>
          </w:p>
        </w:tc>
        <w:tc>
          <w:tcPr>
            <w:tcW w:w="1362" w:type="pct"/>
            <w:gridSpan w:val="2"/>
            <w:vAlign w:val="center"/>
          </w:tcPr>
          <w:p w14:paraId="4AAB3006">
            <w:pPr>
              <w:ind w:left="97" w:hanging="97" w:hangingChars="49"/>
              <w:jc w:val="center"/>
              <w:rPr>
                <w:b/>
                <w:color w:val="000000" w:themeColor="text1"/>
                <w:szCs w:val="21"/>
              </w:rPr>
            </w:pPr>
            <w:r>
              <w:rPr>
                <w:b/>
                <w:bCs/>
                <w:color w:val="000000" w:themeColor="text1"/>
                <w:spacing w:val="-6"/>
                <w:szCs w:val="21"/>
              </w:rPr>
              <w:t>排鲁村</w:t>
            </w:r>
          </w:p>
        </w:tc>
        <w:tc>
          <w:tcPr>
            <w:tcW w:w="1364" w:type="pct"/>
            <w:gridSpan w:val="2"/>
            <w:vAlign w:val="center"/>
          </w:tcPr>
          <w:p w14:paraId="4EF6279A">
            <w:pPr>
              <w:ind w:left="103" w:hanging="103" w:hangingChars="49"/>
              <w:jc w:val="center"/>
              <w:rPr>
                <w:b/>
                <w:color w:val="000000" w:themeColor="text1"/>
                <w:szCs w:val="21"/>
              </w:rPr>
            </w:pPr>
            <w:r>
              <w:rPr>
                <w:b/>
                <w:color w:val="000000" w:themeColor="text1"/>
                <w:szCs w:val="21"/>
              </w:rPr>
              <w:t>芒市晨明塑料加工项目东南侧泉点</w:t>
            </w:r>
          </w:p>
        </w:tc>
      </w:tr>
      <w:tr w14:paraId="008355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cantSplit/>
          <w:trHeight w:val="20" w:hRule="atLeast"/>
          <w:tblHeader/>
          <w:jc w:val="center"/>
        </w:trPr>
        <w:tc>
          <w:tcPr>
            <w:tcW w:w="971" w:type="pct"/>
            <w:vAlign w:val="center"/>
          </w:tcPr>
          <w:p w14:paraId="2A25B84D">
            <w:pPr>
              <w:jc w:val="center"/>
              <w:rPr>
                <w:b/>
                <w:color w:val="000000" w:themeColor="text1"/>
                <w:szCs w:val="21"/>
              </w:rPr>
            </w:pPr>
            <w:r>
              <w:rPr>
                <w:b/>
                <w:color w:val="000000" w:themeColor="text1"/>
                <w:szCs w:val="21"/>
              </w:rPr>
              <w:t>采样时间</w:t>
            </w:r>
          </w:p>
        </w:tc>
        <w:tc>
          <w:tcPr>
            <w:tcW w:w="623" w:type="pct"/>
            <w:vAlign w:val="center"/>
          </w:tcPr>
          <w:p w14:paraId="5F28A8EC">
            <w:pPr>
              <w:ind w:left="103" w:hanging="103" w:hangingChars="49"/>
              <w:jc w:val="center"/>
              <w:rPr>
                <w:b/>
                <w:bCs/>
                <w:color w:val="000000" w:themeColor="text1"/>
                <w:szCs w:val="21"/>
              </w:rPr>
            </w:pPr>
            <w:r>
              <w:rPr>
                <w:b/>
                <w:bCs/>
                <w:color w:val="000000" w:themeColor="text1"/>
                <w:szCs w:val="21"/>
              </w:rPr>
              <w:t>20191118</w:t>
            </w:r>
          </w:p>
        </w:tc>
        <w:tc>
          <w:tcPr>
            <w:tcW w:w="680" w:type="pct"/>
            <w:vAlign w:val="center"/>
          </w:tcPr>
          <w:p w14:paraId="00F05F0B">
            <w:pPr>
              <w:ind w:left="103" w:hanging="103" w:hangingChars="49"/>
              <w:jc w:val="center"/>
              <w:rPr>
                <w:b/>
                <w:bCs/>
                <w:color w:val="000000" w:themeColor="text1"/>
                <w:szCs w:val="21"/>
              </w:rPr>
            </w:pPr>
            <w:r>
              <w:rPr>
                <w:b/>
                <w:bCs/>
                <w:color w:val="000000" w:themeColor="text1"/>
                <w:szCs w:val="21"/>
              </w:rPr>
              <w:t>20191119</w:t>
            </w:r>
          </w:p>
        </w:tc>
        <w:tc>
          <w:tcPr>
            <w:tcW w:w="681" w:type="pct"/>
            <w:vAlign w:val="center"/>
          </w:tcPr>
          <w:p w14:paraId="3CBEE212">
            <w:pPr>
              <w:ind w:left="103" w:hanging="103" w:hangingChars="49"/>
              <w:jc w:val="center"/>
              <w:rPr>
                <w:b/>
                <w:bCs/>
                <w:color w:val="000000" w:themeColor="text1"/>
                <w:szCs w:val="21"/>
              </w:rPr>
            </w:pPr>
            <w:r>
              <w:rPr>
                <w:b/>
                <w:bCs/>
                <w:color w:val="000000" w:themeColor="text1"/>
                <w:szCs w:val="21"/>
              </w:rPr>
              <w:t>20191118</w:t>
            </w:r>
          </w:p>
        </w:tc>
        <w:tc>
          <w:tcPr>
            <w:tcW w:w="681" w:type="pct"/>
            <w:vAlign w:val="center"/>
          </w:tcPr>
          <w:p w14:paraId="359AD3D5">
            <w:pPr>
              <w:ind w:left="103" w:hanging="103" w:hangingChars="49"/>
              <w:jc w:val="center"/>
              <w:rPr>
                <w:b/>
                <w:bCs/>
                <w:color w:val="000000" w:themeColor="text1"/>
                <w:szCs w:val="21"/>
              </w:rPr>
            </w:pPr>
            <w:r>
              <w:rPr>
                <w:b/>
                <w:bCs/>
                <w:color w:val="000000" w:themeColor="text1"/>
                <w:szCs w:val="21"/>
              </w:rPr>
              <w:t>20191119</w:t>
            </w:r>
          </w:p>
        </w:tc>
        <w:tc>
          <w:tcPr>
            <w:tcW w:w="681" w:type="pct"/>
            <w:vAlign w:val="center"/>
          </w:tcPr>
          <w:p w14:paraId="3BEAF003">
            <w:pPr>
              <w:ind w:left="103" w:hanging="103" w:hangingChars="49"/>
              <w:jc w:val="center"/>
              <w:rPr>
                <w:b/>
                <w:bCs/>
                <w:color w:val="000000" w:themeColor="text1"/>
                <w:szCs w:val="21"/>
              </w:rPr>
            </w:pPr>
            <w:r>
              <w:rPr>
                <w:b/>
                <w:bCs/>
                <w:color w:val="000000" w:themeColor="text1"/>
                <w:szCs w:val="21"/>
              </w:rPr>
              <w:t>20191118</w:t>
            </w:r>
          </w:p>
        </w:tc>
        <w:tc>
          <w:tcPr>
            <w:tcW w:w="683" w:type="pct"/>
            <w:vAlign w:val="center"/>
          </w:tcPr>
          <w:p w14:paraId="7154319E">
            <w:pPr>
              <w:ind w:left="103" w:hanging="103" w:hangingChars="49"/>
              <w:jc w:val="center"/>
              <w:rPr>
                <w:b/>
                <w:bCs/>
                <w:color w:val="000000" w:themeColor="text1"/>
                <w:szCs w:val="21"/>
              </w:rPr>
            </w:pPr>
            <w:r>
              <w:rPr>
                <w:b/>
                <w:bCs/>
                <w:color w:val="000000" w:themeColor="text1"/>
                <w:szCs w:val="21"/>
              </w:rPr>
              <w:t>20191119</w:t>
            </w:r>
          </w:p>
        </w:tc>
      </w:tr>
      <w:tr w14:paraId="42FDE3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525BD70A">
            <w:pPr>
              <w:jc w:val="center"/>
              <w:rPr>
                <w:color w:val="000000" w:themeColor="text1"/>
                <w:szCs w:val="21"/>
              </w:rPr>
            </w:pPr>
            <w:r>
              <w:rPr>
                <w:color w:val="000000" w:themeColor="text1"/>
                <w:szCs w:val="21"/>
              </w:rPr>
              <w:t>K</w:t>
            </w:r>
            <w:r>
              <w:rPr>
                <w:color w:val="000000" w:themeColor="text1"/>
                <w:szCs w:val="21"/>
                <w:vertAlign w:val="superscript"/>
              </w:rPr>
              <w:t>+</w:t>
            </w:r>
          </w:p>
        </w:tc>
        <w:tc>
          <w:tcPr>
            <w:tcW w:w="623" w:type="pct"/>
            <w:vAlign w:val="center"/>
          </w:tcPr>
          <w:p w14:paraId="40986420">
            <w:pPr>
              <w:ind w:left="103" w:hanging="102" w:hangingChars="49"/>
              <w:jc w:val="center"/>
              <w:rPr>
                <w:bCs/>
                <w:color w:val="000000" w:themeColor="text1"/>
                <w:szCs w:val="21"/>
              </w:rPr>
            </w:pPr>
            <w:r>
              <w:rPr>
                <w:bCs/>
                <w:color w:val="000000" w:themeColor="text1"/>
                <w:szCs w:val="21"/>
              </w:rPr>
              <w:t>21.04</w:t>
            </w:r>
          </w:p>
        </w:tc>
        <w:tc>
          <w:tcPr>
            <w:tcW w:w="680" w:type="pct"/>
            <w:vAlign w:val="center"/>
          </w:tcPr>
          <w:p w14:paraId="6506F771">
            <w:pPr>
              <w:ind w:left="103" w:hanging="102" w:hangingChars="49"/>
              <w:jc w:val="center"/>
              <w:rPr>
                <w:bCs/>
                <w:color w:val="000000" w:themeColor="text1"/>
                <w:szCs w:val="21"/>
              </w:rPr>
            </w:pPr>
            <w:r>
              <w:rPr>
                <w:bCs/>
                <w:color w:val="000000" w:themeColor="text1"/>
                <w:szCs w:val="21"/>
              </w:rPr>
              <w:t>21.26</w:t>
            </w:r>
          </w:p>
        </w:tc>
        <w:tc>
          <w:tcPr>
            <w:tcW w:w="681" w:type="pct"/>
            <w:vAlign w:val="center"/>
          </w:tcPr>
          <w:p w14:paraId="5F1BB7A1">
            <w:pPr>
              <w:jc w:val="center"/>
              <w:rPr>
                <w:color w:val="000000" w:themeColor="text1"/>
                <w:szCs w:val="21"/>
              </w:rPr>
            </w:pPr>
            <w:r>
              <w:rPr>
                <w:color w:val="000000" w:themeColor="text1"/>
                <w:szCs w:val="21"/>
              </w:rPr>
              <w:t>4.00</w:t>
            </w:r>
          </w:p>
        </w:tc>
        <w:tc>
          <w:tcPr>
            <w:tcW w:w="681" w:type="pct"/>
            <w:vAlign w:val="center"/>
          </w:tcPr>
          <w:p w14:paraId="59805D9F">
            <w:pPr>
              <w:jc w:val="center"/>
              <w:rPr>
                <w:color w:val="000000" w:themeColor="text1"/>
                <w:szCs w:val="21"/>
              </w:rPr>
            </w:pPr>
            <w:r>
              <w:rPr>
                <w:color w:val="000000" w:themeColor="text1"/>
                <w:szCs w:val="21"/>
              </w:rPr>
              <w:t>3.87</w:t>
            </w:r>
          </w:p>
        </w:tc>
        <w:tc>
          <w:tcPr>
            <w:tcW w:w="681" w:type="pct"/>
            <w:vAlign w:val="center"/>
          </w:tcPr>
          <w:p w14:paraId="5D8E5CF4">
            <w:pPr>
              <w:jc w:val="center"/>
              <w:rPr>
                <w:color w:val="000000" w:themeColor="text1"/>
                <w:szCs w:val="21"/>
              </w:rPr>
            </w:pPr>
            <w:r>
              <w:rPr>
                <w:color w:val="000000" w:themeColor="text1"/>
                <w:szCs w:val="21"/>
              </w:rPr>
              <w:t>3.37</w:t>
            </w:r>
          </w:p>
        </w:tc>
        <w:tc>
          <w:tcPr>
            <w:tcW w:w="683" w:type="pct"/>
            <w:vAlign w:val="center"/>
          </w:tcPr>
          <w:p w14:paraId="7BF1C934">
            <w:pPr>
              <w:jc w:val="center"/>
              <w:rPr>
                <w:color w:val="000000" w:themeColor="text1"/>
                <w:szCs w:val="21"/>
              </w:rPr>
            </w:pPr>
            <w:r>
              <w:rPr>
                <w:color w:val="000000" w:themeColor="text1"/>
                <w:szCs w:val="21"/>
              </w:rPr>
              <w:t>3.41</w:t>
            </w:r>
          </w:p>
        </w:tc>
      </w:tr>
      <w:tr w14:paraId="256F05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1A56E0D5">
            <w:pPr>
              <w:jc w:val="center"/>
              <w:rPr>
                <w:color w:val="000000" w:themeColor="text1"/>
                <w:szCs w:val="21"/>
              </w:rPr>
            </w:pPr>
            <w:r>
              <w:rPr>
                <w:bCs/>
                <w:color w:val="000000" w:themeColor="text1"/>
                <w:spacing w:val="14"/>
                <w:szCs w:val="21"/>
              </w:rPr>
              <w:t>Na</w:t>
            </w:r>
            <w:r>
              <w:rPr>
                <w:bCs/>
                <w:color w:val="000000" w:themeColor="text1"/>
                <w:spacing w:val="14"/>
                <w:szCs w:val="21"/>
                <w:vertAlign w:val="superscript"/>
              </w:rPr>
              <w:t>+</w:t>
            </w:r>
          </w:p>
        </w:tc>
        <w:tc>
          <w:tcPr>
            <w:tcW w:w="623" w:type="pct"/>
            <w:vAlign w:val="center"/>
          </w:tcPr>
          <w:p w14:paraId="750AA290">
            <w:pPr>
              <w:ind w:left="103" w:hanging="102" w:hangingChars="49"/>
              <w:jc w:val="center"/>
              <w:rPr>
                <w:bCs/>
                <w:color w:val="000000" w:themeColor="text1"/>
                <w:szCs w:val="21"/>
              </w:rPr>
            </w:pPr>
            <w:r>
              <w:rPr>
                <w:bCs/>
                <w:color w:val="000000" w:themeColor="text1"/>
                <w:szCs w:val="21"/>
              </w:rPr>
              <w:t>20.09</w:t>
            </w:r>
          </w:p>
        </w:tc>
        <w:tc>
          <w:tcPr>
            <w:tcW w:w="680" w:type="pct"/>
            <w:vAlign w:val="center"/>
          </w:tcPr>
          <w:p w14:paraId="7E0ABD4B">
            <w:pPr>
              <w:ind w:left="103" w:hanging="102" w:hangingChars="49"/>
              <w:jc w:val="center"/>
              <w:rPr>
                <w:bCs/>
                <w:color w:val="000000" w:themeColor="text1"/>
                <w:szCs w:val="21"/>
              </w:rPr>
            </w:pPr>
            <w:r>
              <w:rPr>
                <w:bCs/>
                <w:color w:val="000000" w:themeColor="text1"/>
                <w:szCs w:val="21"/>
              </w:rPr>
              <w:t>20.12</w:t>
            </w:r>
          </w:p>
        </w:tc>
        <w:tc>
          <w:tcPr>
            <w:tcW w:w="681" w:type="pct"/>
            <w:vAlign w:val="center"/>
          </w:tcPr>
          <w:p w14:paraId="557E95BD">
            <w:pPr>
              <w:jc w:val="center"/>
              <w:rPr>
                <w:color w:val="000000" w:themeColor="text1"/>
                <w:szCs w:val="21"/>
              </w:rPr>
            </w:pPr>
            <w:r>
              <w:rPr>
                <w:color w:val="000000" w:themeColor="text1"/>
                <w:szCs w:val="21"/>
              </w:rPr>
              <w:t>1.96</w:t>
            </w:r>
          </w:p>
        </w:tc>
        <w:tc>
          <w:tcPr>
            <w:tcW w:w="681" w:type="pct"/>
            <w:vAlign w:val="center"/>
          </w:tcPr>
          <w:p w14:paraId="77335825">
            <w:pPr>
              <w:jc w:val="center"/>
              <w:rPr>
                <w:color w:val="000000" w:themeColor="text1"/>
                <w:szCs w:val="21"/>
              </w:rPr>
            </w:pPr>
            <w:r>
              <w:rPr>
                <w:color w:val="000000" w:themeColor="text1"/>
                <w:szCs w:val="21"/>
              </w:rPr>
              <w:t>1.87</w:t>
            </w:r>
          </w:p>
        </w:tc>
        <w:tc>
          <w:tcPr>
            <w:tcW w:w="681" w:type="pct"/>
            <w:vAlign w:val="center"/>
          </w:tcPr>
          <w:p w14:paraId="569E585E">
            <w:pPr>
              <w:jc w:val="center"/>
              <w:rPr>
                <w:color w:val="000000" w:themeColor="text1"/>
                <w:szCs w:val="21"/>
              </w:rPr>
            </w:pPr>
            <w:r>
              <w:rPr>
                <w:color w:val="000000" w:themeColor="text1"/>
                <w:szCs w:val="21"/>
              </w:rPr>
              <w:t>1.55</w:t>
            </w:r>
          </w:p>
        </w:tc>
        <w:tc>
          <w:tcPr>
            <w:tcW w:w="683" w:type="pct"/>
            <w:vAlign w:val="center"/>
          </w:tcPr>
          <w:p w14:paraId="61F56AB2">
            <w:pPr>
              <w:jc w:val="center"/>
              <w:rPr>
                <w:color w:val="000000" w:themeColor="text1"/>
                <w:szCs w:val="21"/>
              </w:rPr>
            </w:pPr>
            <w:r>
              <w:rPr>
                <w:color w:val="000000" w:themeColor="text1"/>
                <w:szCs w:val="21"/>
              </w:rPr>
              <w:t>1.57</w:t>
            </w:r>
          </w:p>
        </w:tc>
      </w:tr>
      <w:tr w14:paraId="5A66EA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4F5C18C2">
            <w:pPr>
              <w:jc w:val="center"/>
              <w:rPr>
                <w:bCs/>
                <w:color w:val="000000" w:themeColor="text1"/>
                <w:spacing w:val="14"/>
                <w:szCs w:val="21"/>
              </w:rPr>
            </w:pPr>
            <w:r>
              <w:rPr>
                <w:bCs/>
                <w:color w:val="000000" w:themeColor="text1"/>
                <w:spacing w:val="14"/>
                <w:szCs w:val="21"/>
              </w:rPr>
              <w:t>标准</w:t>
            </w:r>
          </w:p>
        </w:tc>
        <w:tc>
          <w:tcPr>
            <w:tcW w:w="623" w:type="pct"/>
            <w:vAlign w:val="center"/>
          </w:tcPr>
          <w:p w14:paraId="40B1C44A">
            <w:pPr>
              <w:ind w:left="103" w:hanging="102" w:hangingChars="49"/>
              <w:jc w:val="center"/>
              <w:rPr>
                <w:bCs/>
                <w:color w:val="000000" w:themeColor="text1"/>
                <w:szCs w:val="21"/>
              </w:rPr>
            </w:pPr>
            <w:r>
              <w:rPr>
                <w:bCs/>
                <w:color w:val="000000" w:themeColor="text1"/>
                <w:szCs w:val="21"/>
              </w:rPr>
              <w:t>200</w:t>
            </w:r>
          </w:p>
        </w:tc>
        <w:tc>
          <w:tcPr>
            <w:tcW w:w="680" w:type="pct"/>
            <w:vAlign w:val="center"/>
          </w:tcPr>
          <w:p w14:paraId="425F8BAC">
            <w:pPr>
              <w:ind w:left="103" w:hanging="102" w:hangingChars="49"/>
              <w:jc w:val="center"/>
              <w:rPr>
                <w:bCs/>
                <w:color w:val="000000" w:themeColor="text1"/>
                <w:szCs w:val="21"/>
              </w:rPr>
            </w:pPr>
            <w:r>
              <w:rPr>
                <w:bCs/>
                <w:color w:val="000000" w:themeColor="text1"/>
                <w:szCs w:val="21"/>
              </w:rPr>
              <w:t>200</w:t>
            </w:r>
          </w:p>
        </w:tc>
        <w:tc>
          <w:tcPr>
            <w:tcW w:w="681" w:type="pct"/>
            <w:vAlign w:val="center"/>
          </w:tcPr>
          <w:p w14:paraId="4427087A">
            <w:pPr>
              <w:jc w:val="center"/>
              <w:rPr>
                <w:color w:val="000000" w:themeColor="text1"/>
                <w:szCs w:val="21"/>
              </w:rPr>
            </w:pPr>
            <w:r>
              <w:rPr>
                <w:color w:val="000000" w:themeColor="text1"/>
                <w:szCs w:val="21"/>
              </w:rPr>
              <w:t>200</w:t>
            </w:r>
          </w:p>
        </w:tc>
        <w:tc>
          <w:tcPr>
            <w:tcW w:w="681" w:type="pct"/>
            <w:vAlign w:val="center"/>
          </w:tcPr>
          <w:p w14:paraId="663F07FE">
            <w:pPr>
              <w:jc w:val="center"/>
              <w:rPr>
                <w:color w:val="000000" w:themeColor="text1"/>
                <w:szCs w:val="21"/>
              </w:rPr>
            </w:pPr>
            <w:r>
              <w:rPr>
                <w:color w:val="000000" w:themeColor="text1"/>
                <w:szCs w:val="21"/>
              </w:rPr>
              <w:t>200</w:t>
            </w:r>
          </w:p>
        </w:tc>
        <w:tc>
          <w:tcPr>
            <w:tcW w:w="681" w:type="pct"/>
            <w:vAlign w:val="center"/>
          </w:tcPr>
          <w:p w14:paraId="761016C2">
            <w:pPr>
              <w:jc w:val="center"/>
              <w:rPr>
                <w:color w:val="000000" w:themeColor="text1"/>
                <w:szCs w:val="21"/>
              </w:rPr>
            </w:pPr>
            <w:r>
              <w:rPr>
                <w:color w:val="000000" w:themeColor="text1"/>
                <w:szCs w:val="21"/>
              </w:rPr>
              <w:t>200</w:t>
            </w:r>
          </w:p>
        </w:tc>
        <w:tc>
          <w:tcPr>
            <w:tcW w:w="683" w:type="pct"/>
            <w:vAlign w:val="center"/>
          </w:tcPr>
          <w:p w14:paraId="54E3CAD1">
            <w:pPr>
              <w:jc w:val="center"/>
              <w:rPr>
                <w:color w:val="000000" w:themeColor="text1"/>
                <w:szCs w:val="21"/>
              </w:rPr>
            </w:pPr>
            <w:r>
              <w:rPr>
                <w:color w:val="000000" w:themeColor="text1"/>
                <w:szCs w:val="21"/>
              </w:rPr>
              <w:t>200</w:t>
            </w:r>
          </w:p>
        </w:tc>
      </w:tr>
      <w:tr w14:paraId="1C0D1D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57936C36">
            <w:pPr>
              <w:jc w:val="center"/>
              <w:rPr>
                <w:color w:val="000000" w:themeColor="text1"/>
                <w:szCs w:val="21"/>
              </w:rPr>
            </w:pPr>
            <w:r>
              <w:rPr>
                <w:bCs/>
                <w:color w:val="000000" w:themeColor="text1"/>
                <w:spacing w:val="14"/>
                <w:szCs w:val="21"/>
              </w:rPr>
              <w:t>Ca</w:t>
            </w:r>
            <w:r>
              <w:rPr>
                <w:bCs/>
                <w:color w:val="000000" w:themeColor="text1"/>
                <w:spacing w:val="14"/>
                <w:szCs w:val="21"/>
                <w:vertAlign w:val="superscript"/>
              </w:rPr>
              <w:t>2+</w:t>
            </w:r>
          </w:p>
        </w:tc>
        <w:tc>
          <w:tcPr>
            <w:tcW w:w="623" w:type="pct"/>
            <w:vAlign w:val="center"/>
          </w:tcPr>
          <w:p w14:paraId="76931D18">
            <w:pPr>
              <w:ind w:left="103" w:hanging="102" w:hangingChars="49"/>
              <w:jc w:val="center"/>
              <w:rPr>
                <w:bCs/>
                <w:color w:val="000000" w:themeColor="text1"/>
                <w:szCs w:val="21"/>
              </w:rPr>
            </w:pPr>
            <w:r>
              <w:rPr>
                <w:bCs/>
                <w:color w:val="000000" w:themeColor="text1"/>
                <w:szCs w:val="21"/>
              </w:rPr>
              <w:t>46.32</w:t>
            </w:r>
          </w:p>
        </w:tc>
        <w:tc>
          <w:tcPr>
            <w:tcW w:w="680" w:type="pct"/>
            <w:vAlign w:val="center"/>
          </w:tcPr>
          <w:p w14:paraId="71CFB36F">
            <w:pPr>
              <w:ind w:left="103" w:hanging="102" w:hangingChars="49"/>
              <w:jc w:val="center"/>
              <w:rPr>
                <w:bCs/>
                <w:color w:val="000000" w:themeColor="text1"/>
                <w:szCs w:val="21"/>
              </w:rPr>
            </w:pPr>
            <w:r>
              <w:rPr>
                <w:bCs/>
                <w:color w:val="000000" w:themeColor="text1"/>
                <w:szCs w:val="21"/>
              </w:rPr>
              <w:t>45.37</w:t>
            </w:r>
          </w:p>
        </w:tc>
        <w:tc>
          <w:tcPr>
            <w:tcW w:w="681" w:type="pct"/>
            <w:vAlign w:val="center"/>
          </w:tcPr>
          <w:p w14:paraId="02A0540D">
            <w:pPr>
              <w:jc w:val="center"/>
              <w:rPr>
                <w:color w:val="000000" w:themeColor="text1"/>
                <w:szCs w:val="21"/>
              </w:rPr>
            </w:pPr>
            <w:r>
              <w:rPr>
                <w:color w:val="000000" w:themeColor="text1"/>
                <w:szCs w:val="21"/>
              </w:rPr>
              <w:t>45.37</w:t>
            </w:r>
          </w:p>
        </w:tc>
        <w:tc>
          <w:tcPr>
            <w:tcW w:w="681" w:type="pct"/>
            <w:vAlign w:val="center"/>
          </w:tcPr>
          <w:p w14:paraId="2379F6E1">
            <w:pPr>
              <w:jc w:val="center"/>
              <w:rPr>
                <w:color w:val="000000" w:themeColor="text1"/>
                <w:szCs w:val="21"/>
              </w:rPr>
            </w:pPr>
            <w:r>
              <w:rPr>
                <w:color w:val="000000" w:themeColor="text1"/>
                <w:szCs w:val="21"/>
              </w:rPr>
              <w:t>45.37</w:t>
            </w:r>
          </w:p>
        </w:tc>
        <w:tc>
          <w:tcPr>
            <w:tcW w:w="681" w:type="pct"/>
            <w:vAlign w:val="center"/>
          </w:tcPr>
          <w:p w14:paraId="4C35C0F5">
            <w:pPr>
              <w:jc w:val="center"/>
              <w:rPr>
                <w:color w:val="000000" w:themeColor="text1"/>
                <w:szCs w:val="21"/>
              </w:rPr>
            </w:pPr>
            <w:r>
              <w:rPr>
                <w:color w:val="000000" w:themeColor="text1"/>
                <w:szCs w:val="21"/>
              </w:rPr>
              <w:t>75.62</w:t>
            </w:r>
          </w:p>
        </w:tc>
        <w:tc>
          <w:tcPr>
            <w:tcW w:w="683" w:type="pct"/>
            <w:vAlign w:val="center"/>
          </w:tcPr>
          <w:p w14:paraId="6916D8B0">
            <w:pPr>
              <w:jc w:val="center"/>
              <w:rPr>
                <w:color w:val="000000" w:themeColor="text1"/>
                <w:szCs w:val="21"/>
              </w:rPr>
            </w:pPr>
            <w:r>
              <w:rPr>
                <w:color w:val="000000" w:themeColor="text1"/>
                <w:szCs w:val="21"/>
              </w:rPr>
              <w:t>75.62</w:t>
            </w:r>
          </w:p>
        </w:tc>
      </w:tr>
      <w:tr w14:paraId="5EC53A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45907D71">
            <w:pPr>
              <w:jc w:val="center"/>
              <w:rPr>
                <w:bCs/>
                <w:color w:val="000000" w:themeColor="text1"/>
                <w:spacing w:val="14"/>
                <w:szCs w:val="21"/>
              </w:rPr>
            </w:pPr>
            <w:r>
              <w:rPr>
                <w:bCs/>
                <w:color w:val="000000" w:themeColor="text1"/>
                <w:spacing w:val="14"/>
                <w:szCs w:val="21"/>
              </w:rPr>
              <w:t>Mg</w:t>
            </w:r>
            <w:r>
              <w:rPr>
                <w:bCs/>
                <w:color w:val="000000" w:themeColor="text1"/>
                <w:spacing w:val="14"/>
                <w:szCs w:val="21"/>
                <w:vertAlign w:val="superscript"/>
              </w:rPr>
              <w:t>2+</w:t>
            </w:r>
          </w:p>
        </w:tc>
        <w:tc>
          <w:tcPr>
            <w:tcW w:w="623" w:type="pct"/>
            <w:vAlign w:val="center"/>
          </w:tcPr>
          <w:p w14:paraId="3D03673E">
            <w:pPr>
              <w:ind w:left="103" w:hanging="102" w:hangingChars="49"/>
              <w:jc w:val="center"/>
              <w:rPr>
                <w:bCs/>
                <w:color w:val="000000" w:themeColor="text1"/>
                <w:szCs w:val="21"/>
              </w:rPr>
            </w:pPr>
            <w:r>
              <w:rPr>
                <w:bCs/>
                <w:color w:val="000000" w:themeColor="text1"/>
                <w:szCs w:val="21"/>
              </w:rPr>
              <w:t>20.08</w:t>
            </w:r>
          </w:p>
        </w:tc>
        <w:tc>
          <w:tcPr>
            <w:tcW w:w="680" w:type="pct"/>
            <w:vAlign w:val="center"/>
          </w:tcPr>
          <w:p w14:paraId="587A76EC">
            <w:pPr>
              <w:ind w:left="103" w:hanging="102" w:hangingChars="49"/>
              <w:jc w:val="center"/>
              <w:rPr>
                <w:bCs/>
                <w:color w:val="000000" w:themeColor="text1"/>
                <w:szCs w:val="21"/>
              </w:rPr>
            </w:pPr>
            <w:r>
              <w:rPr>
                <w:bCs/>
                <w:color w:val="000000" w:themeColor="text1"/>
                <w:szCs w:val="21"/>
              </w:rPr>
              <w:t>20.65</w:t>
            </w:r>
          </w:p>
        </w:tc>
        <w:tc>
          <w:tcPr>
            <w:tcW w:w="681" w:type="pct"/>
            <w:vAlign w:val="center"/>
          </w:tcPr>
          <w:p w14:paraId="34371C4A">
            <w:pPr>
              <w:jc w:val="center"/>
              <w:rPr>
                <w:color w:val="000000" w:themeColor="text1"/>
                <w:szCs w:val="21"/>
              </w:rPr>
            </w:pPr>
            <w:r>
              <w:rPr>
                <w:color w:val="000000" w:themeColor="text1"/>
                <w:szCs w:val="21"/>
              </w:rPr>
              <w:t>26.96</w:t>
            </w:r>
          </w:p>
        </w:tc>
        <w:tc>
          <w:tcPr>
            <w:tcW w:w="681" w:type="pct"/>
            <w:vAlign w:val="center"/>
          </w:tcPr>
          <w:p w14:paraId="1AAA7E5A">
            <w:pPr>
              <w:jc w:val="center"/>
              <w:rPr>
                <w:color w:val="000000" w:themeColor="text1"/>
                <w:szCs w:val="21"/>
              </w:rPr>
            </w:pPr>
            <w:r>
              <w:rPr>
                <w:color w:val="000000" w:themeColor="text1"/>
                <w:szCs w:val="21"/>
              </w:rPr>
              <w:t>26.39</w:t>
            </w:r>
          </w:p>
        </w:tc>
        <w:tc>
          <w:tcPr>
            <w:tcW w:w="681" w:type="pct"/>
            <w:vAlign w:val="center"/>
          </w:tcPr>
          <w:p w14:paraId="164E49AA">
            <w:pPr>
              <w:jc w:val="center"/>
              <w:rPr>
                <w:color w:val="000000" w:themeColor="text1"/>
                <w:szCs w:val="21"/>
              </w:rPr>
            </w:pPr>
            <w:r>
              <w:rPr>
                <w:color w:val="000000" w:themeColor="text1"/>
                <w:szCs w:val="21"/>
              </w:rPr>
              <w:t>47.03</w:t>
            </w:r>
          </w:p>
        </w:tc>
        <w:tc>
          <w:tcPr>
            <w:tcW w:w="683" w:type="pct"/>
            <w:vAlign w:val="center"/>
          </w:tcPr>
          <w:p w14:paraId="017A9ADF">
            <w:pPr>
              <w:jc w:val="center"/>
              <w:rPr>
                <w:color w:val="000000" w:themeColor="text1"/>
                <w:szCs w:val="21"/>
              </w:rPr>
            </w:pPr>
            <w:r>
              <w:rPr>
                <w:color w:val="000000" w:themeColor="text1"/>
                <w:szCs w:val="21"/>
              </w:rPr>
              <w:t>48.18</w:t>
            </w:r>
          </w:p>
        </w:tc>
      </w:tr>
      <w:tr w14:paraId="6A8A17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05605F6D">
            <w:pPr>
              <w:jc w:val="center"/>
              <w:rPr>
                <w:bCs/>
                <w:color w:val="000000" w:themeColor="text1"/>
                <w:spacing w:val="14"/>
                <w:szCs w:val="21"/>
              </w:rPr>
            </w:pPr>
            <w:r>
              <w:rPr>
                <w:bCs/>
                <w:color w:val="000000" w:themeColor="text1"/>
                <w:spacing w:val="14"/>
                <w:szCs w:val="21"/>
              </w:rPr>
              <w:t>CO</w:t>
            </w:r>
            <w:r>
              <w:rPr>
                <w:bCs/>
                <w:color w:val="000000" w:themeColor="text1"/>
                <w:spacing w:val="14"/>
                <w:szCs w:val="21"/>
                <w:vertAlign w:val="subscript"/>
              </w:rPr>
              <w:t>3</w:t>
            </w:r>
            <w:r>
              <w:rPr>
                <w:bCs/>
                <w:color w:val="000000" w:themeColor="text1"/>
                <w:spacing w:val="14"/>
                <w:szCs w:val="21"/>
                <w:vertAlign w:val="superscript"/>
              </w:rPr>
              <w:t>2</w:t>
            </w:r>
          </w:p>
        </w:tc>
        <w:tc>
          <w:tcPr>
            <w:tcW w:w="623" w:type="pct"/>
            <w:vAlign w:val="center"/>
          </w:tcPr>
          <w:p w14:paraId="145E4E5E">
            <w:pPr>
              <w:ind w:left="103" w:hanging="102" w:hangingChars="49"/>
              <w:jc w:val="center"/>
              <w:rPr>
                <w:bCs/>
                <w:color w:val="000000" w:themeColor="text1"/>
                <w:szCs w:val="21"/>
              </w:rPr>
            </w:pPr>
            <w:r>
              <w:rPr>
                <w:bCs/>
                <w:color w:val="000000" w:themeColor="text1"/>
                <w:szCs w:val="21"/>
              </w:rPr>
              <w:t>0.00</w:t>
            </w:r>
          </w:p>
        </w:tc>
        <w:tc>
          <w:tcPr>
            <w:tcW w:w="680" w:type="pct"/>
            <w:vAlign w:val="center"/>
          </w:tcPr>
          <w:p w14:paraId="34B6C4A0">
            <w:pPr>
              <w:ind w:left="103" w:hanging="102" w:hangingChars="49"/>
              <w:jc w:val="center"/>
              <w:rPr>
                <w:bCs/>
                <w:color w:val="000000" w:themeColor="text1"/>
                <w:szCs w:val="21"/>
              </w:rPr>
            </w:pPr>
            <w:r>
              <w:rPr>
                <w:bCs/>
                <w:color w:val="000000" w:themeColor="text1"/>
                <w:szCs w:val="21"/>
              </w:rPr>
              <w:t>0.00</w:t>
            </w:r>
          </w:p>
        </w:tc>
        <w:tc>
          <w:tcPr>
            <w:tcW w:w="681" w:type="pct"/>
            <w:vAlign w:val="center"/>
          </w:tcPr>
          <w:p w14:paraId="119953AA">
            <w:pPr>
              <w:jc w:val="center"/>
              <w:rPr>
                <w:color w:val="000000" w:themeColor="text1"/>
                <w:szCs w:val="21"/>
              </w:rPr>
            </w:pPr>
            <w:r>
              <w:rPr>
                <w:color w:val="000000" w:themeColor="text1"/>
                <w:szCs w:val="21"/>
              </w:rPr>
              <w:t>0.00</w:t>
            </w:r>
          </w:p>
        </w:tc>
        <w:tc>
          <w:tcPr>
            <w:tcW w:w="681" w:type="pct"/>
            <w:vAlign w:val="center"/>
          </w:tcPr>
          <w:p w14:paraId="27D6AE2A">
            <w:pPr>
              <w:jc w:val="center"/>
              <w:rPr>
                <w:color w:val="000000" w:themeColor="text1"/>
                <w:szCs w:val="21"/>
              </w:rPr>
            </w:pPr>
            <w:r>
              <w:rPr>
                <w:color w:val="000000" w:themeColor="text1"/>
                <w:szCs w:val="21"/>
              </w:rPr>
              <w:t>0.00</w:t>
            </w:r>
          </w:p>
        </w:tc>
        <w:tc>
          <w:tcPr>
            <w:tcW w:w="681" w:type="pct"/>
            <w:vAlign w:val="center"/>
          </w:tcPr>
          <w:p w14:paraId="065FB230">
            <w:pPr>
              <w:jc w:val="center"/>
              <w:rPr>
                <w:color w:val="000000" w:themeColor="text1"/>
                <w:szCs w:val="21"/>
              </w:rPr>
            </w:pPr>
            <w:r>
              <w:rPr>
                <w:color w:val="000000" w:themeColor="text1"/>
                <w:szCs w:val="21"/>
              </w:rPr>
              <w:t>0.00</w:t>
            </w:r>
          </w:p>
        </w:tc>
        <w:tc>
          <w:tcPr>
            <w:tcW w:w="683" w:type="pct"/>
            <w:vAlign w:val="center"/>
          </w:tcPr>
          <w:p w14:paraId="6F864D6F">
            <w:pPr>
              <w:jc w:val="center"/>
              <w:rPr>
                <w:color w:val="000000" w:themeColor="text1"/>
                <w:szCs w:val="21"/>
              </w:rPr>
            </w:pPr>
            <w:r>
              <w:rPr>
                <w:color w:val="000000" w:themeColor="text1"/>
                <w:szCs w:val="21"/>
              </w:rPr>
              <w:t>0.00</w:t>
            </w:r>
          </w:p>
        </w:tc>
      </w:tr>
      <w:tr w14:paraId="01FCE0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65C167B6">
            <w:pPr>
              <w:jc w:val="center"/>
              <w:rPr>
                <w:bCs/>
                <w:color w:val="000000" w:themeColor="text1"/>
                <w:spacing w:val="14"/>
                <w:szCs w:val="21"/>
              </w:rPr>
            </w:pPr>
            <w:r>
              <w:rPr>
                <w:bCs/>
                <w:color w:val="000000" w:themeColor="text1"/>
                <w:spacing w:val="14"/>
                <w:szCs w:val="21"/>
              </w:rPr>
              <w:t>HCO</w:t>
            </w:r>
            <w:r>
              <w:rPr>
                <w:bCs/>
                <w:color w:val="000000" w:themeColor="text1"/>
                <w:spacing w:val="14"/>
                <w:szCs w:val="21"/>
                <w:vertAlign w:val="subscript"/>
              </w:rPr>
              <w:t>3</w:t>
            </w:r>
            <w:r>
              <w:rPr>
                <w:bCs/>
                <w:color w:val="000000" w:themeColor="text1"/>
                <w:spacing w:val="14"/>
                <w:szCs w:val="21"/>
                <w:vertAlign w:val="superscript"/>
              </w:rPr>
              <w:t>-</w:t>
            </w:r>
          </w:p>
        </w:tc>
        <w:tc>
          <w:tcPr>
            <w:tcW w:w="623" w:type="pct"/>
            <w:vAlign w:val="center"/>
          </w:tcPr>
          <w:p w14:paraId="0D597FC7">
            <w:pPr>
              <w:ind w:left="103" w:hanging="102" w:hangingChars="49"/>
              <w:jc w:val="center"/>
              <w:rPr>
                <w:bCs/>
                <w:color w:val="000000" w:themeColor="text1"/>
                <w:szCs w:val="21"/>
              </w:rPr>
            </w:pPr>
            <w:r>
              <w:rPr>
                <w:bCs/>
                <w:color w:val="000000" w:themeColor="text1"/>
                <w:szCs w:val="21"/>
              </w:rPr>
              <w:t>238.97</w:t>
            </w:r>
          </w:p>
        </w:tc>
        <w:tc>
          <w:tcPr>
            <w:tcW w:w="680" w:type="pct"/>
            <w:vAlign w:val="center"/>
          </w:tcPr>
          <w:p w14:paraId="798F2DAC">
            <w:pPr>
              <w:ind w:left="103" w:hanging="102" w:hangingChars="49"/>
              <w:jc w:val="center"/>
              <w:rPr>
                <w:bCs/>
                <w:color w:val="000000" w:themeColor="text1"/>
                <w:szCs w:val="21"/>
              </w:rPr>
            </w:pPr>
            <w:r>
              <w:rPr>
                <w:bCs/>
                <w:color w:val="000000" w:themeColor="text1"/>
                <w:szCs w:val="21"/>
              </w:rPr>
              <w:t>233.15</w:t>
            </w:r>
          </w:p>
        </w:tc>
        <w:tc>
          <w:tcPr>
            <w:tcW w:w="681" w:type="pct"/>
            <w:vAlign w:val="center"/>
          </w:tcPr>
          <w:p w14:paraId="25A10759">
            <w:pPr>
              <w:jc w:val="center"/>
              <w:rPr>
                <w:color w:val="000000" w:themeColor="text1"/>
                <w:szCs w:val="21"/>
              </w:rPr>
            </w:pPr>
            <w:r>
              <w:rPr>
                <w:color w:val="000000" w:themeColor="text1"/>
                <w:szCs w:val="21"/>
              </w:rPr>
              <w:t>268.12</w:t>
            </w:r>
          </w:p>
        </w:tc>
        <w:tc>
          <w:tcPr>
            <w:tcW w:w="681" w:type="pct"/>
            <w:vAlign w:val="center"/>
          </w:tcPr>
          <w:p w14:paraId="14265986">
            <w:pPr>
              <w:jc w:val="center"/>
              <w:rPr>
                <w:color w:val="000000" w:themeColor="text1"/>
                <w:szCs w:val="21"/>
              </w:rPr>
            </w:pPr>
            <w:r>
              <w:rPr>
                <w:color w:val="000000" w:themeColor="text1"/>
                <w:szCs w:val="21"/>
              </w:rPr>
              <w:t>268.12</w:t>
            </w:r>
          </w:p>
        </w:tc>
        <w:tc>
          <w:tcPr>
            <w:tcW w:w="681" w:type="pct"/>
            <w:vAlign w:val="center"/>
          </w:tcPr>
          <w:p w14:paraId="04224799">
            <w:pPr>
              <w:jc w:val="center"/>
              <w:rPr>
                <w:color w:val="000000" w:themeColor="text1"/>
                <w:szCs w:val="21"/>
              </w:rPr>
            </w:pPr>
            <w:r>
              <w:rPr>
                <w:color w:val="000000" w:themeColor="text1"/>
                <w:szCs w:val="21"/>
              </w:rPr>
              <w:t>451.72</w:t>
            </w:r>
          </w:p>
        </w:tc>
        <w:tc>
          <w:tcPr>
            <w:tcW w:w="683" w:type="pct"/>
            <w:vAlign w:val="center"/>
          </w:tcPr>
          <w:p w14:paraId="449A2075">
            <w:pPr>
              <w:jc w:val="center"/>
              <w:rPr>
                <w:color w:val="000000" w:themeColor="text1"/>
                <w:szCs w:val="21"/>
              </w:rPr>
            </w:pPr>
            <w:r>
              <w:rPr>
                <w:color w:val="000000" w:themeColor="text1"/>
                <w:szCs w:val="21"/>
              </w:rPr>
              <w:t>445.89</w:t>
            </w:r>
          </w:p>
        </w:tc>
      </w:tr>
      <w:tr w14:paraId="3AA13D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6AD172CF">
            <w:pPr>
              <w:jc w:val="center"/>
              <w:rPr>
                <w:bCs/>
                <w:color w:val="000000" w:themeColor="text1"/>
                <w:spacing w:val="14"/>
                <w:szCs w:val="21"/>
              </w:rPr>
            </w:pPr>
            <w:r>
              <w:rPr>
                <w:bCs/>
                <w:color w:val="000000" w:themeColor="text1"/>
                <w:spacing w:val="14"/>
                <w:szCs w:val="21"/>
              </w:rPr>
              <w:t>Cl</w:t>
            </w:r>
            <w:r>
              <w:rPr>
                <w:bCs/>
                <w:color w:val="000000" w:themeColor="text1"/>
                <w:spacing w:val="14"/>
                <w:szCs w:val="21"/>
                <w:vertAlign w:val="superscript"/>
              </w:rPr>
              <w:t>-</w:t>
            </w:r>
          </w:p>
        </w:tc>
        <w:tc>
          <w:tcPr>
            <w:tcW w:w="623" w:type="pct"/>
            <w:vAlign w:val="center"/>
          </w:tcPr>
          <w:p w14:paraId="5F6AC938">
            <w:pPr>
              <w:ind w:left="103" w:hanging="102" w:hangingChars="49"/>
              <w:jc w:val="center"/>
              <w:rPr>
                <w:bCs/>
                <w:color w:val="000000" w:themeColor="text1"/>
                <w:szCs w:val="21"/>
              </w:rPr>
            </w:pPr>
            <w:r>
              <w:rPr>
                <w:bCs/>
                <w:color w:val="000000" w:themeColor="text1"/>
                <w:szCs w:val="21"/>
              </w:rPr>
              <w:t>20.99</w:t>
            </w:r>
          </w:p>
        </w:tc>
        <w:tc>
          <w:tcPr>
            <w:tcW w:w="680" w:type="pct"/>
            <w:vAlign w:val="center"/>
          </w:tcPr>
          <w:p w14:paraId="09494431">
            <w:pPr>
              <w:ind w:left="103" w:hanging="102" w:hangingChars="49"/>
              <w:jc w:val="center"/>
              <w:rPr>
                <w:bCs/>
                <w:color w:val="000000" w:themeColor="text1"/>
                <w:szCs w:val="21"/>
              </w:rPr>
            </w:pPr>
            <w:r>
              <w:rPr>
                <w:bCs/>
                <w:color w:val="000000" w:themeColor="text1"/>
                <w:szCs w:val="21"/>
              </w:rPr>
              <w:t>23.09</w:t>
            </w:r>
          </w:p>
        </w:tc>
        <w:tc>
          <w:tcPr>
            <w:tcW w:w="681" w:type="pct"/>
            <w:vAlign w:val="center"/>
          </w:tcPr>
          <w:p w14:paraId="3461AF45">
            <w:pPr>
              <w:jc w:val="center"/>
              <w:rPr>
                <w:color w:val="000000" w:themeColor="text1"/>
                <w:szCs w:val="21"/>
              </w:rPr>
            </w:pPr>
            <w:r>
              <w:rPr>
                <w:color w:val="000000" w:themeColor="text1"/>
                <w:szCs w:val="21"/>
              </w:rPr>
              <w:t>2.10</w:t>
            </w:r>
          </w:p>
        </w:tc>
        <w:tc>
          <w:tcPr>
            <w:tcW w:w="681" w:type="pct"/>
            <w:vAlign w:val="center"/>
          </w:tcPr>
          <w:p w14:paraId="2191C9B7">
            <w:pPr>
              <w:jc w:val="center"/>
              <w:rPr>
                <w:color w:val="000000" w:themeColor="text1"/>
                <w:szCs w:val="21"/>
              </w:rPr>
            </w:pPr>
            <w:r>
              <w:rPr>
                <w:color w:val="000000" w:themeColor="text1"/>
                <w:szCs w:val="21"/>
              </w:rPr>
              <w:t>2.10</w:t>
            </w:r>
          </w:p>
        </w:tc>
        <w:tc>
          <w:tcPr>
            <w:tcW w:w="681" w:type="pct"/>
            <w:vAlign w:val="center"/>
          </w:tcPr>
          <w:p w14:paraId="496003E7">
            <w:pPr>
              <w:jc w:val="center"/>
              <w:rPr>
                <w:color w:val="000000" w:themeColor="text1"/>
                <w:szCs w:val="21"/>
              </w:rPr>
            </w:pPr>
            <w:r>
              <w:rPr>
                <w:color w:val="000000" w:themeColor="text1"/>
                <w:szCs w:val="21"/>
              </w:rPr>
              <w:t>1.05L</w:t>
            </w:r>
          </w:p>
        </w:tc>
        <w:tc>
          <w:tcPr>
            <w:tcW w:w="683" w:type="pct"/>
            <w:vAlign w:val="center"/>
          </w:tcPr>
          <w:p w14:paraId="200F3FEC">
            <w:pPr>
              <w:jc w:val="center"/>
              <w:rPr>
                <w:color w:val="000000" w:themeColor="text1"/>
                <w:szCs w:val="21"/>
              </w:rPr>
            </w:pPr>
            <w:r>
              <w:rPr>
                <w:color w:val="000000" w:themeColor="text1"/>
                <w:szCs w:val="21"/>
              </w:rPr>
              <w:t>1.05L</w:t>
            </w:r>
          </w:p>
        </w:tc>
      </w:tr>
      <w:tr w14:paraId="6D8633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435A6490">
            <w:pPr>
              <w:jc w:val="center"/>
              <w:rPr>
                <w:bCs/>
                <w:color w:val="000000" w:themeColor="text1"/>
                <w:spacing w:val="14"/>
                <w:szCs w:val="21"/>
              </w:rPr>
            </w:pPr>
            <w:r>
              <w:rPr>
                <w:bCs/>
                <w:color w:val="000000" w:themeColor="text1"/>
                <w:spacing w:val="14"/>
                <w:szCs w:val="21"/>
              </w:rPr>
              <w:t>SO</w:t>
            </w:r>
            <w:r>
              <w:rPr>
                <w:bCs/>
                <w:color w:val="000000" w:themeColor="text1"/>
                <w:spacing w:val="14"/>
                <w:szCs w:val="21"/>
                <w:vertAlign w:val="subscript"/>
              </w:rPr>
              <w:t>4</w:t>
            </w:r>
            <w:r>
              <w:rPr>
                <w:bCs/>
                <w:color w:val="000000" w:themeColor="text1"/>
                <w:spacing w:val="14"/>
                <w:szCs w:val="21"/>
                <w:vertAlign w:val="superscript"/>
              </w:rPr>
              <w:t>2-</w:t>
            </w:r>
          </w:p>
        </w:tc>
        <w:tc>
          <w:tcPr>
            <w:tcW w:w="623" w:type="pct"/>
            <w:vAlign w:val="center"/>
          </w:tcPr>
          <w:p w14:paraId="5D97DE2E">
            <w:pPr>
              <w:ind w:left="103" w:hanging="102" w:hangingChars="49"/>
              <w:jc w:val="center"/>
              <w:rPr>
                <w:bCs/>
                <w:color w:val="000000" w:themeColor="text1"/>
                <w:szCs w:val="21"/>
              </w:rPr>
            </w:pPr>
            <w:r>
              <w:rPr>
                <w:bCs/>
                <w:color w:val="000000" w:themeColor="text1"/>
                <w:szCs w:val="21"/>
              </w:rPr>
              <w:t>24.00</w:t>
            </w:r>
          </w:p>
        </w:tc>
        <w:tc>
          <w:tcPr>
            <w:tcW w:w="680" w:type="pct"/>
            <w:vAlign w:val="center"/>
          </w:tcPr>
          <w:p w14:paraId="683AAFF0">
            <w:pPr>
              <w:ind w:left="103" w:hanging="102" w:hangingChars="49"/>
              <w:jc w:val="center"/>
              <w:rPr>
                <w:bCs/>
                <w:color w:val="000000" w:themeColor="text1"/>
                <w:szCs w:val="21"/>
              </w:rPr>
            </w:pPr>
            <w:r>
              <w:rPr>
                <w:bCs/>
                <w:color w:val="000000" w:themeColor="text1"/>
                <w:szCs w:val="21"/>
              </w:rPr>
              <w:t>24.00</w:t>
            </w:r>
          </w:p>
        </w:tc>
        <w:tc>
          <w:tcPr>
            <w:tcW w:w="681" w:type="pct"/>
            <w:vAlign w:val="center"/>
          </w:tcPr>
          <w:p w14:paraId="3831452A">
            <w:pPr>
              <w:jc w:val="center"/>
              <w:rPr>
                <w:color w:val="000000" w:themeColor="text1"/>
                <w:szCs w:val="21"/>
              </w:rPr>
            </w:pPr>
            <w:r>
              <w:rPr>
                <w:color w:val="000000" w:themeColor="text1"/>
                <w:szCs w:val="21"/>
              </w:rPr>
              <w:t>8.00</w:t>
            </w:r>
          </w:p>
        </w:tc>
        <w:tc>
          <w:tcPr>
            <w:tcW w:w="681" w:type="pct"/>
            <w:vAlign w:val="center"/>
          </w:tcPr>
          <w:p w14:paraId="524B2134">
            <w:pPr>
              <w:jc w:val="center"/>
              <w:rPr>
                <w:color w:val="000000" w:themeColor="text1"/>
                <w:szCs w:val="21"/>
              </w:rPr>
            </w:pPr>
            <w:r>
              <w:rPr>
                <w:color w:val="000000" w:themeColor="text1"/>
                <w:szCs w:val="21"/>
              </w:rPr>
              <w:t>8.00</w:t>
            </w:r>
          </w:p>
        </w:tc>
        <w:tc>
          <w:tcPr>
            <w:tcW w:w="681" w:type="pct"/>
            <w:vAlign w:val="center"/>
          </w:tcPr>
          <w:p w14:paraId="34EE41F8">
            <w:pPr>
              <w:jc w:val="center"/>
              <w:rPr>
                <w:color w:val="000000" w:themeColor="text1"/>
                <w:szCs w:val="21"/>
              </w:rPr>
            </w:pPr>
            <w:r>
              <w:rPr>
                <w:color w:val="000000" w:themeColor="text1"/>
                <w:szCs w:val="21"/>
              </w:rPr>
              <w:t>20.00</w:t>
            </w:r>
          </w:p>
        </w:tc>
        <w:tc>
          <w:tcPr>
            <w:tcW w:w="683" w:type="pct"/>
            <w:vAlign w:val="center"/>
          </w:tcPr>
          <w:p w14:paraId="59673E1C">
            <w:pPr>
              <w:jc w:val="center"/>
              <w:rPr>
                <w:color w:val="000000" w:themeColor="text1"/>
                <w:szCs w:val="21"/>
              </w:rPr>
            </w:pPr>
            <w:r>
              <w:rPr>
                <w:color w:val="000000" w:themeColor="text1"/>
                <w:szCs w:val="21"/>
              </w:rPr>
              <w:t>20.00</w:t>
            </w:r>
          </w:p>
        </w:tc>
      </w:tr>
      <w:tr w14:paraId="316B64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3D777030">
            <w:pPr>
              <w:ind w:left="103" w:hanging="102" w:hangingChars="49"/>
              <w:jc w:val="center"/>
              <w:rPr>
                <w:bCs/>
                <w:color w:val="000000" w:themeColor="text1"/>
                <w:szCs w:val="21"/>
              </w:rPr>
            </w:pPr>
            <w:r>
              <w:rPr>
                <w:bCs/>
                <w:color w:val="000000" w:themeColor="text1"/>
                <w:szCs w:val="21"/>
              </w:rPr>
              <w:t>pH</w:t>
            </w:r>
            <w:r>
              <w:rPr>
                <w:color w:val="000000" w:themeColor="text1"/>
                <w:szCs w:val="21"/>
              </w:rPr>
              <w:t>（无量纲）</w:t>
            </w:r>
          </w:p>
        </w:tc>
        <w:tc>
          <w:tcPr>
            <w:tcW w:w="623" w:type="pct"/>
            <w:vAlign w:val="center"/>
          </w:tcPr>
          <w:p w14:paraId="43999F75">
            <w:pPr>
              <w:jc w:val="center"/>
              <w:rPr>
                <w:color w:val="000000" w:themeColor="text1"/>
                <w:szCs w:val="21"/>
              </w:rPr>
            </w:pPr>
            <w:r>
              <w:rPr>
                <w:color w:val="000000" w:themeColor="text1"/>
                <w:szCs w:val="21"/>
              </w:rPr>
              <w:t>7.95</w:t>
            </w:r>
          </w:p>
        </w:tc>
        <w:tc>
          <w:tcPr>
            <w:tcW w:w="680" w:type="pct"/>
            <w:vAlign w:val="center"/>
          </w:tcPr>
          <w:p w14:paraId="79431313">
            <w:pPr>
              <w:jc w:val="center"/>
              <w:rPr>
                <w:color w:val="000000" w:themeColor="text1"/>
                <w:szCs w:val="21"/>
              </w:rPr>
            </w:pPr>
            <w:r>
              <w:rPr>
                <w:color w:val="000000" w:themeColor="text1"/>
                <w:szCs w:val="21"/>
              </w:rPr>
              <w:t>8.00</w:t>
            </w:r>
          </w:p>
        </w:tc>
        <w:tc>
          <w:tcPr>
            <w:tcW w:w="681" w:type="pct"/>
            <w:vAlign w:val="center"/>
          </w:tcPr>
          <w:p w14:paraId="02AE9BC8">
            <w:pPr>
              <w:jc w:val="center"/>
              <w:rPr>
                <w:color w:val="000000" w:themeColor="text1"/>
                <w:szCs w:val="21"/>
              </w:rPr>
            </w:pPr>
            <w:r>
              <w:rPr>
                <w:color w:val="000000" w:themeColor="text1"/>
                <w:szCs w:val="21"/>
              </w:rPr>
              <w:t>8.15</w:t>
            </w:r>
          </w:p>
        </w:tc>
        <w:tc>
          <w:tcPr>
            <w:tcW w:w="681" w:type="pct"/>
            <w:vAlign w:val="center"/>
          </w:tcPr>
          <w:p w14:paraId="61CB0294">
            <w:pPr>
              <w:jc w:val="center"/>
              <w:rPr>
                <w:color w:val="000000" w:themeColor="text1"/>
                <w:szCs w:val="21"/>
              </w:rPr>
            </w:pPr>
            <w:r>
              <w:rPr>
                <w:color w:val="000000" w:themeColor="text1"/>
                <w:szCs w:val="21"/>
              </w:rPr>
              <w:t>8.11</w:t>
            </w:r>
          </w:p>
        </w:tc>
        <w:tc>
          <w:tcPr>
            <w:tcW w:w="681" w:type="pct"/>
            <w:vAlign w:val="center"/>
          </w:tcPr>
          <w:p w14:paraId="40D37E22">
            <w:pPr>
              <w:jc w:val="center"/>
              <w:rPr>
                <w:color w:val="000000" w:themeColor="text1"/>
                <w:szCs w:val="21"/>
              </w:rPr>
            </w:pPr>
            <w:r>
              <w:rPr>
                <w:color w:val="000000" w:themeColor="text1"/>
                <w:szCs w:val="21"/>
              </w:rPr>
              <w:t>7.62</w:t>
            </w:r>
          </w:p>
        </w:tc>
        <w:tc>
          <w:tcPr>
            <w:tcW w:w="683" w:type="pct"/>
            <w:vAlign w:val="center"/>
          </w:tcPr>
          <w:p w14:paraId="7F2AF67F">
            <w:pPr>
              <w:jc w:val="center"/>
              <w:rPr>
                <w:color w:val="000000" w:themeColor="text1"/>
                <w:szCs w:val="21"/>
              </w:rPr>
            </w:pPr>
            <w:r>
              <w:rPr>
                <w:color w:val="000000" w:themeColor="text1"/>
                <w:szCs w:val="21"/>
              </w:rPr>
              <w:t>7.54</w:t>
            </w:r>
          </w:p>
        </w:tc>
      </w:tr>
      <w:tr w14:paraId="2DDF71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663769D6">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46BCA11A">
            <w:pPr>
              <w:jc w:val="center"/>
              <w:rPr>
                <w:color w:val="000000" w:themeColor="text1"/>
                <w:szCs w:val="21"/>
              </w:rPr>
            </w:pPr>
            <w:r>
              <w:rPr>
                <w:color w:val="000000" w:themeColor="text1"/>
                <w:szCs w:val="21"/>
              </w:rPr>
              <w:t>6.5~8.5</w:t>
            </w:r>
          </w:p>
        </w:tc>
        <w:tc>
          <w:tcPr>
            <w:tcW w:w="680" w:type="pct"/>
            <w:vAlign w:val="center"/>
          </w:tcPr>
          <w:p w14:paraId="3BD2DC6D">
            <w:pPr>
              <w:jc w:val="center"/>
              <w:rPr>
                <w:color w:val="000000" w:themeColor="text1"/>
                <w:szCs w:val="21"/>
              </w:rPr>
            </w:pPr>
            <w:r>
              <w:rPr>
                <w:color w:val="000000" w:themeColor="text1"/>
                <w:szCs w:val="21"/>
              </w:rPr>
              <w:t>6.5~8.5</w:t>
            </w:r>
          </w:p>
        </w:tc>
        <w:tc>
          <w:tcPr>
            <w:tcW w:w="681" w:type="pct"/>
          </w:tcPr>
          <w:p w14:paraId="0EFC4210">
            <w:pPr>
              <w:rPr>
                <w:color w:val="000000" w:themeColor="text1"/>
                <w:szCs w:val="21"/>
              </w:rPr>
            </w:pPr>
            <w:r>
              <w:rPr>
                <w:color w:val="000000" w:themeColor="text1"/>
                <w:szCs w:val="21"/>
              </w:rPr>
              <w:t>6.5~8.5</w:t>
            </w:r>
          </w:p>
        </w:tc>
        <w:tc>
          <w:tcPr>
            <w:tcW w:w="681" w:type="pct"/>
          </w:tcPr>
          <w:p w14:paraId="172849AF">
            <w:pPr>
              <w:rPr>
                <w:color w:val="000000" w:themeColor="text1"/>
                <w:szCs w:val="21"/>
              </w:rPr>
            </w:pPr>
            <w:r>
              <w:rPr>
                <w:color w:val="000000" w:themeColor="text1"/>
                <w:szCs w:val="21"/>
              </w:rPr>
              <w:t>6.5~8.5</w:t>
            </w:r>
          </w:p>
        </w:tc>
        <w:tc>
          <w:tcPr>
            <w:tcW w:w="681" w:type="pct"/>
          </w:tcPr>
          <w:p w14:paraId="741A3F9D">
            <w:pPr>
              <w:rPr>
                <w:color w:val="000000" w:themeColor="text1"/>
                <w:szCs w:val="21"/>
              </w:rPr>
            </w:pPr>
            <w:r>
              <w:rPr>
                <w:color w:val="000000" w:themeColor="text1"/>
                <w:szCs w:val="21"/>
              </w:rPr>
              <w:t>6.5~8.5</w:t>
            </w:r>
          </w:p>
        </w:tc>
        <w:tc>
          <w:tcPr>
            <w:tcW w:w="683" w:type="pct"/>
          </w:tcPr>
          <w:p w14:paraId="37B16F6F">
            <w:pPr>
              <w:rPr>
                <w:color w:val="000000" w:themeColor="text1"/>
                <w:szCs w:val="21"/>
              </w:rPr>
            </w:pPr>
            <w:r>
              <w:rPr>
                <w:color w:val="000000" w:themeColor="text1"/>
                <w:szCs w:val="21"/>
              </w:rPr>
              <w:t>6.5~8.5</w:t>
            </w:r>
          </w:p>
        </w:tc>
      </w:tr>
      <w:tr w14:paraId="31E652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2B3D88A2">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0E3424BF">
            <w:pPr>
              <w:jc w:val="center"/>
              <w:rPr>
                <w:b/>
                <w:color w:val="000000" w:themeColor="text1"/>
                <w:szCs w:val="21"/>
              </w:rPr>
            </w:pPr>
            <w:r>
              <w:rPr>
                <w:b/>
                <w:color w:val="000000" w:themeColor="text1"/>
                <w:szCs w:val="21"/>
              </w:rPr>
              <w:t>达标</w:t>
            </w:r>
          </w:p>
        </w:tc>
        <w:tc>
          <w:tcPr>
            <w:tcW w:w="680" w:type="pct"/>
            <w:vAlign w:val="center"/>
          </w:tcPr>
          <w:p w14:paraId="18644717">
            <w:pPr>
              <w:jc w:val="center"/>
              <w:rPr>
                <w:b/>
                <w:color w:val="000000" w:themeColor="text1"/>
                <w:szCs w:val="21"/>
              </w:rPr>
            </w:pPr>
            <w:r>
              <w:rPr>
                <w:b/>
                <w:color w:val="000000" w:themeColor="text1"/>
                <w:szCs w:val="21"/>
              </w:rPr>
              <w:t>达标</w:t>
            </w:r>
          </w:p>
        </w:tc>
        <w:tc>
          <w:tcPr>
            <w:tcW w:w="681" w:type="pct"/>
            <w:vAlign w:val="center"/>
          </w:tcPr>
          <w:p w14:paraId="300C20E3">
            <w:pPr>
              <w:jc w:val="center"/>
              <w:rPr>
                <w:b/>
                <w:color w:val="000000" w:themeColor="text1"/>
                <w:szCs w:val="21"/>
              </w:rPr>
            </w:pPr>
            <w:r>
              <w:rPr>
                <w:b/>
                <w:color w:val="000000" w:themeColor="text1"/>
                <w:szCs w:val="21"/>
              </w:rPr>
              <w:t>达标</w:t>
            </w:r>
          </w:p>
        </w:tc>
        <w:tc>
          <w:tcPr>
            <w:tcW w:w="681" w:type="pct"/>
            <w:vAlign w:val="center"/>
          </w:tcPr>
          <w:p w14:paraId="4E3E164B">
            <w:pPr>
              <w:jc w:val="center"/>
              <w:rPr>
                <w:b/>
                <w:color w:val="000000" w:themeColor="text1"/>
                <w:szCs w:val="21"/>
              </w:rPr>
            </w:pPr>
            <w:r>
              <w:rPr>
                <w:b/>
                <w:color w:val="000000" w:themeColor="text1"/>
                <w:szCs w:val="21"/>
              </w:rPr>
              <w:t>达标</w:t>
            </w:r>
          </w:p>
        </w:tc>
        <w:tc>
          <w:tcPr>
            <w:tcW w:w="681" w:type="pct"/>
            <w:vAlign w:val="center"/>
          </w:tcPr>
          <w:p w14:paraId="5A05EBDC">
            <w:pPr>
              <w:jc w:val="center"/>
              <w:rPr>
                <w:b/>
                <w:color w:val="000000" w:themeColor="text1"/>
                <w:szCs w:val="21"/>
              </w:rPr>
            </w:pPr>
            <w:r>
              <w:rPr>
                <w:b/>
                <w:color w:val="000000" w:themeColor="text1"/>
                <w:szCs w:val="21"/>
              </w:rPr>
              <w:t>达标</w:t>
            </w:r>
          </w:p>
        </w:tc>
        <w:tc>
          <w:tcPr>
            <w:tcW w:w="683" w:type="pct"/>
            <w:vAlign w:val="center"/>
          </w:tcPr>
          <w:p w14:paraId="5493CDDA">
            <w:pPr>
              <w:jc w:val="center"/>
              <w:rPr>
                <w:b/>
                <w:color w:val="000000" w:themeColor="text1"/>
                <w:szCs w:val="21"/>
              </w:rPr>
            </w:pPr>
            <w:r>
              <w:rPr>
                <w:b/>
                <w:color w:val="000000" w:themeColor="text1"/>
                <w:szCs w:val="21"/>
              </w:rPr>
              <w:t>达标</w:t>
            </w:r>
          </w:p>
        </w:tc>
      </w:tr>
      <w:tr w14:paraId="5B9EF8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47736F27">
            <w:pPr>
              <w:ind w:left="103" w:hanging="102" w:hangingChars="49"/>
              <w:jc w:val="center"/>
              <w:rPr>
                <w:bCs/>
                <w:color w:val="000000" w:themeColor="text1"/>
                <w:szCs w:val="21"/>
              </w:rPr>
            </w:pPr>
            <w:r>
              <w:rPr>
                <w:bCs/>
                <w:color w:val="000000" w:themeColor="text1"/>
                <w:szCs w:val="21"/>
              </w:rPr>
              <w:t>氨氮</w:t>
            </w:r>
          </w:p>
        </w:tc>
        <w:tc>
          <w:tcPr>
            <w:tcW w:w="623" w:type="pct"/>
            <w:vAlign w:val="center"/>
          </w:tcPr>
          <w:p w14:paraId="7EC4C9A8">
            <w:pPr>
              <w:ind w:left="103" w:hanging="102" w:hangingChars="49"/>
              <w:jc w:val="center"/>
              <w:rPr>
                <w:bCs/>
                <w:color w:val="000000" w:themeColor="text1"/>
                <w:szCs w:val="21"/>
              </w:rPr>
            </w:pPr>
            <w:r>
              <w:rPr>
                <w:bCs/>
                <w:color w:val="000000" w:themeColor="text1"/>
                <w:szCs w:val="21"/>
              </w:rPr>
              <w:t>0.241</w:t>
            </w:r>
          </w:p>
        </w:tc>
        <w:tc>
          <w:tcPr>
            <w:tcW w:w="680" w:type="pct"/>
            <w:vAlign w:val="center"/>
          </w:tcPr>
          <w:p w14:paraId="52A67714">
            <w:pPr>
              <w:ind w:left="103" w:hanging="102" w:hangingChars="49"/>
              <w:jc w:val="center"/>
              <w:rPr>
                <w:bCs/>
                <w:color w:val="000000" w:themeColor="text1"/>
                <w:szCs w:val="21"/>
              </w:rPr>
            </w:pPr>
            <w:r>
              <w:rPr>
                <w:bCs/>
                <w:color w:val="000000" w:themeColor="text1"/>
                <w:szCs w:val="21"/>
              </w:rPr>
              <w:t>0.254</w:t>
            </w:r>
          </w:p>
        </w:tc>
        <w:tc>
          <w:tcPr>
            <w:tcW w:w="681" w:type="pct"/>
            <w:vAlign w:val="center"/>
          </w:tcPr>
          <w:p w14:paraId="0502F259">
            <w:pPr>
              <w:ind w:left="103" w:hanging="102" w:hangingChars="49"/>
              <w:jc w:val="center"/>
              <w:rPr>
                <w:bCs/>
                <w:color w:val="000000" w:themeColor="text1"/>
                <w:szCs w:val="21"/>
              </w:rPr>
            </w:pPr>
            <w:r>
              <w:rPr>
                <w:bCs/>
                <w:color w:val="000000" w:themeColor="text1"/>
                <w:szCs w:val="21"/>
              </w:rPr>
              <w:t>0.107</w:t>
            </w:r>
          </w:p>
        </w:tc>
        <w:tc>
          <w:tcPr>
            <w:tcW w:w="681" w:type="pct"/>
            <w:vAlign w:val="center"/>
          </w:tcPr>
          <w:p w14:paraId="15508CAF">
            <w:pPr>
              <w:ind w:left="103" w:hanging="102" w:hangingChars="49"/>
              <w:jc w:val="center"/>
              <w:rPr>
                <w:bCs/>
                <w:color w:val="000000" w:themeColor="text1"/>
                <w:szCs w:val="21"/>
              </w:rPr>
            </w:pPr>
            <w:r>
              <w:rPr>
                <w:bCs/>
                <w:color w:val="000000" w:themeColor="text1"/>
                <w:szCs w:val="21"/>
              </w:rPr>
              <w:t>0.114</w:t>
            </w:r>
          </w:p>
        </w:tc>
        <w:tc>
          <w:tcPr>
            <w:tcW w:w="681" w:type="pct"/>
            <w:vAlign w:val="center"/>
          </w:tcPr>
          <w:p w14:paraId="4998DDF6">
            <w:pPr>
              <w:ind w:left="103" w:hanging="102" w:hangingChars="49"/>
              <w:jc w:val="center"/>
              <w:rPr>
                <w:bCs/>
                <w:color w:val="000000" w:themeColor="text1"/>
                <w:szCs w:val="21"/>
              </w:rPr>
            </w:pPr>
            <w:r>
              <w:rPr>
                <w:bCs/>
                <w:color w:val="000000" w:themeColor="text1"/>
                <w:szCs w:val="21"/>
              </w:rPr>
              <w:t>0.138</w:t>
            </w:r>
          </w:p>
        </w:tc>
        <w:tc>
          <w:tcPr>
            <w:tcW w:w="683" w:type="pct"/>
            <w:vAlign w:val="center"/>
          </w:tcPr>
          <w:p w14:paraId="6AA3A511">
            <w:pPr>
              <w:ind w:left="103" w:hanging="102" w:hangingChars="49"/>
              <w:jc w:val="center"/>
              <w:rPr>
                <w:bCs/>
                <w:color w:val="000000" w:themeColor="text1"/>
                <w:szCs w:val="21"/>
              </w:rPr>
            </w:pPr>
            <w:r>
              <w:rPr>
                <w:bCs/>
                <w:color w:val="000000" w:themeColor="text1"/>
                <w:szCs w:val="21"/>
              </w:rPr>
              <w:t>0.147</w:t>
            </w:r>
          </w:p>
        </w:tc>
      </w:tr>
      <w:tr w14:paraId="5E8DCB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1216D865">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31B52759">
            <w:pPr>
              <w:jc w:val="center"/>
              <w:rPr>
                <w:color w:val="000000" w:themeColor="text1"/>
                <w:szCs w:val="21"/>
              </w:rPr>
            </w:pPr>
            <w:r>
              <w:rPr>
                <w:color w:val="000000" w:themeColor="text1"/>
                <w:szCs w:val="21"/>
              </w:rPr>
              <w:t>0.5</w:t>
            </w:r>
          </w:p>
        </w:tc>
        <w:tc>
          <w:tcPr>
            <w:tcW w:w="680" w:type="pct"/>
            <w:vAlign w:val="center"/>
          </w:tcPr>
          <w:p w14:paraId="1D6FD5BB">
            <w:pPr>
              <w:jc w:val="center"/>
              <w:rPr>
                <w:color w:val="000000" w:themeColor="text1"/>
                <w:szCs w:val="21"/>
              </w:rPr>
            </w:pPr>
            <w:r>
              <w:rPr>
                <w:color w:val="000000" w:themeColor="text1"/>
                <w:szCs w:val="21"/>
              </w:rPr>
              <w:t>0.5</w:t>
            </w:r>
          </w:p>
        </w:tc>
        <w:tc>
          <w:tcPr>
            <w:tcW w:w="681" w:type="pct"/>
            <w:vAlign w:val="center"/>
          </w:tcPr>
          <w:p w14:paraId="76D889AF">
            <w:pPr>
              <w:jc w:val="center"/>
              <w:rPr>
                <w:color w:val="000000" w:themeColor="text1"/>
                <w:szCs w:val="21"/>
              </w:rPr>
            </w:pPr>
            <w:r>
              <w:rPr>
                <w:color w:val="000000" w:themeColor="text1"/>
                <w:szCs w:val="21"/>
              </w:rPr>
              <w:t>0.5</w:t>
            </w:r>
          </w:p>
        </w:tc>
        <w:tc>
          <w:tcPr>
            <w:tcW w:w="681" w:type="pct"/>
            <w:vAlign w:val="center"/>
          </w:tcPr>
          <w:p w14:paraId="1621754B">
            <w:pPr>
              <w:jc w:val="center"/>
              <w:rPr>
                <w:color w:val="000000" w:themeColor="text1"/>
                <w:szCs w:val="21"/>
              </w:rPr>
            </w:pPr>
            <w:r>
              <w:rPr>
                <w:color w:val="000000" w:themeColor="text1"/>
                <w:szCs w:val="21"/>
              </w:rPr>
              <w:t>0.5</w:t>
            </w:r>
          </w:p>
        </w:tc>
        <w:tc>
          <w:tcPr>
            <w:tcW w:w="681" w:type="pct"/>
            <w:vAlign w:val="center"/>
          </w:tcPr>
          <w:p w14:paraId="6A01FD72">
            <w:pPr>
              <w:jc w:val="center"/>
              <w:rPr>
                <w:color w:val="000000" w:themeColor="text1"/>
                <w:szCs w:val="21"/>
              </w:rPr>
            </w:pPr>
            <w:r>
              <w:rPr>
                <w:color w:val="000000" w:themeColor="text1"/>
                <w:szCs w:val="21"/>
              </w:rPr>
              <w:t>0.5</w:t>
            </w:r>
          </w:p>
        </w:tc>
        <w:tc>
          <w:tcPr>
            <w:tcW w:w="683" w:type="pct"/>
            <w:vAlign w:val="center"/>
          </w:tcPr>
          <w:p w14:paraId="326439E9">
            <w:pPr>
              <w:jc w:val="center"/>
              <w:rPr>
                <w:color w:val="000000" w:themeColor="text1"/>
                <w:szCs w:val="21"/>
              </w:rPr>
            </w:pPr>
            <w:r>
              <w:rPr>
                <w:color w:val="000000" w:themeColor="text1"/>
                <w:szCs w:val="21"/>
              </w:rPr>
              <w:t>0.5</w:t>
            </w:r>
          </w:p>
        </w:tc>
      </w:tr>
      <w:tr w14:paraId="18E8B7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79D70DD7">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3345E8FF">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255DB3CE">
            <w:pPr>
              <w:jc w:val="center"/>
              <w:rPr>
                <w:b/>
                <w:color w:val="000000" w:themeColor="text1"/>
                <w:szCs w:val="21"/>
              </w:rPr>
            </w:pPr>
            <w:r>
              <w:rPr>
                <w:b/>
                <w:bCs/>
                <w:color w:val="000000" w:themeColor="text1"/>
                <w:szCs w:val="21"/>
              </w:rPr>
              <w:t>达标</w:t>
            </w:r>
          </w:p>
        </w:tc>
        <w:tc>
          <w:tcPr>
            <w:tcW w:w="681" w:type="pct"/>
            <w:vAlign w:val="center"/>
          </w:tcPr>
          <w:p w14:paraId="38264CB7">
            <w:pPr>
              <w:jc w:val="center"/>
              <w:rPr>
                <w:b/>
                <w:color w:val="000000" w:themeColor="text1"/>
                <w:szCs w:val="21"/>
              </w:rPr>
            </w:pPr>
            <w:r>
              <w:rPr>
                <w:b/>
                <w:bCs/>
                <w:color w:val="000000" w:themeColor="text1"/>
                <w:szCs w:val="21"/>
              </w:rPr>
              <w:t>达标</w:t>
            </w:r>
          </w:p>
        </w:tc>
        <w:tc>
          <w:tcPr>
            <w:tcW w:w="681" w:type="pct"/>
            <w:vAlign w:val="center"/>
          </w:tcPr>
          <w:p w14:paraId="0BE56276">
            <w:pPr>
              <w:jc w:val="center"/>
              <w:rPr>
                <w:b/>
                <w:color w:val="000000" w:themeColor="text1"/>
                <w:szCs w:val="21"/>
              </w:rPr>
            </w:pPr>
            <w:r>
              <w:rPr>
                <w:b/>
                <w:bCs/>
                <w:color w:val="000000" w:themeColor="text1"/>
                <w:szCs w:val="21"/>
              </w:rPr>
              <w:t>达标</w:t>
            </w:r>
          </w:p>
        </w:tc>
        <w:tc>
          <w:tcPr>
            <w:tcW w:w="681" w:type="pct"/>
            <w:vAlign w:val="center"/>
          </w:tcPr>
          <w:p w14:paraId="672F75AD">
            <w:pPr>
              <w:jc w:val="center"/>
              <w:rPr>
                <w:b/>
                <w:color w:val="000000" w:themeColor="text1"/>
                <w:szCs w:val="21"/>
              </w:rPr>
            </w:pPr>
            <w:r>
              <w:rPr>
                <w:b/>
                <w:bCs/>
                <w:color w:val="000000" w:themeColor="text1"/>
                <w:szCs w:val="21"/>
              </w:rPr>
              <w:t>达标</w:t>
            </w:r>
          </w:p>
        </w:tc>
        <w:tc>
          <w:tcPr>
            <w:tcW w:w="683" w:type="pct"/>
            <w:vAlign w:val="center"/>
          </w:tcPr>
          <w:p w14:paraId="3F47B40D">
            <w:pPr>
              <w:jc w:val="center"/>
              <w:rPr>
                <w:b/>
                <w:color w:val="000000" w:themeColor="text1"/>
                <w:szCs w:val="21"/>
              </w:rPr>
            </w:pPr>
            <w:r>
              <w:rPr>
                <w:b/>
                <w:bCs/>
                <w:color w:val="000000" w:themeColor="text1"/>
                <w:szCs w:val="21"/>
              </w:rPr>
              <w:t>达标</w:t>
            </w:r>
          </w:p>
        </w:tc>
      </w:tr>
      <w:tr w14:paraId="51C340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0F4B7BC0">
            <w:pPr>
              <w:ind w:left="103" w:hanging="102" w:hangingChars="49"/>
              <w:jc w:val="center"/>
              <w:rPr>
                <w:bCs/>
                <w:color w:val="000000" w:themeColor="text1"/>
                <w:szCs w:val="21"/>
              </w:rPr>
            </w:pPr>
            <w:r>
              <w:rPr>
                <w:bCs/>
                <w:color w:val="000000" w:themeColor="text1"/>
                <w:szCs w:val="21"/>
              </w:rPr>
              <w:t>硝酸盐</w:t>
            </w:r>
          </w:p>
        </w:tc>
        <w:tc>
          <w:tcPr>
            <w:tcW w:w="623" w:type="pct"/>
            <w:vAlign w:val="center"/>
          </w:tcPr>
          <w:p w14:paraId="1B186AEE">
            <w:pPr>
              <w:ind w:left="103" w:hanging="102" w:hangingChars="49"/>
              <w:jc w:val="center"/>
              <w:rPr>
                <w:bCs/>
                <w:color w:val="000000" w:themeColor="text1"/>
                <w:szCs w:val="21"/>
              </w:rPr>
            </w:pPr>
            <w:r>
              <w:rPr>
                <w:bCs/>
                <w:color w:val="000000" w:themeColor="text1"/>
                <w:szCs w:val="21"/>
              </w:rPr>
              <w:t>0.19</w:t>
            </w:r>
          </w:p>
        </w:tc>
        <w:tc>
          <w:tcPr>
            <w:tcW w:w="680" w:type="pct"/>
            <w:vAlign w:val="center"/>
          </w:tcPr>
          <w:p w14:paraId="49EAD7B0">
            <w:pPr>
              <w:ind w:left="103" w:hanging="102" w:hangingChars="49"/>
              <w:jc w:val="center"/>
              <w:rPr>
                <w:bCs/>
                <w:color w:val="000000" w:themeColor="text1"/>
                <w:szCs w:val="21"/>
              </w:rPr>
            </w:pPr>
            <w:r>
              <w:rPr>
                <w:bCs/>
                <w:color w:val="000000" w:themeColor="text1"/>
                <w:szCs w:val="21"/>
              </w:rPr>
              <w:t>0.17</w:t>
            </w:r>
          </w:p>
        </w:tc>
        <w:tc>
          <w:tcPr>
            <w:tcW w:w="681" w:type="pct"/>
            <w:vAlign w:val="center"/>
          </w:tcPr>
          <w:p w14:paraId="4D15C269">
            <w:pPr>
              <w:ind w:left="103" w:hanging="102" w:hangingChars="49"/>
              <w:jc w:val="center"/>
              <w:rPr>
                <w:bCs/>
                <w:color w:val="000000" w:themeColor="text1"/>
                <w:szCs w:val="21"/>
              </w:rPr>
            </w:pPr>
            <w:r>
              <w:rPr>
                <w:bCs/>
                <w:color w:val="000000" w:themeColor="text1"/>
                <w:szCs w:val="21"/>
              </w:rPr>
              <w:t>0.02L</w:t>
            </w:r>
          </w:p>
        </w:tc>
        <w:tc>
          <w:tcPr>
            <w:tcW w:w="681" w:type="pct"/>
            <w:vAlign w:val="center"/>
          </w:tcPr>
          <w:p w14:paraId="6AA2015B">
            <w:pPr>
              <w:ind w:left="103" w:hanging="102" w:hangingChars="49"/>
              <w:jc w:val="center"/>
              <w:rPr>
                <w:bCs/>
                <w:color w:val="000000" w:themeColor="text1"/>
                <w:szCs w:val="21"/>
              </w:rPr>
            </w:pPr>
            <w:r>
              <w:rPr>
                <w:bCs/>
                <w:color w:val="000000" w:themeColor="text1"/>
                <w:szCs w:val="21"/>
              </w:rPr>
              <w:t>0.02L</w:t>
            </w:r>
          </w:p>
        </w:tc>
        <w:tc>
          <w:tcPr>
            <w:tcW w:w="681" w:type="pct"/>
            <w:vAlign w:val="center"/>
          </w:tcPr>
          <w:p w14:paraId="5CAEAD46">
            <w:pPr>
              <w:ind w:left="103" w:hanging="102" w:hangingChars="49"/>
              <w:jc w:val="center"/>
              <w:rPr>
                <w:bCs/>
                <w:color w:val="000000" w:themeColor="text1"/>
                <w:szCs w:val="21"/>
              </w:rPr>
            </w:pPr>
            <w:r>
              <w:rPr>
                <w:bCs/>
                <w:color w:val="000000" w:themeColor="text1"/>
                <w:szCs w:val="21"/>
              </w:rPr>
              <w:t>0.04</w:t>
            </w:r>
          </w:p>
        </w:tc>
        <w:tc>
          <w:tcPr>
            <w:tcW w:w="683" w:type="pct"/>
            <w:vAlign w:val="center"/>
          </w:tcPr>
          <w:p w14:paraId="0F03DBB0">
            <w:pPr>
              <w:ind w:left="103" w:hanging="102" w:hangingChars="49"/>
              <w:jc w:val="center"/>
              <w:rPr>
                <w:bCs/>
                <w:color w:val="000000" w:themeColor="text1"/>
                <w:szCs w:val="21"/>
              </w:rPr>
            </w:pPr>
            <w:r>
              <w:rPr>
                <w:bCs/>
                <w:color w:val="000000" w:themeColor="text1"/>
                <w:szCs w:val="21"/>
              </w:rPr>
              <w:t>0.04</w:t>
            </w:r>
          </w:p>
        </w:tc>
      </w:tr>
      <w:tr w14:paraId="5A79CD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668E5A35">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453B5B4C">
            <w:pPr>
              <w:jc w:val="center"/>
              <w:rPr>
                <w:color w:val="000000" w:themeColor="text1"/>
                <w:szCs w:val="21"/>
              </w:rPr>
            </w:pPr>
            <w:r>
              <w:rPr>
                <w:color w:val="000000" w:themeColor="text1"/>
                <w:szCs w:val="21"/>
              </w:rPr>
              <w:t>20.0</w:t>
            </w:r>
          </w:p>
        </w:tc>
        <w:tc>
          <w:tcPr>
            <w:tcW w:w="680" w:type="pct"/>
            <w:vAlign w:val="center"/>
          </w:tcPr>
          <w:p w14:paraId="0A46D789">
            <w:pPr>
              <w:jc w:val="center"/>
              <w:rPr>
                <w:color w:val="000000" w:themeColor="text1"/>
                <w:szCs w:val="21"/>
              </w:rPr>
            </w:pPr>
            <w:r>
              <w:rPr>
                <w:color w:val="000000" w:themeColor="text1"/>
                <w:szCs w:val="21"/>
              </w:rPr>
              <w:t>20.0</w:t>
            </w:r>
          </w:p>
        </w:tc>
        <w:tc>
          <w:tcPr>
            <w:tcW w:w="681" w:type="pct"/>
          </w:tcPr>
          <w:p w14:paraId="410AB749">
            <w:pPr>
              <w:jc w:val="center"/>
              <w:rPr>
                <w:color w:val="000000" w:themeColor="text1"/>
                <w:szCs w:val="21"/>
              </w:rPr>
            </w:pPr>
            <w:r>
              <w:rPr>
                <w:color w:val="000000" w:themeColor="text1"/>
                <w:szCs w:val="21"/>
              </w:rPr>
              <w:t>20.0</w:t>
            </w:r>
          </w:p>
        </w:tc>
        <w:tc>
          <w:tcPr>
            <w:tcW w:w="681" w:type="pct"/>
          </w:tcPr>
          <w:p w14:paraId="6238FAE3">
            <w:pPr>
              <w:jc w:val="center"/>
              <w:rPr>
                <w:color w:val="000000" w:themeColor="text1"/>
                <w:szCs w:val="21"/>
              </w:rPr>
            </w:pPr>
            <w:r>
              <w:rPr>
                <w:color w:val="000000" w:themeColor="text1"/>
                <w:szCs w:val="21"/>
              </w:rPr>
              <w:t>20.0</w:t>
            </w:r>
          </w:p>
        </w:tc>
        <w:tc>
          <w:tcPr>
            <w:tcW w:w="681" w:type="pct"/>
          </w:tcPr>
          <w:p w14:paraId="4CB95A70">
            <w:pPr>
              <w:jc w:val="center"/>
              <w:rPr>
                <w:color w:val="000000" w:themeColor="text1"/>
                <w:szCs w:val="21"/>
              </w:rPr>
            </w:pPr>
            <w:r>
              <w:rPr>
                <w:color w:val="000000" w:themeColor="text1"/>
                <w:szCs w:val="21"/>
              </w:rPr>
              <w:t>20.0</w:t>
            </w:r>
          </w:p>
        </w:tc>
        <w:tc>
          <w:tcPr>
            <w:tcW w:w="683" w:type="pct"/>
          </w:tcPr>
          <w:p w14:paraId="46C7F4CB">
            <w:pPr>
              <w:jc w:val="center"/>
              <w:rPr>
                <w:color w:val="000000" w:themeColor="text1"/>
                <w:szCs w:val="21"/>
              </w:rPr>
            </w:pPr>
            <w:r>
              <w:rPr>
                <w:color w:val="000000" w:themeColor="text1"/>
                <w:szCs w:val="21"/>
              </w:rPr>
              <w:t>20.0</w:t>
            </w:r>
          </w:p>
        </w:tc>
      </w:tr>
      <w:tr w14:paraId="3E8A63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6B679CFD">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64A657A4">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07F89A4A">
            <w:pPr>
              <w:jc w:val="center"/>
              <w:rPr>
                <w:b/>
                <w:color w:val="000000" w:themeColor="text1"/>
                <w:szCs w:val="21"/>
              </w:rPr>
            </w:pPr>
            <w:r>
              <w:rPr>
                <w:b/>
                <w:bCs/>
                <w:color w:val="000000" w:themeColor="text1"/>
                <w:szCs w:val="21"/>
              </w:rPr>
              <w:t>达标</w:t>
            </w:r>
          </w:p>
        </w:tc>
        <w:tc>
          <w:tcPr>
            <w:tcW w:w="681" w:type="pct"/>
            <w:vAlign w:val="center"/>
          </w:tcPr>
          <w:p w14:paraId="671035D6">
            <w:pPr>
              <w:jc w:val="center"/>
              <w:rPr>
                <w:b/>
                <w:color w:val="000000" w:themeColor="text1"/>
                <w:szCs w:val="21"/>
              </w:rPr>
            </w:pPr>
            <w:r>
              <w:rPr>
                <w:b/>
                <w:bCs/>
                <w:color w:val="000000" w:themeColor="text1"/>
                <w:szCs w:val="21"/>
              </w:rPr>
              <w:t>达标</w:t>
            </w:r>
          </w:p>
        </w:tc>
        <w:tc>
          <w:tcPr>
            <w:tcW w:w="681" w:type="pct"/>
            <w:vAlign w:val="center"/>
          </w:tcPr>
          <w:p w14:paraId="5E2B91F3">
            <w:pPr>
              <w:jc w:val="center"/>
              <w:rPr>
                <w:b/>
                <w:color w:val="000000" w:themeColor="text1"/>
                <w:szCs w:val="21"/>
              </w:rPr>
            </w:pPr>
            <w:r>
              <w:rPr>
                <w:b/>
                <w:bCs/>
                <w:color w:val="000000" w:themeColor="text1"/>
                <w:szCs w:val="21"/>
              </w:rPr>
              <w:t>达标</w:t>
            </w:r>
          </w:p>
        </w:tc>
        <w:tc>
          <w:tcPr>
            <w:tcW w:w="681" w:type="pct"/>
            <w:vAlign w:val="center"/>
          </w:tcPr>
          <w:p w14:paraId="3DBE992E">
            <w:pPr>
              <w:jc w:val="center"/>
              <w:rPr>
                <w:b/>
                <w:color w:val="000000" w:themeColor="text1"/>
                <w:szCs w:val="21"/>
              </w:rPr>
            </w:pPr>
            <w:r>
              <w:rPr>
                <w:b/>
                <w:bCs/>
                <w:color w:val="000000" w:themeColor="text1"/>
                <w:szCs w:val="21"/>
              </w:rPr>
              <w:t>达标</w:t>
            </w:r>
          </w:p>
        </w:tc>
        <w:tc>
          <w:tcPr>
            <w:tcW w:w="683" w:type="pct"/>
            <w:vAlign w:val="center"/>
          </w:tcPr>
          <w:p w14:paraId="2872066A">
            <w:pPr>
              <w:jc w:val="center"/>
              <w:rPr>
                <w:b/>
                <w:color w:val="000000" w:themeColor="text1"/>
                <w:szCs w:val="21"/>
              </w:rPr>
            </w:pPr>
            <w:r>
              <w:rPr>
                <w:b/>
                <w:bCs/>
                <w:color w:val="000000" w:themeColor="text1"/>
                <w:szCs w:val="21"/>
              </w:rPr>
              <w:t>达标</w:t>
            </w:r>
          </w:p>
        </w:tc>
      </w:tr>
      <w:tr w14:paraId="2DA631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4207FFE0">
            <w:pPr>
              <w:ind w:left="103" w:hanging="102" w:hangingChars="49"/>
              <w:jc w:val="center"/>
              <w:rPr>
                <w:bCs/>
                <w:color w:val="000000" w:themeColor="text1"/>
                <w:szCs w:val="21"/>
              </w:rPr>
            </w:pPr>
            <w:r>
              <w:rPr>
                <w:bCs/>
                <w:color w:val="000000" w:themeColor="text1"/>
                <w:szCs w:val="21"/>
              </w:rPr>
              <w:t>亚硝酸盐</w:t>
            </w:r>
          </w:p>
        </w:tc>
        <w:tc>
          <w:tcPr>
            <w:tcW w:w="623" w:type="pct"/>
            <w:vAlign w:val="center"/>
          </w:tcPr>
          <w:p w14:paraId="32DA3F12">
            <w:pPr>
              <w:ind w:left="103" w:hanging="102" w:hangingChars="49"/>
              <w:jc w:val="center"/>
              <w:rPr>
                <w:bCs/>
                <w:color w:val="000000" w:themeColor="text1"/>
                <w:szCs w:val="21"/>
              </w:rPr>
            </w:pPr>
            <w:r>
              <w:rPr>
                <w:bCs/>
                <w:color w:val="000000" w:themeColor="text1"/>
                <w:szCs w:val="21"/>
              </w:rPr>
              <w:t>0.039</w:t>
            </w:r>
          </w:p>
        </w:tc>
        <w:tc>
          <w:tcPr>
            <w:tcW w:w="680" w:type="pct"/>
            <w:vAlign w:val="center"/>
          </w:tcPr>
          <w:p w14:paraId="35069F13">
            <w:pPr>
              <w:ind w:left="103" w:hanging="102" w:hangingChars="49"/>
              <w:jc w:val="center"/>
              <w:rPr>
                <w:bCs/>
                <w:color w:val="000000" w:themeColor="text1"/>
                <w:szCs w:val="21"/>
              </w:rPr>
            </w:pPr>
            <w:r>
              <w:rPr>
                <w:bCs/>
                <w:color w:val="000000" w:themeColor="text1"/>
                <w:szCs w:val="21"/>
              </w:rPr>
              <w:t>0.038</w:t>
            </w:r>
          </w:p>
        </w:tc>
        <w:tc>
          <w:tcPr>
            <w:tcW w:w="681" w:type="pct"/>
            <w:vAlign w:val="center"/>
          </w:tcPr>
          <w:p w14:paraId="0B773D80">
            <w:pPr>
              <w:ind w:left="103" w:hanging="102" w:hangingChars="49"/>
              <w:jc w:val="center"/>
              <w:rPr>
                <w:bCs/>
                <w:color w:val="000000" w:themeColor="text1"/>
                <w:szCs w:val="21"/>
              </w:rPr>
            </w:pPr>
            <w:r>
              <w:rPr>
                <w:bCs/>
                <w:color w:val="000000" w:themeColor="text1"/>
                <w:szCs w:val="21"/>
              </w:rPr>
              <w:t>0.003L</w:t>
            </w:r>
          </w:p>
        </w:tc>
        <w:tc>
          <w:tcPr>
            <w:tcW w:w="681" w:type="pct"/>
            <w:vAlign w:val="center"/>
          </w:tcPr>
          <w:p w14:paraId="4DECA115">
            <w:pPr>
              <w:ind w:left="103" w:hanging="102" w:hangingChars="49"/>
              <w:jc w:val="center"/>
              <w:rPr>
                <w:bCs/>
                <w:color w:val="000000" w:themeColor="text1"/>
                <w:szCs w:val="21"/>
              </w:rPr>
            </w:pPr>
            <w:r>
              <w:rPr>
                <w:bCs/>
                <w:color w:val="000000" w:themeColor="text1"/>
                <w:szCs w:val="21"/>
              </w:rPr>
              <w:t>0.003L</w:t>
            </w:r>
          </w:p>
        </w:tc>
        <w:tc>
          <w:tcPr>
            <w:tcW w:w="681" w:type="pct"/>
            <w:vAlign w:val="center"/>
          </w:tcPr>
          <w:p w14:paraId="141363FC">
            <w:pPr>
              <w:ind w:left="103" w:hanging="102" w:hangingChars="49"/>
              <w:jc w:val="center"/>
              <w:rPr>
                <w:bCs/>
                <w:color w:val="000000" w:themeColor="text1"/>
                <w:szCs w:val="21"/>
              </w:rPr>
            </w:pPr>
            <w:r>
              <w:rPr>
                <w:bCs/>
                <w:color w:val="000000" w:themeColor="text1"/>
                <w:szCs w:val="21"/>
              </w:rPr>
              <w:t>0.003L</w:t>
            </w:r>
          </w:p>
        </w:tc>
        <w:tc>
          <w:tcPr>
            <w:tcW w:w="683" w:type="pct"/>
            <w:vAlign w:val="center"/>
          </w:tcPr>
          <w:p w14:paraId="3410B663">
            <w:pPr>
              <w:ind w:left="103" w:hanging="102" w:hangingChars="49"/>
              <w:jc w:val="center"/>
              <w:rPr>
                <w:bCs/>
                <w:color w:val="000000" w:themeColor="text1"/>
                <w:szCs w:val="21"/>
              </w:rPr>
            </w:pPr>
            <w:r>
              <w:rPr>
                <w:bCs/>
                <w:color w:val="000000" w:themeColor="text1"/>
                <w:szCs w:val="21"/>
              </w:rPr>
              <w:t>0.003L</w:t>
            </w:r>
          </w:p>
        </w:tc>
      </w:tr>
      <w:tr w14:paraId="47404C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28EC7067">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2FE26962">
            <w:pPr>
              <w:jc w:val="center"/>
              <w:rPr>
                <w:color w:val="000000" w:themeColor="text1"/>
                <w:szCs w:val="21"/>
              </w:rPr>
            </w:pPr>
            <w:r>
              <w:rPr>
                <w:color w:val="000000" w:themeColor="text1"/>
                <w:szCs w:val="21"/>
              </w:rPr>
              <w:t>1.00</w:t>
            </w:r>
          </w:p>
        </w:tc>
        <w:tc>
          <w:tcPr>
            <w:tcW w:w="680" w:type="pct"/>
            <w:vAlign w:val="center"/>
          </w:tcPr>
          <w:p w14:paraId="5862D4DC">
            <w:pPr>
              <w:jc w:val="center"/>
              <w:rPr>
                <w:color w:val="000000" w:themeColor="text1"/>
                <w:szCs w:val="21"/>
              </w:rPr>
            </w:pPr>
            <w:r>
              <w:rPr>
                <w:color w:val="000000" w:themeColor="text1"/>
                <w:szCs w:val="21"/>
              </w:rPr>
              <w:t>1.00</w:t>
            </w:r>
          </w:p>
        </w:tc>
        <w:tc>
          <w:tcPr>
            <w:tcW w:w="681" w:type="pct"/>
            <w:vAlign w:val="center"/>
          </w:tcPr>
          <w:p w14:paraId="45A1299B">
            <w:pPr>
              <w:jc w:val="center"/>
              <w:rPr>
                <w:color w:val="000000" w:themeColor="text1"/>
                <w:szCs w:val="21"/>
              </w:rPr>
            </w:pPr>
            <w:r>
              <w:rPr>
                <w:color w:val="000000" w:themeColor="text1"/>
                <w:szCs w:val="21"/>
              </w:rPr>
              <w:t>1.00</w:t>
            </w:r>
          </w:p>
        </w:tc>
        <w:tc>
          <w:tcPr>
            <w:tcW w:w="681" w:type="pct"/>
            <w:vAlign w:val="center"/>
          </w:tcPr>
          <w:p w14:paraId="0C665799">
            <w:pPr>
              <w:jc w:val="center"/>
              <w:rPr>
                <w:color w:val="000000" w:themeColor="text1"/>
                <w:szCs w:val="21"/>
              </w:rPr>
            </w:pPr>
            <w:r>
              <w:rPr>
                <w:color w:val="000000" w:themeColor="text1"/>
                <w:szCs w:val="21"/>
              </w:rPr>
              <w:t>1.00</w:t>
            </w:r>
          </w:p>
        </w:tc>
        <w:tc>
          <w:tcPr>
            <w:tcW w:w="681" w:type="pct"/>
            <w:vAlign w:val="center"/>
          </w:tcPr>
          <w:p w14:paraId="7C124E6D">
            <w:pPr>
              <w:jc w:val="center"/>
              <w:rPr>
                <w:color w:val="000000" w:themeColor="text1"/>
                <w:szCs w:val="21"/>
              </w:rPr>
            </w:pPr>
            <w:r>
              <w:rPr>
                <w:color w:val="000000" w:themeColor="text1"/>
                <w:szCs w:val="21"/>
              </w:rPr>
              <w:t>1.00</w:t>
            </w:r>
          </w:p>
        </w:tc>
        <w:tc>
          <w:tcPr>
            <w:tcW w:w="683" w:type="pct"/>
            <w:vAlign w:val="center"/>
          </w:tcPr>
          <w:p w14:paraId="4DF5F89D">
            <w:pPr>
              <w:jc w:val="center"/>
              <w:rPr>
                <w:color w:val="000000" w:themeColor="text1"/>
                <w:szCs w:val="21"/>
              </w:rPr>
            </w:pPr>
            <w:r>
              <w:rPr>
                <w:color w:val="000000" w:themeColor="text1"/>
                <w:szCs w:val="21"/>
              </w:rPr>
              <w:t>1.00</w:t>
            </w:r>
          </w:p>
        </w:tc>
      </w:tr>
      <w:tr w14:paraId="53CE47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2E39EC57">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21B6EBF3">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696885FD">
            <w:pPr>
              <w:jc w:val="center"/>
              <w:rPr>
                <w:b/>
                <w:color w:val="000000" w:themeColor="text1"/>
                <w:szCs w:val="21"/>
              </w:rPr>
            </w:pPr>
            <w:r>
              <w:rPr>
                <w:b/>
                <w:bCs/>
                <w:color w:val="000000" w:themeColor="text1"/>
                <w:szCs w:val="21"/>
              </w:rPr>
              <w:t>达标</w:t>
            </w:r>
          </w:p>
        </w:tc>
        <w:tc>
          <w:tcPr>
            <w:tcW w:w="681" w:type="pct"/>
            <w:vAlign w:val="center"/>
          </w:tcPr>
          <w:p w14:paraId="51B299B6">
            <w:pPr>
              <w:jc w:val="center"/>
              <w:rPr>
                <w:b/>
                <w:color w:val="000000" w:themeColor="text1"/>
                <w:szCs w:val="21"/>
              </w:rPr>
            </w:pPr>
            <w:r>
              <w:rPr>
                <w:b/>
                <w:bCs/>
                <w:color w:val="000000" w:themeColor="text1"/>
                <w:szCs w:val="21"/>
              </w:rPr>
              <w:t>达标</w:t>
            </w:r>
          </w:p>
        </w:tc>
        <w:tc>
          <w:tcPr>
            <w:tcW w:w="681" w:type="pct"/>
            <w:vAlign w:val="center"/>
          </w:tcPr>
          <w:p w14:paraId="70FA6FFD">
            <w:pPr>
              <w:jc w:val="center"/>
              <w:rPr>
                <w:b/>
                <w:color w:val="000000" w:themeColor="text1"/>
                <w:szCs w:val="21"/>
              </w:rPr>
            </w:pPr>
            <w:r>
              <w:rPr>
                <w:b/>
                <w:bCs/>
                <w:color w:val="000000" w:themeColor="text1"/>
                <w:szCs w:val="21"/>
              </w:rPr>
              <w:t>达标</w:t>
            </w:r>
          </w:p>
        </w:tc>
        <w:tc>
          <w:tcPr>
            <w:tcW w:w="681" w:type="pct"/>
            <w:vAlign w:val="center"/>
          </w:tcPr>
          <w:p w14:paraId="3AB98633">
            <w:pPr>
              <w:jc w:val="center"/>
              <w:rPr>
                <w:b/>
                <w:color w:val="000000" w:themeColor="text1"/>
                <w:szCs w:val="21"/>
              </w:rPr>
            </w:pPr>
            <w:r>
              <w:rPr>
                <w:b/>
                <w:bCs/>
                <w:color w:val="000000" w:themeColor="text1"/>
                <w:szCs w:val="21"/>
              </w:rPr>
              <w:t>达标</w:t>
            </w:r>
          </w:p>
        </w:tc>
        <w:tc>
          <w:tcPr>
            <w:tcW w:w="683" w:type="pct"/>
            <w:vAlign w:val="center"/>
          </w:tcPr>
          <w:p w14:paraId="08BFFF62">
            <w:pPr>
              <w:jc w:val="center"/>
              <w:rPr>
                <w:b/>
                <w:color w:val="000000" w:themeColor="text1"/>
                <w:szCs w:val="21"/>
              </w:rPr>
            </w:pPr>
            <w:r>
              <w:rPr>
                <w:b/>
                <w:bCs/>
                <w:color w:val="000000" w:themeColor="text1"/>
                <w:szCs w:val="21"/>
              </w:rPr>
              <w:t>达标</w:t>
            </w:r>
          </w:p>
        </w:tc>
      </w:tr>
      <w:tr w14:paraId="1E0915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223F0B9D">
            <w:pPr>
              <w:ind w:left="103" w:hanging="102" w:hangingChars="49"/>
              <w:jc w:val="center"/>
              <w:rPr>
                <w:bCs/>
                <w:color w:val="000000" w:themeColor="text1"/>
                <w:szCs w:val="21"/>
              </w:rPr>
            </w:pPr>
            <w:r>
              <w:rPr>
                <w:bCs/>
                <w:color w:val="000000" w:themeColor="text1"/>
                <w:szCs w:val="21"/>
              </w:rPr>
              <w:t>挥发酚</w:t>
            </w:r>
          </w:p>
        </w:tc>
        <w:tc>
          <w:tcPr>
            <w:tcW w:w="623" w:type="pct"/>
            <w:vAlign w:val="center"/>
          </w:tcPr>
          <w:p w14:paraId="15223727">
            <w:pPr>
              <w:ind w:left="103" w:hanging="102" w:hangingChars="49"/>
              <w:jc w:val="center"/>
              <w:rPr>
                <w:bCs/>
                <w:color w:val="000000" w:themeColor="text1"/>
                <w:szCs w:val="21"/>
              </w:rPr>
            </w:pPr>
            <w:r>
              <w:rPr>
                <w:bCs/>
                <w:color w:val="000000" w:themeColor="text1"/>
                <w:szCs w:val="21"/>
              </w:rPr>
              <w:t>0.0003L</w:t>
            </w:r>
          </w:p>
        </w:tc>
        <w:tc>
          <w:tcPr>
            <w:tcW w:w="680" w:type="pct"/>
            <w:vAlign w:val="center"/>
          </w:tcPr>
          <w:p w14:paraId="25833058">
            <w:pPr>
              <w:ind w:left="103" w:hanging="102" w:hangingChars="49"/>
              <w:jc w:val="center"/>
              <w:rPr>
                <w:bCs/>
                <w:color w:val="000000" w:themeColor="text1"/>
                <w:szCs w:val="21"/>
              </w:rPr>
            </w:pPr>
            <w:r>
              <w:rPr>
                <w:bCs/>
                <w:color w:val="000000" w:themeColor="text1"/>
                <w:szCs w:val="21"/>
              </w:rPr>
              <w:t>0.0003L</w:t>
            </w:r>
          </w:p>
        </w:tc>
        <w:tc>
          <w:tcPr>
            <w:tcW w:w="681" w:type="pct"/>
            <w:vAlign w:val="center"/>
          </w:tcPr>
          <w:p w14:paraId="5F9FD355">
            <w:pPr>
              <w:ind w:left="103" w:hanging="102" w:hangingChars="49"/>
              <w:jc w:val="center"/>
              <w:rPr>
                <w:bCs/>
                <w:color w:val="000000" w:themeColor="text1"/>
                <w:szCs w:val="21"/>
              </w:rPr>
            </w:pPr>
            <w:r>
              <w:rPr>
                <w:bCs/>
                <w:color w:val="000000" w:themeColor="text1"/>
                <w:szCs w:val="21"/>
              </w:rPr>
              <w:t>0.0003L</w:t>
            </w:r>
          </w:p>
        </w:tc>
        <w:tc>
          <w:tcPr>
            <w:tcW w:w="681" w:type="pct"/>
            <w:vAlign w:val="center"/>
          </w:tcPr>
          <w:p w14:paraId="1EEFB898">
            <w:pPr>
              <w:ind w:left="103" w:hanging="102" w:hangingChars="49"/>
              <w:jc w:val="center"/>
              <w:rPr>
                <w:bCs/>
                <w:color w:val="000000" w:themeColor="text1"/>
                <w:szCs w:val="21"/>
              </w:rPr>
            </w:pPr>
            <w:r>
              <w:rPr>
                <w:bCs/>
                <w:color w:val="000000" w:themeColor="text1"/>
                <w:szCs w:val="21"/>
              </w:rPr>
              <w:t>0.0003L</w:t>
            </w:r>
          </w:p>
        </w:tc>
        <w:tc>
          <w:tcPr>
            <w:tcW w:w="681" w:type="pct"/>
            <w:vAlign w:val="center"/>
          </w:tcPr>
          <w:p w14:paraId="01CDCA64">
            <w:pPr>
              <w:ind w:left="103" w:hanging="102" w:hangingChars="49"/>
              <w:jc w:val="center"/>
              <w:rPr>
                <w:bCs/>
                <w:color w:val="000000" w:themeColor="text1"/>
                <w:szCs w:val="21"/>
              </w:rPr>
            </w:pPr>
            <w:r>
              <w:rPr>
                <w:bCs/>
                <w:color w:val="000000" w:themeColor="text1"/>
                <w:szCs w:val="21"/>
              </w:rPr>
              <w:t>0.0003L</w:t>
            </w:r>
          </w:p>
        </w:tc>
        <w:tc>
          <w:tcPr>
            <w:tcW w:w="683" w:type="pct"/>
            <w:vAlign w:val="center"/>
          </w:tcPr>
          <w:p w14:paraId="5F24E8AD">
            <w:pPr>
              <w:ind w:left="103" w:hanging="102" w:hangingChars="49"/>
              <w:jc w:val="center"/>
              <w:rPr>
                <w:bCs/>
                <w:color w:val="000000" w:themeColor="text1"/>
                <w:szCs w:val="21"/>
              </w:rPr>
            </w:pPr>
            <w:r>
              <w:rPr>
                <w:bCs/>
                <w:color w:val="000000" w:themeColor="text1"/>
                <w:szCs w:val="21"/>
              </w:rPr>
              <w:t>0.0003L</w:t>
            </w:r>
          </w:p>
        </w:tc>
      </w:tr>
      <w:tr w14:paraId="30200F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20ADFC05">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065F2AC1">
            <w:pPr>
              <w:jc w:val="center"/>
              <w:rPr>
                <w:color w:val="000000" w:themeColor="text1"/>
                <w:szCs w:val="21"/>
              </w:rPr>
            </w:pPr>
            <w:r>
              <w:rPr>
                <w:color w:val="000000" w:themeColor="text1"/>
                <w:szCs w:val="21"/>
              </w:rPr>
              <w:t>0.002</w:t>
            </w:r>
          </w:p>
        </w:tc>
        <w:tc>
          <w:tcPr>
            <w:tcW w:w="680" w:type="pct"/>
            <w:vAlign w:val="center"/>
          </w:tcPr>
          <w:p w14:paraId="12FAC3CE">
            <w:pPr>
              <w:jc w:val="center"/>
              <w:rPr>
                <w:color w:val="000000" w:themeColor="text1"/>
                <w:szCs w:val="21"/>
              </w:rPr>
            </w:pPr>
            <w:r>
              <w:rPr>
                <w:color w:val="000000" w:themeColor="text1"/>
                <w:szCs w:val="21"/>
              </w:rPr>
              <w:t>0.002</w:t>
            </w:r>
          </w:p>
        </w:tc>
        <w:tc>
          <w:tcPr>
            <w:tcW w:w="681" w:type="pct"/>
            <w:vAlign w:val="center"/>
          </w:tcPr>
          <w:p w14:paraId="21D4D29A">
            <w:pPr>
              <w:jc w:val="center"/>
              <w:rPr>
                <w:color w:val="000000" w:themeColor="text1"/>
                <w:szCs w:val="21"/>
              </w:rPr>
            </w:pPr>
            <w:r>
              <w:rPr>
                <w:color w:val="000000" w:themeColor="text1"/>
                <w:szCs w:val="21"/>
              </w:rPr>
              <w:t>0.002</w:t>
            </w:r>
          </w:p>
        </w:tc>
        <w:tc>
          <w:tcPr>
            <w:tcW w:w="681" w:type="pct"/>
            <w:vAlign w:val="center"/>
          </w:tcPr>
          <w:p w14:paraId="07E0BDE7">
            <w:pPr>
              <w:jc w:val="center"/>
              <w:rPr>
                <w:color w:val="000000" w:themeColor="text1"/>
                <w:szCs w:val="21"/>
              </w:rPr>
            </w:pPr>
            <w:r>
              <w:rPr>
                <w:color w:val="000000" w:themeColor="text1"/>
                <w:szCs w:val="21"/>
              </w:rPr>
              <w:t>0.002</w:t>
            </w:r>
          </w:p>
        </w:tc>
        <w:tc>
          <w:tcPr>
            <w:tcW w:w="681" w:type="pct"/>
            <w:vAlign w:val="center"/>
          </w:tcPr>
          <w:p w14:paraId="46CDAC5A">
            <w:pPr>
              <w:jc w:val="center"/>
              <w:rPr>
                <w:color w:val="000000" w:themeColor="text1"/>
                <w:szCs w:val="21"/>
              </w:rPr>
            </w:pPr>
            <w:r>
              <w:rPr>
                <w:color w:val="000000" w:themeColor="text1"/>
                <w:szCs w:val="21"/>
              </w:rPr>
              <w:t>0.002</w:t>
            </w:r>
          </w:p>
        </w:tc>
        <w:tc>
          <w:tcPr>
            <w:tcW w:w="683" w:type="pct"/>
            <w:vAlign w:val="center"/>
          </w:tcPr>
          <w:p w14:paraId="630709D6">
            <w:pPr>
              <w:jc w:val="center"/>
              <w:rPr>
                <w:color w:val="000000" w:themeColor="text1"/>
                <w:szCs w:val="21"/>
              </w:rPr>
            </w:pPr>
            <w:r>
              <w:rPr>
                <w:color w:val="000000" w:themeColor="text1"/>
                <w:szCs w:val="21"/>
              </w:rPr>
              <w:t>0.002</w:t>
            </w:r>
          </w:p>
        </w:tc>
      </w:tr>
      <w:tr w14:paraId="616A80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7680F18A">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3F3B3470">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502A111D">
            <w:pPr>
              <w:jc w:val="center"/>
              <w:rPr>
                <w:b/>
                <w:color w:val="000000" w:themeColor="text1"/>
                <w:szCs w:val="21"/>
              </w:rPr>
            </w:pPr>
            <w:r>
              <w:rPr>
                <w:b/>
                <w:bCs/>
                <w:color w:val="000000" w:themeColor="text1"/>
                <w:szCs w:val="21"/>
              </w:rPr>
              <w:t>达标</w:t>
            </w:r>
          </w:p>
        </w:tc>
        <w:tc>
          <w:tcPr>
            <w:tcW w:w="681" w:type="pct"/>
            <w:vAlign w:val="center"/>
          </w:tcPr>
          <w:p w14:paraId="020228E8">
            <w:pPr>
              <w:jc w:val="center"/>
              <w:rPr>
                <w:b/>
                <w:color w:val="000000" w:themeColor="text1"/>
                <w:szCs w:val="21"/>
              </w:rPr>
            </w:pPr>
            <w:r>
              <w:rPr>
                <w:b/>
                <w:bCs/>
                <w:color w:val="000000" w:themeColor="text1"/>
                <w:szCs w:val="21"/>
              </w:rPr>
              <w:t>达标</w:t>
            </w:r>
          </w:p>
        </w:tc>
        <w:tc>
          <w:tcPr>
            <w:tcW w:w="681" w:type="pct"/>
            <w:vAlign w:val="center"/>
          </w:tcPr>
          <w:p w14:paraId="4D22F17D">
            <w:pPr>
              <w:jc w:val="center"/>
              <w:rPr>
                <w:b/>
                <w:color w:val="000000" w:themeColor="text1"/>
                <w:szCs w:val="21"/>
              </w:rPr>
            </w:pPr>
            <w:r>
              <w:rPr>
                <w:b/>
                <w:bCs/>
                <w:color w:val="000000" w:themeColor="text1"/>
                <w:szCs w:val="21"/>
              </w:rPr>
              <w:t>达标</w:t>
            </w:r>
          </w:p>
        </w:tc>
        <w:tc>
          <w:tcPr>
            <w:tcW w:w="681" w:type="pct"/>
            <w:vAlign w:val="center"/>
          </w:tcPr>
          <w:p w14:paraId="19EB886A">
            <w:pPr>
              <w:jc w:val="center"/>
              <w:rPr>
                <w:b/>
                <w:color w:val="000000" w:themeColor="text1"/>
                <w:szCs w:val="21"/>
              </w:rPr>
            </w:pPr>
            <w:r>
              <w:rPr>
                <w:b/>
                <w:bCs/>
                <w:color w:val="000000" w:themeColor="text1"/>
                <w:szCs w:val="21"/>
              </w:rPr>
              <w:t>达标</w:t>
            </w:r>
          </w:p>
        </w:tc>
        <w:tc>
          <w:tcPr>
            <w:tcW w:w="683" w:type="pct"/>
            <w:vAlign w:val="center"/>
          </w:tcPr>
          <w:p w14:paraId="3AF596CE">
            <w:pPr>
              <w:jc w:val="center"/>
              <w:rPr>
                <w:b/>
                <w:color w:val="000000" w:themeColor="text1"/>
                <w:szCs w:val="21"/>
              </w:rPr>
            </w:pPr>
            <w:r>
              <w:rPr>
                <w:b/>
                <w:bCs/>
                <w:color w:val="000000" w:themeColor="text1"/>
                <w:szCs w:val="21"/>
              </w:rPr>
              <w:t>达标</w:t>
            </w:r>
          </w:p>
        </w:tc>
      </w:tr>
      <w:tr w14:paraId="2EA3E6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193C1C56">
            <w:pPr>
              <w:ind w:left="103" w:hanging="102" w:hangingChars="49"/>
              <w:jc w:val="center"/>
              <w:rPr>
                <w:bCs/>
                <w:color w:val="000000" w:themeColor="text1"/>
                <w:szCs w:val="21"/>
              </w:rPr>
            </w:pPr>
            <w:r>
              <w:rPr>
                <w:bCs/>
                <w:color w:val="000000" w:themeColor="text1"/>
                <w:szCs w:val="21"/>
              </w:rPr>
              <w:t>氰化物</w:t>
            </w:r>
          </w:p>
        </w:tc>
        <w:tc>
          <w:tcPr>
            <w:tcW w:w="623" w:type="pct"/>
            <w:vAlign w:val="center"/>
          </w:tcPr>
          <w:p w14:paraId="5CF05F5A">
            <w:pPr>
              <w:ind w:left="103" w:hanging="102" w:hangingChars="49"/>
              <w:jc w:val="center"/>
              <w:rPr>
                <w:bCs/>
                <w:color w:val="000000" w:themeColor="text1"/>
                <w:szCs w:val="21"/>
              </w:rPr>
            </w:pPr>
            <w:r>
              <w:rPr>
                <w:bCs/>
                <w:color w:val="000000" w:themeColor="text1"/>
                <w:szCs w:val="21"/>
              </w:rPr>
              <w:t>0.004L</w:t>
            </w:r>
          </w:p>
        </w:tc>
        <w:tc>
          <w:tcPr>
            <w:tcW w:w="680" w:type="pct"/>
            <w:vAlign w:val="center"/>
          </w:tcPr>
          <w:p w14:paraId="559E8288">
            <w:pPr>
              <w:ind w:left="103" w:hanging="102" w:hangingChars="49"/>
              <w:jc w:val="center"/>
              <w:rPr>
                <w:bCs/>
                <w:color w:val="000000" w:themeColor="text1"/>
                <w:szCs w:val="21"/>
              </w:rPr>
            </w:pPr>
            <w:r>
              <w:rPr>
                <w:bCs/>
                <w:color w:val="000000" w:themeColor="text1"/>
                <w:szCs w:val="21"/>
              </w:rPr>
              <w:t>0.004L</w:t>
            </w:r>
          </w:p>
        </w:tc>
        <w:tc>
          <w:tcPr>
            <w:tcW w:w="681" w:type="pct"/>
            <w:vAlign w:val="center"/>
          </w:tcPr>
          <w:p w14:paraId="591DA950">
            <w:pPr>
              <w:ind w:left="103" w:hanging="102" w:hangingChars="49"/>
              <w:jc w:val="center"/>
              <w:rPr>
                <w:bCs/>
                <w:color w:val="000000" w:themeColor="text1"/>
                <w:szCs w:val="21"/>
              </w:rPr>
            </w:pPr>
            <w:r>
              <w:rPr>
                <w:bCs/>
                <w:color w:val="000000" w:themeColor="text1"/>
                <w:szCs w:val="21"/>
              </w:rPr>
              <w:t>0.004L</w:t>
            </w:r>
          </w:p>
        </w:tc>
        <w:tc>
          <w:tcPr>
            <w:tcW w:w="681" w:type="pct"/>
            <w:vAlign w:val="center"/>
          </w:tcPr>
          <w:p w14:paraId="01DBF4F7">
            <w:pPr>
              <w:ind w:left="103" w:hanging="102" w:hangingChars="49"/>
              <w:jc w:val="center"/>
              <w:rPr>
                <w:bCs/>
                <w:color w:val="000000" w:themeColor="text1"/>
                <w:szCs w:val="21"/>
              </w:rPr>
            </w:pPr>
            <w:r>
              <w:rPr>
                <w:bCs/>
                <w:color w:val="000000" w:themeColor="text1"/>
                <w:szCs w:val="21"/>
              </w:rPr>
              <w:t>0.004L</w:t>
            </w:r>
          </w:p>
        </w:tc>
        <w:tc>
          <w:tcPr>
            <w:tcW w:w="681" w:type="pct"/>
            <w:vAlign w:val="center"/>
          </w:tcPr>
          <w:p w14:paraId="2520990F">
            <w:pPr>
              <w:ind w:left="103" w:hanging="102" w:hangingChars="49"/>
              <w:jc w:val="center"/>
              <w:rPr>
                <w:bCs/>
                <w:color w:val="000000" w:themeColor="text1"/>
                <w:szCs w:val="21"/>
              </w:rPr>
            </w:pPr>
            <w:r>
              <w:rPr>
                <w:bCs/>
                <w:color w:val="000000" w:themeColor="text1"/>
                <w:szCs w:val="21"/>
              </w:rPr>
              <w:t>0.004L</w:t>
            </w:r>
          </w:p>
        </w:tc>
        <w:tc>
          <w:tcPr>
            <w:tcW w:w="683" w:type="pct"/>
            <w:vAlign w:val="center"/>
          </w:tcPr>
          <w:p w14:paraId="4B45407F">
            <w:pPr>
              <w:ind w:left="103" w:hanging="102" w:hangingChars="49"/>
              <w:jc w:val="center"/>
              <w:rPr>
                <w:bCs/>
                <w:color w:val="000000" w:themeColor="text1"/>
                <w:szCs w:val="21"/>
              </w:rPr>
            </w:pPr>
            <w:r>
              <w:rPr>
                <w:bCs/>
                <w:color w:val="000000" w:themeColor="text1"/>
                <w:szCs w:val="21"/>
              </w:rPr>
              <w:t>0.004L</w:t>
            </w:r>
          </w:p>
        </w:tc>
      </w:tr>
      <w:tr w14:paraId="49AE5F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66D28F74">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776B2D8F">
            <w:pPr>
              <w:jc w:val="center"/>
              <w:rPr>
                <w:color w:val="000000" w:themeColor="text1"/>
                <w:szCs w:val="21"/>
              </w:rPr>
            </w:pPr>
            <w:r>
              <w:rPr>
                <w:color w:val="000000" w:themeColor="text1"/>
                <w:szCs w:val="21"/>
              </w:rPr>
              <w:t>0.05</w:t>
            </w:r>
          </w:p>
        </w:tc>
        <w:tc>
          <w:tcPr>
            <w:tcW w:w="680" w:type="pct"/>
            <w:vAlign w:val="center"/>
          </w:tcPr>
          <w:p w14:paraId="17E89EFC">
            <w:pPr>
              <w:jc w:val="center"/>
              <w:rPr>
                <w:color w:val="000000" w:themeColor="text1"/>
                <w:szCs w:val="21"/>
              </w:rPr>
            </w:pPr>
            <w:r>
              <w:rPr>
                <w:color w:val="000000" w:themeColor="text1"/>
                <w:szCs w:val="21"/>
              </w:rPr>
              <w:t>0.05</w:t>
            </w:r>
          </w:p>
        </w:tc>
        <w:tc>
          <w:tcPr>
            <w:tcW w:w="681" w:type="pct"/>
            <w:vAlign w:val="center"/>
          </w:tcPr>
          <w:p w14:paraId="5FF6A019">
            <w:pPr>
              <w:jc w:val="center"/>
              <w:rPr>
                <w:color w:val="000000" w:themeColor="text1"/>
                <w:szCs w:val="21"/>
              </w:rPr>
            </w:pPr>
            <w:r>
              <w:rPr>
                <w:color w:val="000000" w:themeColor="text1"/>
                <w:szCs w:val="21"/>
              </w:rPr>
              <w:t>0.05</w:t>
            </w:r>
          </w:p>
        </w:tc>
        <w:tc>
          <w:tcPr>
            <w:tcW w:w="681" w:type="pct"/>
            <w:vAlign w:val="center"/>
          </w:tcPr>
          <w:p w14:paraId="29F843D2">
            <w:pPr>
              <w:jc w:val="center"/>
              <w:rPr>
                <w:color w:val="000000" w:themeColor="text1"/>
                <w:szCs w:val="21"/>
              </w:rPr>
            </w:pPr>
            <w:r>
              <w:rPr>
                <w:color w:val="000000" w:themeColor="text1"/>
                <w:szCs w:val="21"/>
              </w:rPr>
              <w:t>0.05</w:t>
            </w:r>
          </w:p>
        </w:tc>
        <w:tc>
          <w:tcPr>
            <w:tcW w:w="681" w:type="pct"/>
            <w:vAlign w:val="center"/>
          </w:tcPr>
          <w:p w14:paraId="308DAD56">
            <w:pPr>
              <w:jc w:val="center"/>
              <w:rPr>
                <w:color w:val="000000" w:themeColor="text1"/>
                <w:szCs w:val="21"/>
              </w:rPr>
            </w:pPr>
            <w:r>
              <w:rPr>
                <w:color w:val="000000" w:themeColor="text1"/>
                <w:szCs w:val="21"/>
              </w:rPr>
              <w:t>0.05</w:t>
            </w:r>
          </w:p>
        </w:tc>
        <w:tc>
          <w:tcPr>
            <w:tcW w:w="683" w:type="pct"/>
            <w:vAlign w:val="center"/>
          </w:tcPr>
          <w:p w14:paraId="0438DE6E">
            <w:pPr>
              <w:jc w:val="center"/>
              <w:rPr>
                <w:color w:val="000000" w:themeColor="text1"/>
                <w:szCs w:val="21"/>
              </w:rPr>
            </w:pPr>
            <w:r>
              <w:rPr>
                <w:color w:val="000000" w:themeColor="text1"/>
                <w:szCs w:val="21"/>
              </w:rPr>
              <w:t>0.05</w:t>
            </w:r>
          </w:p>
        </w:tc>
      </w:tr>
      <w:tr w14:paraId="0E98FF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32CE1C70">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2A09B27E">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3B232D37">
            <w:pPr>
              <w:jc w:val="center"/>
              <w:rPr>
                <w:b/>
                <w:color w:val="000000" w:themeColor="text1"/>
                <w:szCs w:val="21"/>
              </w:rPr>
            </w:pPr>
            <w:r>
              <w:rPr>
                <w:b/>
                <w:bCs/>
                <w:color w:val="000000" w:themeColor="text1"/>
                <w:szCs w:val="21"/>
              </w:rPr>
              <w:t>达标</w:t>
            </w:r>
          </w:p>
        </w:tc>
        <w:tc>
          <w:tcPr>
            <w:tcW w:w="681" w:type="pct"/>
            <w:vAlign w:val="center"/>
          </w:tcPr>
          <w:p w14:paraId="1A5B1CB7">
            <w:pPr>
              <w:jc w:val="center"/>
              <w:rPr>
                <w:b/>
                <w:color w:val="000000" w:themeColor="text1"/>
                <w:szCs w:val="21"/>
              </w:rPr>
            </w:pPr>
            <w:r>
              <w:rPr>
                <w:b/>
                <w:bCs/>
                <w:color w:val="000000" w:themeColor="text1"/>
                <w:szCs w:val="21"/>
              </w:rPr>
              <w:t>达标</w:t>
            </w:r>
          </w:p>
        </w:tc>
        <w:tc>
          <w:tcPr>
            <w:tcW w:w="681" w:type="pct"/>
            <w:vAlign w:val="center"/>
          </w:tcPr>
          <w:p w14:paraId="1C6C94A2">
            <w:pPr>
              <w:jc w:val="center"/>
              <w:rPr>
                <w:b/>
                <w:color w:val="000000" w:themeColor="text1"/>
                <w:szCs w:val="21"/>
              </w:rPr>
            </w:pPr>
            <w:r>
              <w:rPr>
                <w:b/>
                <w:bCs/>
                <w:color w:val="000000" w:themeColor="text1"/>
                <w:szCs w:val="21"/>
              </w:rPr>
              <w:t>达标</w:t>
            </w:r>
          </w:p>
        </w:tc>
        <w:tc>
          <w:tcPr>
            <w:tcW w:w="681" w:type="pct"/>
            <w:vAlign w:val="center"/>
          </w:tcPr>
          <w:p w14:paraId="0DA3B6B9">
            <w:pPr>
              <w:jc w:val="center"/>
              <w:rPr>
                <w:b/>
                <w:color w:val="000000" w:themeColor="text1"/>
                <w:szCs w:val="21"/>
              </w:rPr>
            </w:pPr>
            <w:r>
              <w:rPr>
                <w:b/>
                <w:bCs/>
                <w:color w:val="000000" w:themeColor="text1"/>
                <w:szCs w:val="21"/>
              </w:rPr>
              <w:t>达标</w:t>
            </w:r>
          </w:p>
        </w:tc>
        <w:tc>
          <w:tcPr>
            <w:tcW w:w="683" w:type="pct"/>
            <w:vAlign w:val="center"/>
          </w:tcPr>
          <w:p w14:paraId="71DCC132">
            <w:pPr>
              <w:jc w:val="center"/>
              <w:rPr>
                <w:b/>
                <w:color w:val="000000" w:themeColor="text1"/>
                <w:szCs w:val="21"/>
              </w:rPr>
            </w:pPr>
            <w:r>
              <w:rPr>
                <w:b/>
                <w:bCs/>
                <w:color w:val="000000" w:themeColor="text1"/>
                <w:szCs w:val="21"/>
              </w:rPr>
              <w:t>达标</w:t>
            </w:r>
          </w:p>
        </w:tc>
      </w:tr>
      <w:tr w14:paraId="1DEC43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7B861C51">
            <w:pPr>
              <w:ind w:left="103" w:hanging="102" w:hangingChars="49"/>
              <w:jc w:val="center"/>
              <w:rPr>
                <w:bCs/>
                <w:color w:val="000000" w:themeColor="text1"/>
                <w:szCs w:val="21"/>
              </w:rPr>
            </w:pPr>
            <w:r>
              <w:rPr>
                <w:bCs/>
                <w:color w:val="000000" w:themeColor="text1"/>
                <w:szCs w:val="21"/>
              </w:rPr>
              <w:t>砷</w:t>
            </w:r>
          </w:p>
        </w:tc>
        <w:tc>
          <w:tcPr>
            <w:tcW w:w="623" w:type="pct"/>
            <w:vAlign w:val="center"/>
          </w:tcPr>
          <w:p w14:paraId="1C564267">
            <w:pPr>
              <w:ind w:left="103" w:hanging="102" w:hangingChars="49"/>
              <w:jc w:val="center"/>
              <w:rPr>
                <w:bCs/>
                <w:color w:val="000000" w:themeColor="text1"/>
                <w:szCs w:val="21"/>
              </w:rPr>
            </w:pPr>
            <w:r>
              <w:rPr>
                <w:bCs/>
                <w:color w:val="000000" w:themeColor="text1"/>
                <w:szCs w:val="21"/>
              </w:rPr>
              <w:t>0.0013</w:t>
            </w:r>
          </w:p>
        </w:tc>
        <w:tc>
          <w:tcPr>
            <w:tcW w:w="680" w:type="pct"/>
            <w:vAlign w:val="center"/>
          </w:tcPr>
          <w:p w14:paraId="5F1F1CFA">
            <w:pPr>
              <w:ind w:left="103" w:hanging="102" w:hangingChars="49"/>
              <w:jc w:val="center"/>
              <w:rPr>
                <w:bCs/>
                <w:color w:val="000000" w:themeColor="text1"/>
                <w:szCs w:val="21"/>
              </w:rPr>
            </w:pPr>
            <w:r>
              <w:rPr>
                <w:bCs/>
                <w:color w:val="000000" w:themeColor="text1"/>
                <w:szCs w:val="21"/>
              </w:rPr>
              <w:t>0.0013</w:t>
            </w:r>
          </w:p>
        </w:tc>
        <w:tc>
          <w:tcPr>
            <w:tcW w:w="681" w:type="pct"/>
            <w:vAlign w:val="center"/>
          </w:tcPr>
          <w:p w14:paraId="1D0EF6B1">
            <w:pPr>
              <w:ind w:left="103" w:hanging="102" w:hangingChars="49"/>
              <w:jc w:val="center"/>
              <w:rPr>
                <w:bCs/>
                <w:color w:val="000000" w:themeColor="text1"/>
                <w:szCs w:val="21"/>
              </w:rPr>
            </w:pPr>
            <w:r>
              <w:rPr>
                <w:bCs/>
                <w:color w:val="000000" w:themeColor="text1"/>
                <w:szCs w:val="21"/>
              </w:rPr>
              <w:t>0.0015</w:t>
            </w:r>
          </w:p>
        </w:tc>
        <w:tc>
          <w:tcPr>
            <w:tcW w:w="681" w:type="pct"/>
            <w:vAlign w:val="center"/>
          </w:tcPr>
          <w:p w14:paraId="4EB98AEF">
            <w:pPr>
              <w:ind w:left="103" w:hanging="102" w:hangingChars="49"/>
              <w:jc w:val="center"/>
              <w:rPr>
                <w:bCs/>
                <w:color w:val="000000" w:themeColor="text1"/>
                <w:szCs w:val="21"/>
              </w:rPr>
            </w:pPr>
            <w:r>
              <w:rPr>
                <w:bCs/>
                <w:color w:val="000000" w:themeColor="text1"/>
                <w:szCs w:val="21"/>
              </w:rPr>
              <w:t>0.0015</w:t>
            </w:r>
          </w:p>
        </w:tc>
        <w:tc>
          <w:tcPr>
            <w:tcW w:w="681" w:type="pct"/>
            <w:vAlign w:val="center"/>
          </w:tcPr>
          <w:p w14:paraId="572D2266">
            <w:pPr>
              <w:ind w:left="103" w:hanging="102" w:hangingChars="49"/>
              <w:jc w:val="center"/>
              <w:rPr>
                <w:bCs/>
                <w:color w:val="000000" w:themeColor="text1"/>
                <w:szCs w:val="21"/>
              </w:rPr>
            </w:pPr>
            <w:r>
              <w:rPr>
                <w:bCs/>
                <w:color w:val="000000" w:themeColor="text1"/>
                <w:szCs w:val="21"/>
              </w:rPr>
              <w:t>0.0010</w:t>
            </w:r>
          </w:p>
        </w:tc>
        <w:tc>
          <w:tcPr>
            <w:tcW w:w="683" w:type="pct"/>
            <w:vAlign w:val="center"/>
          </w:tcPr>
          <w:p w14:paraId="037169FE">
            <w:pPr>
              <w:ind w:left="103" w:hanging="102" w:hangingChars="49"/>
              <w:jc w:val="center"/>
              <w:rPr>
                <w:bCs/>
                <w:color w:val="000000" w:themeColor="text1"/>
                <w:szCs w:val="21"/>
              </w:rPr>
            </w:pPr>
            <w:r>
              <w:rPr>
                <w:bCs/>
                <w:color w:val="000000" w:themeColor="text1"/>
                <w:szCs w:val="21"/>
              </w:rPr>
              <w:t>0.0010</w:t>
            </w:r>
          </w:p>
        </w:tc>
      </w:tr>
      <w:tr w14:paraId="0314E7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602F7B76">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0666C92F">
            <w:pPr>
              <w:jc w:val="center"/>
              <w:rPr>
                <w:color w:val="000000" w:themeColor="text1"/>
                <w:szCs w:val="21"/>
              </w:rPr>
            </w:pPr>
            <w:r>
              <w:rPr>
                <w:color w:val="000000" w:themeColor="text1"/>
                <w:szCs w:val="21"/>
              </w:rPr>
              <w:t>0.01</w:t>
            </w:r>
          </w:p>
        </w:tc>
        <w:tc>
          <w:tcPr>
            <w:tcW w:w="680" w:type="pct"/>
            <w:vAlign w:val="center"/>
          </w:tcPr>
          <w:p w14:paraId="6BE632E9">
            <w:pPr>
              <w:jc w:val="center"/>
              <w:rPr>
                <w:color w:val="000000" w:themeColor="text1"/>
                <w:szCs w:val="21"/>
              </w:rPr>
            </w:pPr>
            <w:r>
              <w:rPr>
                <w:color w:val="000000" w:themeColor="text1"/>
                <w:szCs w:val="21"/>
              </w:rPr>
              <w:t>0.01</w:t>
            </w:r>
          </w:p>
        </w:tc>
        <w:tc>
          <w:tcPr>
            <w:tcW w:w="681" w:type="pct"/>
            <w:vAlign w:val="center"/>
          </w:tcPr>
          <w:p w14:paraId="0BC6AF9C">
            <w:pPr>
              <w:jc w:val="center"/>
              <w:rPr>
                <w:color w:val="000000" w:themeColor="text1"/>
                <w:szCs w:val="21"/>
              </w:rPr>
            </w:pPr>
            <w:r>
              <w:rPr>
                <w:color w:val="000000" w:themeColor="text1"/>
                <w:szCs w:val="21"/>
              </w:rPr>
              <w:t>0.01</w:t>
            </w:r>
          </w:p>
        </w:tc>
        <w:tc>
          <w:tcPr>
            <w:tcW w:w="681" w:type="pct"/>
            <w:vAlign w:val="center"/>
          </w:tcPr>
          <w:p w14:paraId="3D0E793B">
            <w:pPr>
              <w:jc w:val="center"/>
              <w:rPr>
                <w:color w:val="000000" w:themeColor="text1"/>
                <w:szCs w:val="21"/>
              </w:rPr>
            </w:pPr>
            <w:r>
              <w:rPr>
                <w:color w:val="000000" w:themeColor="text1"/>
                <w:szCs w:val="21"/>
              </w:rPr>
              <w:t>0.01</w:t>
            </w:r>
          </w:p>
        </w:tc>
        <w:tc>
          <w:tcPr>
            <w:tcW w:w="681" w:type="pct"/>
            <w:vAlign w:val="center"/>
          </w:tcPr>
          <w:p w14:paraId="483D2B46">
            <w:pPr>
              <w:jc w:val="center"/>
              <w:rPr>
                <w:color w:val="000000" w:themeColor="text1"/>
                <w:szCs w:val="21"/>
              </w:rPr>
            </w:pPr>
            <w:r>
              <w:rPr>
                <w:color w:val="000000" w:themeColor="text1"/>
                <w:szCs w:val="21"/>
              </w:rPr>
              <w:t>0.01</w:t>
            </w:r>
          </w:p>
        </w:tc>
        <w:tc>
          <w:tcPr>
            <w:tcW w:w="683" w:type="pct"/>
            <w:vAlign w:val="center"/>
          </w:tcPr>
          <w:p w14:paraId="631AFEA0">
            <w:pPr>
              <w:jc w:val="center"/>
              <w:rPr>
                <w:color w:val="000000" w:themeColor="text1"/>
                <w:szCs w:val="21"/>
              </w:rPr>
            </w:pPr>
            <w:r>
              <w:rPr>
                <w:color w:val="000000" w:themeColor="text1"/>
                <w:szCs w:val="21"/>
              </w:rPr>
              <w:t>0.01</w:t>
            </w:r>
          </w:p>
        </w:tc>
      </w:tr>
      <w:tr w14:paraId="2A9DAD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636CCFD2">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223C3D59">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41436989">
            <w:pPr>
              <w:jc w:val="center"/>
              <w:rPr>
                <w:b/>
                <w:color w:val="000000" w:themeColor="text1"/>
                <w:szCs w:val="21"/>
              </w:rPr>
            </w:pPr>
            <w:r>
              <w:rPr>
                <w:b/>
                <w:bCs/>
                <w:color w:val="000000" w:themeColor="text1"/>
                <w:szCs w:val="21"/>
              </w:rPr>
              <w:t>达标</w:t>
            </w:r>
          </w:p>
        </w:tc>
        <w:tc>
          <w:tcPr>
            <w:tcW w:w="681" w:type="pct"/>
            <w:vAlign w:val="center"/>
          </w:tcPr>
          <w:p w14:paraId="346EEB0E">
            <w:pPr>
              <w:jc w:val="center"/>
              <w:rPr>
                <w:b/>
                <w:color w:val="000000" w:themeColor="text1"/>
                <w:szCs w:val="21"/>
              </w:rPr>
            </w:pPr>
            <w:r>
              <w:rPr>
                <w:b/>
                <w:bCs/>
                <w:color w:val="000000" w:themeColor="text1"/>
                <w:szCs w:val="21"/>
              </w:rPr>
              <w:t>达标</w:t>
            </w:r>
          </w:p>
        </w:tc>
        <w:tc>
          <w:tcPr>
            <w:tcW w:w="681" w:type="pct"/>
            <w:vAlign w:val="center"/>
          </w:tcPr>
          <w:p w14:paraId="0481A986">
            <w:pPr>
              <w:jc w:val="center"/>
              <w:rPr>
                <w:b/>
                <w:color w:val="000000" w:themeColor="text1"/>
                <w:szCs w:val="21"/>
              </w:rPr>
            </w:pPr>
            <w:r>
              <w:rPr>
                <w:b/>
                <w:bCs/>
                <w:color w:val="000000" w:themeColor="text1"/>
                <w:szCs w:val="21"/>
              </w:rPr>
              <w:t>达标</w:t>
            </w:r>
          </w:p>
        </w:tc>
        <w:tc>
          <w:tcPr>
            <w:tcW w:w="681" w:type="pct"/>
            <w:vAlign w:val="center"/>
          </w:tcPr>
          <w:p w14:paraId="5F001B15">
            <w:pPr>
              <w:jc w:val="center"/>
              <w:rPr>
                <w:b/>
                <w:color w:val="000000" w:themeColor="text1"/>
                <w:szCs w:val="21"/>
              </w:rPr>
            </w:pPr>
            <w:r>
              <w:rPr>
                <w:b/>
                <w:bCs/>
                <w:color w:val="000000" w:themeColor="text1"/>
                <w:szCs w:val="21"/>
              </w:rPr>
              <w:t>达标</w:t>
            </w:r>
          </w:p>
        </w:tc>
        <w:tc>
          <w:tcPr>
            <w:tcW w:w="683" w:type="pct"/>
            <w:vAlign w:val="center"/>
          </w:tcPr>
          <w:p w14:paraId="3820A347">
            <w:pPr>
              <w:jc w:val="center"/>
              <w:rPr>
                <w:b/>
                <w:color w:val="000000" w:themeColor="text1"/>
                <w:szCs w:val="21"/>
              </w:rPr>
            </w:pPr>
            <w:r>
              <w:rPr>
                <w:b/>
                <w:bCs/>
                <w:color w:val="000000" w:themeColor="text1"/>
                <w:szCs w:val="21"/>
              </w:rPr>
              <w:t>达标</w:t>
            </w:r>
          </w:p>
        </w:tc>
      </w:tr>
      <w:tr w14:paraId="457216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0CF04E93">
            <w:pPr>
              <w:ind w:left="103" w:hanging="102" w:hangingChars="49"/>
              <w:jc w:val="center"/>
              <w:rPr>
                <w:bCs/>
                <w:color w:val="000000" w:themeColor="text1"/>
                <w:szCs w:val="21"/>
              </w:rPr>
            </w:pPr>
            <w:r>
              <w:rPr>
                <w:bCs/>
                <w:color w:val="000000" w:themeColor="text1"/>
                <w:szCs w:val="21"/>
              </w:rPr>
              <w:t>汞</w:t>
            </w:r>
          </w:p>
        </w:tc>
        <w:tc>
          <w:tcPr>
            <w:tcW w:w="623" w:type="pct"/>
            <w:vAlign w:val="center"/>
          </w:tcPr>
          <w:p w14:paraId="2E1C2B13">
            <w:pPr>
              <w:ind w:left="103" w:hanging="102" w:hangingChars="49"/>
              <w:jc w:val="center"/>
              <w:rPr>
                <w:bCs/>
                <w:color w:val="000000" w:themeColor="text1"/>
                <w:szCs w:val="21"/>
              </w:rPr>
            </w:pPr>
            <w:r>
              <w:rPr>
                <w:bCs/>
                <w:color w:val="000000" w:themeColor="text1"/>
                <w:szCs w:val="21"/>
              </w:rPr>
              <w:t>0.00008</w:t>
            </w:r>
          </w:p>
        </w:tc>
        <w:tc>
          <w:tcPr>
            <w:tcW w:w="680" w:type="pct"/>
            <w:vAlign w:val="center"/>
          </w:tcPr>
          <w:p w14:paraId="5667912F">
            <w:pPr>
              <w:ind w:left="103" w:hanging="102" w:hangingChars="49"/>
              <w:jc w:val="center"/>
              <w:rPr>
                <w:bCs/>
                <w:color w:val="000000" w:themeColor="text1"/>
                <w:szCs w:val="21"/>
              </w:rPr>
            </w:pPr>
            <w:r>
              <w:rPr>
                <w:bCs/>
                <w:color w:val="000000" w:themeColor="text1"/>
                <w:szCs w:val="21"/>
              </w:rPr>
              <w:t>0.00008</w:t>
            </w:r>
          </w:p>
        </w:tc>
        <w:tc>
          <w:tcPr>
            <w:tcW w:w="681" w:type="pct"/>
            <w:vAlign w:val="center"/>
          </w:tcPr>
          <w:p w14:paraId="135566C6">
            <w:pPr>
              <w:ind w:left="103" w:hanging="102" w:hangingChars="49"/>
              <w:jc w:val="center"/>
              <w:rPr>
                <w:bCs/>
                <w:color w:val="000000" w:themeColor="text1"/>
                <w:szCs w:val="21"/>
              </w:rPr>
            </w:pPr>
            <w:r>
              <w:rPr>
                <w:bCs/>
                <w:color w:val="000000" w:themeColor="text1"/>
                <w:szCs w:val="21"/>
              </w:rPr>
              <w:t>0.00029</w:t>
            </w:r>
          </w:p>
        </w:tc>
        <w:tc>
          <w:tcPr>
            <w:tcW w:w="681" w:type="pct"/>
            <w:vAlign w:val="center"/>
          </w:tcPr>
          <w:p w14:paraId="5A147461">
            <w:pPr>
              <w:ind w:left="103" w:hanging="102" w:hangingChars="49"/>
              <w:jc w:val="center"/>
              <w:rPr>
                <w:bCs/>
                <w:color w:val="000000" w:themeColor="text1"/>
                <w:szCs w:val="21"/>
              </w:rPr>
            </w:pPr>
            <w:r>
              <w:rPr>
                <w:bCs/>
                <w:color w:val="000000" w:themeColor="text1"/>
                <w:szCs w:val="21"/>
              </w:rPr>
              <w:t>0.00029</w:t>
            </w:r>
          </w:p>
        </w:tc>
        <w:tc>
          <w:tcPr>
            <w:tcW w:w="681" w:type="pct"/>
            <w:vAlign w:val="center"/>
          </w:tcPr>
          <w:p w14:paraId="0A3051BB">
            <w:pPr>
              <w:ind w:left="103" w:hanging="102" w:hangingChars="49"/>
              <w:jc w:val="center"/>
              <w:rPr>
                <w:bCs/>
                <w:color w:val="000000" w:themeColor="text1"/>
                <w:szCs w:val="21"/>
              </w:rPr>
            </w:pPr>
            <w:r>
              <w:rPr>
                <w:bCs/>
                <w:color w:val="000000" w:themeColor="text1"/>
                <w:szCs w:val="21"/>
              </w:rPr>
              <w:t>0.00010</w:t>
            </w:r>
          </w:p>
        </w:tc>
        <w:tc>
          <w:tcPr>
            <w:tcW w:w="683" w:type="pct"/>
            <w:vAlign w:val="center"/>
          </w:tcPr>
          <w:p w14:paraId="09D8F2D6">
            <w:pPr>
              <w:ind w:left="103" w:hanging="102" w:hangingChars="49"/>
              <w:jc w:val="center"/>
              <w:rPr>
                <w:bCs/>
                <w:color w:val="000000" w:themeColor="text1"/>
                <w:szCs w:val="21"/>
              </w:rPr>
            </w:pPr>
            <w:r>
              <w:rPr>
                <w:bCs/>
                <w:color w:val="000000" w:themeColor="text1"/>
                <w:szCs w:val="21"/>
              </w:rPr>
              <w:t>0.00010</w:t>
            </w:r>
          </w:p>
        </w:tc>
      </w:tr>
      <w:tr w14:paraId="6C53D9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7B395010">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35AC399A">
            <w:pPr>
              <w:jc w:val="center"/>
              <w:rPr>
                <w:color w:val="000000" w:themeColor="text1"/>
                <w:szCs w:val="21"/>
              </w:rPr>
            </w:pPr>
            <w:r>
              <w:rPr>
                <w:color w:val="000000" w:themeColor="text1"/>
                <w:szCs w:val="21"/>
              </w:rPr>
              <w:t>0.001</w:t>
            </w:r>
          </w:p>
        </w:tc>
        <w:tc>
          <w:tcPr>
            <w:tcW w:w="680" w:type="pct"/>
            <w:vAlign w:val="center"/>
          </w:tcPr>
          <w:p w14:paraId="02372018">
            <w:pPr>
              <w:jc w:val="center"/>
              <w:rPr>
                <w:color w:val="000000" w:themeColor="text1"/>
                <w:szCs w:val="21"/>
              </w:rPr>
            </w:pPr>
            <w:r>
              <w:rPr>
                <w:color w:val="000000" w:themeColor="text1"/>
                <w:szCs w:val="21"/>
              </w:rPr>
              <w:t>0.001</w:t>
            </w:r>
          </w:p>
        </w:tc>
        <w:tc>
          <w:tcPr>
            <w:tcW w:w="681" w:type="pct"/>
            <w:vAlign w:val="center"/>
          </w:tcPr>
          <w:p w14:paraId="77C2E8CA">
            <w:pPr>
              <w:jc w:val="center"/>
              <w:rPr>
                <w:color w:val="000000" w:themeColor="text1"/>
                <w:szCs w:val="21"/>
              </w:rPr>
            </w:pPr>
            <w:r>
              <w:rPr>
                <w:color w:val="000000" w:themeColor="text1"/>
                <w:szCs w:val="21"/>
              </w:rPr>
              <w:t>0.001</w:t>
            </w:r>
          </w:p>
        </w:tc>
        <w:tc>
          <w:tcPr>
            <w:tcW w:w="681" w:type="pct"/>
            <w:vAlign w:val="center"/>
          </w:tcPr>
          <w:p w14:paraId="5778B2DB">
            <w:pPr>
              <w:jc w:val="center"/>
              <w:rPr>
                <w:color w:val="000000" w:themeColor="text1"/>
                <w:szCs w:val="21"/>
              </w:rPr>
            </w:pPr>
            <w:r>
              <w:rPr>
                <w:color w:val="000000" w:themeColor="text1"/>
                <w:szCs w:val="21"/>
              </w:rPr>
              <w:t>0.001</w:t>
            </w:r>
          </w:p>
        </w:tc>
        <w:tc>
          <w:tcPr>
            <w:tcW w:w="681" w:type="pct"/>
            <w:vAlign w:val="center"/>
          </w:tcPr>
          <w:p w14:paraId="5CD40C59">
            <w:pPr>
              <w:jc w:val="center"/>
              <w:rPr>
                <w:color w:val="000000" w:themeColor="text1"/>
                <w:szCs w:val="21"/>
              </w:rPr>
            </w:pPr>
            <w:r>
              <w:rPr>
                <w:color w:val="000000" w:themeColor="text1"/>
                <w:szCs w:val="21"/>
              </w:rPr>
              <w:t>0.001</w:t>
            </w:r>
          </w:p>
        </w:tc>
        <w:tc>
          <w:tcPr>
            <w:tcW w:w="683" w:type="pct"/>
            <w:vAlign w:val="center"/>
          </w:tcPr>
          <w:p w14:paraId="015969A4">
            <w:pPr>
              <w:jc w:val="center"/>
              <w:rPr>
                <w:color w:val="000000" w:themeColor="text1"/>
                <w:szCs w:val="21"/>
              </w:rPr>
            </w:pPr>
            <w:r>
              <w:rPr>
                <w:color w:val="000000" w:themeColor="text1"/>
                <w:szCs w:val="21"/>
              </w:rPr>
              <w:t>0.001</w:t>
            </w:r>
          </w:p>
        </w:tc>
      </w:tr>
      <w:tr w14:paraId="5489D4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05A62BEA">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4BDDE2D3">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2411C889">
            <w:pPr>
              <w:jc w:val="center"/>
              <w:rPr>
                <w:b/>
                <w:color w:val="000000" w:themeColor="text1"/>
                <w:szCs w:val="21"/>
              </w:rPr>
            </w:pPr>
            <w:r>
              <w:rPr>
                <w:b/>
                <w:bCs/>
                <w:color w:val="000000" w:themeColor="text1"/>
                <w:szCs w:val="21"/>
              </w:rPr>
              <w:t>达标</w:t>
            </w:r>
          </w:p>
        </w:tc>
        <w:tc>
          <w:tcPr>
            <w:tcW w:w="681" w:type="pct"/>
            <w:vAlign w:val="center"/>
          </w:tcPr>
          <w:p w14:paraId="6103AB51">
            <w:pPr>
              <w:jc w:val="center"/>
              <w:rPr>
                <w:b/>
                <w:color w:val="000000" w:themeColor="text1"/>
                <w:szCs w:val="21"/>
              </w:rPr>
            </w:pPr>
            <w:r>
              <w:rPr>
                <w:b/>
                <w:bCs/>
                <w:color w:val="000000" w:themeColor="text1"/>
                <w:szCs w:val="21"/>
              </w:rPr>
              <w:t>达标</w:t>
            </w:r>
          </w:p>
        </w:tc>
        <w:tc>
          <w:tcPr>
            <w:tcW w:w="681" w:type="pct"/>
            <w:vAlign w:val="center"/>
          </w:tcPr>
          <w:p w14:paraId="6EC4F2A5">
            <w:pPr>
              <w:jc w:val="center"/>
              <w:rPr>
                <w:b/>
                <w:color w:val="000000" w:themeColor="text1"/>
                <w:szCs w:val="21"/>
              </w:rPr>
            </w:pPr>
            <w:r>
              <w:rPr>
                <w:b/>
                <w:bCs/>
                <w:color w:val="000000" w:themeColor="text1"/>
                <w:szCs w:val="21"/>
              </w:rPr>
              <w:t>达标</w:t>
            </w:r>
          </w:p>
        </w:tc>
        <w:tc>
          <w:tcPr>
            <w:tcW w:w="681" w:type="pct"/>
            <w:vAlign w:val="center"/>
          </w:tcPr>
          <w:p w14:paraId="007E5085">
            <w:pPr>
              <w:jc w:val="center"/>
              <w:rPr>
                <w:b/>
                <w:color w:val="000000" w:themeColor="text1"/>
                <w:szCs w:val="21"/>
              </w:rPr>
            </w:pPr>
            <w:r>
              <w:rPr>
                <w:b/>
                <w:bCs/>
                <w:color w:val="000000" w:themeColor="text1"/>
                <w:szCs w:val="21"/>
              </w:rPr>
              <w:t>达标</w:t>
            </w:r>
          </w:p>
        </w:tc>
        <w:tc>
          <w:tcPr>
            <w:tcW w:w="683" w:type="pct"/>
            <w:vAlign w:val="center"/>
          </w:tcPr>
          <w:p w14:paraId="4038058D">
            <w:pPr>
              <w:jc w:val="center"/>
              <w:rPr>
                <w:b/>
                <w:color w:val="000000" w:themeColor="text1"/>
                <w:szCs w:val="21"/>
              </w:rPr>
            </w:pPr>
            <w:r>
              <w:rPr>
                <w:b/>
                <w:bCs/>
                <w:color w:val="000000" w:themeColor="text1"/>
                <w:szCs w:val="21"/>
              </w:rPr>
              <w:t>达标</w:t>
            </w:r>
          </w:p>
        </w:tc>
      </w:tr>
      <w:tr w14:paraId="1FF714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622377B6">
            <w:pPr>
              <w:ind w:left="103" w:hanging="102" w:hangingChars="49"/>
              <w:jc w:val="center"/>
              <w:rPr>
                <w:bCs/>
                <w:color w:val="000000" w:themeColor="text1"/>
                <w:szCs w:val="21"/>
              </w:rPr>
            </w:pPr>
            <w:r>
              <w:rPr>
                <w:bCs/>
                <w:color w:val="000000" w:themeColor="text1"/>
                <w:szCs w:val="21"/>
              </w:rPr>
              <w:t>铬（六价）</w:t>
            </w:r>
          </w:p>
        </w:tc>
        <w:tc>
          <w:tcPr>
            <w:tcW w:w="623" w:type="pct"/>
            <w:vAlign w:val="center"/>
          </w:tcPr>
          <w:p w14:paraId="59C59C60">
            <w:pPr>
              <w:ind w:left="103" w:hanging="102" w:hangingChars="49"/>
              <w:jc w:val="center"/>
              <w:rPr>
                <w:bCs/>
                <w:color w:val="000000" w:themeColor="text1"/>
                <w:szCs w:val="21"/>
              </w:rPr>
            </w:pPr>
            <w:r>
              <w:rPr>
                <w:bCs/>
                <w:color w:val="000000" w:themeColor="text1"/>
                <w:szCs w:val="21"/>
              </w:rPr>
              <w:t>0.004L</w:t>
            </w:r>
          </w:p>
        </w:tc>
        <w:tc>
          <w:tcPr>
            <w:tcW w:w="680" w:type="pct"/>
            <w:vAlign w:val="center"/>
          </w:tcPr>
          <w:p w14:paraId="1829D68F">
            <w:pPr>
              <w:jc w:val="center"/>
              <w:rPr>
                <w:color w:val="000000" w:themeColor="text1"/>
                <w:szCs w:val="21"/>
              </w:rPr>
            </w:pPr>
            <w:r>
              <w:rPr>
                <w:bCs/>
                <w:color w:val="000000" w:themeColor="text1"/>
                <w:szCs w:val="21"/>
              </w:rPr>
              <w:t>0.004L</w:t>
            </w:r>
          </w:p>
        </w:tc>
        <w:tc>
          <w:tcPr>
            <w:tcW w:w="681" w:type="pct"/>
            <w:vAlign w:val="center"/>
          </w:tcPr>
          <w:p w14:paraId="2C9C0E45">
            <w:pPr>
              <w:jc w:val="center"/>
              <w:rPr>
                <w:color w:val="000000" w:themeColor="text1"/>
                <w:szCs w:val="21"/>
              </w:rPr>
            </w:pPr>
            <w:r>
              <w:rPr>
                <w:color w:val="000000" w:themeColor="text1"/>
                <w:szCs w:val="21"/>
              </w:rPr>
              <w:t>0.004L</w:t>
            </w:r>
          </w:p>
        </w:tc>
        <w:tc>
          <w:tcPr>
            <w:tcW w:w="681" w:type="pct"/>
            <w:vAlign w:val="center"/>
          </w:tcPr>
          <w:p w14:paraId="5765FCCE">
            <w:pPr>
              <w:jc w:val="center"/>
              <w:rPr>
                <w:color w:val="000000" w:themeColor="text1"/>
                <w:szCs w:val="21"/>
              </w:rPr>
            </w:pPr>
            <w:r>
              <w:rPr>
                <w:color w:val="000000" w:themeColor="text1"/>
                <w:szCs w:val="21"/>
              </w:rPr>
              <w:t>0.004L</w:t>
            </w:r>
          </w:p>
        </w:tc>
        <w:tc>
          <w:tcPr>
            <w:tcW w:w="681" w:type="pct"/>
          </w:tcPr>
          <w:p w14:paraId="4CF09FE3">
            <w:pPr>
              <w:jc w:val="center"/>
              <w:rPr>
                <w:color w:val="000000" w:themeColor="text1"/>
                <w:szCs w:val="21"/>
              </w:rPr>
            </w:pPr>
            <w:r>
              <w:rPr>
                <w:color w:val="000000" w:themeColor="text1"/>
                <w:szCs w:val="21"/>
              </w:rPr>
              <w:t>0.004L</w:t>
            </w:r>
          </w:p>
        </w:tc>
        <w:tc>
          <w:tcPr>
            <w:tcW w:w="683" w:type="pct"/>
          </w:tcPr>
          <w:p w14:paraId="3E2181F6">
            <w:pPr>
              <w:jc w:val="center"/>
              <w:rPr>
                <w:color w:val="000000" w:themeColor="text1"/>
                <w:szCs w:val="21"/>
              </w:rPr>
            </w:pPr>
            <w:r>
              <w:rPr>
                <w:color w:val="000000" w:themeColor="text1"/>
                <w:szCs w:val="21"/>
              </w:rPr>
              <w:t>0.004L</w:t>
            </w:r>
          </w:p>
        </w:tc>
      </w:tr>
      <w:tr w14:paraId="2F89B0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1C873986">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3B49CE24">
            <w:pPr>
              <w:jc w:val="center"/>
              <w:rPr>
                <w:color w:val="000000" w:themeColor="text1"/>
                <w:szCs w:val="21"/>
              </w:rPr>
            </w:pPr>
            <w:r>
              <w:rPr>
                <w:color w:val="000000" w:themeColor="text1"/>
                <w:szCs w:val="21"/>
              </w:rPr>
              <w:t>0.05</w:t>
            </w:r>
          </w:p>
        </w:tc>
        <w:tc>
          <w:tcPr>
            <w:tcW w:w="680" w:type="pct"/>
            <w:vAlign w:val="center"/>
          </w:tcPr>
          <w:p w14:paraId="2835296A">
            <w:pPr>
              <w:jc w:val="center"/>
              <w:rPr>
                <w:color w:val="000000" w:themeColor="text1"/>
                <w:szCs w:val="21"/>
              </w:rPr>
            </w:pPr>
            <w:r>
              <w:rPr>
                <w:color w:val="000000" w:themeColor="text1"/>
                <w:szCs w:val="21"/>
              </w:rPr>
              <w:t>0.05</w:t>
            </w:r>
          </w:p>
        </w:tc>
        <w:tc>
          <w:tcPr>
            <w:tcW w:w="681" w:type="pct"/>
            <w:vAlign w:val="center"/>
          </w:tcPr>
          <w:p w14:paraId="521989A0">
            <w:pPr>
              <w:jc w:val="center"/>
              <w:rPr>
                <w:color w:val="000000" w:themeColor="text1"/>
                <w:szCs w:val="21"/>
              </w:rPr>
            </w:pPr>
            <w:r>
              <w:rPr>
                <w:color w:val="000000" w:themeColor="text1"/>
                <w:szCs w:val="21"/>
              </w:rPr>
              <w:t>0.05</w:t>
            </w:r>
          </w:p>
        </w:tc>
        <w:tc>
          <w:tcPr>
            <w:tcW w:w="681" w:type="pct"/>
            <w:vAlign w:val="center"/>
          </w:tcPr>
          <w:p w14:paraId="7D3B4985">
            <w:pPr>
              <w:jc w:val="center"/>
              <w:rPr>
                <w:color w:val="000000" w:themeColor="text1"/>
                <w:szCs w:val="21"/>
              </w:rPr>
            </w:pPr>
            <w:r>
              <w:rPr>
                <w:color w:val="000000" w:themeColor="text1"/>
                <w:szCs w:val="21"/>
              </w:rPr>
              <w:t>0.05</w:t>
            </w:r>
          </w:p>
        </w:tc>
        <w:tc>
          <w:tcPr>
            <w:tcW w:w="681" w:type="pct"/>
            <w:vAlign w:val="center"/>
          </w:tcPr>
          <w:p w14:paraId="52184A4D">
            <w:pPr>
              <w:jc w:val="center"/>
              <w:rPr>
                <w:color w:val="000000" w:themeColor="text1"/>
                <w:szCs w:val="21"/>
              </w:rPr>
            </w:pPr>
            <w:r>
              <w:rPr>
                <w:color w:val="000000" w:themeColor="text1"/>
                <w:szCs w:val="21"/>
              </w:rPr>
              <w:t>0.05</w:t>
            </w:r>
          </w:p>
        </w:tc>
        <w:tc>
          <w:tcPr>
            <w:tcW w:w="683" w:type="pct"/>
            <w:vAlign w:val="center"/>
          </w:tcPr>
          <w:p w14:paraId="1E743E85">
            <w:pPr>
              <w:jc w:val="center"/>
              <w:rPr>
                <w:color w:val="000000" w:themeColor="text1"/>
                <w:szCs w:val="21"/>
              </w:rPr>
            </w:pPr>
            <w:r>
              <w:rPr>
                <w:color w:val="000000" w:themeColor="text1"/>
                <w:szCs w:val="21"/>
              </w:rPr>
              <w:t>0.05</w:t>
            </w:r>
          </w:p>
        </w:tc>
      </w:tr>
      <w:tr w14:paraId="1BC21E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591AFA1D">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53B1F20D">
            <w:pPr>
              <w:jc w:val="center"/>
              <w:rPr>
                <w:b/>
                <w:color w:val="000000" w:themeColor="text1"/>
                <w:szCs w:val="21"/>
              </w:rPr>
            </w:pPr>
            <w:r>
              <w:rPr>
                <w:b/>
                <w:color w:val="000000" w:themeColor="text1"/>
                <w:szCs w:val="21"/>
              </w:rPr>
              <w:t>达标</w:t>
            </w:r>
          </w:p>
        </w:tc>
        <w:tc>
          <w:tcPr>
            <w:tcW w:w="680" w:type="pct"/>
            <w:vAlign w:val="center"/>
          </w:tcPr>
          <w:p w14:paraId="1DDF8B72">
            <w:pPr>
              <w:jc w:val="center"/>
              <w:rPr>
                <w:b/>
                <w:color w:val="000000" w:themeColor="text1"/>
                <w:szCs w:val="21"/>
              </w:rPr>
            </w:pPr>
            <w:r>
              <w:rPr>
                <w:b/>
                <w:color w:val="000000" w:themeColor="text1"/>
                <w:szCs w:val="21"/>
              </w:rPr>
              <w:t>达标</w:t>
            </w:r>
          </w:p>
        </w:tc>
        <w:tc>
          <w:tcPr>
            <w:tcW w:w="681" w:type="pct"/>
            <w:vAlign w:val="center"/>
          </w:tcPr>
          <w:p w14:paraId="41BA2CA8">
            <w:pPr>
              <w:jc w:val="center"/>
              <w:rPr>
                <w:b/>
                <w:color w:val="000000" w:themeColor="text1"/>
                <w:szCs w:val="21"/>
              </w:rPr>
            </w:pPr>
            <w:r>
              <w:rPr>
                <w:b/>
                <w:color w:val="000000" w:themeColor="text1"/>
                <w:szCs w:val="21"/>
              </w:rPr>
              <w:t>达标</w:t>
            </w:r>
          </w:p>
        </w:tc>
        <w:tc>
          <w:tcPr>
            <w:tcW w:w="681" w:type="pct"/>
            <w:vAlign w:val="center"/>
          </w:tcPr>
          <w:p w14:paraId="7472E3F5">
            <w:pPr>
              <w:jc w:val="center"/>
              <w:rPr>
                <w:b/>
                <w:color w:val="000000" w:themeColor="text1"/>
                <w:szCs w:val="21"/>
              </w:rPr>
            </w:pPr>
            <w:r>
              <w:rPr>
                <w:b/>
                <w:color w:val="000000" w:themeColor="text1"/>
                <w:szCs w:val="21"/>
              </w:rPr>
              <w:t>达标</w:t>
            </w:r>
          </w:p>
        </w:tc>
        <w:tc>
          <w:tcPr>
            <w:tcW w:w="681" w:type="pct"/>
            <w:vAlign w:val="center"/>
          </w:tcPr>
          <w:p w14:paraId="05059B4E">
            <w:pPr>
              <w:jc w:val="center"/>
              <w:rPr>
                <w:b/>
                <w:color w:val="000000" w:themeColor="text1"/>
                <w:szCs w:val="21"/>
              </w:rPr>
            </w:pPr>
            <w:r>
              <w:rPr>
                <w:b/>
                <w:color w:val="000000" w:themeColor="text1"/>
                <w:szCs w:val="21"/>
              </w:rPr>
              <w:t>达标</w:t>
            </w:r>
          </w:p>
        </w:tc>
        <w:tc>
          <w:tcPr>
            <w:tcW w:w="683" w:type="pct"/>
            <w:vAlign w:val="center"/>
          </w:tcPr>
          <w:p w14:paraId="4A2DE406">
            <w:pPr>
              <w:jc w:val="center"/>
              <w:rPr>
                <w:b/>
                <w:color w:val="000000" w:themeColor="text1"/>
                <w:szCs w:val="21"/>
              </w:rPr>
            </w:pPr>
            <w:r>
              <w:rPr>
                <w:b/>
                <w:color w:val="000000" w:themeColor="text1"/>
                <w:szCs w:val="21"/>
              </w:rPr>
              <w:t>达标</w:t>
            </w:r>
          </w:p>
        </w:tc>
      </w:tr>
      <w:tr w14:paraId="44441B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3C6F2A79">
            <w:pPr>
              <w:ind w:left="103" w:hanging="102" w:hangingChars="49"/>
              <w:jc w:val="center"/>
              <w:rPr>
                <w:bCs/>
                <w:color w:val="000000" w:themeColor="text1"/>
                <w:szCs w:val="21"/>
              </w:rPr>
            </w:pPr>
            <w:r>
              <w:rPr>
                <w:bCs/>
                <w:color w:val="000000" w:themeColor="text1"/>
                <w:szCs w:val="21"/>
              </w:rPr>
              <w:t>总硬度</w:t>
            </w:r>
          </w:p>
        </w:tc>
        <w:tc>
          <w:tcPr>
            <w:tcW w:w="623" w:type="pct"/>
            <w:vAlign w:val="center"/>
          </w:tcPr>
          <w:p w14:paraId="7D7BEB18">
            <w:pPr>
              <w:ind w:left="103" w:hanging="102" w:hangingChars="49"/>
              <w:jc w:val="center"/>
              <w:rPr>
                <w:bCs/>
                <w:color w:val="000000" w:themeColor="text1"/>
                <w:szCs w:val="21"/>
              </w:rPr>
            </w:pPr>
            <w:r>
              <w:rPr>
                <w:bCs/>
                <w:color w:val="000000" w:themeColor="text1"/>
                <w:szCs w:val="21"/>
              </w:rPr>
              <w:t>206</w:t>
            </w:r>
          </w:p>
        </w:tc>
        <w:tc>
          <w:tcPr>
            <w:tcW w:w="680" w:type="pct"/>
            <w:vAlign w:val="center"/>
          </w:tcPr>
          <w:p w14:paraId="1A8509A5">
            <w:pPr>
              <w:jc w:val="center"/>
              <w:rPr>
                <w:color w:val="000000" w:themeColor="text1"/>
                <w:szCs w:val="21"/>
              </w:rPr>
            </w:pPr>
            <w:r>
              <w:rPr>
                <w:color w:val="000000" w:themeColor="text1"/>
                <w:szCs w:val="21"/>
              </w:rPr>
              <w:t>194</w:t>
            </w:r>
          </w:p>
        </w:tc>
        <w:tc>
          <w:tcPr>
            <w:tcW w:w="681" w:type="pct"/>
            <w:vAlign w:val="center"/>
          </w:tcPr>
          <w:p w14:paraId="173C3210">
            <w:pPr>
              <w:jc w:val="center"/>
              <w:rPr>
                <w:color w:val="000000" w:themeColor="text1"/>
                <w:szCs w:val="21"/>
              </w:rPr>
            </w:pPr>
            <w:r>
              <w:rPr>
                <w:color w:val="000000" w:themeColor="text1"/>
                <w:szCs w:val="21"/>
              </w:rPr>
              <w:t>232</w:t>
            </w:r>
          </w:p>
        </w:tc>
        <w:tc>
          <w:tcPr>
            <w:tcW w:w="681" w:type="pct"/>
            <w:vAlign w:val="center"/>
          </w:tcPr>
          <w:p w14:paraId="0DBE4DFC">
            <w:pPr>
              <w:jc w:val="center"/>
              <w:rPr>
                <w:color w:val="000000" w:themeColor="text1"/>
                <w:szCs w:val="21"/>
              </w:rPr>
            </w:pPr>
            <w:r>
              <w:rPr>
                <w:color w:val="000000" w:themeColor="text1"/>
                <w:szCs w:val="21"/>
              </w:rPr>
              <w:t>216</w:t>
            </w:r>
          </w:p>
        </w:tc>
        <w:tc>
          <w:tcPr>
            <w:tcW w:w="681" w:type="pct"/>
            <w:vAlign w:val="center"/>
          </w:tcPr>
          <w:p w14:paraId="07048D75">
            <w:pPr>
              <w:jc w:val="center"/>
              <w:rPr>
                <w:color w:val="000000" w:themeColor="text1"/>
                <w:szCs w:val="21"/>
              </w:rPr>
            </w:pPr>
            <w:r>
              <w:rPr>
                <w:color w:val="000000" w:themeColor="text1"/>
                <w:szCs w:val="21"/>
              </w:rPr>
              <w:t>380</w:t>
            </w:r>
          </w:p>
        </w:tc>
        <w:tc>
          <w:tcPr>
            <w:tcW w:w="683" w:type="pct"/>
            <w:vAlign w:val="center"/>
          </w:tcPr>
          <w:p w14:paraId="40C4947F">
            <w:pPr>
              <w:jc w:val="center"/>
              <w:rPr>
                <w:color w:val="000000" w:themeColor="text1"/>
                <w:szCs w:val="21"/>
              </w:rPr>
            </w:pPr>
            <w:r>
              <w:rPr>
                <w:color w:val="000000" w:themeColor="text1"/>
                <w:szCs w:val="21"/>
              </w:rPr>
              <w:t>363</w:t>
            </w:r>
          </w:p>
        </w:tc>
      </w:tr>
      <w:tr w14:paraId="44ADF6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1DF93169">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62E836A2">
            <w:pPr>
              <w:ind w:left="103" w:hanging="102" w:hangingChars="49"/>
              <w:jc w:val="center"/>
              <w:rPr>
                <w:bCs/>
                <w:color w:val="000000" w:themeColor="text1"/>
                <w:szCs w:val="21"/>
              </w:rPr>
            </w:pPr>
            <w:r>
              <w:rPr>
                <w:bCs/>
                <w:color w:val="000000" w:themeColor="text1"/>
                <w:szCs w:val="21"/>
              </w:rPr>
              <w:t>450</w:t>
            </w:r>
          </w:p>
        </w:tc>
        <w:tc>
          <w:tcPr>
            <w:tcW w:w="680" w:type="pct"/>
            <w:vAlign w:val="center"/>
          </w:tcPr>
          <w:p w14:paraId="347CB5DF">
            <w:pPr>
              <w:ind w:left="103" w:hanging="102" w:hangingChars="49"/>
              <w:jc w:val="center"/>
              <w:rPr>
                <w:bCs/>
                <w:color w:val="000000" w:themeColor="text1"/>
                <w:szCs w:val="21"/>
              </w:rPr>
            </w:pPr>
            <w:r>
              <w:rPr>
                <w:bCs/>
                <w:color w:val="000000" w:themeColor="text1"/>
                <w:szCs w:val="21"/>
              </w:rPr>
              <w:t>450</w:t>
            </w:r>
          </w:p>
        </w:tc>
        <w:tc>
          <w:tcPr>
            <w:tcW w:w="681" w:type="pct"/>
            <w:vAlign w:val="center"/>
          </w:tcPr>
          <w:p w14:paraId="7060C55A">
            <w:pPr>
              <w:ind w:left="103" w:hanging="102" w:hangingChars="49"/>
              <w:jc w:val="center"/>
              <w:rPr>
                <w:bCs/>
                <w:color w:val="000000" w:themeColor="text1"/>
                <w:szCs w:val="21"/>
              </w:rPr>
            </w:pPr>
            <w:r>
              <w:rPr>
                <w:bCs/>
                <w:color w:val="000000" w:themeColor="text1"/>
                <w:szCs w:val="21"/>
              </w:rPr>
              <w:t>450</w:t>
            </w:r>
          </w:p>
        </w:tc>
        <w:tc>
          <w:tcPr>
            <w:tcW w:w="681" w:type="pct"/>
            <w:vAlign w:val="center"/>
          </w:tcPr>
          <w:p w14:paraId="7344F6B5">
            <w:pPr>
              <w:ind w:left="103" w:hanging="102" w:hangingChars="49"/>
              <w:jc w:val="center"/>
              <w:rPr>
                <w:bCs/>
                <w:color w:val="000000" w:themeColor="text1"/>
                <w:szCs w:val="21"/>
              </w:rPr>
            </w:pPr>
            <w:r>
              <w:rPr>
                <w:bCs/>
                <w:color w:val="000000" w:themeColor="text1"/>
                <w:szCs w:val="21"/>
              </w:rPr>
              <w:t>450</w:t>
            </w:r>
          </w:p>
        </w:tc>
        <w:tc>
          <w:tcPr>
            <w:tcW w:w="681" w:type="pct"/>
            <w:vAlign w:val="center"/>
          </w:tcPr>
          <w:p w14:paraId="38312E49">
            <w:pPr>
              <w:ind w:left="103" w:hanging="102" w:hangingChars="49"/>
              <w:jc w:val="center"/>
              <w:rPr>
                <w:bCs/>
                <w:color w:val="000000" w:themeColor="text1"/>
                <w:szCs w:val="21"/>
              </w:rPr>
            </w:pPr>
            <w:r>
              <w:rPr>
                <w:bCs/>
                <w:color w:val="000000" w:themeColor="text1"/>
                <w:szCs w:val="21"/>
              </w:rPr>
              <w:t>450</w:t>
            </w:r>
          </w:p>
        </w:tc>
        <w:tc>
          <w:tcPr>
            <w:tcW w:w="683" w:type="pct"/>
            <w:vAlign w:val="center"/>
          </w:tcPr>
          <w:p w14:paraId="7FEE8987">
            <w:pPr>
              <w:ind w:left="103" w:hanging="102" w:hangingChars="49"/>
              <w:jc w:val="center"/>
              <w:rPr>
                <w:bCs/>
                <w:color w:val="000000" w:themeColor="text1"/>
                <w:szCs w:val="21"/>
              </w:rPr>
            </w:pPr>
            <w:r>
              <w:rPr>
                <w:bCs/>
                <w:color w:val="000000" w:themeColor="text1"/>
                <w:szCs w:val="21"/>
              </w:rPr>
              <w:t>450</w:t>
            </w:r>
          </w:p>
        </w:tc>
      </w:tr>
      <w:tr w14:paraId="79A9BC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70A56BAF">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67C74AD7">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4FD93118">
            <w:pPr>
              <w:jc w:val="center"/>
              <w:rPr>
                <w:b/>
                <w:color w:val="000000" w:themeColor="text1"/>
                <w:szCs w:val="21"/>
              </w:rPr>
            </w:pPr>
            <w:r>
              <w:rPr>
                <w:b/>
                <w:bCs/>
                <w:color w:val="000000" w:themeColor="text1"/>
                <w:szCs w:val="21"/>
              </w:rPr>
              <w:t>达标</w:t>
            </w:r>
          </w:p>
        </w:tc>
        <w:tc>
          <w:tcPr>
            <w:tcW w:w="681" w:type="pct"/>
            <w:vAlign w:val="center"/>
          </w:tcPr>
          <w:p w14:paraId="68F13E46">
            <w:pPr>
              <w:jc w:val="center"/>
              <w:rPr>
                <w:b/>
                <w:color w:val="000000" w:themeColor="text1"/>
                <w:szCs w:val="21"/>
              </w:rPr>
            </w:pPr>
            <w:r>
              <w:rPr>
                <w:b/>
                <w:bCs/>
                <w:color w:val="000000" w:themeColor="text1"/>
                <w:szCs w:val="21"/>
              </w:rPr>
              <w:t>达标</w:t>
            </w:r>
          </w:p>
        </w:tc>
        <w:tc>
          <w:tcPr>
            <w:tcW w:w="681" w:type="pct"/>
            <w:vAlign w:val="center"/>
          </w:tcPr>
          <w:p w14:paraId="4774F6D1">
            <w:pPr>
              <w:jc w:val="center"/>
              <w:rPr>
                <w:b/>
                <w:color w:val="000000" w:themeColor="text1"/>
                <w:szCs w:val="21"/>
              </w:rPr>
            </w:pPr>
            <w:r>
              <w:rPr>
                <w:b/>
                <w:bCs/>
                <w:color w:val="000000" w:themeColor="text1"/>
                <w:szCs w:val="21"/>
              </w:rPr>
              <w:t>达标</w:t>
            </w:r>
          </w:p>
        </w:tc>
        <w:tc>
          <w:tcPr>
            <w:tcW w:w="681" w:type="pct"/>
            <w:vAlign w:val="center"/>
          </w:tcPr>
          <w:p w14:paraId="537DA4BE">
            <w:pPr>
              <w:jc w:val="center"/>
              <w:rPr>
                <w:b/>
                <w:color w:val="000000" w:themeColor="text1"/>
                <w:szCs w:val="21"/>
              </w:rPr>
            </w:pPr>
            <w:r>
              <w:rPr>
                <w:b/>
                <w:bCs/>
                <w:color w:val="000000" w:themeColor="text1"/>
                <w:szCs w:val="21"/>
              </w:rPr>
              <w:t>达标</w:t>
            </w:r>
          </w:p>
        </w:tc>
        <w:tc>
          <w:tcPr>
            <w:tcW w:w="683" w:type="pct"/>
            <w:vAlign w:val="center"/>
          </w:tcPr>
          <w:p w14:paraId="0C547B96">
            <w:pPr>
              <w:jc w:val="center"/>
              <w:rPr>
                <w:b/>
                <w:color w:val="000000" w:themeColor="text1"/>
                <w:szCs w:val="21"/>
              </w:rPr>
            </w:pPr>
            <w:r>
              <w:rPr>
                <w:b/>
                <w:bCs/>
                <w:color w:val="000000" w:themeColor="text1"/>
                <w:szCs w:val="21"/>
              </w:rPr>
              <w:t>达标</w:t>
            </w:r>
          </w:p>
        </w:tc>
      </w:tr>
      <w:tr w14:paraId="128FB7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0A3FC47E">
            <w:pPr>
              <w:ind w:left="103" w:hanging="102" w:hangingChars="49"/>
              <w:jc w:val="center"/>
              <w:rPr>
                <w:bCs/>
                <w:color w:val="000000" w:themeColor="text1"/>
                <w:szCs w:val="21"/>
              </w:rPr>
            </w:pPr>
            <w:r>
              <w:rPr>
                <w:bCs/>
                <w:color w:val="000000" w:themeColor="text1"/>
                <w:szCs w:val="21"/>
              </w:rPr>
              <w:t>铅</w:t>
            </w:r>
          </w:p>
        </w:tc>
        <w:tc>
          <w:tcPr>
            <w:tcW w:w="623" w:type="pct"/>
            <w:vAlign w:val="center"/>
          </w:tcPr>
          <w:p w14:paraId="7163E525">
            <w:pPr>
              <w:ind w:left="103" w:hanging="102" w:hangingChars="49"/>
              <w:jc w:val="center"/>
              <w:rPr>
                <w:bCs/>
                <w:color w:val="000000" w:themeColor="text1"/>
                <w:szCs w:val="21"/>
              </w:rPr>
            </w:pPr>
            <w:r>
              <w:rPr>
                <w:bCs/>
                <w:color w:val="000000" w:themeColor="text1"/>
                <w:szCs w:val="21"/>
              </w:rPr>
              <w:t>0.01L</w:t>
            </w:r>
          </w:p>
        </w:tc>
        <w:tc>
          <w:tcPr>
            <w:tcW w:w="680" w:type="pct"/>
            <w:vAlign w:val="center"/>
          </w:tcPr>
          <w:p w14:paraId="6518C9D9">
            <w:pPr>
              <w:ind w:left="103" w:hanging="102" w:hangingChars="49"/>
              <w:jc w:val="center"/>
              <w:rPr>
                <w:bCs/>
                <w:color w:val="000000" w:themeColor="text1"/>
                <w:szCs w:val="21"/>
              </w:rPr>
            </w:pPr>
            <w:r>
              <w:rPr>
                <w:bCs/>
                <w:color w:val="000000" w:themeColor="text1"/>
                <w:szCs w:val="21"/>
              </w:rPr>
              <w:t>0.01L</w:t>
            </w:r>
          </w:p>
        </w:tc>
        <w:tc>
          <w:tcPr>
            <w:tcW w:w="681" w:type="pct"/>
            <w:vAlign w:val="center"/>
          </w:tcPr>
          <w:p w14:paraId="74E7F7A8">
            <w:pPr>
              <w:ind w:left="103" w:hanging="102" w:hangingChars="49"/>
              <w:jc w:val="center"/>
              <w:rPr>
                <w:bCs/>
                <w:color w:val="000000" w:themeColor="text1"/>
                <w:szCs w:val="21"/>
              </w:rPr>
            </w:pPr>
            <w:r>
              <w:rPr>
                <w:bCs/>
                <w:color w:val="000000" w:themeColor="text1"/>
                <w:szCs w:val="21"/>
              </w:rPr>
              <w:t>0.01L</w:t>
            </w:r>
          </w:p>
        </w:tc>
        <w:tc>
          <w:tcPr>
            <w:tcW w:w="681" w:type="pct"/>
            <w:vAlign w:val="center"/>
          </w:tcPr>
          <w:p w14:paraId="683982AE">
            <w:pPr>
              <w:ind w:left="103" w:hanging="102" w:hangingChars="49"/>
              <w:jc w:val="center"/>
              <w:rPr>
                <w:bCs/>
                <w:color w:val="000000" w:themeColor="text1"/>
                <w:szCs w:val="21"/>
              </w:rPr>
            </w:pPr>
            <w:r>
              <w:rPr>
                <w:bCs/>
                <w:color w:val="000000" w:themeColor="text1"/>
                <w:szCs w:val="21"/>
              </w:rPr>
              <w:t>0.01L</w:t>
            </w:r>
          </w:p>
        </w:tc>
        <w:tc>
          <w:tcPr>
            <w:tcW w:w="681" w:type="pct"/>
          </w:tcPr>
          <w:p w14:paraId="3F6C258E">
            <w:pPr>
              <w:jc w:val="center"/>
              <w:rPr>
                <w:color w:val="000000" w:themeColor="text1"/>
                <w:szCs w:val="21"/>
              </w:rPr>
            </w:pPr>
            <w:r>
              <w:rPr>
                <w:color w:val="000000" w:themeColor="text1"/>
                <w:szCs w:val="21"/>
              </w:rPr>
              <w:t>0.01L</w:t>
            </w:r>
          </w:p>
        </w:tc>
        <w:tc>
          <w:tcPr>
            <w:tcW w:w="683" w:type="pct"/>
          </w:tcPr>
          <w:p w14:paraId="0A29E06F">
            <w:pPr>
              <w:jc w:val="center"/>
              <w:rPr>
                <w:color w:val="000000" w:themeColor="text1"/>
                <w:szCs w:val="21"/>
              </w:rPr>
            </w:pPr>
            <w:r>
              <w:rPr>
                <w:color w:val="000000" w:themeColor="text1"/>
                <w:szCs w:val="21"/>
              </w:rPr>
              <w:t>0.01L</w:t>
            </w:r>
          </w:p>
        </w:tc>
      </w:tr>
      <w:tr w14:paraId="666FC5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3FB54EDF">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5256FF0F">
            <w:pPr>
              <w:jc w:val="center"/>
              <w:rPr>
                <w:color w:val="000000" w:themeColor="text1"/>
                <w:szCs w:val="21"/>
              </w:rPr>
            </w:pPr>
            <w:r>
              <w:rPr>
                <w:color w:val="000000" w:themeColor="text1"/>
                <w:szCs w:val="21"/>
              </w:rPr>
              <w:t>0.20</w:t>
            </w:r>
          </w:p>
        </w:tc>
        <w:tc>
          <w:tcPr>
            <w:tcW w:w="680" w:type="pct"/>
            <w:vAlign w:val="center"/>
          </w:tcPr>
          <w:p w14:paraId="7D14AEAF">
            <w:pPr>
              <w:jc w:val="center"/>
              <w:rPr>
                <w:color w:val="000000" w:themeColor="text1"/>
                <w:szCs w:val="21"/>
              </w:rPr>
            </w:pPr>
            <w:r>
              <w:rPr>
                <w:color w:val="000000" w:themeColor="text1"/>
                <w:szCs w:val="21"/>
              </w:rPr>
              <w:t>0.20</w:t>
            </w:r>
          </w:p>
        </w:tc>
        <w:tc>
          <w:tcPr>
            <w:tcW w:w="681" w:type="pct"/>
            <w:vAlign w:val="center"/>
          </w:tcPr>
          <w:p w14:paraId="14E0EECD">
            <w:pPr>
              <w:jc w:val="center"/>
              <w:rPr>
                <w:color w:val="000000" w:themeColor="text1"/>
                <w:szCs w:val="21"/>
              </w:rPr>
            </w:pPr>
            <w:r>
              <w:rPr>
                <w:color w:val="000000" w:themeColor="text1"/>
                <w:szCs w:val="21"/>
              </w:rPr>
              <w:t>0.20</w:t>
            </w:r>
          </w:p>
        </w:tc>
        <w:tc>
          <w:tcPr>
            <w:tcW w:w="681" w:type="pct"/>
            <w:vAlign w:val="center"/>
          </w:tcPr>
          <w:p w14:paraId="59BB4D90">
            <w:pPr>
              <w:jc w:val="center"/>
              <w:rPr>
                <w:color w:val="000000" w:themeColor="text1"/>
                <w:szCs w:val="21"/>
              </w:rPr>
            </w:pPr>
            <w:r>
              <w:rPr>
                <w:color w:val="000000" w:themeColor="text1"/>
                <w:szCs w:val="21"/>
              </w:rPr>
              <w:t>0.20</w:t>
            </w:r>
          </w:p>
        </w:tc>
        <w:tc>
          <w:tcPr>
            <w:tcW w:w="681" w:type="pct"/>
            <w:vAlign w:val="center"/>
          </w:tcPr>
          <w:p w14:paraId="587383A0">
            <w:pPr>
              <w:jc w:val="center"/>
              <w:rPr>
                <w:color w:val="000000" w:themeColor="text1"/>
                <w:szCs w:val="21"/>
              </w:rPr>
            </w:pPr>
            <w:r>
              <w:rPr>
                <w:color w:val="000000" w:themeColor="text1"/>
                <w:szCs w:val="21"/>
              </w:rPr>
              <w:t>0.20</w:t>
            </w:r>
          </w:p>
        </w:tc>
        <w:tc>
          <w:tcPr>
            <w:tcW w:w="683" w:type="pct"/>
            <w:vAlign w:val="center"/>
          </w:tcPr>
          <w:p w14:paraId="18DC5847">
            <w:pPr>
              <w:jc w:val="center"/>
              <w:rPr>
                <w:color w:val="000000" w:themeColor="text1"/>
                <w:szCs w:val="21"/>
              </w:rPr>
            </w:pPr>
            <w:r>
              <w:rPr>
                <w:color w:val="000000" w:themeColor="text1"/>
                <w:szCs w:val="21"/>
              </w:rPr>
              <w:t>0.20</w:t>
            </w:r>
          </w:p>
        </w:tc>
      </w:tr>
      <w:tr w14:paraId="4E77F8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75766F8E">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4CEA9634">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4D8A1E62">
            <w:pPr>
              <w:jc w:val="center"/>
              <w:rPr>
                <w:b/>
                <w:color w:val="000000" w:themeColor="text1"/>
                <w:szCs w:val="21"/>
              </w:rPr>
            </w:pPr>
            <w:r>
              <w:rPr>
                <w:b/>
                <w:bCs/>
                <w:color w:val="000000" w:themeColor="text1"/>
                <w:szCs w:val="21"/>
              </w:rPr>
              <w:t>达标</w:t>
            </w:r>
          </w:p>
        </w:tc>
        <w:tc>
          <w:tcPr>
            <w:tcW w:w="681" w:type="pct"/>
            <w:vAlign w:val="center"/>
          </w:tcPr>
          <w:p w14:paraId="1D680380">
            <w:pPr>
              <w:jc w:val="center"/>
              <w:rPr>
                <w:b/>
                <w:color w:val="000000" w:themeColor="text1"/>
                <w:szCs w:val="21"/>
              </w:rPr>
            </w:pPr>
            <w:r>
              <w:rPr>
                <w:b/>
                <w:bCs/>
                <w:color w:val="000000" w:themeColor="text1"/>
                <w:szCs w:val="21"/>
              </w:rPr>
              <w:t>达标</w:t>
            </w:r>
          </w:p>
        </w:tc>
        <w:tc>
          <w:tcPr>
            <w:tcW w:w="681" w:type="pct"/>
            <w:vAlign w:val="center"/>
          </w:tcPr>
          <w:p w14:paraId="4D4749DA">
            <w:pPr>
              <w:jc w:val="center"/>
              <w:rPr>
                <w:b/>
                <w:color w:val="000000" w:themeColor="text1"/>
                <w:szCs w:val="21"/>
              </w:rPr>
            </w:pPr>
            <w:r>
              <w:rPr>
                <w:b/>
                <w:bCs/>
                <w:color w:val="000000" w:themeColor="text1"/>
                <w:szCs w:val="21"/>
              </w:rPr>
              <w:t>达标</w:t>
            </w:r>
          </w:p>
        </w:tc>
        <w:tc>
          <w:tcPr>
            <w:tcW w:w="681" w:type="pct"/>
            <w:vAlign w:val="center"/>
          </w:tcPr>
          <w:p w14:paraId="2BA210DF">
            <w:pPr>
              <w:jc w:val="center"/>
              <w:rPr>
                <w:b/>
                <w:color w:val="000000" w:themeColor="text1"/>
                <w:szCs w:val="21"/>
              </w:rPr>
            </w:pPr>
            <w:r>
              <w:rPr>
                <w:b/>
                <w:bCs/>
                <w:color w:val="000000" w:themeColor="text1"/>
                <w:szCs w:val="21"/>
              </w:rPr>
              <w:t>达标</w:t>
            </w:r>
          </w:p>
        </w:tc>
        <w:tc>
          <w:tcPr>
            <w:tcW w:w="683" w:type="pct"/>
            <w:vAlign w:val="center"/>
          </w:tcPr>
          <w:p w14:paraId="5C75B530">
            <w:pPr>
              <w:jc w:val="center"/>
              <w:rPr>
                <w:b/>
                <w:color w:val="000000" w:themeColor="text1"/>
                <w:szCs w:val="21"/>
              </w:rPr>
            </w:pPr>
            <w:r>
              <w:rPr>
                <w:b/>
                <w:bCs/>
                <w:color w:val="000000" w:themeColor="text1"/>
                <w:szCs w:val="21"/>
              </w:rPr>
              <w:t>达标</w:t>
            </w:r>
          </w:p>
        </w:tc>
      </w:tr>
      <w:tr w14:paraId="56D482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37E2C8CB">
            <w:pPr>
              <w:ind w:left="103" w:hanging="102" w:hangingChars="49"/>
              <w:jc w:val="center"/>
              <w:rPr>
                <w:bCs/>
                <w:color w:val="000000" w:themeColor="text1"/>
                <w:szCs w:val="21"/>
              </w:rPr>
            </w:pPr>
            <w:r>
              <w:rPr>
                <w:bCs/>
                <w:color w:val="000000" w:themeColor="text1"/>
                <w:szCs w:val="21"/>
              </w:rPr>
              <w:t>氟化物</w:t>
            </w:r>
          </w:p>
        </w:tc>
        <w:tc>
          <w:tcPr>
            <w:tcW w:w="623" w:type="pct"/>
            <w:vAlign w:val="center"/>
          </w:tcPr>
          <w:p w14:paraId="65FAAC22">
            <w:pPr>
              <w:ind w:left="103" w:hanging="102" w:hangingChars="49"/>
              <w:jc w:val="center"/>
              <w:rPr>
                <w:bCs/>
                <w:color w:val="000000" w:themeColor="text1"/>
                <w:szCs w:val="21"/>
              </w:rPr>
            </w:pPr>
            <w:r>
              <w:rPr>
                <w:bCs/>
                <w:color w:val="000000" w:themeColor="text1"/>
                <w:szCs w:val="21"/>
              </w:rPr>
              <w:t>0.10</w:t>
            </w:r>
          </w:p>
        </w:tc>
        <w:tc>
          <w:tcPr>
            <w:tcW w:w="680" w:type="pct"/>
            <w:vAlign w:val="center"/>
          </w:tcPr>
          <w:p w14:paraId="61AD7547">
            <w:pPr>
              <w:ind w:left="103" w:hanging="102" w:hangingChars="49"/>
              <w:jc w:val="center"/>
              <w:rPr>
                <w:bCs/>
                <w:color w:val="000000" w:themeColor="text1"/>
                <w:szCs w:val="21"/>
              </w:rPr>
            </w:pPr>
            <w:r>
              <w:rPr>
                <w:bCs/>
                <w:color w:val="000000" w:themeColor="text1"/>
                <w:szCs w:val="21"/>
              </w:rPr>
              <w:t>0.10</w:t>
            </w:r>
          </w:p>
        </w:tc>
        <w:tc>
          <w:tcPr>
            <w:tcW w:w="681" w:type="pct"/>
            <w:vAlign w:val="center"/>
          </w:tcPr>
          <w:p w14:paraId="2F441C32">
            <w:pPr>
              <w:ind w:left="103" w:hanging="102" w:hangingChars="49"/>
              <w:jc w:val="center"/>
              <w:rPr>
                <w:bCs/>
                <w:color w:val="000000" w:themeColor="text1"/>
                <w:szCs w:val="21"/>
              </w:rPr>
            </w:pPr>
            <w:r>
              <w:rPr>
                <w:bCs/>
                <w:color w:val="000000" w:themeColor="text1"/>
                <w:szCs w:val="21"/>
              </w:rPr>
              <w:t>0.10</w:t>
            </w:r>
          </w:p>
        </w:tc>
        <w:tc>
          <w:tcPr>
            <w:tcW w:w="681" w:type="pct"/>
            <w:vAlign w:val="center"/>
          </w:tcPr>
          <w:p w14:paraId="74D5DB70">
            <w:pPr>
              <w:ind w:left="103" w:hanging="102" w:hangingChars="49"/>
              <w:jc w:val="center"/>
              <w:rPr>
                <w:bCs/>
                <w:color w:val="000000" w:themeColor="text1"/>
                <w:szCs w:val="21"/>
              </w:rPr>
            </w:pPr>
            <w:r>
              <w:rPr>
                <w:bCs/>
                <w:color w:val="000000" w:themeColor="text1"/>
                <w:szCs w:val="21"/>
              </w:rPr>
              <w:t>0.10</w:t>
            </w:r>
          </w:p>
        </w:tc>
        <w:tc>
          <w:tcPr>
            <w:tcW w:w="681" w:type="pct"/>
            <w:vAlign w:val="center"/>
          </w:tcPr>
          <w:p w14:paraId="78AF4BBC">
            <w:pPr>
              <w:ind w:left="103" w:hanging="102" w:hangingChars="49"/>
              <w:jc w:val="center"/>
              <w:rPr>
                <w:bCs/>
                <w:color w:val="000000" w:themeColor="text1"/>
                <w:szCs w:val="21"/>
              </w:rPr>
            </w:pPr>
            <w:r>
              <w:rPr>
                <w:bCs/>
                <w:color w:val="000000" w:themeColor="text1"/>
                <w:szCs w:val="21"/>
              </w:rPr>
              <w:t>0.10</w:t>
            </w:r>
          </w:p>
        </w:tc>
        <w:tc>
          <w:tcPr>
            <w:tcW w:w="683" w:type="pct"/>
            <w:vAlign w:val="center"/>
          </w:tcPr>
          <w:p w14:paraId="605E7EDB">
            <w:pPr>
              <w:ind w:left="103" w:hanging="102" w:hangingChars="49"/>
              <w:jc w:val="center"/>
              <w:rPr>
                <w:bCs/>
                <w:color w:val="000000" w:themeColor="text1"/>
                <w:szCs w:val="21"/>
              </w:rPr>
            </w:pPr>
            <w:r>
              <w:rPr>
                <w:bCs/>
                <w:color w:val="000000" w:themeColor="text1"/>
                <w:szCs w:val="21"/>
              </w:rPr>
              <w:t>0.10</w:t>
            </w:r>
          </w:p>
        </w:tc>
      </w:tr>
      <w:tr w14:paraId="3A381B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077CBFDC">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48857171">
            <w:pPr>
              <w:jc w:val="center"/>
              <w:rPr>
                <w:color w:val="000000" w:themeColor="text1"/>
                <w:szCs w:val="21"/>
              </w:rPr>
            </w:pPr>
            <w:r>
              <w:rPr>
                <w:color w:val="000000" w:themeColor="text1"/>
                <w:szCs w:val="21"/>
              </w:rPr>
              <w:t>1.0</w:t>
            </w:r>
          </w:p>
        </w:tc>
        <w:tc>
          <w:tcPr>
            <w:tcW w:w="680" w:type="pct"/>
            <w:vAlign w:val="center"/>
          </w:tcPr>
          <w:p w14:paraId="61C85071">
            <w:pPr>
              <w:jc w:val="center"/>
              <w:rPr>
                <w:color w:val="000000" w:themeColor="text1"/>
                <w:szCs w:val="21"/>
              </w:rPr>
            </w:pPr>
            <w:r>
              <w:rPr>
                <w:color w:val="000000" w:themeColor="text1"/>
                <w:szCs w:val="21"/>
              </w:rPr>
              <w:t>1.0</w:t>
            </w:r>
          </w:p>
        </w:tc>
        <w:tc>
          <w:tcPr>
            <w:tcW w:w="681" w:type="pct"/>
            <w:vAlign w:val="center"/>
          </w:tcPr>
          <w:p w14:paraId="365B5372">
            <w:pPr>
              <w:jc w:val="center"/>
              <w:rPr>
                <w:color w:val="000000" w:themeColor="text1"/>
                <w:szCs w:val="21"/>
              </w:rPr>
            </w:pPr>
            <w:r>
              <w:rPr>
                <w:color w:val="000000" w:themeColor="text1"/>
                <w:szCs w:val="21"/>
              </w:rPr>
              <w:t>1.0</w:t>
            </w:r>
          </w:p>
        </w:tc>
        <w:tc>
          <w:tcPr>
            <w:tcW w:w="681" w:type="pct"/>
            <w:vAlign w:val="center"/>
          </w:tcPr>
          <w:p w14:paraId="47664CA3">
            <w:pPr>
              <w:jc w:val="center"/>
              <w:rPr>
                <w:color w:val="000000" w:themeColor="text1"/>
                <w:szCs w:val="21"/>
              </w:rPr>
            </w:pPr>
            <w:r>
              <w:rPr>
                <w:color w:val="000000" w:themeColor="text1"/>
                <w:szCs w:val="21"/>
              </w:rPr>
              <w:t>1.0</w:t>
            </w:r>
          </w:p>
        </w:tc>
        <w:tc>
          <w:tcPr>
            <w:tcW w:w="681" w:type="pct"/>
            <w:vAlign w:val="center"/>
          </w:tcPr>
          <w:p w14:paraId="0A3187C4">
            <w:pPr>
              <w:jc w:val="center"/>
              <w:rPr>
                <w:color w:val="000000" w:themeColor="text1"/>
                <w:szCs w:val="21"/>
              </w:rPr>
            </w:pPr>
            <w:r>
              <w:rPr>
                <w:color w:val="000000" w:themeColor="text1"/>
                <w:szCs w:val="21"/>
              </w:rPr>
              <w:t>1.0</w:t>
            </w:r>
          </w:p>
        </w:tc>
        <w:tc>
          <w:tcPr>
            <w:tcW w:w="683" w:type="pct"/>
            <w:vAlign w:val="center"/>
          </w:tcPr>
          <w:p w14:paraId="58B83558">
            <w:pPr>
              <w:jc w:val="center"/>
              <w:rPr>
                <w:color w:val="000000" w:themeColor="text1"/>
                <w:szCs w:val="21"/>
              </w:rPr>
            </w:pPr>
            <w:r>
              <w:rPr>
                <w:color w:val="000000" w:themeColor="text1"/>
                <w:szCs w:val="21"/>
              </w:rPr>
              <w:t>1.0</w:t>
            </w:r>
          </w:p>
        </w:tc>
      </w:tr>
      <w:tr w14:paraId="4411DD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082C1A50">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5890D279">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1F5A9D15">
            <w:pPr>
              <w:jc w:val="center"/>
              <w:rPr>
                <w:b/>
                <w:color w:val="000000" w:themeColor="text1"/>
                <w:szCs w:val="21"/>
              </w:rPr>
            </w:pPr>
            <w:r>
              <w:rPr>
                <w:b/>
                <w:bCs/>
                <w:color w:val="000000" w:themeColor="text1"/>
                <w:szCs w:val="21"/>
              </w:rPr>
              <w:t>达标</w:t>
            </w:r>
          </w:p>
        </w:tc>
        <w:tc>
          <w:tcPr>
            <w:tcW w:w="681" w:type="pct"/>
            <w:vAlign w:val="center"/>
          </w:tcPr>
          <w:p w14:paraId="059CA0CF">
            <w:pPr>
              <w:jc w:val="center"/>
              <w:rPr>
                <w:b/>
                <w:color w:val="000000" w:themeColor="text1"/>
                <w:szCs w:val="21"/>
              </w:rPr>
            </w:pPr>
            <w:r>
              <w:rPr>
                <w:b/>
                <w:bCs/>
                <w:color w:val="000000" w:themeColor="text1"/>
                <w:szCs w:val="21"/>
              </w:rPr>
              <w:t>达标</w:t>
            </w:r>
          </w:p>
        </w:tc>
        <w:tc>
          <w:tcPr>
            <w:tcW w:w="681" w:type="pct"/>
            <w:vAlign w:val="center"/>
          </w:tcPr>
          <w:p w14:paraId="627F1BA9">
            <w:pPr>
              <w:jc w:val="center"/>
              <w:rPr>
                <w:b/>
                <w:color w:val="000000" w:themeColor="text1"/>
                <w:szCs w:val="21"/>
              </w:rPr>
            </w:pPr>
            <w:r>
              <w:rPr>
                <w:b/>
                <w:bCs/>
                <w:color w:val="000000" w:themeColor="text1"/>
                <w:szCs w:val="21"/>
              </w:rPr>
              <w:t>达标</w:t>
            </w:r>
          </w:p>
        </w:tc>
        <w:tc>
          <w:tcPr>
            <w:tcW w:w="681" w:type="pct"/>
            <w:vAlign w:val="center"/>
          </w:tcPr>
          <w:p w14:paraId="55A55CDA">
            <w:pPr>
              <w:jc w:val="center"/>
              <w:rPr>
                <w:b/>
                <w:color w:val="000000" w:themeColor="text1"/>
                <w:szCs w:val="21"/>
              </w:rPr>
            </w:pPr>
            <w:r>
              <w:rPr>
                <w:b/>
                <w:bCs/>
                <w:color w:val="000000" w:themeColor="text1"/>
                <w:szCs w:val="21"/>
              </w:rPr>
              <w:t>达标</w:t>
            </w:r>
          </w:p>
        </w:tc>
        <w:tc>
          <w:tcPr>
            <w:tcW w:w="683" w:type="pct"/>
            <w:vAlign w:val="center"/>
          </w:tcPr>
          <w:p w14:paraId="3CE56E76">
            <w:pPr>
              <w:jc w:val="center"/>
              <w:rPr>
                <w:b/>
                <w:color w:val="000000" w:themeColor="text1"/>
                <w:szCs w:val="21"/>
              </w:rPr>
            </w:pPr>
            <w:r>
              <w:rPr>
                <w:b/>
                <w:bCs/>
                <w:color w:val="000000" w:themeColor="text1"/>
                <w:szCs w:val="21"/>
              </w:rPr>
              <w:t>达标</w:t>
            </w:r>
          </w:p>
        </w:tc>
      </w:tr>
      <w:tr w14:paraId="451FFC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70FCAD4E">
            <w:pPr>
              <w:ind w:left="103" w:hanging="102" w:hangingChars="49"/>
              <w:jc w:val="center"/>
              <w:rPr>
                <w:bCs/>
                <w:color w:val="000000" w:themeColor="text1"/>
                <w:szCs w:val="21"/>
              </w:rPr>
            </w:pPr>
            <w:r>
              <w:rPr>
                <w:bCs/>
                <w:color w:val="000000" w:themeColor="text1"/>
                <w:szCs w:val="21"/>
              </w:rPr>
              <w:t>镉</w:t>
            </w:r>
          </w:p>
        </w:tc>
        <w:tc>
          <w:tcPr>
            <w:tcW w:w="623" w:type="pct"/>
            <w:vAlign w:val="center"/>
          </w:tcPr>
          <w:p w14:paraId="02D89518">
            <w:pPr>
              <w:ind w:left="103" w:hanging="102" w:hangingChars="49"/>
              <w:jc w:val="center"/>
              <w:rPr>
                <w:bCs/>
                <w:color w:val="000000" w:themeColor="text1"/>
                <w:szCs w:val="21"/>
              </w:rPr>
            </w:pPr>
            <w:r>
              <w:rPr>
                <w:bCs/>
                <w:color w:val="000000" w:themeColor="text1"/>
                <w:szCs w:val="21"/>
              </w:rPr>
              <w:t>0.001L</w:t>
            </w:r>
          </w:p>
        </w:tc>
        <w:tc>
          <w:tcPr>
            <w:tcW w:w="680" w:type="pct"/>
            <w:vAlign w:val="center"/>
          </w:tcPr>
          <w:p w14:paraId="6441D063">
            <w:pPr>
              <w:ind w:left="103" w:hanging="102" w:hangingChars="49"/>
              <w:jc w:val="center"/>
              <w:rPr>
                <w:bCs/>
                <w:color w:val="000000" w:themeColor="text1"/>
                <w:szCs w:val="21"/>
              </w:rPr>
            </w:pPr>
            <w:r>
              <w:rPr>
                <w:bCs/>
                <w:color w:val="000000" w:themeColor="text1"/>
                <w:szCs w:val="21"/>
              </w:rPr>
              <w:t>0.001L</w:t>
            </w:r>
          </w:p>
        </w:tc>
        <w:tc>
          <w:tcPr>
            <w:tcW w:w="681" w:type="pct"/>
            <w:vAlign w:val="center"/>
          </w:tcPr>
          <w:p w14:paraId="407C77B6">
            <w:pPr>
              <w:ind w:left="103" w:hanging="102" w:hangingChars="49"/>
              <w:jc w:val="center"/>
              <w:rPr>
                <w:bCs/>
                <w:color w:val="000000" w:themeColor="text1"/>
                <w:szCs w:val="21"/>
              </w:rPr>
            </w:pPr>
            <w:r>
              <w:rPr>
                <w:bCs/>
                <w:color w:val="000000" w:themeColor="text1"/>
                <w:szCs w:val="21"/>
              </w:rPr>
              <w:t>0.001L</w:t>
            </w:r>
          </w:p>
        </w:tc>
        <w:tc>
          <w:tcPr>
            <w:tcW w:w="681" w:type="pct"/>
            <w:vAlign w:val="center"/>
          </w:tcPr>
          <w:p w14:paraId="128E6EF7">
            <w:pPr>
              <w:ind w:left="103" w:hanging="102" w:hangingChars="49"/>
              <w:jc w:val="center"/>
              <w:rPr>
                <w:bCs/>
                <w:color w:val="000000" w:themeColor="text1"/>
                <w:szCs w:val="21"/>
              </w:rPr>
            </w:pPr>
            <w:r>
              <w:rPr>
                <w:bCs/>
                <w:color w:val="000000" w:themeColor="text1"/>
                <w:szCs w:val="21"/>
              </w:rPr>
              <w:t>0.001L</w:t>
            </w:r>
          </w:p>
        </w:tc>
        <w:tc>
          <w:tcPr>
            <w:tcW w:w="681" w:type="pct"/>
            <w:vAlign w:val="center"/>
          </w:tcPr>
          <w:p w14:paraId="7775DA3C">
            <w:pPr>
              <w:ind w:left="103" w:hanging="102" w:hangingChars="49"/>
              <w:jc w:val="center"/>
              <w:rPr>
                <w:bCs/>
                <w:color w:val="000000" w:themeColor="text1"/>
                <w:szCs w:val="21"/>
              </w:rPr>
            </w:pPr>
            <w:r>
              <w:rPr>
                <w:bCs/>
                <w:color w:val="000000" w:themeColor="text1"/>
                <w:szCs w:val="21"/>
              </w:rPr>
              <w:t>0.001L</w:t>
            </w:r>
          </w:p>
        </w:tc>
        <w:tc>
          <w:tcPr>
            <w:tcW w:w="683" w:type="pct"/>
            <w:vAlign w:val="center"/>
          </w:tcPr>
          <w:p w14:paraId="0F8B8270">
            <w:pPr>
              <w:ind w:left="103" w:hanging="102" w:hangingChars="49"/>
              <w:jc w:val="center"/>
              <w:rPr>
                <w:bCs/>
                <w:color w:val="000000" w:themeColor="text1"/>
                <w:szCs w:val="21"/>
              </w:rPr>
            </w:pPr>
            <w:r>
              <w:rPr>
                <w:bCs/>
                <w:color w:val="000000" w:themeColor="text1"/>
                <w:szCs w:val="21"/>
              </w:rPr>
              <w:t>0.001L</w:t>
            </w:r>
          </w:p>
        </w:tc>
      </w:tr>
      <w:tr w14:paraId="4643C5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1F6B7BAD">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1743C92A">
            <w:pPr>
              <w:jc w:val="center"/>
              <w:rPr>
                <w:color w:val="000000" w:themeColor="text1"/>
                <w:szCs w:val="21"/>
              </w:rPr>
            </w:pPr>
            <w:r>
              <w:rPr>
                <w:color w:val="000000" w:themeColor="text1"/>
                <w:szCs w:val="21"/>
              </w:rPr>
              <w:t>0.005</w:t>
            </w:r>
          </w:p>
        </w:tc>
        <w:tc>
          <w:tcPr>
            <w:tcW w:w="680" w:type="pct"/>
            <w:vAlign w:val="center"/>
          </w:tcPr>
          <w:p w14:paraId="484A1B12">
            <w:pPr>
              <w:jc w:val="center"/>
              <w:rPr>
                <w:color w:val="000000" w:themeColor="text1"/>
                <w:szCs w:val="21"/>
              </w:rPr>
            </w:pPr>
            <w:r>
              <w:rPr>
                <w:color w:val="000000" w:themeColor="text1"/>
                <w:szCs w:val="21"/>
              </w:rPr>
              <w:t>0.005</w:t>
            </w:r>
          </w:p>
        </w:tc>
        <w:tc>
          <w:tcPr>
            <w:tcW w:w="681" w:type="pct"/>
            <w:vAlign w:val="center"/>
          </w:tcPr>
          <w:p w14:paraId="4C28B1D0">
            <w:pPr>
              <w:jc w:val="center"/>
              <w:rPr>
                <w:color w:val="000000" w:themeColor="text1"/>
                <w:szCs w:val="21"/>
              </w:rPr>
            </w:pPr>
            <w:r>
              <w:rPr>
                <w:color w:val="000000" w:themeColor="text1"/>
                <w:szCs w:val="21"/>
              </w:rPr>
              <w:t>0.005</w:t>
            </w:r>
          </w:p>
        </w:tc>
        <w:tc>
          <w:tcPr>
            <w:tcW w:w="681" w:type="pct"/>
            <w:vAlign w:val="center"/>
          </w:tcPr>
          <w:p w14:paraId="2A9C91B3">
            <w:pPr>
              <w:jc w:val="center"/>
              <w:rPr>
                <w:color w:val="000000" w:themeColor="text1"/>
                <w:szCs w:val="21"/>
              </w:rPr>
            </w:pPr>
            <w:r>
              <w:rPr>
                <w:color w:val="000000" w:themeColor="text1"/>
                <w:szCs w:val="21"/>
              </w:rPr>
              <w:t>0.005</w:t>
            </w:r>
          </w:p>
        </w:tc>
        <w:tc>
          <w:tcPr>
            <w:tcW w:w="681" w:type="pct"/>
            <w:vAlign w:val="center"/>
          </w:tcPr>
          <w:p w14:paraId="3D174BDF">
            <w:pPr>
              <w:jc w:val="center"/>
              <w:rPr>
                <w:color w:val="000000" w:themeColor="text1"/>
                <w:szCs w:val="21"/>
              </w:rPr>
            </w:pPr>
            <w:r>
              <w:rPr>
                <w:color w:val="000000" w:themeColor="text1"/>
                <w:szCs w:val="21"/>
              </w:rPr>
              <w:t>0.005</w:t>
            </w:r>
          </w:p>
        </w:tc>
        <w:tc>
          <w:tcPr>
            <w:tcW w:w="683" w:type="pct"/>
            <w:vAlign w:val="center"/>
          </w:tcPr>
          <w:p w14:paraId="33B9C72D">
            <w:pPr>
              <w:jc w:val="center"/>
              <w:rPr>
                <w:color w:val="000000" w:themeColor="text1"/>
                <w:szCs w:val="21"/>
              </w:rPr>
            </w:pPr>
            <w:r>
              <w:rPr>
                <w:color w:val="000000" w:themeColor="text1"/>
                <w:szCs w:val="21"/>
              </w:rPr>
              <w:t>0.005</w:t>
            </w:r>
          </w:p>
        </w:tc>
      </w:tr>
      <w:tr w14:paraId="7F8B07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6A9844CA">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2AC81F3F">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6AA0F592">
            <w:pPr>
              <w:jc w:val="center"/>
              <w:rPr>
                <w:b/>
                <w:color w:val="000000" w:themeColor="text1"/>
                <w:szCs w:val="21"/>
              </w:rPr>
            </w:pPr>
            <w:r>
              <w:rPr>
                <w:b/>
                <w:bCs/>
                <w:color w:val="000000" w:themeColor="text1"/>
                <w:szCs w:val="21"/>
              </w:rPr>
              <w:t>达标</w:t>
            </w:r>
          </w:p>
        </w:tc>
        <w:tc>
          <w:tcPr>
            <w:tcW w:w="681" w:type="pct"/>
            <w:vAlign w:val="center"/>
          </w:tcPr>
          <w:p w14:paraId="0E63E85B">
            <w:pPr>
              <w:jc w:val="center"/>
              <w:rPr>
                <w:b/>
                <w:color w:val="000000" w:themeColor="text1"/>
                <w:szCs w:val="21"/>
              </w:rPr>
            </w:pPr>
            <w:r>
              <w:rPr>
                <w:b/>
                <w:bCs/>
                <w:color w:val="000000" w:themeColor="text1"/>
                <w:szCs w:val="21"/>
              </w:rPr>
              <w:t>达标</w:t>
            </w:r>
          </w:p>
        </w:tc>
        <w:tc>
          <w:tcPr>
            <w:tcW w:w="681" w:type="pct"/>
            <w:vAlign w:val="center"/>
          </w:tcPr>
          <w:p w14:paraId="3C661580">
            <w:pPr>
              <w:jc w:val="center"/>
              <w:rPr>
                <w:b/>
                <w:color w:val="000000" w:themeColor="text1"/>
                <w:szCs w:val="21"/>
              </w:rPr>
            </w:pPr>
            <w:r>
              <w:rPr>
                <w:b/>
                <w:bCs/>
                <w:color w:val="000000" w:themeColor="text1"/>
                <w:szCs w:val="21"/>
              </w:rPr>
              <w:t>达标</w:t>
            </w:r>
          </w:p>
        </w:tc>
        <w:tc>
          <w:tcPr>
            <w:tcW w:w="681" w:type="pct"/>
            <w:vAlign w:val="center"/>
          </w:tcPr>
          <w:p w14:paraId="36E4DA44">
            <w:pPr>
              <w:jc w:val="center"/>
              <w:rPr>
                <w:b/>
                <w:color w:val="000000" w:themeColor="text1"/>
                <w:szCs w:val="21"/>
              </w:rPr>
            </w:pPr>
            <w:r>
              <w:rPr>
                <w:b/>
                <w:bCs/>
                <w:color w:val="000000" w:themeColor="text1"/>
                <w:szCs w:val="21"/>
              </w:rPr>
              <w:t>达标</w:t>
            </w:r>
          </w:p>
        </w:tc>
        <w:tc>
          <w:tcPr>
            <w:tcW w:w="683" w:type="pct"/>
            <w:vAlign w:val="center"/>
          </w:tcPr>
          <w:p w14:paraId="461F7445">
            <w:pPr>
              <w:jc w:val="center"/>
              <w:rPr>
                <w:b/>
                <w:color w:val="000000" w:themeColor="text1"/>
                <w:szCs w:val="21"/>
              </w:rPr>
            </w:pPr>
            <w:r>
              <w:rPr>
                <w:b/>
                <w:bCs/>
                <w:color w:val="000000" w:themeColor="text1"/>
                <w:szCs w:val="21"/>
              </w:rPr>
              <w:t>达标</w:t>
            </w:r>
          </w:p>
        </w:tc>
      </w:tr>
      <w:tr w14:paraId="1912CD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3D77864C">
            <w:pPr>
              <w:ind w:left="103" w:hanging="102" w:hangingChars="49"/>
              <w:jc w:val="center"/>
              <w:rPr>
                <w:bCs/>
                <w:color w:val="000000" w:themeColor="text1"/>
                <w:szCs w:val="21"/>
              </w:rPr>
            </w:pPr>
            <w:r>
              <w:rPr>
                <w:bCs/>
                <w:color w:val="000000" w:themeColor="text1"/>
                <w:szCs w:val="21"/>
              </w:rPr>
              <w:t>铁</w:t>
            </w:r>
          </w:p>
        </w:tc>
        <w:tc>
          <w:tcPr>
            <w:tcW w:w="623" w:type="pct"/>
            <w:vAlign w:val="center"/>
          </w:tcPr>
          <w:p w14:paraId="359965E7">
            <w:pPr>
              <w:ind w:left="103" w:hanging="102" w:hangingChars="49"/>
              <w:jc w:val="center"/>
              <w:rPr>
                <w:bCs/>
                <w:color w:val="000000" w:themeColor="text1"/>
                <w:szCs w:val="21"/>
              </w:rPr>
            </w:pPr>
            <w:r>
              <w:rPr>
                <w:bCs/>
                <w:color w:val="000000" w:themeColor="text1"/>
                <w:szCs w:val="21"/>
              </w:rPr>
              <w:t>0.03L</w:t>
            </w:r>
          </w:p>
        </w:tc>
        <w:tc>
          <w:tcPr>
            <w:tcW w:w="680" w:type="pct"/>
            <w:vAlign w:val="center"/>
          </w:tcPr>
          <w:p w14:paraId="59F23B5C">
            <w:pPr>
              <w:jc w:val="center"/>
              <w:rPr>
                <w:bCs/>
                <w:color w:val="000000" w:themeColor="text1"/>
                <w:szCs w:val="21"/>
              </w:rPr>
            </w:pPr>
            <w:r>
              <w:rPr>
                <w:bCs/>
                <w:color w:val="000000" w:themeColor="text1"/>
                <w:szCs w:val="21"/>
              </w:rPr>
              <w:t>0.03L</w:t>
            </w:r>
          </w:p>
        </w:tc>
        <w:tc>
          <w:tcPr>
            <w:tcW w:w="681" w:type="pct"/>
            <w:vAlign w:val="center"/>
          </w:tcPr>
          <w:p w14:paraId="2E06AF15">
            <w:pPr>
              <w:jc w:val="center"/>
              <w:rPr>
                <w:bCs/>
                <w:color w:val="000000" w:themeColor="text1"/>
                <w:szCs w:val="21"/>
              </w:rPr>
            </w:pPr>
            <w:r>
              <w:rPr>
                <w:bCs/>
                <w:color w:val="000000" w:themeColor="text1"/>
                <w:szCs w:val="21"/>
              </w:rPr>
              <w:t>0.03L</w:t>
            </w:r>
          </w:p>
        </w:tc>
        <w:tc>
          <w:tcPr>
            <w:tcW w:w="681" w:type="pct"/>
            <w:vAlign w:val="center"/>
          </w:tcPr>
          <w:p w14:paraId="4E31FC86">
            <w:pPr>
              <w:jc w:val="center"/>
              <w:rPr>
                <w:bCs/>
                <w:color w:val="000000" w:themeColor="text1"/>
                <w:szCs w:val="21"/>
              </w:rPr>
            </w:pPr>
            <w:r>
              <w:rPr>
                <w:bCs/>
                <w:color w:val="000000" w:themeColor="text1"/>
                <w:szCs w:val="21"/>
              </w:rPr>
              <w:t>0.03L</w:t>
            </w:r>
          </w:p>
        </w:tc>
        <w:tc>
          <w:tcPr>
            <w:tcW w:w="681" w:type="pct"/>
            <w:vAlign w:val="center"/>
          </w:tcPr>
          <w:p w14:paraId="56967C60">
            <w:pPr>
              <w:jc w:val="center"/>
              <w:rPr>
                <w:bCs/>
                <w:color w:val="000000" w:themeColor="text1"/>
                <w:szCs w:val="21"/>
              </w:rPr>
            </w:pPr>
            <w:r>
              <w:rPr>
                <w:bCs/>
                <w:color w:val="000000" w:themeColor="text1"/>
                <w:szCs w:val="21"/>
              </w:rPr>
              <w:t>0.03L</w:t>
            </w:r>
          </w:p>
        </w:tc>
        <w:tc>
          <w:tcPr>
            <w:tcW w:w="683" w:type="pct"/>
            <w:vAlign w:val="center"/>
          </w:tcPr>
          <w:p w14:paraId="43E5470D">
            <w:pPr>
              <w:jc w:val="center"/>
              <w:rPr>
                <w:bCs/>
                <w:color w:val="000000" w:themeColor="text1"/>
                <w:szCs w:val="21"/>
              </w:rPr>
            </w:pPr>
            <w:r>
              <w:rPr>
                <w:bCs/>
                <w:color w:val="000000" w:themeColor="text1"/>
                <w:szCs w:val="21"/>
              </w:rPr>
              <w:t>0.03L</w:t>
            </w:r>
          </w:p>
        </w:tc>
      </w:tr>
      <w:tr w14:paraId="2471F3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633E1E72">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2120A265">
            <w:pPr>
              <w:ind w:left="103" w:hanging="102" w:hangingChars="49"/>
              <w:jc w:val="center"/>
              <w:rPr>
                <w:bCs/>
                <w:color w:val="000000" w:themeColor="text1"/>
                <w:szCs w:val="21"/>
              </w:rPr>
            </w:pPr>
            <w:r>
              <w:rPr>
                <w:bCs/>
                <w:color w:val="000000" w:themeColor="text1"/>
                <w:szCs w:val="21"/>
              </w:rPr>
              <w:t>0.3</w:t>
            </w:r>
          </w:p>
        </w:tc>
        <w:tc>
          <w:tcPr>
            <w:tcW w:w="680" w:type="pct"/>
            <w:vAlign w:val="center"/>
          </w:tcPr>
          <w:p w14:paraId="51E84836">
            <w:pPr>
              <w:jc w:val="center"/>
              <w:rPr>
                <w:bCs/>
                <w:color w:val="000000" w:themeColor="text1"/>
                <w:szCs w:val="21"/>
              </w:rPr>
            </w:pPr>
            <w:r>
              <w:rPr>
                <w:bCs/>
                <w:color w:val="000000" w:themeColor="text1"/>
                <w:szCs w:val="21"/>
              </w:rPr>
              <w:t>0.3</w:t>
            </w:r>
          </w:p>
        </w:tc>
        <w:tc>
          <w:tcPr>
            <w:tcW w:w="681" w:type="pct"/>
            <w:vAlign w:val="center"/>
          </w:tcPr>
          <w:p w14:paraId="415DB3AD">
            <w:pPr>
              <w:jc w:val="center"/>
              <w:rPr>
                <w:bCs/>
                <w:color w:val="000000" w:themeColor="text1"/>
                <w:szCs w:val="21"/>
              </w:rPr>
            </w:pPr>
            <w:r>
              <w:rPr>
                <w:bCs/>
                <w:color w:val="000000" w:themeColor="text1"/>
                <w:szCs w:val="21"/>
              </w:rPr>
              <w:t>0.3</w:t>
            </w:r>
          </w:p>
        </w:tc>
        <w:tc>
          <w:tcPr>
            <w:tcW w:w="681" w:type="pct"/>
            <w:vAlign w:val="center"/>
          </w:tcPr>
          <w:p w14:paraId="7FCCE96B">
            <w:pPr>
              <w:jc w:val="center"/>
              <w:rPr>
                <w:bCs/>
                <w:color w:val="000000" w:themeColor="text1"/>
                <w:szCs w:val="21"/>
              </w:rPr>
            </w:pPr>
            <w:r>
              <w:rPr>
                <w:bCs/>
                <w:color w:val="000000" w:themeColor="text1"/>
                <w:szCs w:val="21"/>
              </w:rPr>
              <w:t>0.3</w:t>
            </w:r>
          </w:p>
        </w:tc>
        <w:tc>
          <w:tcPr>
            <w:tcW w:w="681" w:type="pct"/>
            <w:vAlign w:val="center"/>
          </w:tcPr>
          <w:p w14:paraId="0999F5C5">
            <w:pPr>
              <w:jc w:val="center"/>
              <w:rPr>
                <w:bCs/>
                <w:color w:val="000000" w:themeColor="text1"/>
                <w:szCs w:val="21"/>
              </w:rPr>
            </w:pPr>
            <w:r>
              <w:rPr>
                <w:bCs/>
                <w:color w:val="000000" w:themeColor="text1"/>
                <w:szCs w:val="21"/>
              </w:rPr>
              <w:t>0.3</w:t>
            </w:r>
          </w:p>
        </w:tc>
        <w:tc>
          <w:tcPr>
            <w:tcW w:w="683" w:type="pct"/>
            <w:vAlign w:val="center"/>
          </w:tcPr>
          <w:p w14:paraId="49366B66">
            <w:pPr>
              <w:jc w:val="center"/>
              <w:rPr>
                <w:bCs/>
                <w:color w:val="000000" w:themeColor="text1"/>
                <w:szCs w:val="21"/>
              </w:rPr>
            </w:pPr>
            <w:r>
              <w:rPr>
                <w:bCs/>
                <w:color w:val="000000" w:themeColor="text1"/>
                <w:szCs w:val="21"/>
              </w:rPr>
              <w:t>0.3</w:t>
            </w:r>
          </w:p>
        </w:tc>
      </w:tr>
      <w:tr w14:paraId="44053F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44958DE5">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1D6D1A3B">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5AA304E7">
            <w:pPr>
              <w:jc w:val="center"/>
              <w:rPr>
                <w:b/>
                <w:bCs/>
                <w:color w:val="000000" w:themeColor="text1"/>
                <w:szCs w:val="21"/>
              </w:rPr>
            </w:pPr>
            <w:r>
              <w:rPr>
                <w:b/>
                <w:bCs/>
                <w:color w:val="000000" w:themeColor="text1"/>
                <w:szCs w:val="21"/>
              </w:rPr>
              <w:t>达标</w:t>
            </w:r>
          </w:p>
        </w:tc>
        <w:tc>
          <w:tcPr>
            <w:tcW w:w="681" w:type="pct"/>
            <w:vAlign w:val="center"/>
          </w:tcPr>
          <w:p w14:paraId="4F02045F">
            <w:pPr>
              <w:jc w:val="center"/>
              <w:rPr>
                <w:b/>
                <w:bCs/>
                <w:color w:val="000000" w:themeColor="text1"/>
                <w:szCs w:val="21"/>
              </w:rPr>
            </w:pPr>
            <w:r>
              <w:rPr>
                <w:b/>
                <w:bCs/>
                <w:color w:val="000000" w:themeColor="text1"/>
                <w:szCs w:val="21"/>
              </w:rPr>
              <w:t>达标</w:t>
            </w:r>
          </w:p>
        </w:tc>
        <w:tc>
          <w:tcPr>
            <w:tcW w:w="681" w:type="pct"/>
            <w:vAlign w:val="center"/>
          </w:tcPr>
          <w:p w14:paraId="5AEA4E35">
            <w:pPr>
              <w:jc w:val="center"/>
              <w:rPr>
                <w:b/>
                <w:bCs/>
                <w:color w:val="000000" w:themeColor="text1"/>
                <w:szCs w:val="21"/>
              </w:rPr>
            </w:pPr>
            <w:r>
              <w:rPr>
                <w:b/>
                <w:bCs/>
                <w:color w:val="000000" w:themeColor="text1"/>
                <w:szCs w:val="21"/>
              </w:rPr>
              <w:t>达标</w:t>
            </w:r>
          </w:p>
        </w:tc>
        <w:tc>
          <w:tcPr>
            <w:tcW w:w="681" w:type="pct"/>
            <w:vAlign w:val="center"/>
          </w:tcPr>
          <w:p w14:paraId="3FC66E3E">
            <w:pPr>
              <w:jc w:val="center"/>
              <w:rPr>
                <w:b/>
                <w:bCs/>
                <w:color w:val="000000" w:themeColor="text1"/>
                <w:szCs w:val="21"/>
              </w:rPr>
            </w:pPr>
            <w:r>
              <w:rPr>
                <w:b/>
                <w:bCs/>
                <w:color w:val="000000" w:themeColor="text1"/>
                <w:szCs w:val="21"/>
              </w:rPr>
              <w:t>达标</w:t>
            </w:r>
          </w:p>
        </w:tc>
        <w:tc>
          <w:tcPr>
            <w:tcW w:w="683" w:type="pct"/>
            <w:vAlign w:val="center"/>
          </w:tcPr>
          <w:p w14:paraId="42EB444D">
            <w:pPr>
              <w:jc w:val="center"/>
              <w:rPr>
                <w:b/>
                <w:bCs/>
                <w:color w:val="000000" w:themeColor="text1"/>
                <w:szCs w:val="21"/>
              </w:rPr>
            </w:pPr>
            <w:r>
              <w:rPr>
                <w:b/>
                <w:bCs/>
                <w:color w:val="000000" w:themeColor="text1"/>
                <w:szCs w:val="21"/>
              </w:rPr>
              <w:t>达标</w:t>
            </w:r>
          </w:p>
        </w:tc>
      </w:tr>
      <w:tr w14:paraId="1738F9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15A08503">
            <w:pPr>
              <w:ind w:left="103" w:hanging="102" w:hangingChars="49"/>
              <w:jc w:val="center"/>
              <w:rPr>
                <w:bCs/>
                <w:color w:val="000000" w:themeColor="text1"/>
                <w:szCs w:val="21"/>
              </w:rPr>
            </w:pPr>
            <w:r>
              <w:rPr>
                <w:bCs/>
                <w:color w:val="000000" w:themeColor="text1"/>
                <w:szCs w:val="21"/>
              </w:rPr>
              <w:t>锰</w:t>
            </w:r>
          </w:p>
        </w:tc>
        <w:tc>
          <w:tcPr>
            <w:tcW w:w="623" w:type="pct"/>
            <w:vAlign w:val="center"/>
          </w:tcPr>
          <w:p w14:paraId="1A719F14">
            <w:pPr>
              <w:ind w:left="103" w:hanging="102" w:hangingChars="49"/>
              <w:jc w:val="center"/>
              <w:rPr>
                <w:bCs/>
                <w:color w:val="000000" w:themeColor="text1"/>
                <w:szCs w:val="21"/>
              </w:rPr>
            </w:pPr>
            <w:r>
              <w:rPr>
                <w:bCs/>
                <w:color w:val="000000" w:themeColor="text1"/>
                <w:szCs w:val="21"/>
              </w:rPr>
              <w:t>0.05</w:t>
            </w:r>
          </w:p>
        </w:tc>
        <w:tc>
          <w:tcPr>
            <w:tcW w:w="680" w:type="pct"/>
            <w:vAlign w:val="center"/>
          </w:tcPr>
          <w:p w14:paraId="3EE3DFAF">
            <w:pPr>
              <w:jc w:val="center"/>
              <w:rPr>
                <w:bCs/>
                <w:color w:val="000000" w:themeColor="text1"/>
                <w:szCs w:val="21"/>
              </w:rPr>
            </w:pPr>
            <w:r>
              <w:rPr>
                <w:bCs/>
                <w:color w:val="000000" w:themeColor="text1"/>
                <w:szCs w:val="21"/>
              </w:rPr>
              <w:t>0.05</w:t>
            </w:r>
          </w:p>
        </w:tc>
        <w:tc>
          <w:tcPr>
            <w:tcW w:w="681" w:type="pct"/>
            <w:vAlign w:val="center"/>
          </w:tcPr>
          <w:p w14:paraId="79790C92">
            <w:pPr>
              <w:jc w:val="center"/>
              <w:rPr>
                <w:bCs/>
                <w:color w:val="000000" w:themeColor="text1"/>
                <w:szCs w:val="21"/>
              </w:rPr>
            </w:pPr>
            <w:r>
              <w:rPr>
                <w:bCs/>
                <w:color w:val="000000" w:themeColor="text1"/>
                <w:szCs w:val="21"/>
              </w:rPr>
              <w:t>0.02L</w:t>
            </w:r>
          </w:p>
        </w:tc>
        <w:tc>
          <w:tcPr>
            <w:tcW w:w="681" w:type="pct"/>
            <w:vAlign w:val="center"/>
          </w:tcPr>
          <w:p w14:paraId="0D913137">
            <w:pPr>
              <w:jc w:val="center"/>
              <w:rPr>
                <w:bCs/>
                <w:color w:val="000000" w:themeColor="text1"/>
                <w:szCs w:val="21"/>
              </w:rPr>
            </w:pPr>
            <w:r>
              <w:rPr>
                <w:bCs/>
                <w:color w:val="000000" w:themeColor="text1"/>
                <w:szCs w:val="21"/>
              </w:rPr>
              <w:t>0.02L</w:t>
            </w:r>
          </w:p>
        </w:tc>
        <w:tc>
          <w:tcPr>
            <w:tcW w:w="681" w:type="pct"/>
            <w:vAlign w:val="center"/>
          </w:tcPr>
          <w:p w14:paraId="410A6A41">
            <w:pPr>
              <w:jc w:val="center"/>
              <w:rPr>
                <w:bCs/>
                <w:color w:val="000000" w:themeColor="text1"/>
                <w:szCs w:val="21"/>
              </w:rPr>
            </w:pPr>
            <w:r>
              <w:rPr>
                <w:bCs/>
                <w:color w:val="000000" w:themeColor="text1"/>
                <w:szCs w:val="21"/>
              </w:rPr>
              <w:t>0.02L</w:t>
            </w:r>
          </w:p>
        </w:tc>
        <w:tc>
          <w:tcPr>
            <w:tcW w:w="683" w:type="pct"/>
            <w:vAlign w:val="center"/>
          </w:tcPr>
          <w:p w14:paraId="0EC11129">
            <w:pPr>
              <w:jc w:val="center"/>
              <w:rPr>
                <w:bCs/>
                <w:color w:val="000000" w:themeColor="text1"/>
                <w:szCs w:val="21"/>
              </w:rPr>
            </w:pPr>
            <w:r>
              <w:rPr>
                <w:bCs/>
                <w:color w:val="000000" w:themeColor="text1"/>
                <w:szCs w:val="21"/>
              </w:rPr>
              <w:t>0.02L</w:t>
            </w:r>
          </w:p>
        </w:tc>
      </w:tr>
      <w:tr w14:paraId="3AA900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78509AD1">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0A626A49">
            <w:pPr>
              <w:ind w:left="103" w:hanging="102" w:hangingChars="49"/>
              <w:jc w:val="center"/>
              <w:rPr>
                <w:bCs/>
                <w:color w:val="000000" w:themeColor="text1"/>
                <w:szCs w:val="21"/>
              </w:rPr>
            </w:pPr>
            <w:r>
              <w:rPr>
                <w:bCs/>
                <w:color w:val="000000" w:themeColor="text1"/>
                <w:szCs w:val="21"/>
              </w:rPr>
              <w:t>0.10</w:t>
            </w:r>
          </w:p>
        </w:tc>
        <w:tc>
          <w:tcPr>
            <w:tcW w:w="680" w:type="pct"/>
            <w:vAlign w:val="center"/>
          </w:tcPr>
          <w:p w14:paraId="27008B19">
            <w:pPr>
              <w:jc w:val="center"/>
              <w:rPr>
                <w:bCs/>
                <w:color w:val="000000" w:themeColor="text1"/>
                <w:szCs w:val="21"/>
              </w:rPr>
            </w:pPr>
            <w:r>
              <w:rPr>
                <w:bCs/>
                <w:color w:val="000000" w:themeColor="text1"/>
                <w:szCs w:val="21"/>
              </w:rPr>
              <w:t>0.10</w:t>
            </w:r>
          </w:p>
        </w:tc>
        <w:tc>
          <w:tcPr>
            <w:tcW w:w="681" w:type="pct"/>
            <w:vAlign w:val="center"/>
          </w:tcPr>
          <w:p w14:paraId="68EF9B88">
            <w:pPr>
              <w:jc w:val="center"/>
              <w:rPr>
                <w:bCs/>
                <w:color w:val="000000" w:themeColor="text1"/>
                <w:szCs w:val="21"/>
              </w:rPr>
            </w:pPr>
            <w:r>
              <w:rPr>
                <w:bCs/>
                <w:color w:val="000000" w:themeColor="text1"/>
                <w:szCs w:val="21"/>
              </w:rPr>
              <w:t>0.10</w:t>
            </w:r>
          </w:p>
        </w:tc>
        <w:tc>
          <w:tcPr>
            <w:tcW w:w="681" w:type="pct"/>
            <w:vAlign w:val="center"/>
          </w:tcPr>
          <w:p w14:paraId="76E49885">
            <w:pPr>
              <w:jc w:val="center"/>
              <w:rPr>
                <w:bCs/>
                <w:color w:val="000000" w:themeColor="text1"/>
                <w:szCs w:val="21"/>
              </w:rPr>
            </w:pPr>
            <w:r>
              <w:rPr>
                <w:bCs/>
                <w:color w:val="000000" w:themeColor="text1"/>
                <w:szCs w:val="21"/>
              </w:rPr>
              <w:t>0.10</w:t>
            </w:r>
          </w:p>
        </w:tc>
        <w:tc>
          <w:tcPr>
            <w:tcW w:w="681" w:type="pct"/>
            <w:vAlign w:val="center"/>
          </w:tcPr>
          <w:p w14:paraId="4F420045">
            <w:pPr>
              <w:jc w:val="center"/>
              <w:rPr>
                <w:bCs/>
                <w:color w:val="000000" w:themeColor="text1"/>
                <w:szCs w:val="21"/>
              </w:rPr>
            </w:pPr>
            <w:r>
              <w:rPr>
                <w:bCs/>
                <w:color w:val="000000" w:themeColor="text1"/>
                <w:szCs w:val="21"/>
              </w:rPr>
              <w:t>0.10</w:t>
            </w:r>
          </w:p>
        </w:tc>
        <w:tc>
          <w:tcPr>
            <w:tcW w:w="683" w:type="pct"/>
            <w:vAlign w:val="center"/>
          </w:tcPr>
          <w:p w14:paraId="57C9DD4D">
            <w:pPr>
              <w:jc w:val="center"/>
              <w:rPr>
                <w:bCs/>
                <w:color w:val="000000" w:themeColor="text1"/>
                <w:szCs w:val="21"/>
              </w:rPr>
            </w:pPr>
            <w:r>
              <w:rPr>
                <w:bCs/>
                <w:color w:val="000000" w:themeColor="text1"/>
                <w:szCs w:val="21"/>
              </w:rPr>
              <w:t>0.10</w:t>
            </w:r>
          </w:p>
        </w:tc>
      </w:tr>
      <w:tr w14:paraId="413C0C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11493CB1">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73EC613E">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608CF68B">
            <w:pPr>
              <w:jc w:val="center"/>
              <w:rPr>
                <w:b/>
                <w:bCs/>
                <w:color w:val="000000" w:themeColor="text1"/>
                <w:szCs w:val="21"/>
              </w:rPr>
            </w:pPr>
            <w:r>
              <w:rPr>
                <w:b/>
                <w:bCs/>
                <w:color w:val="000000" w:themeColor="text1"/>
                <w:szCs w:val="21"/>
              </w:rPr>
              <w:t>达标</w:t>
            </w:r>
          </w:p>
        </w:tc>
        <w:tc>
          <w:tcPr>
            <w:tcW w:w="681" w:type="pct"/>
            <w:vAlign w:val="center"/>
          </w:tcPr>
          <w:p w14:paraId="4F966C66">
            <w:pPr>
              <w:jc w:val="center"/>
              <w:rPr>
                <w:b/>
                <w:bCs/>
                <w:color w:val="000000" w:themeColor="text1"/>
                <w:szCs w:val="21"/>
              </w:rPr>
            </w:pPr>
            <w:r>
              <w:rPr>
                <w:b/>
                <w:bCs/>
                <w:color w:val="000000" w:themeColor="text1"/>
                <w:szCs w:val="21"/>
              </w:rPr>
              <w:t>达标</w:t>
            </w:r>
          </w:p>
        </w:tc>
        <w:tc>
          <w:tcPr>
            <w:tcW w:w="681" w:type="pct"/>
            <w:vAlign w:val="center"/>
          </w:tcPr>
          <w:p w14:paraId="7B651BE0">
            <w:pPr>
              <w:jc w:val="center"/>
              <w:rPr>
                <w:b/>
                <w:bCs/>
                <w:color w:val="000000" w:themeColor="text1"/>
                <w:szCs w:val="21"/>
              </w:rPr>
            </w:pPr>
            <w:r>
              <w:rPr>
                <w:b/>
                <w:bCs/>
                <w:color w:val="000000" w:themeColor="text1"/>
                <w:szCs w:val="21"/>
              </w:rPr>
              <w:t>达标</w:t>
            </w:r>
          </w:p>
        </w:tc>
        <w:tc>
          <w:tcPr>
            <w:tcW w:w="681" w:type="pct"/>
            <w:vAlign w:val="center"/>
          </w:tcPr>
          <w:p w14:paraId="1F3AF08E">
            <w:pPr>
              <w:jc w:val="center"/>
              <w:rPr>
                <w:b/>
                <w:bCs/>
                <w:color w:val="000000" w:themeColor="text1"/>
                <w:szCs w:val="21"/>
              </w:rPr>
            </w:pPr>
            <w:r>
              <w:rPr>
                <w:b/>
                <w:bCs/>
                <w:color w:val="000000" w:themeColor="text1"/>
                <w:szCs w:val="21"/>
              </w:rPr>
              <w:t>达标</w:t>
            </w:r>
          </w:p>
        </w:tc>
        <w:tc>
          <w:tcPr>
            <w:tcW w:w="683" w:type="pct"/>
            <w:vAlign w:val="center"/>
          </w:tcPr>
          <w:p w14:paraId="744E7C4B">
            <w:pPr>
              <w:jc w:val="center"/>
              <w:rPr>
                <w:b/>
                <w:bCs/>
                <w:color w:val="000000" w:themeColor="text1"/>
                <w:szCs w:val="21"/>
              </w:rPr>
            </w:pPr>
            <w:r>
              <w:rPr>
                <w:b/>
                <w:bCs/>
                <w:color w:val="000000" w:themeColor="text1"/>
                <w:szCs w:val="21"/>
              </w:rPr>
              <w:t>达标</w:t>
            </w:r>
          </w:p>
        </w:tc>
      </w:tr>
      <w:tr w14:paraId="743B49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3B78AAF2">
            <w:pPr>
              <w:ind w:left="103" w:hanging="102" w:hangingChars="49"/>
              <w:jc w:val="center"/>
              <w:rPr>
                <w:bCs/>
                <w:color w:val="000000" w:themeColor="text1"/>
                <w:szCs w:val="21"/>
              </w:rPr>
            </w:pPr>
            <w:r>
              <w:rPr>
                <w:bCs/>
                <w:color w:val="000000" w:themeColor="text1"/>
                <w:szCs w:val="21"/>
              </w:rPr>
              <w:t>溶解性总固体</w:t>
            </w:r>
          </w:p>
        </w:tc>
        <w:tc>
          <w:tcPr>
            <w:tcW w:w="623" w:type="pct"/>
            <w:vAlign w:val="center"/>
          </w:tcPr>
          <w:p w14:paraId="56B3D9C6">
            <w:pPr>
              <w:ind w:left="103" w:hanging="102" w:hangingChars="49"/>
              <w:jc w:val="center"/>
              <w:rPr>
                <w:bCs/>
                <w:color w:val="000000" w:themeColor="text1"/>
                <w:szCs w:val="21"/>
              </w:rPr>
            </w:pPr>
            <w:r>
              <w:rPr>
                <w:bCs/>
                <w:color w:val="000000" w:themeColor="text1"/>
                <w:szCs w:val="21"/>
              </w:rPr>
              <w:t>321</w:t>
            </w:r>
          </w:p>
        </w:tc>
        <w:tc>
          <w:tcPr>
            <w:tcW w:w="680" w:type="pct"/>
            <w:vAlign w:val="center"/>
          </w:tcPr>
          <w:p w14:paraId="2BFD7EEB">
            <w:pPr>
              <w:jc w:val="center"/>
              <w:rPr>
                <w:bCs/>
                <w:color w:val="000000" w:themeColor="text1"/>
                <w:szCs w:val="21"/>
              </w:rPr>
            </w:pPr>
            <w:r>
              <w:rPr>
                <w:bCs/>
                <w:color w:val="000000" w:themeColor="text1"/>
                <w:szCs w:val="21"/>
              </w:rPr>
              <w:t>313</w:t>
            </w:r>
          </w:p>
        </w:tc>
        <w:tc>
          <w:tcPr>
            <w:tcW w:w="681" w:type="pct"/>
            <w:vAlign w:val="center"/>
          </w:tcPr>
          <w:p w14:paraId="5863C444">
            <w:pPr>
              <w:jc w:val="center"/>
              <w:rPr>
                <w:bCs/>
                <w:color w:val="000000" w:themeColor="text1"/>
                <w:szCs w:val="21"/>
              </w:rPr>
            </w:pPr>
            <w:r>
              <w:rPr>
                <w:bCs/>
                <w:color w:val="000000" w:themeColor="text1"/>
                <w:szCs w:val="21"/>
              </w:rPr>
              <w:t>293</w:t>
            </w:r>
          </w:p>
        </w:tc>
        <w:tc>
          <w:tcPr>
            <w:tcW w:w="681" w:type="pct"/>
            <w:vAlign w:val="center"/>
          </w:tcPr>
          <w:p w14:paraId="3D3366D5">
            <w:pPr>
              <w:jc w:val="center"/>
              <w:rPr>
                <w:bCs/>
                <w:color w:val="000000" w:themeColor="text1"/>
                <w:szCs w:val="21"/>
              </w:rPr>
            </w:pPr>
            <w:r>
              <w:rPr>
                <w:bCs/>
                <w:color w:val="000000" w:themeColor="text1"/>
                <w:szCs w:val="21"/>
              </w:rPr>
              <w:t>288</w:t>
            </w:r>
          </w:p>
        </w:tc>
        <w:tc>
          <w:tcPr>
            <w:tcW w:w="681" w:type="pct"/>
            <w:vAlign w:val="center"/>
          </w:tcPr>
          <w:p w14:paraId="635C1E2D">
            <w:pPr>
              <w:jc w:val="center"/>
              <w:rPr>
                <w:bCs/>
                <w:color w:val="000000" w:themeColor="text1"/>
                <w:szCs w:val="21"/>
              </w:rPr>
            </w:pPr>
            <w:r>
              <w:rPr>
                <w:bCs/>
                <w:color w:val="000000" w:themeColor="text1"/>
                <w:szCs w:val="21"/>
              </w:rPr>
              <w:t>441</w:t>
            </w:r>
          </w:p>
        </w:tc>
        <w:tc>
          <w:tcPr>
            <w:tcW w:w="683" w:type="pct"/>
            <w:vAlign w:val="center"/>
          </w:tcPr>
          <w:p w14:paraId="5E444BBA">
            <w:pPr>
              <w:jc w:val="center"/>
              <w:rPr>
                <w:bCs/>
                <w:color w:val="000000" w:themeColor="text1"/>
                <w:szCs w:val="21"/>
              </w:rPr>
            </w:pPr>
            <w:r>
              <w:rPr>
                <w:bCs/>
                <w:color w:val="000000" w:themeColor="text1"/>
                <w:szCs w:val="21"/>
              </w:rPr>
              <w:t>425</w:t>
            </w:r>
          </w:p>
        </w:tc>
      </w:tr>
      <w:tr w14:paraId="43CB58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568F2423">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1A27EBF2">
            <w:pPr>
              <w:ind w:left="103" w:hanging="102" w:hangingChars="49"/>
              <w:jc w:val="center"/>
              <w:rPr>
                <w:bCs/>
                <w:color w:val="000000" w:themeColor="text1"/>
                <w:szCs w:val="21"/>
              </w:rPr>
            </w:pPr>
            <w:r>
              <w:rPr>
                <w:bCs/>
                <w:color w:val="000000" w:themeColor="text1"/>
                <w:szCs w:val="21"/>
              </w:rPr>
              <w:t>1000</w:t>
            </w:r>
          </w:p>
        </w:tc>
        <w:tc>
          <w:tcPr>
            <w:tcW w:w="680" w:type="pct"/>
            <w:vAlign w:val="center"/>
          </w:tcPr>
          <w:p w14:paraId="70D0FE20">
            <w:pPr>
              <w:jc w:val="center"/>
              <w:rPr>
                <w:bCs/>
                <w:color w:val="000000" w:themeColor="text1"/>
                <w:szCs w:val="21"/>
              </w:rPr>
            </w:pPr>
            <w:r>
              <w:rPr>
                <w:bCs/>
                <w:color w:val="000000" w:themeColor="text1"/>
                <w:szCs w:val="21"/>
              </w:rPr>
              <w:t>1000</w:t>
            </w:r>
          </w:p>
        </w:tc>
        <w:tc>
          <w:tcPr>
            <w:tcW w:w="681" w:type="pct"/>
            <w:vAlign w:val="center"/>
          </w:tcPr>
          <w:p w14:paraId="73DA59CB">
            <w:pPr>
              <w:jc w:val="center"/>
              <w:rPr>
                <w:bCs/>
                <w:color w:val="000000" w:themeColor="text1"/>
                <w:szCs w:val="21"/>
              </w:rPr>
            </w:pPr>
            <w:r>
              <w:rPr>
                <w:bCs/>
                <w:color w:val="000000" w:themeColor="text1"/>
                <w:szCs w:val="21"/>
              </w:rPr>
              <w:t>1000</w:t>
            </w:r>
          </w:p>
        </w:tc>
        <w:tc>
          <w:tcPr>
            <w:tcW w:w="681" w:type="pct"/>
            <w:vAlign w:val="center"/>
          </w:tcPr>
          <w:p w14:paraId="04AB252A">
            <w:pPr>
              <w:jc w:val="center"/>
              <w:rPr>
                <w:bCs/>
                <w:color w:val="000000" w:themeColor="text1"/>
                <w:szCs w:val="21"/>
              </w:rPr>
            </w:pPr>
            <w:r>
              <w:rPr>
                <w:bCs/>
                <w:color w:val="000000" w:themeColor="text1"/>
                <w:szCs w:val="21"/>
              </w:rPr>
              <w:t>1000</w:t>
            </w:r>
          </w:p>
        </w:tc>
        <w:tc>
          <w:tcPr>
            <w:tcW w:w="681" w:type="pct"/>
            <w:vAlign w:val="center"/>
          </w:tcPr>
          <w:p w14:paraId="11CB08C6">
            <w:pPr>
              <w:jc w:val="center"/>
              <w:rPr>
                <w:bCs/>
                <w:color w:val="000000" w:themeColor="text1"/>
                <w:szCs w:val="21"/>
              </w:rPr>
            </w:pPr>
            <w:r>
              <w:rPr>
                <w:bCs/>
                <w:color w:val="000000" w:themeColor="text1"/>
                <w:szCs w:val="21"/>
              </w:rPr>
              <w:t>1000</w:t>
            </w:r>
          </w:p>
        </w:tc>
        <w:tc>
          <w:tcPr>
            <w:tcW w:w="683" w:type="pct"/>
            <w:vAlign w:val="center"/>
          </w:tcPr>
          <w:p w14:paraId="01142BBC">
            <w:pPr>
              <w:jc w:val="center"/>
              <w:rPr>
                <w:bCs/>
                <w:color w:val="000000" w:themeColor="text1"/>
                <w:szCs w:val="21"/>
              </w:rPr>
            </w:pPr>
            <w:r>
              <w:rPr>
                <w:bCs/>
                <w:color w:val="000000" w:themeColor="text1"/>
                <w:szCs w:val="21"/>
              </w:rPr>
              <w:t>1000</w:t>
            </w:r>
          </w:p>
        </w:tc>
      </w:tr>
      <w:tr w14:paraId="3A654A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7F8E6562">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711BD409">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3272F827">
            <w:pPr>
              <w:jc w:val="center"/>
              <w:rPr>
                <w:b/>
                <w:bCs/>
                <w:color w:val="000000" w:themeColor="text1"/>
                <w:szCs w:val="21"/>
              </w:rPr>
            </w:pPr>
            <w:r>
              <w:rPr>
                <w:b/>
                <w:bCs/>
                <w:color w:val="000000" w:themeColor="text1"/>
                <w:szCs w:val="21"/>
              </w:rPr>
              <w:t>达标</w:t>
            </w:r>
          </w:p>
        </w:tc>
        <w:tc>
          <w:tcPr>
            <w:tcW w:w="681" w:type="pct"/>
            <w:vAlign w:val="center"/>
          </w:tcPr>
          <w:p w14:paraId="516305A7">
            <w:pPr>
              <w:jc w:val="center"/>
              <w:rPr>
                <w:b/>
                <w:bCs/>
                <w:color w:val="000000" w:themeColor="text1"/>
                <w:szCs w:val="21"/>
              </w:rPr>
            </w:pPr>
            <w:r>
              <w:rPr>
                <w:b/>
                <w:bCs/>
                <w:color w:val="000000" w:themeColor="text1"/>
                <w:szCs w:val="21"/>
              </w:rPr>
              <w:t>达标</w:t>
            </w:r>
          </w:p>
        </w:tc>
        <w:tc>
          <w:tcPr>
            <w:tcW w:w="681" w:type="pct"/>
            <w:vAlign w:val="center"/>
          </w:tcPr>
          <w:p w14:paraId="6C223BEB">
            <w:pPr>
              <w:jc w:val="center"/>
              <w:rPr>
                <w:b/>
                <w:bCs/>
                <w:color w:val="000000" w:themeColor="text1"/>
                <w:szCs w:val="21"/>
              </w:rPr>
            </w:pPr>
            <w:r>
              <w:rPr>
                <w:b/>
                <w:bCs/>
                <w:color w:val="000000" w:themeColor="text1"/>
                <w:szCs w:val="21"/>
              </w:rPr>
              <w:t>达标</w:t>
            </w:r>
          </w:p>
        </w:tc>
        <w:tc>
          <w:tcPr>
            <w:tcW w:w="681" w:type="pct"/>
            <w:vAlign w:val="center"/>
          </w:tcPr>
          <w:p w14:paraId="5AFB4A4A">
            <w:pPr>
              <w:jc w:val="center"/>
              <w:rPr>
                <w:b/>
                <w:bCs/>
                <w:color w:val="000000" w:themeColor="text1"/>
                <w:szCs w:val="21"/>
              </w:rPr>
            </w:pPr>
            <w:r>
              <w:rPr>
                <w:b/>
                <w:bCs/>
                <w:color w:val="000000" w:themeColor="text1"/>
                <w:szCs w:val="21"/>
              </w:rPr>
              <w:t>达标</w:t>
            </w:r>
          </w:p>
        </w:tc>
        <w:tc>
          <w:tcPr>
            <w:tcW w:w="683" w:type="pct"/>
            <w:vAlign w:val="center"/>
          </w:tcPr>
          <w:p w14:paraId="44834E4C">
            <w:pPr>
              <w:jc w:val="center"/>
              <w:rPr>
                <w:b/>
                <w:bCs/>
                <w:color w:val="000000" w:themeColor="text1"/>
                <w:szCs w:val="21"/>
              </w:rPr>
            </w:pPr>
            <w:r>
              <w:rPr>
                <w:b/>
                <w:bCs/>
                <w:color w:val="000000" w:themeColor="text1"/>
                <w:szCs w:val="21"/>
              </w:rPr>
              <w:t>达标</w:t>
            </w:r>
          </w:p>
        </w:tc>
      </w:tr>
      <w:tr w14:paraId="17EE06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6384079A">
            <w:pPr>
              <w:ind w:left="103" w:hanging="102" w:hangingChars="49"/>
              <w:jc w:val="center"/>
              <w:rPr>
                <w:bCs/>
                <w:color w:val="000000" w:themeColor="text1"/>
                <w:szCs w:val="21"/>
              </w:rPr>
            </w:pPr>
            <w:r>
              <w:rPr>
                <w:bCs/>
                <w:color w:val="000000" w:themeColor="text1"/>
                <w:szCs w:val="21"/>
              </w:rPr>
              <w:t>耗氧量</w:t>
            </w:r>
          </w:p>
        </w:tc>
        <w:tc>
          <w:tcPr>
            <w:tcW w:w="623" w:type="pct"/>
            <w:vAlign w:val="center"/>
          </w:tcPr>
          <w:p w14:paraId="280A3AB1">
            <w:pPr>
              <w:ind w:left="103" w:hanging="102" w:hangingChars="49"/>
              <w:jc w:val="center"/>
              <w:rPr>
                <w:bCs/>
                <w:color w:val="000000" w:themeColor="text1"/>
                <w:szCs w:val="21"/>
              </w:rPr>
            </w:pPr>
            <w:r>
              <w:rPr>
                <w:bCs/>
                <w:color w:val="000000" w:themeColor="text1"/>
                <w:szCs w:val="21"/>
              </w:rPr>
              <w:t>1.52</w:t>
            </w:r>
          </w:p>
        </w:tc>
        <w:tc>
          <w:tcPr>
            <w:tcW w:w="680" w:type="pct"/>
            <w:vAlign w:val="center"/>
          </w:tcPr>
          <w:p w14:paraId="035F1079">
            <w:pPr>
              <w:jc w:val="center"/>
              <w:rPr>
                <w:bCs/>
                <w:color w:val="000000" w:themeColor="text1"/>
                <w:szCs w:val="21"/>
              </w:rPr>
            </w:pPr>
            <w:r>
              <w:rPr>
                <w:bCs/>
                <w:color w:val="000000" w:themeColor="text1"/>
                <w:szCs w:val="21"/>
              </w:rPr>
              <w:t>1.48</w:t>
            </w:r>
          </w:p>
        </w:tc>
        <w:tc>
          <w:tcPr>
            <w:tcW w:w="681" w:type="pct"/>
            <w:vAlign w:val="center"/>
          </w:tcPr>
          <w:p w14:paraId="66F4225F">
            <w:pPr>
              <w:jc w:val="center"/>
              <w:rPr>
                <w:bCs/>
                <w:color w:val="000000" w:themeColor="text1"/>
                <w:szCs w:val="21"/>
              </w:rPr>
            </w:pPr>
            <w:r>
              <w:rPr>
                <w:bCs/>
                <w:color w:val="000000" w:themeColor="text1"/>
                <w:szCs w:val="21"/>
              </w:rPr>
              <w:t>1.60</w:t>
            </w:r>
          </w:p>
        </w:tc>
        <w:tc>
          <w:tcPr>
            <w:tcW w:w="681" w:type="pct"/>
            <w:vAlign w:val="center"/>
          </w:tcPr>
          <w:p w14:paraId="4D43CB10">
            <w:pPr>
              <w:jc w:val="center"/>
              <w:rPr>
                <w:bCs/>
                <w:color w:val="000000" w:themeColor="text1"/>
                <w:szCs w:val="21"/>
              </w:rPr>
            </w:pPr>
            <w:r>
              <w:rPr>
                <w:bCs/>
                <w:color w:val="000000" w:themeColor="text1"/>
                <w:szCs w:val="21"/>
              </w:rPr>
              <w:t>1.55</w:t>
            </w:r>
          </w:p>
        </w:tc>
        <w:tc>
          <w:tcPr>
            <w:tcW w:w="681" w:type="pct"/>
            <w:vAlign w:val="center"/>
          </w:tcPr>
          <w:p w14:paraId="4BB0A448">
            <w:pPr>
              <w:jc w:val="center"/>
              <w:rPr>
                <w:bCs/>
                <w:color w:val="000000" w:themeColor="text1"/>
                <w:szCs w:val="21"/>
              </w:rPr>
            </w:pPr>
            <w:r>
              <w:rPr>
                <w:bCs/>
                <w:color w:val="000000" w:themeColor="text1"/>
                <w:szCs w:val="21"/>
              </w:rPr>
              <w:t>0.88</w:t>
            </w:r>
          </w:p>
        </w:tc>
        <w:tc>
          <w:tcPr>
            <w:tcW w:w="683" w:type="pct"/>
            <w:vAlign w:val="center"/>
          </w:tcPr>
          <w:p w14:paraId="2C8A42C7">
            <w:pPr>
              <w:jc w:val="center"/>
              <w:rPr>
                <w:bCs/>
                <w:color w:val="000000" w:themeColor="text1"/>
                <w:szCs w:val="21"/>
              </w:rPr>
            </w:pPr>
            <w:r>
              <w:rPr>
                <w:bCs/>
                <w:color w:val="000000" w:themeColor="text1"/>
                <w:szCs w:val="21"/>
              </w:rPr>
              <w:t>0.85</w:t>
            </w:r>
          </w:p>
        </w:tc>
      </w:tr>
      <w:tr w14:paraId="669DDB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714EFF6F">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418547B6">
            <w:pPr>
              <w:ind w:left="103" w:hanging="102" w:hangingChars="49"/>
              <w:jc w:val="center"/>
              <w:rPr>
                <w:bCs/>
                <w:color w:val="000000" w:themeColor="text1"/>
                <w:szCs w:val="21"/>
              </w:rPr>
            </w:pPr>
            <w:r>
              <w:rPr>
                <w:bCs/>
                <w:color w:val="000000" w:themeColor="text1"/>
                <w:szCs w:val="21"/>
              </w:rPr>
              <w:t>3.0</w:t>
            </w:r>
          </w:p>
        </w:tc>
        <w:tc>
          <w:tcPr>
            <w:tcW w:w="680" w:type="pct"/>
            <w:vAlign w:val="center"/>
          </w:tcPr>
          <w:p w14:paraId="6951A7B4">
            <w:pPr>
              <w:jc w:val="center"/>
              <w:rPr>
                <w:bCs/>
                <w:color w:val="000000" w:themeColor="text1"/>
                <w:szCs w:val="21"/>
              </w:rPr>
            </w:pPr>
            <w:r>
              <w:rPr>
                <w:bCs/>
                <w:color w:val="000000" w:themeColor="text1"/>
                <w:szCs w:val="21"/>
              </w:rPr>
              <w:t>3.0</w:t>
            </w:r>
          </w:p>
        </w:tc>
        <w:tc>
          <w:tcPr>
            <w:tcW w:w="681" w:type="pct"/>
            <w:vAlign w:val="center"/>
          </w:tcPr>
          <w:p w14:paraId="03820C6A">
            <w:pPr>
              <w:jc w:val="center"/>
              <w:rPr>
                <w:bCs/>
                <w:color w:val="000000" w:themeColor="text1"/>
                <w:szCs w:val="21"/>
              </w:rPr>
            </w:pPr>
            <w:r>
              <w:rPr>
                <w:bCs/>
                <w:color w:val="000000" w:themeColor="text1"/>
                <w:szCs w:val="21"/>
              </w:rPr>
              <w:t>3.0</w:t>
            </w:r>
          </w:p>
        </w:tc>
        <w:tc>
          <w:tcPr>
            <w:tcW w:w="681" w:type="pct"/>
            <w:vAlign w:val="center"/>
          </w:tcPr>
          <w:p w14:paraId="4511C268">
            <w:pPr>
              <w:jc w:val="center"/>
              <w:rPr>
                <w:bCs/>
                <w:color w:val="000000" w:themeColor="text1"/>
                <w:szCs w:val="21"/>
              </w:rPr>
            </w:pPr>
            <w:r>
              <w:rPr>
                <w:bCs/>
                <w:color w:val="000000" w:themeColor="text1"/>
                <w:szCs w:val="21"/>
              </w:rPr>
              <w:t>3.0</w:t>
            </w:r>
          </w:p>
        </w:tc>
        <w:tc>
          <w:tcPr>
            <w:tcW w:w="681" w:type="pct"/>
            <w:vAlign w:val="center"/>
          </w:tcPr>
          <w:p w14:paraId="1F8A637A">
            <w:pPr>
              <w:jc w:val="center"/>
              <w:rPr>
                <w:bCs/>
                <w:color w:val="000000" w:themeColor="text1"/>
                <w:szCs w:val="21"/>
              </w:rPr>
            </w:pPr>
            <w:r>
              <w:rPr>
                <w:bCs/>
                <w:color w:val="000000" w:themeColor="text1"/>
                <w:szCs w:val="21"/>
              </w:rPr>
              <w:t>3.0</w:t>
            </w:r>
          </w:p>
        </w:tc>
        <w:tc>
          <w:tcPr>
            <w:tcW w:w="683" w:type="pct"/>
            <w:vAlign w:val="center"/>
          </w:tcPr>
          <w:p w14:paraId="5974738C">
            <w:pPr>
              <w:jc w:val="center"/>
              <w:rPr>
                <w:bCs/>
                <w:color w:val="000000" w:themeColor="text1"/>
                <w:szCs w:val="21"/>
              </w:rPr>
            </w:pPr>
            <w:r>
              <w:rPr>
                <w:bCs/>
                <w:color w:val="000000" w:themeColor="text1"/>
                <w:szCs w:val="21"/>
              </w:rPr>
              <w:t>3.0</w:t>
            </w:r>
          </w:p>
        </w:tc>
      </w:tr>
      <w:tr w14:paraId="7C2610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43EB776F">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40F37A15">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1D502032">
            <w:pPr>
              <w:jc w:val="center"/>
              <w:rPr>
                <w:b/>
                <w:bCs/>
                <w:color w:val="000000" w:themeColor="text1"/>
                <w:szCs w:val="21"/>
              </w:rPr>
            </w:pPr>
            <w:r>
              <w:rPr>
                <w:b/>
                <w:bCs/>
                <w:color w:val="000000" w:themeColor="text1"/>
                <w:szCs w:val="21"/>
              </w:rPr>
              <w:t>达标</w:t>
            </w:r>
          </w:p>
        </w:tc>
        <w:tc>
          <w:tcPr>
            <w:tcW w:w="681" w:type="pct"/>
            <w:vAlign w:val="center"/>
          </w:tcPr>
          <w:p w14:paraId="4DA78D8C">
            <w:pPr>
              <w:jc w:val="center"/>
              <w:rPr>
                <w:b/>
                <w:bCs/>
                <w:color w:val="000000" w:themeColor="text1"/>
                <w:szCs w:val="21"/>
              </w:rPr>
            </w:pPr>
            <w:r>
              <w:rPr>
                <w:b/>
                <w:bCs/>
                <w:color w:val="000000" w:themeColor="text1"/>
                <w:szCs w:val="21"/>
              </w:rPr>
              <w:t>达标</w:t>
            </w:r>
          </w:p>
        </w:tc>
        <w:tc>
          <w:tcPr>
            <w:tcW w:w="681" w:type="pct"/>
            <w:vAlign w:val="center"/>
          </w:tcPr>
          <w:p w14:paraId="03DBA15C">
            <w:pPr>
              <w:jc w:val="center"/>
              <w:rPr>
                <w:b/>
                <w:bCs/>
                <w:color w:val="000000" w:themeColor="text1"/>
                <w:szCs w:val="21"/>
              </w:rPr>
            </w:pPr>
            <w:r>
              <w:rPr>
                <w:b/>
                <w:bCs/>
                <w:color w:val="000000" w:themeColor="text1"/>
                <w:szCs w:val="21"/>
              </w:rPr>
              <w:t>达标</w:t>
            </w:r>
          </w:p>
        </w:tc>
        <w:tc>
          <w:tcPr>
            <w:tcW w:w="681" w:type="pct"/>
            <w:vAlign w:val="center"/>
          </w:tcPr>
          <w:p w14:paraId="1FC66EC8">
            <w:pPr>
              <w:jc w:val="center"/>
              <w:rPr>
                <w:b/>
                <w:bCs/>
                <w:color w:val="000000" w:themeColor="text1"/>
                <w:szCs w:val="21"/>
              </w:rPr>
            </w:pPr>
            <w:r>
              <w:rPr>
                <w:b/>
                <w:bCs/>
                <w:color w:val="000000" w:themeColor="text1"/>
                <w:szCs w:val="21"/>
              </w:rPr>
              <w:t>达标</w:t>
            </w:r>
          </w:p>
        </w:tc>
        <w:tc>
          <w:tcPr>
            <w:tcW w:w="683" w:type="pct"/>
            <w:vAlign w:val="center"/>
          </w:tcPr>
          <w:p w14:paraId="0EED94FD">
            <w:pPr>
              <w:jc w:val="center"/>
              <w:rPr>
                <w:b/>
                <w:bCs/>
                <w:color w:val="000000" w:themeColor="text1"/>
                <w:szCs w:val="21"/>
              </w:rPr>
            </w:pPr>
            <w:r>
              <w:rPr>
                <w:b/>
                <w:bCs/>
                <w:color w:val="000000" w:themeColor="text1"/>
                <w:szCs w:val="21"/>
              </w:rPr>
              <w:t>达标</w:t>
            </w:r>
          </w:p>
        </w:tc>
      </w:tr>
      <w:tr w14:paraId="2BC6B5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793771F5">
            <w:pPr>
              <w:ind w:left="103" w:hanging="102" w:hangingChars="49"/>
              <w:jc w:val="center"/>
              <w:rPr>
                <w:bCs/>
                <w:color w:val="000000" w:themeColor="text1"/>
                <w:szCs w:val="21"/>
              </w:rPr>
            </w:pPr>
            <w:r>
              <w:rPr>
                <w:bCs/>
                <w:color w:val="000000" w:themeColor="text1"/>
                <w:szCs w:val="21"/>
              </w:rPr>
              <w:t>硫酸盐</w:t>
            </w:r>
          </w:p>
        </w:tc>
        <w:tc>
          <w:tcPr>
            <w:tcW w:w="623" w:type="pct"/>
            <w:vAlign w:val="center"/>
          </w:tcPr>
          <w:p w14:paraId="46C4FD69">
            <w:pPr>
              <w:ind w:left="103" w:hanging="102" w:hangingChars="49"/>
              <w:jc w:val="center"/>
              <w:rPr>
                <w:bCs/>
                <w:color w:val="000000" w:themeColor="text1"/>
                <w:szCs w:val="21"/>
              </w:rPr>
            </w:pPr>
            <w:r>
              <w:rPr>
                <w:bCs/>
                <w:color w:val="000000" w:themeColor="text1"/>
                <w:szCs w:val="21"/>
              </w:rPr>
              <w:t>28</w:t>
            </w:r>
          </w:p>
        </w:tc>
        <w:tc>
          <w:tcPr>
            <w:tcW w:w="680" w:type="pct"/>
            <w:vAlign w:val="center"/>
          </w:tcPr>
          <w:p w14:paraId="52E8EAE2">
            <w:pPr>
              <w:jc w:val="center"/>
              <w:rPr>
                <w:bCs/>
                <w:color w:val="000000" w:themeColor="text1"/>
                <w:szCs w:val="21"/>
              </w:rPr>
            </w:pPr>
            <w:r>
              <w:rPr>
                <w:bCs/>
                <w:color w:val="000000" w:themeColor="text1"/>
                <w:szCs w:val="21"/>
              </w:rPr>
              <w:t>25</w:t>
            </w:r>
          </w:p>
        </w:tc>
        <w:tc>
          <w:tcPr>
            <w:tcW w:w="681" w:type="pct"/>
            <w:vAlign w:val="center"/>
          </w:tcPr>
          <w:p w14:paraId="4730C4AB">
            <w:pPr>
              <w:jc w:val="center"/>
              <w:rPr>
                <w:bCs/>
                <w:color w:val="000000" w:themeColor="text1"/>
                <w:szCs w:val="21"/>
              </w:rPr>
            </w:pPr>
            <w:r>
              <w:rPr>
                <w:bCs/>
                <w:color w:val="000000" w:themeColor="text1"/>
                <w:szCs w:val="21"/>
              </w:rPr>
              <w:t>16</w:t>
            </w:r>
          </w:p>
        </w:tc>
        <w:tc>
          <w:tcPr>
            <w:tcW w:w="681" w:type="pct"/>
            <w:vAlign w:val="center"/>
          </w:tcPr>
          <w:p w14:paraId="27492893">
            <w:pPr>
              <w:jc w:val="center"/>
              <w:rPr>
                <w:bCs/>
                <w:color w:val="000000" w:themeColor="text1"/>
                <w:szCs w:val="21"/>
              </w:rPr>
            </w:pPr>
            <w:r>
              <w:rPr>
                <w:bCs/>
                <w:color w:val="000000" w:themeColor="text1"/>
                <w:szCs w:val="21"/>
              </w:rPr>
              <w:t>12</w:t>
            </w:r>
          </w:p>
        </w:tc>
        <w:tc>
          <w:tcPr>
            <w:tcW w:w="681" w:type="pct"/>
            <w:vAlign w:val="center"/>
          </w:tcPr>
          <w:p w14:paraId="038CD01E">
            <w:pPr>
              <w:jc w:val="center"/>
              <w:rPr>
                <w:bCs/>
                <w:color w:val="000000" w:themeColor="text1"/>
                <w:szCs w:val="21"/>
              </w:rPr>
            </w:pPr>
            <w:r>
              <w:rPr>
                <w:bCs/>
                <w:color w:val="000000" w:themeColor="text1"/>
                <w:szCs w:val="21"/>
              </w:rPr>
              <w:t>24</w:t>
            </w:r>
          </w:p>
        </w:tc>
        <w:tc>
          <w:tcPr>
            <w:tcW w:w="683" w:type="pct"/>
            <w:vAlign w:val="center"/>
          </w:tcPr>
          <w:p w14:paraId="6340A595">
            <w:pPr>
              <w:jc w:val="center"/>
              <w:rPr>
                <w:bCs/>
                <w:color w:val="000000" w:themeColor="text1"/>
                <w:szCs w:val="21"/>
              </w:rPr>
            </w:pPr>
            <w:r>
              <w:rPr>
                <w:bCs/>
                <w:color w:val="000000" w:themeColor="text1"/>
                <w:szCs w:val="21"/>
              </w:rPr>
              <w:t>22</w:t>
            </w:r>
          </w:p>
        </w:tc>
      </w:tr>
      <w:tr w14:paraId="2D862F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43F6B965">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38D49E25">
            <w:pPr>
              <w:ind w:left="103" w:hanging="102" w:hangingChars="49"/>
              <w:jc w:val="center"/>
              <w:rPr>
                <w:bCs/>
                <w:color w:val="000000" w:themeColor="text1"/>
                <w:szCs w:val="21"/>
              </w:rPr>
            </w:pPr>
            <w:r>
              <w:rPr>
                <w:bCs/>
                <w:color w:val="000000" w:themeColor="text1"/>
                <w:szCs w:val="21"/>
              </w:rPr>
              <w:t>250</w:t>
            </w:r>
          </w:p>
        </w:tc>
        <w:tc>
          <w:tcPr>
            <w:tcW w:w="680" w:type="pct"/>
            <w:vAlign w:val="center"/>
          </w:tcPr>
          <w:p w14:paraId="706DDA70">
            <w:pPr>
              <w:jc w:val="center"/>
              <w:rPr>
                <w:bCs/>
                <w:color w:val="000000" w:themeColor="text1"/>
                <w:szCs w:val="21"/>
              </w:rPr>
            </w:pPr>
            <w:r>
              <w:rPr>
                <w:bCs/>
                <w:color w:val="000000" w:themeColor="text1"/>
                <w:szCs w:val="21"/>
              </w:rPr>
              <w:t>250</w:t>
            </w:r>
          </w:p>
        </w:tc>
        <w:tc>
          <w:tcPr>
            <w:tcW w:w="681" w:type="pct"/>
            <w:vAlign w:val="center"/>
          </w:tcPr>
          <w:p w14:paraId="2DAEC08A">
            <w:pPr>
              <w:jc w:val="center"/>
              <w:rPr>
                <w:bCs/>
                <w:color w:val="000000" w:themeColor="text1"/>
                <w:szCs w:val="21"/>
              </w:rPr>
            </w:pPr>
            <w:r>
              <w:rPr>
                <w:bCs/>
                <w:color w:val="000000" w:themeColor="text1"/>
                <w:szCs w:val="21"/>
              </w:rPr>
              <w:t>250</w:t>
            </w:r>
          </w:p>
        </w:tc>
        <w:tc>
          <w:tcPr>
            <w:tcW w:w="681" w:type="pct"/>
            <w:vAlign w:val="center"/>
          </w:tcPr>
          <w:p w14:paraId="4BD9B368">
            <w:pPr>
              <w:jc w:val="center"/>
              <w:rPr>
                <w:bCs/>
                <w:color w:val="000000" w:themeColor="text1"/>
                <w:szCs w:val="21"/>
              </w:rPr>
            </w:pPr>
            <w:r>
              <w:rPr>
                <w:bCs/>
                <w:color w:val="000000" w:themeColor="text1"/>
                <w:szCs w:val="21"/>
              </w:rPr>
              <w:t>250</w:t>
            </w:r>
          </w:p>
        </w:tc>
        <w:tc>
          <w:tcPr>
            <w:tcW w:w="681" w:type="pct"/>
            <w:vAlign w:val="center"/>
          </w:tcPr>
          <w:p w14:paraId="2AD4A45C">
            <w:pPr>
              <w:jc w:val="center"/>
              <w:rPr>
                <w:bCs/>
                <w:color w:val="000000" w:themeColor="text1"/>
                <w:szCs w:val="21"/>
              </w:rPr>
            </w:pPr>
            <w:r>
              <w:rPr>
                <w:bCs/>
                <w:color w:val="000000" w:themeColor="text1"/>
                <w:szCs w:val="21"/>
              </w:rPr>
              <w:t>250</w:t>
            </w:r>
          </w:p>
        </w:tc>
        <w:tc>
          <w:tcPr>
            <w:tcW w:w="683" w:type="pct"/>
            <w:vAlign w:val="center"/>
          </w:tcPr>
          <w:p w14:paraId="2E305558">
            <w:pPr>
              <w:jc w:val="center"/>
              <w:rPr>
                <w:bCs/>
                <w:color w:val="000000" w:themeColor="text1"/>
                <w:szCs w:val="21"/>
              </w:rPr>
            </w:pPr>
            <w:r>
              <w:rPr>
                <w:bCs/>
                <w:color w:val="000000" w:themeColor="text1"/>
                <w:szCs w:val="21"/>
              </w:rPr>
              <w:t>250</w:t>
            </w:r>
          </w:p>
        </w:tc>
      </w:tr>
      <w:tr w14:paraId="556BBA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610EB150">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16A04F56">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49FC19DC">
            <w:pPr>
              <w:jc w:val="center"/>
              <w:rPr>
                <w:b/>
                <w:bCs/>
                <w:color w:val="000000" w:themeColor="text1"/>
                <w:szCs w:val="21"/>
              </w:rPr>
            </w:pPr>
            <w:r>
              <w:rPr>
                <w:b/>
                <w:bCs/>
                <w:color w:val="000000" w:themeColor="text1"/>
                <w:szCs w:val="21"/>
              </w:rPr>
              <w:t>达标</w:t>
            </w:r>
          </w:p>
        </w:tc>
        <w:tc>
          <w:tcPr>
            <w:tcW w:w="681" w:type="pct"/>
            <w:vAlign w:val="center"/>
          </w:tcPr>
          <w:p w14:paraId="64F896FF">
            <w:pPr>
              <w:jc w:val="center"/>
              <w:rPr>
                <w:b/>
                <w:bCs/>
                <w:color w:val="000000" w:themeColor="text1"/>
                <w:szCs w:val="21"/>
              </w:rPr>
            </w:pPr>
            <w:r>
              <w:rPr>
                <w:b/>
                <w:bCs/>
                <w:color w:val="000000" w:themeColor="text1"/>
                <w:szCs w:val="21"/>
              </w:rPr>
              <w:t>达标</w:t>
            </w:r>
          </w:p>
        </w:tc>
        <w:tc>
          <w:tcPr>
            <w:tcW w:w="681" w:type="pct"/>
            <w:vAlign w:val="center"/>
          </w:tcPr>
          <w:p w14:paraId="77CF9AC1">
            <w:pPr>
              <w:jc w:val="center"/>
              <w:rPr>
                <w:b/>
                <w:bCs/>
                <w:color w:val="000000" w:themeColor="text1"/>
                <w:szCs w:val="21"/>
              </w:rPr>
            </w:pPr>
            <w:r>
              <w:rPr>
                <w:b/>
                <w:bCs/>
                <w:color w:val="000000" w:themeColor="text1"/>
                <w:szCs w:val="21"/>
              </w:rPr>
              <w:t>达标</w:t>
            </w:r>
          </w:p>
        </w:tc>
        <w:tc>
          <w:tcPr>
            <w:tcW w:w="681" w:type="pct"/>
            <w:vAlign w:val="center"/>
          </w:tcPr>
          <w:p w14:paraId="1147F66B">
            <w:pPr>
              <w:jc w:val="center"/>
              <w:rPr>
                <w:b/>
                <w:bCs/>
                <w:color w:val="000000" w:themeColor="text1"/>
                <w:szCs w:val="21"/>
              </w:rPr>
            </w:pPr>
            <w:r>
              <w:rPr>
                <w:b/>
                <w:bCs/>
                <w:color w:val="000000" w:themeColor="text1"/>
                <w:szCs w:val="21"/>
              </w:rPr>
              <w:t>达标</w:t>
            </w:r>
          </w:p>
        </w:tc>
        <w:tc>
          <w:tcPr>
            <w:tcW w:w="683" w:type="pct"/>
            <w:vAlign w:val="center"/>
          </w:tcPr>
          <w:p w14:paraId="3282F1B4">
            <w:pPr>
              <w:jc w:val="center"/>
              <w:rPr>
                <w:b/>
                <w:bCs/>
                <w:color w:val="000000" w:themeColor="text1"/>
                <w:szCs w:val="21"/>
              </w:rPr>
            </w:pPr>
            <w:r>
              <w:rPr>
                <w:b/>
                <w:bCs/>
                <w:color w:val="000000" w:themeColor="text1"/>
                <w:szCs w:val="21"/>
              </w:rPr>
              <w:t>达标</w:t>
            </w:r>
          </w:p>
        </w:tc>
      </w:tr>
      <w:tr w14:paraId="45BB19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0927C9AE">
            <w:pPr>
              <w:ind w:left="103" w:hanging="102" w:hangingChars="49"/>
              <w:jc w:val="center"/>
              <w:rPr>
                <w:bCs/>
                <w:color w:val="000000" w:themeColor="text1"/>
                <w:szCs w:val="21"/>
              </w:rPr>
            </w:pPr>
            <w:r>
              <w:rPr>
                <w:bCs/>
                <w:color w:val="000000" w:themeColor="text1"/>
                <w:szCs w:val="21"/>
              </w:rPr>
              <w:t>氯化物</w:t>
            </w:r>
          </w:p>
        </w:tc>
        <w:tc>
          <w:tcPr>
            <w:tcW w:w="623" w:type="pct"/>
            <w:vAlign w:val="center"/>
          </w:tcPr>
          <w:p w14:paraId="1DA99906">
            <w:pPr>
              <w:ind w:left="103" w:hanging="102" w:hangingChars="49"/>
              <w:jc w:val="center"/>
              <w:rPr>
                <w:bCs/>
                <w:color w:val="000000" w:themeColor="text1"/>
                <w:szCs w:val="21"/>
              </w:rPr>
            </w:pPr>
            <w:r>
              <w:rPr>
                <w:bCs/>
                <w:color w:val="000000" w:themeColor="text1"/>
                <w:szCs w:val="21"/>
              </w:rPr>
              <w:t>23</w:t>
            </w:r>
          </w:p>
        </w:tc>
        <w:tc>
          <w:tcPr>
            <w:tcW w:w="680" w:type="pct"/>
            <w:vAlign w:val="center"/>
          </w:tcPr>
          <w:p w14:paraId="5A4CD603">
            <w:pPr>
              <w:jc w:val="center"/>
              <w:rPr>
                <w:bCs/>
                <w:color w:val="000000" w:themeColor="text1"/>
                <w:szCs w:val="21"/>
              </w:rPr>
            </w:pPr>
            <w:r>
              <w:rPr>
                <w:bCs/>
                <w:color w:val="000000" w:themeColor="text1"/>
                <w:szCs w:val="21"/>
              </w:rPr>
              <w:t>26</w:t>
            </w:r>
          </w:p>
        </w:tc>
        <w:tc>
          <w:tcPr>
            <w:tcW w:w="681" w:type="pct"/>
            <w:vAlign w:val="center"/>
          </w:tcPr>
          <w:p w14:paraId="53B20059">
            <w:pPr>
              <w:jc w:val="center"/>
              <w:rPr>
                <w:bCs/>
                <w:color w:val="000000" w:themeColor="text1"/>
                <w:szCs w:val="21"/>
              </w:rPr>
            </w:pPr>
            <w:r>
              <w:rPr>
                <w:bCs/>
                <w:color w:val="000000" w:themeColor="text1"/>
                <w:szCs w:val="21"/>
              </w:rPr>
              <w:t>10L</w:t>
            </w:r>
          </w:p>
        </w:tc>
        <w:tc>
          <w:tcPr>
            <w:tcW w:w="681" w:type="pct"/>
            <w:vAlign w:val="center"/>
          </w:tcPr>
          <w:p w14:paraId="64B001F0">
            <w:pPr>
              <w:jc w:val="center"/>
              <w:rPr>
                <w:bCs/>
                <w:color w:val="000000" w:themeColor="text1"/>
                <w:szCs w:val="21"/>
              </w:rPr>
            </w:pPr>
            <w:r>
              <w:rPr>
                <w:bCs/>
                <w:color w:val="000000" w:themeColor="text1"/>
                <w:szCs w:val="21"/>
              </w:rPr>
              <w:t>10L</w:t>
            </w:r>
          </w:p>
        </w:tc>
        <w:tc>
          <w:tcPr>
            <w:tcW w:w="681" w:type="pct"/>
            <w:vAlign w:val="center"/>
          </w:tcPr>
          <w:p w14:paraId="4372EAC5">
            <w:pPr>
              <w:jc w:val="center"/>
              <w:rPr>
                <w:bCs/>
                <w:color w:val="000000" w:themeColor="text1"/>
                <w:szCs w:val="21"/>
              </w:rPr>
            </w:pPr>
            <w:r>
              <w:rPr>
                <w:bCs/>
                <w:color w:val="000000" w:themeColor="text1"/>
                <w:szCs w:val="21"/>
              </w:rPr>
              <w:t>10L</w:t>
            </w:r>
          </w:p>
        </w:tc>
        <w:tc>
          <w:tcPr>
            <w:tcW w:w="683" w:type="pct"/>
            <w:vAlign w:val="center"/>
          </w:tcPr>
          <w:p w14:paraId="3F2D7B5B">
            <w:pPr>
              <w:jc w:val="center"/>
              <w:rPr>
                <w:bCs/>
                <w:color w:val="000000" w:themeColor="text1"/>
                <w:szCs w:val="21"/>
              </w:rPr>
            </w:pPr>
            <w:r>
              <w:rPr>
                <w:bCs/>
                <w:color w:val="000000" w:themeColor="text1"/>
                <w:szCs w:val="21"/>
              </w:rPr>
              <w:t>10L</w:t>
            </w:r>
          </w:p>
        </w:tc>
      </w:tr>
      <w:tr w14:paraId="61C3E7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1A211C57">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636FCC5F">
            <w:pPr>
              <w:ind w:left="103" w:hanging="102" w:hangingChars="49"/>
              <w:jc w:val="center"/>
              <w:rPr>
                <w:bCs/>
                <w:color w:val="000000" w:themeColor="text1"/>
                <w:szCs w:val="21"/>
              </w:rPr>
            </w:pPr>
            <w:r>
              <w:rPr>
                <w:bCs/>
                <w:color w:val="000000" w:themeColor="text1"/>
                <w:szCs w:val="21"/>
              </w:rPr>
              <w:t>250</w:t>
            </w:r>
          </w:p>
        </w:tc>
        <w:tc>
          <w:tcPr>
            <w:tcW w:w="680" w:type="pct"/>
            <w:vAlign w:val="center"/>
          </w:tcPr>
          <w:p w14:paraId="1D49CC7B">
            <w:pPr>
              <w:jc w:val="center"/>
              <w:rPr>
                <w:bCs/>
                <w:color w:val="000000" w:themeColor="text1"/>
                <w:szCs w:val="21"/>
              </w:rPr>
            </w:pPr>
            <w:r>
              <w:rPr>
                <w:bCs/>
                <w:color w:val="000000" w:themeColor="text1"/>
                <w:szCs w:val="21"/>
              </w:rPr>
              <w:t>250</w:t>
            </w:r>
          </w:p>
        </w:tc>
        <w:tc>
          <w:tcPr>
            <w:tcW w:w="681" w:type="pct"/>
            <w:vAlign w:val="center"/>
          </w:tcPr>
          <w:p w14:paraId="156E404E">
            <w:pPr>
              <w:jc w:val="center"/>
              <w:rPr>
                <w:b/>
                <w:bCs/>
                <w:color w:val="000000" w:themeColor="text1"/>
                <w:szCs w:val="21"/>
              </w:rPr>
            </w:pPr>
            <w:r>
              <w:rPr>
                <w:b/>
                <w:bCs/>
                <w:color w:val="000000" w:themeColor="text1"/>
                <w:szCs w:val="21"/>
              </w:rPr>
              <w:t>250</w:t>
            </w:r>
          </w:p>
        </w:tc>
        <w:tc>
          <w:tcPr>
            <w:tcW w:w="681" w:type="pct"/>
            <w:vAlign w:val="center"/>
          </w:tcPr>
          <w:p w14:paraId="53B49334">
            <w:pPr>
              <w:jc w:val="center"/>
              <w:rPr>
                <w:b/>
                <w:bCs/>
                <w:color w:val="000000" w:themeColor="text1"/>
                <w:szCs w:val="21"/>
              </w:rPr>
            </w:pPr>
            <w:r>
              <w:rPr>
                <w:b/>
                <w:bCs/>
                <w:color w:val="000000" w:themeColor="text1"/>
                <w:szCs w:val="21"/>
              </w:rPr>
              <w:t>250</w:t>
            </w:r>
          </w:p>
        </w:tc>
        <w:tc>
          <w:tcPr>
            <w:tcW w:w="681" w:type="pct"/>
            <w:vAlign w:val="center"/>
          </w:tcPr>
          <w:p w14:paraId="3AC43101">
            <w:pPr>
              <w:jc w:val="center"/>
              <w:rPr>
                <w:b/>
                <w:bCs/>
                <w:color w:val="000000" w:themeColor="text1"/>
                <w:szCs w:val="21"/>
              </w:rPr>
            </w:pPr>
            <w:r>
              <w:rPr>
                <w:b/>
                <w:bCs/>
                <w:color w:val="000000" w:themeColor="text1"/>
                <w:szCs w:val="21"/>
              </w:rPr>
              <w:t>250</w:t>
            </w:r>
          </w:p>
        </w:tc>
        <w:tc>
          <w:tcPr>
            <w:tcW w:w="683" w:type="pct"/>
            <w:vAlign w:val="center"/>
          </w:tcPr>
          <w:p w14:paraId="0BF0E617">
            <w:pPr>
              <w:jc w:val="center"/>
              <w:rPr>
                <w:b/>
                <w:bCs/>
                <w:color w:val="000000" w:themeColor="text1"/>
                <w:szCs w:val="21"/>
              </w:rPr>
            </w:pPr>
            <w:r>
              <w:rPr>
                <w:b/>
                <w:bCs/>
                <w:color w:val="000000" w:themeColor="text1"/>
                <w:szCs w:val="21"/>
              </w:rPr>
              <w:t>250</w:t>
            </w:r>
          </w:p>
        </w:tc>
      </w:tr>
      <w:tr w14:paraId="351166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4EF5A3B1">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12A27D7D">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7148920E">
            <w:pPr>
              <w:jc w:val="center"/>
              <w:rPr>
                <w:b/>
                <w:bCs/>
                <w:color w:val="000000" w:themeColor="text1"/>
                <w:szCs w:val="21"/>
              </w:rPr>
            </w:pPr>
            <w:r>
              <w:rPr>
                <w:b/>
                <w:bCs/>
                <w:color w:val="000000" w:themeColor="text1"/>
                <w:szCs w:val="21"/>
              </w:rPr>
              <w:t>达标</w:t>
            </w:r>
          </w:p>
        </w:tc>
        <w:tc>
          <w:tcPr>
            <w:tcW w:w="681" w:type="pct"/>
            <w:vAlign w:val="center"/>
          </w:tcPr>
          <w:p w14:paraId="01B7F712">
            <w:pPr>
              <w:jc w:val="center"/>
              <w:rPr>
                <w:b/>
                <w:bCs/>
                <w:color w:val="000000" w:themeColor="text1"/>
                <w:szCs w:val="21"/>
              </w:rPr>
            </w:pPr>
            <w:r>
              <w:rPr>
                <w:b/>
                <w:bCs/>
                <w:color w:val="000000" w:themeColor="text1"/>
                <w:szCs w:val="21"/>
              </w:rPr>
              <w:t>达标</w:t>
            </w:r>
          </w:p>
        </w:tc>
        <w:tc>
          <w:tcPr>
            <w:tcW w:w="681" w:type="pct"/>
            <w:vAlign w:val="center"/>
          </w:tcPr>
          <w:p w14:paraId="4466ECE3">
            <w:pPr>
              <w:jc w:val="center"/>
              <w:rPr>
                <w:b/>
                <w:bCs/>
                <w:color w:val="000000" w:themeColor="text1"/>
                <w:szCs w:val="21"/>
              </w:rPr>
            </w:pPr>
            <w:r>
              <w:rPr>
                <w:b/>
                <w:bCs/>
                <w:color w:val="000000" w:themeColor="text1"/>
                <w:szCs w:val="21"/>
              </w:rPr>
              <w:t>达标</w:t>
            </w:r>
          </w:p>
        </w:tc>
        <w:tc>
          <w:tcPr>
            <w:tcW w:w="681" w:type="pct"/>
            <w:vAlign w:val="center"/>
          </w:tcPr>
          <w:p w14:paraId="415993EF">
            <w:pPr>
              <w:jc w:val="center"/>
              <w:rPr>
                <w:b/>
                <w:bCs/>
                <w:color w:val="000000" w:themeColor="text1"/>
                <w:szCs w:val="21"/>
              </w:rPr>
            </w:pPr>
            <w:r>
              <w:rPr>
                <w:b/>
                <w:bCs/>
                <w:color w:val="000000" w:themeColor="text1"/>
                <w:szCs w:val="21"/>
              </w:rPr>
              <w:t>达标</w:t>
            </w:r>
          </w:p>
        </w:tc>
        <w:tc>
          <w:tcPr>
            <w:tcW w:w="683" w:type="pct"/>
            <w:vAlign w:val="center"/>
          </w:tcPr>
          <w:p w14:paraId="0F093501">
            <w:pPr>
              <w:jc w:val="center"/>
              <w:rPr>
                <w:b/>
                <w:bCs/>
                <w:color w:val="000000" w:themeColor="text1"/>
                <w:szCs w:val="21"/>
              </w:rPr>
            </w:pPr>
            <w:r>
              <w:rPr>
                <w:b/>
                <w:bCs/>
                <w:color w:val="000000" w:themeColor="text1"/>
                <w:szCs w:val="21"/>
              </w:rPr>
              <w:t>达标</w:t>
            </w:r>
          </w:p>
        </w:tc>
      </w:tr>
      <w:tr w14:paraId="04DBE7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0408A354">
            <w:pPr>
              <w:ind w:left="103" w:hanging="102" w:hangingChars="49"/>
              <w:jc w:val="center"/>
              <w:rPr>
                <w:bCs/>
                <w:color w:val="000000" w:themeColor="text1"/>
                <w:szCs w:val="21"/>
              </w:rPr>
            </w:pPr>
            <w:r>
              <w:rPr>
                <w:bCs/>
                <w:color w:val="000000" w:themeColor="text1"/>
                <w:szCs w:val="21"/>
              </w:rPr>
              <w:t>总大肠菌群（MPN/100mL）</w:t>
            </w:r>
          </w:p>
        </w:tc>
        <w:tc>
          <w:tcPr>
            <w:tcW w:w="623" w:type="pct"/>
            <w:vAlign w:val="center"/>
          </w:tcPr>
          <w:p w14:paraId="3D6089FD">
            <w:pPr>
              <w:ind w:left="103" w:hanging="102" w:hangingChars="49"/>
              <w:jc w:val="center"/>
              <w:rPr>
                <w:bCs/>
                <w:color w:val="FF0000"/>
                <w:szCs w:val="21"/>
              </w:rPr>
            </w:pPr>
            <w:r>
              <w:rPr>
                <w:bCs/>
                <w:color w:val="FF0000"/>
                <w:szCs w:val="21"/>
              </w:rPr>
              <w:t>未检出</w:t>
            </w:r>
          </w:p>
        </w:tc>
        <w:tc>
          <w:tcPr>
            <w:tcW w:w="680" w:type="pct"/>
            <w:vAlign w:val="center"/>
          </w:tcPr>
          <w:p w14:paraId="32059626">
            <w:pPr>
              <w:jc w:val="center"/>
              <w:rPr>
                <w:bCs/>
                <w:color w:val="FF0000"/>
                <w:szCs w:val="21"/>
              </w:rPr>
            </w:pPr>
            <w:r>
              <w:rPr>
                <w:bCs/>
                <w:color w:val="FF0000"/>
                <w:szCs w:val="21"/>
              </w:rPr>
              <w:t>未检出</w:t>
            </w:r>
          </w:p>
        </w:tc>
        <w:tc>
          <w:tcPr>
            <w:tcW w:w="681" w:type="pct"/>
            <w:vAlign w:val="center"/>
          </w:tcPr>
          <w:p w14:paraId="588455C9">
            <w:pPr>
              <w:jc w:val="center"/>
              <w:rPr>
                <w:bCs/>
                <w:color w:val="FF0000"/>
                <w:szCs w:val="21"/>
              </w:rPr>
            </w:pPr>
            <w:r>
              <w:rPr>
                <w:bCs/>
                <w:color w:val="FF0000"/>
                <w:szCs w:val="21"/>
              </w:rPr>
              <w:t>未检出</w:t>
            </w:r>
          </w:p>
        </w:tc>
        <w:tc>
          <w:tcPr>
            <w:tcW w:w="681" w:type="pct"/>
            <w:vAlign w:val="center"/>
          </w:tcPr>
          <w:p w14:paraId="64694B97">
            <w:pPr>
              <w:jc w:val="center"/>
              <w:rPr>
                <w:bCs/>
                <w:color w:val="FF0000"/>
                <w:szCs w:val="21"/>
              </w:rPr>
            </w:pPr>
            <w:r>
              <w:rPr>
                <w:bCs/>
                <w:color w:val="FF0000"/>
                <w:szCs w:val="21"/>
              </w:rPr>
              <w:t>未检出</w:t>
            </w:r>
          </w:p>
        </w:tc>
        <w:tc>
          <w:tcPr>
            <w:tcW w:w="681" w:type="pct"/>
            <w:vAlign w:val="center"/>
          </w:tcPr>
          <w:p w14:paraId="4B8B2383">
            <w:pPr>
              <w:jc w:val="center"/>
              <w:rPr>
                <w:bCs/>
                <w:color w:val="FF0000"/>
                <w:szCs w:val="21"/>
              </w:rPr>
            </w:pPr>
            <w:r>
              <w:rPr>
                <w:bCs/>
                <w:color w:val="FF0000"/>
                <w:szCs w:val="21"/>
              </w:rPr>
              <w:t>未检出</w:t>
            </w:r>
          </w:p>
        </w:tc>
        <w:tc>
          <w:tcPr>
            <w:tcW w:w="683" w:type="pct"/>
            <w:vAlign w:val="center"/>
          </w:tcPr>
          <w:p w14:paraId="0FC53322">
            <w:pPr>
              <w:jc w:val="center"/>
              <w:rPr>
                <w:bCs/>
                <w:color w:val="FF0000"/>
                <w:szCs w:val="21"/>
              </w:rPr>
            </w:pPr>
            <w:r>
              <w:rPr>
                <w:bCs/>
                <w:color w:val="FF0000"/>
                <w:szCs w:val="21"/>
              </w:rPr>
              <w:t>未检出</w:t>
            </w:r>
          </w:p>
        </w:tc>
      </w:tr>
      <w:tr w14:paraId="504F02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7A70272F">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04262F35">
            <w:pPr>
              <w:ind w:left="103" w:hanging="102" w:hangingChars="49"/>
              <w:jc w:val="center"/>
              <w:rPr>
                <w:bCs/>
                <w:color w:val="000000" w:themeColor="text1"/>
                <w:szCs w:val="21"/>
              </w:rPr>
            </w:pPr>
            <w:r>
              <w:rPr>
                <w:bCs/>
                <w:color w:val="000000" w:themeColor="text1"/>
                <w:szCs w:val="21"/>
              </w:rPr>
              <w:t>3.0</w:t>
            </w:r>
          </w:p>
        </w:tc>
        <w:tc>
          <w:tcPr>
            <w:tcW w:w="680" w:type="pct"/>
            <w:vAlign w:val="center"/>
          </w:tcPr>
          <w:p w14:paraId="54AC55D8">
            <w:pPr>
              <w:jc w:val="center"/>
              <w:rPr>
                <w:bCs/>
                <w:color w:val="000000" w:themeColor="text1"/>
                <w:szCs w:val="21"/>
              </w:rPr>
            </w:pPr>
            <w:r>
              <w:rPr>
                <w:bCs/>
                <w:color w:val="000000" w:themeColor="text1"/>
                <w:szCs w:val="21"/>
              </w:rPr>
              <w:t>3.0</w:t>
            </w:r>
          </w:p>
        </w:tc>
        <w:tc>
          <w:tcPr>
            <w:tcW w:w="681" w:type="pct"/>
            <w:vAlign w:val="center"/>
          </w:tcPr>
          <w:p w14:paraId="5CBDF72C">
            <w:pPr>
              <w:jc w:val="center"/>
              <w:rPr>
                <w:bCs/>
                <w:color w:val="000000" w:themeColor="text1"/>
                <w:szCs w:val="21"/>
              </w:rPr>
            </w:pPr>
            <w:r>
              <w:rPr>
                <w:bCs/>
                <w:color w:val="000000" w:themeColor="text1"/>
                <w:szCs w:val="21"/>
              </w:rPr>
              <w:t>3.0</w:t>
            </w:r>
          </w:p>
        </w:tc>
        <w:tc>
          <w:tcPr>
            <w:tcW w:w="681" w:type="pct"/>
            <w:vAlign w:val="center"/>
          </w:tcPr>
          <w:p w14:paraId="44CB9F3D">
            <w:pPr>
              <w:jc w:val="center"/>
              <w:rPr>
                <w:bCs/>
                <w:color w:val="000000" w:themeColor="text1"/>
                <w:szCs w:val="21"/>
              </w:rPr>
            </w:pPr>
            <w:r>
              <w:rPr>
                <w:bCs/>
                <w:color w:val="000000" w:themeColor="text1"/>
                <w:szCs w:val="21"/>
              </w:rPr>
              <w:t>3.0</w:t>
            </w:r>
          </w:p>
        </w:tc>
        <w:tc>
          <w:tcPr>
            <w:tcW w:w="681" w:type="pct"/>
            <w:vAlign w:val="center"/>
          </w:tcPr>
          <w:p w14:paraId="0359E664">
            <w:pPr>
              <w:jc w:val="center"/>
              <w:rPr>
                <w:bCs/>
                <w:color w:val="000000" w:themeColor="text1"/>
                <w:szCs w:val="21"/>
              </w:rPr>
            </w:pPr>
            <w:r>
              <w:rPr>
                <w:bCs/>
                <w:color w:val="000000" w:themeColor="text1"/>
                <w:szCs w:val="21"/>
              </w:rPr>
              <w:t>3.0</w:t>
            </w:r>
          </w:p>
        </w:tc>
        <w:tc>
          <w:tcPr>
            <w:tcW w:w="683" w:type="pct"/>
            <w:vAlign w:val="center"/>
          </w:tcPr>
          <w:p w14:paraId="328A637A">
            <w:pPr>
              <w:jc w:val="center"/>
              <w:rPr>
                <w:bCs/>
                <w:color w:val="000000" w:themeColor="text1"/>
                <w:szCs w:val="21"/>
              </w:rPr>
            </w:pPr>
            <w:r>
              <w:rPr>
                <w:bCs/>
                <w:color w:val="000000" w:themeColor="text1"/>
                <w:szCs w:val="21"/>
              </w:rPr>
              <w:t>3.0</w:t>
            </w:r>
          </w:p>
        </w:tc>
      </w:tr>
      <w:tr w14:paraId="0E5D11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1CF00F03">
            <w:pPr>
              <w:ind w:left="103" w:hanging="103" w:hangingChars="49"/>
              <w:jc w:val="center"/>
              <w:rPr>
                <w:b/>
                <w:bCs/>
                <w:color w:val="000000" w:themeColor="text1"/>
                <w:szCs w:val="21"/>
              </w:rPr>
            </w:pPr>
            <w:r>
              <w:rPr>
                <w:b/>
                <w:bCs/>
                <w:color w:val="000000" w:themeColor="text1"/>
                <w:szCs w:val="21"/>
              </w:rPr>
              <w:t>达标情况</w:t>
            </w:r>
          </w:p>
        </w:tc>
        <w:tc>
          <w:tcPr>
            <w:tcW w:w="623" w:type="pct"/>
            <w:vAlign w:val="center"/>
          </w:tcPr>
          <w:p w14:paraId="3F03C71A">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2AC8DB10">
            <w:pPr>
              <w:jc w:val="center"/>
              <w:rPr>
                <w:b/>
                <w:bCs/>
                <w:color w:val="000000" w:themeColor="text1"/>
                <w:szCs w:val="21"/>
              </w:rPr>
            </w:pPr>
            <w:r>
              <w:rPr>
                <w:b/>
                <w:bCs/>
                <w:color w:val="000000" w:themeColor="text1"/>
                <w:szCs w:val="21"/>
              </w:rPr>
              <w:t>达标</w:t>
            </w:r>
          </w:p>
        </w:tc>
        <w:tc>
          <w:tcPr>
            <w:tcW w:w="681" w:type="pct"/>
            <w:vAlign w:val="center"/>
          </w:tcPr>
          <w:p w14:paraId="102AA83C">
            <w:pPr>
              <w:jc w:val="center"/>
              <w:rPr>
                <w:b/>
                <w:bCs/>
                <w:color w:val="000000" w:themeColor="text1"/>
                <w:szCs w:val="21"/>
              </w:rPr>
            </w:pPr>
            <w:r>
              <w:rPr>
                <w:b/>
                <w:bCs/>
                <w:color w:val="000000" w:themeColor="text1"/>
                <w:szCs w:val="21"/>
              </w:rPr>
              <w:t>达标</w:t>
            </w:r>
          </w:p>
        </w:tc>
        <w:tc>
          <w:tcPr>
            <w:tcW w:w="681" w:type="pct"/>
            <w:vAlign w:val="center"/>
          </w:tcPr>
          <w:p w14:paraId="488604E6">
            <w:pPr>
              <w:jc w:val="center"/>
              <w:rPr>
                <w:b/>
                <w:bCs/>
                <w:color w:val="000000" w:themeColor="text1"/>
                <w:szCs w:val="21"/>
              </w:rPr>
            </w:pPr>
            <w:r>
              <w:rPr>
                <w:b/>
                <w:bCs/>
                <w:color w:val="000000" w:themeColor="text1"/>
                <w:szCs w:val="21"/>
              </w:rPr>
              <w:t>达标</w:t>
            </w:r>
          </w:p>
        </w:tc>
        <w:tc>
          <w:tcPr>
            <w:tcW w:w="681" w:type="pct"/>
            <w:vAlign w:val="center"/>
          </w:tcPr>
          <w:p w14:paraId="216BF990">
            <w:pPr>
              <w:jc w:val="center"/>
              <w:rPr>
                <w:b/>
                <w:bCs/>
                <w:color w:val="000000" w:themeColor="text1"/>
                <w:szCs w:val="21"/>
              </w:rPr>
            </w:pPr>
            <w:r>
              <w:rPr>
                <w:b/>
                <w:bCs/>
                <w:color w:val="000000" w:themeColor="text1"/>
                <w:szCs w:val="21"/>
              </w:rPr>
              <w:t>达标</w:t>
            </w:r>
          </w:p>
        </w:tc>
        <w:tc>
          <w:tcPr>
            <w:tcW w:w="683" w:type="pct"/>
            <w:vAlign w:val="center"/>
          </w:tcPr>
          <w:p w14:paraId="3B9303D5">
            <w:pPr>
              <w:jc w:val="center"/>
              <w:rPr>
                <w:b/>
                <w:bCs/>
                <w:color w:val="000000" w:themeColor="text1"/>
                <w:szCs w:val="21"/>
              </w:rPr>
            </w:pPr>
            <w:r>
              <w:rPr>
                <w:b/>
                <w:bCs/>
                <w:color w:val="000000" w:themeColor="text1"/>
                <w:szCs w:val="21"/>
              </w:rPr>
              <w:t>达标</w:t>
            </w:r>
          </w:p>
        </w:tc>
      </w:tr>
      <w:tr w14:paraId="4ED415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275D3A5A">
            <w:pPr>
              <w:ind w:left="103" w:hanging="102" w:hangingChars="49"/>
              <w:jc w:val="center"/>
              <w:rPr>
                <w:bCs/>
                <w:color w:val="000000" w:themeColor="text1"/>
                <w:szCs w:val="21"/>
              </w:rPr>
            </w:pPr>
            <w:r>
              <w:rPr>
                <w:bCs/>
                <w:color w:val="000000" w:themeColor="text1"/>
                <w:szCs w:val="21"/>
              </w:rPr>
              <w:t>细菌总数（CFU/mL）</w:t>
            </w:r>
          </w:p>
        </w:tc>
        <w:tc>
          <w:tcPr>
            <w:tcW w:w="623" w:type="pct"/>
            <w:vAlign w:val="center"/>
          </w:tcPr>
          <w:p w14:paraId="334E70FD">
            <w:pPr>
              <w:ind w:left="103" w:hanging="102" w:hangingChars="49"/>
              <w:jc w:val="center"/>
              <w:rPr>
                <w:bCs/>
                <w:color w:val="000000" w:themeColor="text1"/>
                <w:szCs w:val="21"/>
              </w:rPr>
            </w:pPr>
            <w:r>
              <w:rPr>
                <w:bCs/>
                <w:color w:val="000000" w:themeColor="text1"/>
                <w:szCs w:val="21"/>
              </w:rPr>
              <w:t>60</w:t>
            </w:r>
          </w:p>
        </w:tc>
        <w:tc>
          <w:tcPr>
            <w:tcW w:w="680" w:type="pct"/>
            <w:vAlign w:val="center"/>
          </w:tcPr>
          <w:p w14:paraId="56ACC332">
            <w:pPr>
              <w:jc w:val="center"/>
              <w:rPr>
                <w:bCs/>
                <w:color w:val="000000" w:themeColor="text1"/>
                <w:szCs w:val="21"/>
              </w:rPr>
            </w:pPr>
            <w:r>
              <w:rPr>
                <w:bCs/>
                <w:color w:val="000000" w:themeColor="text1"/>
                <w:szCs w:val="21"/>
              </w:rPr>
              <w:t>50</w:t>
            </w:r>
          </w:p>
        </w:tc>
        <w:tc>
          <w:tcPr>
            <w:tcW w:w="681" w:type="pct"/>
            <w:vAlign w:val="center"/>
          </w:tcPr>
          <w:p w14:paraId="17AABB57">
            <w:pPr>
              <w:jc w:val="center"/>
              <w:rPr>
                <w:bCs/>
                <w:color w:val="000000" w:themeColor="text1"/>
                <w:szCs w:val="21"/>
              </w:rPr>
            </w:pPr>
            <w:r>
              <w:rPr>
                <w:bCs/>
                <w:color w:val="000000" w:themeColor="text1"/>
                <w:szCs w:val="21"/>
              </w:rPr>
              <w:t>90</w:t>
            </w:r>
          </w:p>
        </w:tc>
        <w:tc>
          <w:tcPr>
            <w:tcW w:w="681" w:type="pct"/>
            <w:vAlign w:val="center"/>
          </w:tcPr>
          <w:p w14:paraId="65F23A67">
            <w:pPr>
              <w:jc w:val="center"/>
              <w:rPr>
                <w:bCs/>
                <w:color w:val="000000" w:themeColor="text1"/>
                <w:szCs w:val="21"/>
              </w:rPr>
            </w:pPr>
            <w:r>
              <w:rPr>
                <w:bCs/>
                <w:color w:val="000000" w:themeColor="text1"/>
                <w:szCs w:val="21"/>
              </w:rPr>
              <w:t>70</w:t>
            </w:r>
          </w:p>
        </w:tc>
        <w:tc>
          <w:tcPr>
            <w:tcW w:w="681" w:type="pct"/>
            <w:vAlign w:val="center"/>
          </w:tcPr>
          <w:p w14:paraId="5CC3E84E">
            <w:pPr>
              <w:jc w:val="center"/>
              <w:rPr>
                <w:bCs/>
                <w:color w:val="000000" w:themeColor="text1"/>
                <w:szCs w:val="21"/>
              </w:rPr>
            </w:pPr>
            <w:r>
              <w:rPr>
                <w:bCs/>
                <w:color w:val="000000" w:themeColor="text1"/>
                <w:szCs w:val="21"/>
              </w:rPr>
              <w:t>80</w:t>
            </w:r>
          </w:p>
        </w:tc>
        <w:tc>
          <w:tcPr>
            <w:tcW w:w="683" w:type="pct"/>
            <w:vAlign w:val="center"/>
          </w:tcPr>
          <w:p w14:paraId="2BE4A7AF">
            <w:pPr>
              <w:jc w:val="center"/>
              <w:rPr>
                <w:bCs/>
                <w:color w:val="000000" w:themeColor="text1"/>
                <w:szCs w:val="21"/>
              </w:rPr>
            </w:pPr>
            <w:r>
              <w:rPr>
                <w:bCs/>
                <w:color w:val="000000" w:themeColor="text1"/>
                <w:szCs w:val="21"/>
              </w:rPr>
              <w:t>70</w:t>
            </w:r>
          </w:p>
        </w:tc>
      </w:tr>
      <w:tr w14:paraId="25C541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2D148F04">
            <w:pPr>
              <w:ind w:left="103" w:hanging="102" w:hangingChars="49"/>
              <w:jc w:val="center"/>
              <w:rPr>
                <w:bCs/>
                <w:color w:val="000000" w:themeColor="text1"/>
                <w:szCs w:val="21"/>
              </w:rPr>
            </w:pPr>
            <w:r>
              <w:rPr>
                <w:bCs/>
                <w:color w:val="000000" w:themeColor="text1"/>
                <w:szCs w:val="21"/>
              </w:rPr>
              <w:t>标准</w:t>
            </w:r>
          </w:p>
        </w:tc>
        <w:tc>
          <w:tcPr>
            <w:tcW w:w="623" w:type="pct"/>
            <w:vAlign w:val="center"/>
          </w:tcPr>
          <w:p w14:paraId="08494418">
            <w:pPr>
              <w:ind w:left="103" w:hanging="102" w:hangingChars="49"/>
              <w:jc w:val="center"/>
              <w:rPr>
                <w:bCs/>
                <w:color w:val="000000" w:themeColor="text1"/>
                <w:szCs w:val="21"/>
              </w:rPr>
            </w:pPr>
            <w:r>
              <w:rPr>
                <w:bCs/>
                <w:color w:val="000000" w:themeColor="text1"/>
                <w:szCs w:val="21"/>
              </w:rPr>
              <w:t>100</w:t>
            </w:r>
          </w:p>
        </w:tc>
        <w:tc>
          <w:tcPr>
            <w:tcW w:w="680" w:type="pct"/>
            <w:vAlign w:val="center"/>
          </w:tcPr>
          <w:p w14:paraId="574D7BAC">
            <w:pPr>
              <w:jc w:val="center"/>
              <w:rPr>
                <w:bCs/>
                <w:color w:val="000000" w:themeColor="text1"/>
                <w:szCs w:val="21"/>
              </w:rPr>
            </w:pPr>
            <w:r>
              <w:rPr>
                <w:bCs/>
                <w:color w:val="000000" w:themeColor="text1"/>
                <w:szCs w:val="21"/>
              </w:rPr>
              <w:t>100</w:t>
            </w:r>
          </w:p>
        </w:tc>
        <w:tc>
          <w:tcPr>
            <w:tcW w:w="681" w:type="pct"/>
            <w:vAlign w:val="center"/>
          </w:tcPr>
          <w:p w14:paraId="7A1A87FF">
            <w:pPr>
              <w:jc w:val="center"/>
              <w:rPr>
                <w:bCs/>
                <w:color w:val="000000" w:themeColor="text1"/>
                <w:szCs w:val="21"/>
              </w:rPr>
            </w:pPr>
            <w:r>
              <w:rPr>
                <w:bCs/>
                <w:color w:val="000000" w:themeColor="text1"/>
                <w:szCs w:val="21"/>
              </w:rPr>
              <w:t>100</w:t>
            </w:r>
          </w:p>
        </w:tc>
        <w:tc>
          <w:tcPr>
            <w:tcW w:w="681" w:type="pct"/>
            <w:vAlign w:val="center"/>
          </w:tcPr>
          <w:p w14:paraId="56464607">
            <w:pPr>
              <w:jc w:val="center"/>
              <w:rPr>
                <w:bCs/>
                <w:color w:val="000000" w:themeColor="text1"/>
                <w:szCs w:val="21"/>
              </w:rPr>
            </w:pPr>
            <w:r>
              <w:rPr>
                <w:bCs/>
                <w:color w:val="000000" w:themeColor="text1"/>
                <w:szCs w:val="21"/>
              </w:rPr>
              <w:t>100</w:t>
            </w:r>
          </w:p>
        </w:tc>
        <w:tc>
          <w:tcPr>
            <w:tcW w:w="681" w:type="pct"/>
            <w:vAlign w:val="center"/>
          </w:tcPr>
          <w:p w14:paraId="1D144D0B">
            <w:pPr>
              <w:jc w:val="center"/>
              <w:rPr>
                <w:bCs/>
                <w:color w:val="000000" w:themeColor="text1"/>
                <w:szCs w:val="21"/>
              </w:rPr>
            </w:pPr>
            <w:r>
              <w:rPr>
                <w:bCs/>
                <w:color w:val="000000" w:themeColor="text1"/>
                <w:szCs w:val="21"/>
              </w:rPr>
              <w:t>100</w:t>
            </w:r>
          </w:p>
        </w:tc>
        <w:tc>
          <w:tcPr>
            <w:tcW w:w="683" w:type="pct"/>
            <w:vAlign w:val="center"/>
          </w:tcPr>
          <w:p w14:paraId="336CEF16">
            <w:pPr>
              <w:jc w:val="center"/>
              <w:rPr>
                <w:bCs/>
                <w:color w:val="000000" w:themeColor="text1"/>
                <w:szCs w:val="21"/>
              </w:rPr>
            </w:pPr>
            <w:r>
              <w:rPr>
                <w:bCs/>
                <w:color w:val="000000" w:themeColor="text1"/>
                <w:szCs w:val="21"/>
              </w:rPr>
              <w:t>100</w:t>
            </w:r>
          </w:p>
        </w:tc>
      </w:tr>
      <w:tr w14:paraId="3E9760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 w:hRule="atLeast"/>
          <w:jc w:val="center"/>
        </w:trPr>
        <w:tc>
          <w:tcPr>
            <w:tcW w:w="971" w:type="pct"/>
            <w:vAlign w:val="center"/>
          </w:tcPr>
          <w:p w14:paraId="3506FEB7">
            <w:pPr>
              <w:ind w:left="103" w:hanging="102" w:hangingChars="49"/>
              <w:jc w:val="center"/>
              <w:rPr>
                <w:bCs/>
                <w:color w:val="000000" w:themeColor="text1"/>
                <w:szCs w:val="21"/>
              </w:rPr>
            </w:pPr>
            <w:r>
              <w:rPr>
                <w:bCs/>
                <w:color w:val="000000" w:themeColor="text1"/>
                <w:szCs w:val="21"/>
              </w:rPr>
              <w:t>达标情况</w:t>
            </w:r>
          </w:p>
        </w:tc>
        <w:tc>
          <w:tcPr>
            <w:tcW w:w="623" w:type="pct"/>
            <w:vAlign w:val="center"/>
          </w:tcPr>
          <w:p w14:paraId="6C5E10B1">
            <w:pPr>
              <w:ind w:left="103" w:hanging="103" w:hangingChars="49"/>
              <w:jc w:val="center"/>
              <w:rPr>
                <w:b/>
                <w:bCs/>
                <w:color w:val="000000" w:themeColor="text1"/>
                <w:szCs w:val="21"/>
              </w:rPr>
            </w:pPr>
            <w:r>
              <w:rPr>
                <w:b/>
                <w:bCs/>
                <w:color w:val="000000" w:themeColor="text1"/>
                <w:szCs w:val="21"/>
              </w:rPr>
              <w:t>达标</w:t>
            </w:r>
          </w:p>
        </w:tc>
        <w:tc>
          <w:tcPr>
            <w:tcW w:w="680" w:type="pct"/>
            <w:vAlign w:val="center"/>
          </w:tcPr>
          <w:p w14:paraId="24AB7A50">
            <w:pPr>
              <w:jc w:val="center"/>
              <w:rPr>
                <w:b/>
                <w:bCs/>
                <w:color w:val="000000" w:themeColor="text1"/>
                <w:szCs w:val="21"/>
              </w:rPr>
            </w:pPr>
            <w:r>
              <w:rPr>
                <w:b/>
                <w:bCs/>
                <w:color w:val="000000" w:themeColor="text1"/>
                <w:szCs w:val="21"/>
              </w:rPr>
              <w:t>达标</w:t>
            </w:r>
          </w:p>
        </w:tc>
        <w:tc>
          <w:tcPr>
            <w:tcW w:w="681" w:type="pct"/>
            <w:vAlign w:val="center"/>
          </w:tcPr>
          <w:p w14:paraId="3DCCBE52">
            <w:pPr>
              <w:jc w:val="center"/>
              <w:rPr>
                <w:b/>
                <w:bCs/>
                <w:color w:val="000000" w:themeColor="text1"/>
                <w:szCs w:val="21"/>
              </w:rPr>
            </w:pPr>
            <w:r>
              <w:rPr>
                <w:b/>
                <w:bCs/>
                <w:color w:val="000000" w:themeColor="text1"/>
                <w:szCs w:val="21"/>
              </w:rPr>
              <w:t>达标</w:t>
            </w:r>
          </w:p>
        </w:tc>
        <w:tc>
          <w:tcPr>
            <w:tcW w:w="681" w:type="pct"/>
            <w:vAlign w:val="center"/>
          </w:tcPr>
          <w:p w14:paraId="4933BEAC">
            <w:pPr>
              <w:jc w:val="center"/>
              <w:rPr>
                <w:b/>
                <w:bCs/>
                <w:color w:val="000000" w:themeColor="text1"/>
                <w:szCs w:val="21"/>
              </w:rPr>
            </w:pPr>
            <w:r>
              <w:rPr>
                <w:b/>
                <w:bCs/>
                <w:color w:val="000000" w:themeColor="text1"/>
                <w:szCs w:val="21"/>
              </w:rPr>
              <w:t>达标</w:t>
            </w:r>
          </w:p>
        </w:tc>
        <w:tc>
          <w:tcPr>
            <w:tcW w:w="681" w:type="pct"/>
            <w:vAlign w:val="center"/>
          </w:tcPr>
          <w:p w14:paraId="1A87C127">
            <w:pPr>
              <w:jc w:val="center"/>
              <w:rPr>
                <w:b/>
                <w:bCs/>
                <w:color w:val="000000" w:themeColor="text1"/>
                <w:szCs w:val="21"/>
              </w:rPr>
            </w:pPr>
            <w:r>
              <w:rPr>
                <w:b/>
                <w:bCs/>
                <w:color w:val="000000" w:themeColor="text1"/>
                <w:szCs w:val="21"/>
              </w:rPr>
              <w:t>达标</w:t>
            </w:r>
          </w:p>
        </w:tc>
        <w:tc>
          <w:tcPr>
            <w:tcW w:w="683" w:type="pct"/>
            <w:vAlign w:val="center"/>
          </w:tcPr>
          <w:p w14:paraId="5F95C2DA">
            <w:pPr>
              <w:jc w:val="center"/>
              <w:rPr>
                <w:b/>
                <w:bCs/>
                <w:color w:val="000000" w:themeColor="text1"/>
                <w:szCs w:val="21"/>
              </w:rPr>
            </w:pPr>
            <w:r>
              <w:rPr>
                <w:b/>
                <w:bCs/>
                <w:color w:val="000000" w:themeColor="text1"/>
                <w:szCs w:val="21"/>
              </w:rPr>
              <w:t>达标</w:t>
            </w:r>
          </w:p>
        </w:tc>
      </w:tr>
    </w:tbl>
    <w:p w14:paraId="61FC4CF0">
      <w:pPr>
        <w:spacing w:line="360" w:lineRule="auto"/>
        <w:ind w:firstLine="480" w:firstLineChars="200"/>
        <w:rPr>
          <w:color w:val="000000" w:themeColor="text1"/>
          <w:sz w:val="24"/>
        </w:rPr>
      </w:pPr>
      <w:r>
        <w:rPr>
          <w:color w:val="000000" w:themeColor="text1"/>
          <w:sz w:val="24"/>
        </w:rPr>
        <w:t>根据上表可知，本项目区周边地下水pH、溶解性总固体、耗氧量、氨氮、挥发酚、氯化物、硫酸盐、氟化物、菌落总数、总大肠菌群、铁、锰、铅，共13项指标均满足《地下水质量标准》（GB/T14848-93）Ⅲ类标准。</w:t>
      </w:r>
    </w:p>
    <w:p w14:paraId="6CA26F5A">
      <w:pPr>
        <w:pStyle w:val="105"/>
        <w:rPr>
          <w:rFonts w:cs="Times New Roman"/>
          <w:color w:val="000000" w:themeColor="text1"/>
        </w:rPr>
      </w:pPr>
      <w:r>
        <w:rPr>
          <w:rFonts w:cs="Times New Roman"/>
          <w:color w:val="000000" w:themeColor="text1"/>
        </w:rPr>
        <w:t>4.5.3声环境质量现状</w:t>
      </w:r>
    </w:p>
    <w:p w14:paraId="5368F716">
      <w:pPr>
        <w:pStyle w:val="106"/>
        <w:adjustRightInd w:val="0"/>
        <w:snapToGrid w:val="0"/>
        <w:spacing w:line="360" w:lineRule="auto"/>
        <w:ind w:firstLine="480" w:firstLineChars="200"/>
        <w:rPr>
          <w:bCs/>
          <w:color w:val="000000" w:themeColor="text1"/>
          <w:sz w:val="24"/>
          <w:szCs w:val="24"/>
        </w:rPr>
      </w:pPr>
      <w:r>
        <w:rPr>
          <w:color w:val="000000" w:themeColor="text1"/>
          <w:sz w:val="24"/>
          <w:szCs w:val="24"/>
        </w:rPr>
        <w:t>本项目为掌握区域声环境质量现状，在项目场界</w:t>
      </w:r>
      <w:r>
        <w:rPr>
          <w:color w:val="000000" w:themeColor="text1"/>
          <w:sz w:val="24"/>
        </w:rPr>
        <w:t>北边界 1#、西边界 2#、南边界 3#、东边界 4#、户拉分场六队5#，共5 个检测点位。</w:t>
      </w:r>
    </w:p>
    <w:p w14:paraId="46160E91">
      <w:pPr>
        <w:pStyle w:val="106"/>
        <w:adjustRightInd w:val="0"/>
        <w:snapToGrid w:val="0"/>
        <w:spacing w:line="360" w:lineRule="auto"/>
        <w:ind w:firstLine="480" w:firstLineChars="200"/>
        <w:rPr>
          <w:color w:val="000000" w:themeColor="text1"/>
        </w:rPr>
      </w:pPr>
      <w:r>
        <w:rPr>
          <w:bCs/>
          <w:color w:val="000000" w:themeColor="text1"/>
          <w:sz w:val="24"/>
          <w:szCs w:val="24"/>
        </w:rPr>
        <w:t>监测时间为2019年11月14日~15日，</w:t>
      </w:r>
      <w:r>
        <w:rPr>
          <w:color w:val="000000" w:themeColor="text1"/>
          <w:sz w:val="24"/>
          <w:szCs w:val="24"/>
        </w:rPr>
        <w:t>连续监测两天，分昼间、夜间2时段监测。</w:t>
      </w:r>
      <w:r>
        <w:rPr>
          <w:bCs/>
          <w:color w:val="000000" w:themeColor="text1"/>
          <w:sz w:val="24"/>
          <w:szCs w:val="24"/>
        </w:rPr>
        <w:t>监测结果如表4.2-6。</w:t>
      </w:r>
    </w:p>
    <w:p w14:paraId="183C5275">
      <w:pPr>
        <w:pStyle w:val="63"/>
        <w:spacing w:beforeLines="0" w:afterLines="0"/>
        <w:ind w:right="0"/>
        <w:rPr>
          <w:color w:val="000000" w:themeColor="text1"/>
        </w:rPr>
      </w:pPr>
      <w:r>
        <w:rPr>
          <w:color w:val="000000" w:themeColor="text1"/>
        </w:rPr>
        <w:t>表4.2-6  声环境质量监测结果分析表  单位：dB(A)</w:t>
      </w:r>
    </w:p>
    <w:tbl>
      <w:tblPr>
        <w:tblStyle w:val="280"/>
        <w:tblW w:w="533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28"/>
        <w:gridCol w:w="1568"/>
        <w:gridCol w:w="2245"/>
        <w:gridCol w:w="939"/>
        <w:gridCol w:w="1504"/>
        <w:gridCol w:w="670"/>
        <w:gridCol w:w="1256"/>
      </w:tblGrid>
      <w:tr w14:paraId="0DF0E2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Align w:val="center"/>
          </w:tcPr>
          <w:p w14:paraId="40260C4C">
            <w:pPr>
              <w:pStyle w:val="281"/>
              <w:jc w:val="center"/>
              <w:rPr>
                <w:rFonts w:ascii="Times New Roman" w:hAnsi="Times New Roman" w:eastAsia="宋体" w:cs="Times New Roman"/>
                <w:b/>
                <w:bCs/>
                <w:color w:val="000000" w:themeColor="text1"/>
                <w:spacing w:val="-6"/>
                <w:sz w:val="21"/>
                <w:szCs w:val="21"/>
              </w:rPr>
            </w:pPr>
            <w:r>
              <w:rPr>
                <w:rFonts w:ascii="Times New Roman" w:hAnsi="Times New Roman" w:eastAsia="宋体" w:cs="Times New Roman"/>
                <w:b/>
                <w:bCs/>
                <w:color w:val="000000" w:themeColor="text1"/>
                <w:spacing w:val="-9"/>
                <w:sz w:val="21"/>
                <w:szCs w:val="21"/>
              </w:rPr>
              <w:t>检测日期</w:t>
            </w:r>
          </w:p>
        </w:tc>
        <w:tc>
          <w:tcPr>
            <w:tcW w:w="851" w:type="pct"/>
            <w:vAlign w:val="center"/>
          </w:tcPr>
          <w:p w14:paraId="3D943206">
            <w:pPr>
              <w:pStyle w:val="281"/>
              <w:jc w:val="center"/>
              <w:rPr>
                <w:rFonts w:ascii="Times New Roman" w:hAnsi="Times New Roman" w:eastAsia="宋体" w:cs="Times New Roman"/>
                <w:color w:val="000000" w:themeColor="text1"/>
                <w:sz w:val="21"/>
                <w:szCs w:val="21"/>
              </w:rPr>
            </w:pPr>
            <w:r>
              <w:rPr>
                <w:rFonts w:ascii="Times New Roman" w:hAnsi="Times New Roman" w:eastAsia="宋体" w:cs="Times New Roman"/>
                <w:b/>
                <w:bCs/>
                <w:color w:val="000000" w:themeColor="text1"/>
                <w:spacing w:val="-9"/>
                <w:sz w:val="21"/>
                <w:szCs w:val="21"/>
              </w:rPr>
              <w:t>检测点位</w:t>
            </w:r>
          </w:p>
        </w:tc>
        <w:tc>
          <w:tcPr>
            <w:tcW w:w="1219" w:type="pct"/>
            <w:vAlign w:val="center"/>
          </w:tcPr>
          <w:p w14:paraId="6051AB52">
            <w:pPr>
              <w:pStyle w:val="281"/>
              <w:jc w:val="center"/>
              <w:rPr>
                <w:rFonts w:ascii="Times New Roman" w:hAnsi="Times New Roman" w:eastAsia="宋体" w:cs="Times New Roman"/>
                <w:color w:val="000000" w:themeColor="text1"/>
                <w:sz w:val="21"/>
                <w:szCs w:val="21"/>
              </w:rPr>
            </w:pPr>
            <w:r>
              <w:rPr>
                <w:rFonts w:ascii="Times New Roman" w:hAnsi="Times New Roman" w:eastAsia="宋体" w:cs="Times New Roman"/>
                <w:b/>
                <w:bCs/>
                <w:color w:val="000000" w:themeColor="text1"/>
                <w:spacing w:val="-6"/>
                <w:sz w:val="21"/>
                <w:szCs w:val="21"/>
              </w:rPr>
              <w:t>时间</w:t>
            </w:r>
          </w:p>
        </w:tc>
        <w:tc>
          <w:tcPr>
            <w:tcW w:w="0" w:type="auto"/>
            <w:vAlign w:val="center"/>
          </w:tcPr>
          <w:p w14:paraId="1EEAEB44">
            <w:pPr>
              <w:pStyle w:val="281"/>
              <w:ind w:left="11"/>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b/>
                <w:bCs/>
                <w:color w:val="000000" w:themeColor="text1"/>
                <w:spacing w:val="-8"/>
                <w:sz w:val="21"/>
                <w:szCs w:val="21"/>
              </w:rPr>
              <w:t>噪声值</w:t>
            </w:r>
          </w:p>
        </w:tc>
        <w:tc>
          <w:tcPr>
            <w:tcW w:w="0" w:type="auto"/>
            <w:vAlign w:val="center"/>
          </w:tcPr>
          <w:p w14:paraId="6AB8CD92">
            <w:pPr>
              <w:pStyle w:val="281"/>
              <w:jc w:val="center"/>
              <w:rPr>
                <w:rFonts w:ascii="Times New Roman" w:hAnsi="Times New Roman" w:eastAsia="宋体" w:cs="Times New Roman"/>
                <w:color w:val="000000" w:themeColor="text1"/>
                <w:sz w:val="21"/>
                <w:szCs w:val="21"/>
              </w:rPr>
            </w:pPr>
            <w:r>
              <w:rPr>
                <w:rFonts w:ascii="Times New Roman" w:hAnsi="Times New Roman" w:eastAsia="宋体" w:cs="Times New Roman"/>
                <w:b/>
                <w:bCs/>
                <w:color w:val="000000" w:themeColor="text1"/>
                <w:spacing w:val="-8"/>
                <w:sz w:val="21"/>
                <w:szCs w:val="21"/>
              </w:rPr>
              <w:t>主要声源</w:t>
            </w:r>
          </w:p>
        </w:tc>
        <w:tc>
          <w:tcPr>
            <w:tcW w:w="0" w:type="auto"/>
            <w:vAlign w:val="center"/>
          </w:tcPr>
          <w:p w14:paraId="766B483A">
            <w:pPr>
              <w:autoSpaceDN w:val="0"/>
              <w:jc w:val="center"/>
              <w:textAlignment w:val="center"/>
              <w:rPr>
                <w:rFonts w:ascii="Times New Roman" w:hAnsi="Times New Roman" w:eastAsia="宋体" w:cs="Times New Roman"/>
                <w:b/>
                <w:bCs/>
                <w:color w:val="000000" w:themeColor="text1"/>
                <w:szCs w:val="21"/>
                <w:lang w:eastAsia="en-US"/>
              </w:rPr>
            </w:pPr>
            <w:r>
              <w:rPr>
                <w:rFonts w:ascii="Times New Roman" w:hAnsi="Times New Roman" w:eastAsia="宋体" w:cs="Times New Roman"/>
                <w:b/>
                <w:bCs/>
                <w:color w:val="000000" w:themeColor="text1"/>
                <w:szCs w:val="21"/>
                <w:lang w:eastAsia="en-US"/>
              </w:rPr>
              <w:t>标准</w:t>
            </w:r>
          </w:p>
        </w:tc>
        <w:tc>
          <w:tcPr>
            <w:tcW w:w="682" w:type="pct"/>
            <w:vAlign w:val="center"/>
          </w:tcPr>
          <w:p w14:paraId="0576445E">
            <w:pPr>
              <w:autoSpaceDN w:val="0"/>
              <w:jc w:val="center"/>
              <w:textAlignment w:val="center"/>
              <w:rPr>
                <w:rFonts w:ascii="Times New Roman" w:hAnsi="Times New Roman" w:eastAsia="宋体" w:cs="Times New Roman"/>
                <w:b/>
                <w:bCs/>
                <w:color w:val="000000" w:themeColor="text1"/>
                <w:szCs w:val="21"/>
                <w:lang w:eastAsia="en-US"/>
              </w:rPr>
            </w:pPr>
            <w:r>
              <w:rPr>
                <w:rFonts w:ascii="Times New Roman" w:hAnsi="Times New Roman" w:eastAsia="宋体" w:cs="Times New Roman"/>
                <w:b/>
                <w:bCs/>
                <w:color w:val="000000" w:themeColor="text1"/>
                <w:szCs w:val="21"/>
                <w:lang w:eastAsia="en-US"/>
              </w:rPr>
              <w:t>达标情况</w:t>
            </w:r>
          </w:p>
        </w:tc>
      </w:tr>
      <w:tr w14:paraId="4FAE4F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restart"/>
            <w:vAlign w:val="center"/>
          </w:tcPr>
          <w:p w14:paraId="0FD477A6">
            <w:pPr>
              <w:pStyle w:val="281"/>
              <w:ind w:right="-23"/>
              <w:jc w:val="center"/>
              <w:rPr>
                <w:rFonts w:ascii="Times New Roman" w:hAnsi="Times New Roman" w:eastAsia="宋体" w:cs="Times New Roman"/>
                <w:color w:val="000000" w:themeColor="text1"/>
                <w:spacing w:val="-12"/>
                <w:sz w:val="21"/>
                <w:szCs w:val="21"/>
              </w:rPr>
            </w:pPr>
            <w:r>
              <w:rPr>
                <w:rFonts w:ascii="Times New Roman" w:hAnsi="Times New Roman" w:eastAsia="宋体" w:cs="Times New Roman"/>
                <w:b/>
                <w:color w:val="000000" w:themeColor="text1"/>
                <w:spacing w:val="-5"/>
                <w:sz w:val="21"/>
                <w:szCs w:val="21"/>
              </w:rPr>
              <w:t>20191114</w:t>
            </w:r>
          </w:p>
        </w:tc>
        <w:tc>
          <w:tcPr>
            <w:tcW w:w="851" w:type="pct"/>
            <w:vMerge w:val="restart"/>
            <w:vAlign w:val="center"/>
          </w:tcPr>
          <w:p w14:paraId="129926B4">
            <w:pPr>
              <w:pStyle w:val="281"/>
              <w:spacing w:before="171"/>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rPr>
              <w:t>厂界东外</w:t>
            </w:r>
            <w:r>
              <w:rPr>
                <w:rFonts w:ascii="Times New Roman" w:hAnsi="Times New Roman" w:eastAsia="宋体" w:cs="Times New Roman"/>
                <w:color w:val="000000" w:themeColor="text1"/>
                <w:sz w:val="21"/>
                <w:szCs w:val="21"/>
                <w:lang w:eastAsia="zh-CN"/>
              </w:rPr>
              <w:t>1m处</w:t>
            </w:r>
          </w:p>
        </w:tc>
        <w:tc>
          <w:tcPr>
            <w:tcW w:w="1219" w:type="pct"/>
            <w:vAlign w:val="center"/>
          </w:tcPr>
          <w:p w14:paraId="484961BE">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昼间</w:t>
            </w:r>
          </w:p>
        </w:tc>
        <w:tc>
          <w:tcPr>
            <w:tcW w:w="0" w:type="auto"/>
            <w:vAlign w:val="center"/>
          </w:tcPr>
          <w:p w14:paraId="64C07B31">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45</w:t>
            </w:r>
          </w:p>
        </w:tc>
        <w:tc>
          <w:tcPr>
            <w:tcW w:w="0" w:type="auto"/>
            <w:vAlign w:val="center"/>
          </w:tcPr>
          <w:p w14:paraId="6AB1CA8B">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7698F002">
            <w:pPr>
              <w:autoSpaceDN w:val="0"/>
              <w:jc w:val="center"/>
              <w:textAlignment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60</w:t>
            </w:r>
          </w:p>
        </w:tc>
        <w:tc>
          <w:tcPr>
            <w:tcW w:w="682" w:type="pct"/>
            <w:vAlign w:val="center"/>
          </w:tcPr>
          <w:p w14:paraId="4EC39A7D">
            <w:pPr>
              <w:autoSpaceDN w:val="0"/>
              <w:jc w:val="center"/>
              <w:textAlignment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6CD7C0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continue"/>
            <w:vAlign w:val="center"/>
          </w:tcPr>
          <w:p w14:paraId="66342BE1">
            <w:pPr>
              <w:pStyle w:val="281"/>
              <w:ind w:right="-23"/>
              <w:jc w:val="center"/>
              <w:rPr>
                <w:rFonts w:ascii="Times New Roman" w:hAnsi="Times New Roman" w:eastAsia="宋体" w:cs="Times New Roman"/>
                <w:color w:val="000000" w:themeColor="text1"/>
                <w:spacing w:val="-12"/>
                <w:sz w:val="21"/>
                <w:szCs w:val="21"/>
              </w:rPr>
            </w:pPr>
          </w:p>
        </w:tc>
        <w:tc>
          <w:tcPr>
            <w:tcW w:w="851" w:type="pct"/>
            <w:vMerge w:val="continue"/>
            <w:vAlign w:val="center"/>
          </w:tcPr>
          <w:p w14:paraId="05F913AD">
            <w:pPr>
              <w:jc w:val="center"/>
              <w:rPr>
                <w:rFonts w:ascii="Times New Roman" w:hAnsi="Times New Roman" w:eastAsia="宋体" w:cs="Times New Roman"/>
                <w:color w:val="000000" w:themeColor="text1"/>
                <w:szCs w:val="21"/>
                <w:lang w:eastAsia="en-US"/>
              </w:rPr>
            </w:pPr>
          </w:p>
        </w:tc>
        <w:tc>
          <w:tcPr>
            <w:tcW w:w="1219" w:type="pct"/>
            <w:vAlign w:val="center"/>
          </w:tcPr>
          <w:p w14:paraId="5E364813">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夜间</w:t>
            </w:r>
          </w:p>
        </w:tc>
        <w:tc>
          <w:tcPr>
            <w:tcW w:w="0" w:type="auto"/>
            <w:vAlign w:val="center"/>
          </w:tcPr>
          <w:p w14:paraId="0AEF80EA">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40</w:t>
            </w:r>
          </w:p>
        </w:tc>
        <w:tc>
          <w:tcPr>
            <w:tcW w:w="0" w:type="auto"/>
            <w:vAlign w:val="center"/>
          </w:tcPr>
          <w:p w14:paraId="5DA14F53">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4A87D2E0">
            <w:pPr>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en-US"/>
              </w:rPr>
              <w:t>5</w:t>
            </w:r>
            <w:r>
              <w:rPr>
                <w:rFonts w:ascii="Times New Roman" w:hAnsi="Times New Roman" w:eastAsia="宋体" w:cs="Times New Roman"/>
                <w:color w:val="000000" w:themeColor="text1"/>
                <w:szCs w:val="21"/>
                <w:lang w:eastAsia="zh-CN"/>
              </w:rPr>
              <w:t>0</w:t>
            </w:r>
          </w:p>
        </w:tc>
        <w:tc>
          <w:tcPr>
            <w:tcW w:w="682" w:type="pct"/>
            <w:vAlign w:val="center"/>
          </w:tcPr>
          <w:p w14:paraId="0A26BE06">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004C83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continue"/>
            <w:vAlign w:val="center"/>
          </w:tcPr>
          <w:p w14:paraId="02C7D03B">
            <w:pPr>
              <w:pStyle w:val="281"/>
              <w:ind w:right="-23"/>
              <w:jc w:val="center"/>
              <w:rPr>
                <w:rFonts w:ascii="Times New Roman" w:hAnsi="Times New Roman" w:eastAsia="宋体" w:cs="Times New Roman"/>
                <w:color w:val="000000" w:themeColor="text1"/>
                <w:spacing w:val="-12"/>
                <w:sz w:val="21"/>
                <w:szCs w:val="21"/>
              </w:rPr>
            </w:pPr>
          </w:p>
        </w:tc>
        <w:tc>
          <w:tcPr>
            <w:tcW w:w="851" w:type="pct"/>
            <w:vMerge w:val="restart"/>
            <w:vAlign w:val="center"/>
          </w:tcPr>
          <w:p w14:paraId="56E72763">
            <w:pPr>
              <w:pStyle w:val="281"/>
              <w:spacing w:before="17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rPr>
              <w:t>厂界南</w:t>
            </w:r>
            <w:r>
              <w:rPr>
                <w:rFonts w:ascii="Times New Roman" w:hAnsi="Times New Roman" w:eastAsia="宋体" w:cs="Times New Roman"/>
                <w:color w:val="000000" w:themeColor="text1"/>
                <w:sz w:val="21"/>
                <w:szCs w:val="21"/>
                <w:lang w:eastAsia="zh-CN"/>
              </w:rPr>
              <w:t>外1m处</w:t>
            </w:r>
          </w:p>
        </w:tc>
        <w:tc>
          <w:tcPr>
            <w:tcW w:w="1219" w:type="pct"/>
            <w:vAlign w:val="center"/>
          </w:tcPr>
          <w:p w14:paraId="5E9A1707">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昼间</w:t>
            </w:r>
          </w:p>
        </w:tc>
        <w:tc>
          <w:tcPr>
            <w:tcW w:w="0" w:type="auto"/>
            <w:vAlign w:val="center"/>
          </w:tcPr>
          <w:p w14:paraId="70ED9A03">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43</w:t>
            </w:r>
          </w:p>
        </w:tc>
        <w:tc>
          <w:tcPr>
            <w:tcW w:w="0" w:type="auto"/>
            <w:vAlign w:val="center"/>
          </w:tcPr>
          <w:p w14:paraId="104D451B">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18F6ACF9">
            <w:pPr>
              <w:autoSpaceDN w:val="0"/>
              <w:jc w:val="center"/>
              <w:textAlignment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60</w:t>
            </w:r>
          </w:p>
        </w:tc>
        <w:tc>
          <w:tcPr>
            <w:tcW w:w="682" w:type="pct"/>
            <w:vAlign w:val="center"/>
          </w:tcPr>
          <w:p w14:paraId="3F43F598">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644982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continue"/>
            <w:vAlign w:val="center"/>
          </w:tcPr>
          <w:p w14:paraId="26EB2C20">
            <w:pPr>
              <w:pStyle w:val="281"/>
              <w:ind w:right="-23"/>
              <w:jc w:val="center"/>
              <w:rPr>
                <w:rFonts w:ascii="Times New Roman" w:hAnsi="Times New Roman" w:eastAsia="宋体" w:cs="Times New Roman"/>
                <w:color w:val="000000" w:themeColor="text1"/>
                <w:spacing w:val="-12"/>
                <w:sz w:val="21"/>
                <w:szCs w:val="21"/>
              </w:rPr>
            </w:pPr>
          </w:p>
        </w:tc>
        <w:tc>
          <w:tcPr>
            <w:tcW w:w="851" w:type="pct"/>
            <w:vMerge w:val="continue"/>
            <w:vAlign w:val="center"/>
          </w:tcPr>
          <w:p w14:paraId="7A08D389">
            <w:pPr>
              <w:jc w:val="center"/>
              <w:rPr>
                <w:rFonts w:ascii="Times New Roman" w:hAnsi="Times New Roman" w:eastAsia="宋体" w:cs="Times New Roman"/>
                <w:color w:val="000000" w:themeColor="text1"/>
                <w:szCs w:val="21"/>
                <w:lang w:eastAsia="en-US"/>
              </w:rPr>
            </w:pPr>
          </w:p>
        </w:tc>
        <w:tc>
          <w:tcPr>
            <w:tcW w:w="1219" w:type="pct"/>
            <w:vAlign w:val="center"/>
          </w:tcPr>
          <w:p w14:paraId="5CF57CB8">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夜间</w:t>
            </w:r>
          </w:p>
        </w:tc>
        <w:tc>
          <w:tcPr>
            <w:tcW w:w="0" w:type="auto"/>
            <w:vAlign w:val="center"/>
          </w:tcPr>
          <w:p w14:paraId="2804F480">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38</w:t>
            </w:r>
          </w:p>
        </w:tc>
        <w:tc>
          <w:tcPr>
            <w:tcW w:w="0" w:type="auto"/>
            <w:vAlign w:val="center"/>
          </w:tcPr>
          <w:p w14:paraId="77C8216D">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241493A0">
            <w:pPr>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en-US"/>
              </w:rPr>
              <w:t>5</w:t>
            </w:r>
            <w:r>
              <w:rPr>
                <w:rFonts w:ascii="Times New Roman" w:hAnsi="Times New Roman" w:eastAsia="宋体" w:cs="Times New Roman"/>
                <w:color w:val="000000" w:themeColor="text1"/>
                <w:szCs w:val="21"/>
                <w:lang w:eastAsia="zh-CN"/>
              </w:rPr>
              <w:t>0</w:t>
            </w:r>
          </w:p>
        </w:tc>
        <w:tc>
          <w:tcPr>
            <w:tcW w:w="682" w:type="pct"/>
            <w:vAlign w:val="center"/>
          </w:tcPr>
          <w:p w14:paraId="44B1CD3C">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5B970C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continue"/>
            <w:vAlign w:val="center"/>
          </w:tcPr>
          <w:p w14:paraId="62B96469">
            <w:pPr>
              <w:pStyle w:val="281"/>
              <w:ind w:right="-23"/>
              <w:jc w:val="center"/>
              <w:rPr>
                <w:rFonts w:ascii="Times New Roman" w:hAnsi="Times New Roman" w:eastAsia="宋体" w:cs="Times New Roman"/>
                <w:color w:val="000000" w:themeColor="text1"/>
                <w:spacing w:val="-12"/>
                <w:sz w:val="21"/>
                <w:szCs w:val="21"/>
              </w:rPr>
            </w:pPr>
          </w:p>
        </w:tc>
        <w:tc>
          <w:tcPr>
            <w:tcW w:w="851" w:type="pct"/>
            <w:vMerge w:val="restart"/>
            <w:vAlign w:val="center"/>
          </w:tcPr>
          <w:p w14:paraId="7BC11D6A">
            <w:pPr>
              <w:pStyle w:val="281"/>
              <w:spacing w:before="171"/>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rPr>
              <w:t>厂界西外</w:t>
            </w:r>
            <w:r>
              <w:rPr>
                <w:rFonts w:ascii="Times New Roman" w:hAnsi="Times New Roman" w:eastAsia="宋体" w:cs="Times New Roman"/>
                <w:color w:val="000000" w:themeColor="text1"/>
                <w:sz w:val="21"/>
                <w:szCs w:val="21"/>
                <w:lang w:eastAsia="zh-CN"/>
              </w:rPr>
              <w:t>1m处</w:t>
            </w:r>
          </w:p>
        </w:tc>
        <w:tc>
          <w:tcPr>
            <w:tcW w:w="1219" w:type="pct"/>
            <w:vAlign w:val="center"/>
          </w:tcPr>
          <w:p w14:paraId="318C43AC">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昼间</w:t>
            </w:r>
          </w:p>
        </w:tc>
        <w:tc>
          <w:tcPr>
            <w:tcW w:w="0" w:type="auto"/>
            <w:vAlign w:val="center"/>
          </w:tcPr>
          <w:p w14:paraId="44C9885C">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44</w:t>
            </w:r>
          </w:p>
        </w:tc>
        <w:tc>
          <w:tcPr>
            <w:tcW w:w="0" w:type="auto"/>
            <w:vAlign w:val="center"/>
          </w:tcPr>
          <w:p w14:paraId="225163CC">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548F9A97">
            <w:pPr>
              <w:autoSpaceDN w:val="0"/>
              <w:jc w:val="center"/>
              <w:textAlignment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60</w:t>
            </w:r>
          </w:p>
        </w:tc>
        <w:tc>
          <w:tcPr>
            <w:tcW w:w="682" w:type="pct"/>
            <w:vAlign w:val="center"/>
          </w:tcPr>
          <w:p w14:paraId="361C9891">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01EDF3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continue"/>
            <w:vAlign w:val="center"/>
          </w:tcPr>
          <w:p w14:paraId="2F731692">
            <w:pPr>
              <w:pStyle w:val="281"/>
              <w:ind w:right="-23"/>
              <w:jc w:val="center"/>
              <w:rPr>
                <w:rFonts w:ascii="Times New Roman" w:hAnsi="Times New Roman" w:eastAsia="宋体" w:cs="Times New Roman"/>
                <w:color w:val="000000" w:themeColor="text1"/>
                <w:spacing w:val="-12"/>
                <w:sz w:val="21"/>
                <w:szCs w:val="21"/>
              </w:rPr>
            </w:pPr>
          </w:p>
        </w:tc>
        <w:tc>
          <w:tcPr>
            <w:tcW w:w="851" w:type="pct"/>
            <w:vMerge w:val="continue"/>
            <w:vAlign w:val="center"/>
          </w:tcPr>
          <w:p w14:paraId="63C460E1">
            <w:pPr>
              <w:jc w:val="center"/>
              <w:rPr>
                <w:rFonts w:ascii="Times New Roman" w:hAnsi="Times New Roman" w:eastAsia="宋体" w:cs="Times New Roman"/>
                <w:color w:val="000000" w:themeColor="text1"/>
                <w:szCs w:val="21"/>
                <w:lang w:eastAsia="en-US"/>
              </w:rPr>
            </w:pPr>
          </w:p>
        </w:tc>
        <w:tc>
          <w:tcPr>
            <w:tcW w:w="1219" w:type="pct"/>
            <w:vAlign w:val="center"/>
          </w:tcPr>
          <w:p w14:paraId="078E6D03">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夜间</w:t>
            </w:r>
          </w:p>
        </w:tc>
        <w:tc>
          <w:tcPr>
            <w:tcW w:w="0" w:type="auto"/>
            <w:vAlign w:val="center"/>
          </w:tcPr>
          <w:p w14:paraId="2B6CDDB0">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39</w:t>
            </w:r>
          </w:p>
        </w:tc>
        <w:tc>
          <w:tcPr>
            <w:tcW w:w="0" w:type="auto"/>
            <w:vAlign w:val="center"/>
          </w:tcPr>
          <w:p w14:paraId="16B8259C">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13D436E5">
            <w:pPr>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en-US"/>
              </w:rPr>
              <w:t>5</w:t>
            </w:r>
            <w:r>
              <w:rPr>
                <w:rFonts w:ascii="Times New Roman" w:hAnsi="Times New Roman" w:eastAsia="宋体" w:cs="Times New Roman"/>
                <w:color w:val="000000" w:themeColor="text1"/>
                <w:szCs w:val="21"/>
                <w:lang w:eastAsia="zh-CN"/>
              </w:rPr>
              <w:t>0</w:t>
            </w:r>
          </w:p>
        </w:tc>
        <w:tc>
          <w:tcPr>
            <w:tcW w:w="682" w:type="pct"/>
            <w:vAlign w:val="center"/>
          </w:tcPr>
          <w:p w14:paraId="580BDDA4">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39274E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continue"/>
            <w:vAlign w:val="center"/>
          </w:tcPr>
          <w:p w14:paraId="1FEC8590">
            <w:pPr>
              <w:pStyle w:val="281"/>
              <w:ind w:right="-23"/>
              <w:jc w:val="center"/>
              <w:rPr>
                <w:rFonts w:ascii="Times New Roman" w:hAnsi="Times New Roman" w:eastAsia="宋体" w:cs="Times New Roman"/>
                <w:color w:val="000000" w:themeColor="text1"/>
                <w:spacing w:val="-12"/>
                <w:sz w:val="21"/>
                <w:szCs w:val="21"/>
              </w:rPr>
            </w:pPr>
          </w:p>
        </w:tc>
        <w:tc>
          <w:tcPr>
            <w:tcW w:w="851" w:type="pct"/>
            <w:vMerge w:val="restart"/>
            <w:vAlign w:val="center"/>
          </w:tcPr>
          <w:p w14:paraId="0CC43A28">
            <w:pPr>
              <w:pStyle w:val="281"/>
              <w:spacing w:before="17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rPr>
              <w:t>厂界北处</w:t>
            </w:r>
            <w:r>
              <w:rPr>
                <w:rFonts w:ascii="Times New Roman" w:hAnsi="Times New Roman" w:eastAsia="宋体" w:cs="Times New Roman"/>
                <w:color w:val="000000" w:themeColor="text1"/>
                <w:sz w:val="21"/>
                <w:szCs w:val="21"/>
                <w:lang w:eastAsia="zh-CN"/>
              </w:rPr>
              <w:t>m处</w:t>
            </w:r>
          </w:p>
        </w:tc>
        <w:tc>
          <w:tcPr>
            <w:tcW w:w="1219" w:type="pct"/>
            <w:vAlign w:val="center"/>
          </w:tcPr>
          <w:p w14:paraId="3BA3618D">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昼间</w:t>
            </w:r>
          </w:p>
        </w:tc>
        <w:tc>
          <w:tcPr>
            <w:tcW w:w="0" w:type="auto"/>
            <w:vAlign w:val="center"/>
          </w:tcPr>
          <w:p w14:paraId="4D04F30B">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43</w:t>
            </w:r>
          </w:p>
        </w:tc>
        <w:tc>
          <w:tcPr>
            <w:tcW w:w="0" w:type="auto"/>
            <w:vAlign w:val="center"/>
          </w:tcPr>
          <w:p w14:paraId="631C5987">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4AA44995">
            <w:pPr>
              <w:autoSpaceDN w:val="0"/>
              <w:jc w:val="center"/>
              <w:textAlignment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60</w:t>
            </w:r>
          </w:p>
        </w:tc>
        <w:tc>
          <w:tcPr>
            <w:tcW w:w="682" w:type="pct"/>
            <w:vAlign w:val="center"/>
          </w:tcPr>
          <w:p w14:paraId="1F879A99">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485481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continue"/>
            <w:vAlign w:val="center"/>
          </w:tcPr>
          <w:p w14:paraId="4430F574">
            <w:pPr>
              <w:pStyle w:val="281"/>
              <w:ind w:right="-23"/>
              <w:jc w:val="center"/>
              <w:rPr>
                <w:rFonts w:ascii="Times New Roman" w:hAnsi="Times New Roman" w:eastAsia="宋体" w:cs="Times New Roman"/>
                <w:color w:val="000000" w:themeColor="text1"/>
                <w:spacing w:val="-12"/>
                <w:sz w:val="21"/>
                <w:szCs w:val="21"/>
              </w:rPr>
            </w:pPr>
          </w:p>
        </w:tc>
        <w:tc>
          <w:tcPr>
            <w:tcW w:w="851" w:type="pct"/>
            <w:vMerge w:val="continue"/>
            <w:vAlign w:val="center"/>
          </w:tcPr>
          <w:p w14:paraId="17012143">
            <w:pPr>
              <w:jc w:val="center"/>
              <w:rPr>
                <w:rFonts w:ascii="Times New Roman" w:hAnsi="Times New Roman" w:eastAsia="宋体" w:cs="Times New Roman"/>
                <w:color w:val="000000" w:themeColor="text1"/>
                <w:szCs w:val="21"/>
                <w:lang w:eastAsia="en-US"/>
              </w:rPr>
            </w:pPr>
          </w:p>
        </w:tc>
        <w:tc>
          <w:tcPr>
            <w:tcW w:w="1219" w:type="pct"/>
            <w:vAlign w:val="center"/>
          </w:tcPr>
          <w:p w14:paraId="64D86F25">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夜间</w:t>
            </w:r>
          </w:p>
        </w:tc>
        <w:tc>
          <w:tcPr>
            <w:tcW w:w="0" w:type="auto"/>
            <w:vAlign w:val="center"/>
          </w:tcPr>
          <w:p w14:paraId="47A2538C">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40</w:t>
            </w:r>
          </w:p>
        </w:tc>
        <w:tc>
          <w:tcPr>
            <w:tcW w:w="0" w:type="auto"/>
            <w:vAlign w:val="center"/>
          </w:tcPr>
          <w:p w14:paraId="27265194">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506131A7">
            <w:pPr>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en-US"/>
              </w:rPr>
              <w:t>5</w:t>
            </w:r>
            <w:r>
              <w:rPr>
                <w:rFonts w:ascii="Times New Roman" w:hAnsi="Times New Roman" w:eastAsia="宋体" w:cs="Times New Roman"/>
                <w:color w:val="000000" w:themeColor="text1"/>
                <w:szCs w:val="21"/>
                <w:lang w:eastAsia="zh-CN"/>
              </w:rPr>
              <w:t>0</w:t>
            </w:r>
          </w:p>
        </w:tc>
        <w:tc>
          <w:tcPr>
            <w:tcW w:w="682" w:type="pct"/>
            <w:vAlign w:val="center"/>
          </w:tcPr>
          <w:p w14:paraId="7312C036">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3725A8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continue"/>
            <w:vAlign w:val="center"/>
          </w:tcPr>
          <w:p w14:paraId="65AFA367">
            <w:pPr>
              <w:pStyle w:val="281"/>
              <w:ind w:right="-23"/>
              <w:jc w:val="center"/>
              <w:rPr>
                <w:rFonts w:ascii="Times New Roman" w:hAnsi="Times New Roman" w:eastAsia="宋体" w:cs="Times New Roman"/>
                <w:color w:val="000000" w:themeColor="text1"/>
                <w:spacing w:val="-12"/>
                <w:sz w:val="21"/>
                <w:szCs w:val="21"/>
              </w:rPr>
            </w:pPr>
          </w:p>
        </w:tc>
        <w:tc>
          <w:tcPr>
            <w:tcW w:w="851" w:type="pct"/>
            <w:vMerge w:val="restart"/>
            <w:vAlign w:val="center"/>
          </w:tcPr>
          <w:p w14:paraId="04EA5323">
            <w:pPr>
              <w:pStyle w:val="281"/>
              <w:spacing w:before="171"/>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户拉分场六队</w:t>
            </w:r>
          </w:p>
        </w:tc>
        <w:tc>
          <w:tcPr>
            <w:tcW w:w="1219" w:type="pct"/>
            <w:vAlign w:val="center"/>
          </w:tcPr>
          <w:p w14:paraId="5412B0A1">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昼间</w:t>
            </w:r>
          </w:p>
        </w:tc>
        <w:tc>
          <w:tcPr>
            <w:tcW w:w="0" w:type="auto"/>
            <w:vAlign w:val="center"/>
          </w:tcPr>
          <w:p w14:paraId="34B0BB84">
            <w:pPr>
              <w:pStyle w:val="281"/>
              <w:ind w:left="9"/>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45</w:t>
            </w:r>
          </w:p>
        </w:tc>
        <w:tc>
          <w:tcPr>
            <w:tcW w:w="0" w:type="auto"/>
            <w:vAlign w:val="center"/>
          </w:tcPr>
          <w:p w14:paraId="6C1CE61F">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63BFC5AC">
            <w:pPr>
              <w:autoSpaceDN w:val="0"/>
              <w:jc w:val="center"/>
              <w:textAlignment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60</w:t>
            </w:r>
          </w:p>
        </w:tc>
        <w:tc>
          <w:tcPr>
            <w:tcW w:w="682" w:type="pct"/>
            <w:vAlign w:val="center"/>
          </w:tcPr>
          <w:p w14:paraId="562847D7">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6D58A7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continue"/>
            <w:vAlign w:val="center"/>
          </w:tcPr>
          <w:p w14:paraId="75946C1B">
            <w:pPr>
              <w:pStyle w:val="281"/>
              <w:ind w:right="-23"/>
              <w:jc w:val="center"/>
              <w:rPr>
                <w:rFonts w:ascii="Times New Roman" w:hAnsi="Times New Roman" w:eastAsia="宋体" w:cs="Times New Roman"/>
                <w:color w:val="000000" w:themeColor="text1"/>
                <w:spacing w:val="-12"/>
                <w:sz w:val="21"/>
                <w:szCs w:val="21"/>
              </w:rPr>
            </w:pPr>
          </w:p>
        </w:tc>
        <w:tc>
          <w:tcPr>
            <w:tcW w:w="851" w:type="pct"/>
            <w:vMerge w:val="continue"/>
            <w:vAlign w:val="center"/>
          </w:tcPr>
          <w:p w14:paraId="7DCD9ACA">
            <w:pPr>
              <w:jc w:val="center"/>
              <w:rPr>
                <w:rFonts w:ascii="Times New Roman" w:hAnsi="Times New Roman" w:eastAsia="宋体" w:cs="Times New Roman"/>
                <w:color w:val="000000" w:themeColor="text1"/>
                <w:szCs w:val="21"/>
                <w:lang w:eastAsia="en-US"/>
              </w:rPr>
            </w:pPr>
          </w:p>
        </w:tc>
        <w:tc>
          <w:tcPr>
            <w:tcW w:w="1219" w:type="pct"/>
            <w:vAlign w:val="center"/>
          </w:tcPr>
          <w:p w14:paraId="425B51DB">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夜间</w:t>
            </w:r>
          </w:p>
        </w:tc>
        <w:tc>
          <w:tcPr>
            <w:tcW w:w="0" w:type="auto"/>
            <w:vAlign w:val="center"/>
          </w:tcPr>
          <w:p w14:paraId="2DB67158">
            <w:pPr>
              <w:pStyle w:val="281"/>
              <w:ind w:left="9"/>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43</w:t>
            </w:r>
          </w:p>
        </w:tc>
        <w:tc>
          <w:tcPr>
            <w:tcW w:w="0" w:type="auto"/>
            <w:vAlign w:val="center"/>
          </w:tcPr>
          <w:p w14:paraId="1E856611">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4C35941B">
            <w:pPr>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en-US"/>
              </w:rPr>
              <w:t>5</w:t>
            </w:r>
            <w:r>
              <w:rPr>
                <w:rFonts w:ascii="Times New Roman" w:hAnsi="Times New Roman" w:eastAsia="宋体" w:cs="Times New Roman"/>
                <w:color w:val="000000" w:themeColor="text1"/>
                <w:szCs w:val="21"/>
                <w:lang w:eastAsia="zh-CN"/>
              </w:rPr>
              <w:t>0</w:t>
            </w:r>
          </w:p>
        </w:tc>
        <w:tc>
          <w:tcPr>
            <w:tcW w:w="682" w:type="pct"/>
            <w:vAlign w:val="center"/>
          </w:tcPr>
          <w:p w14:paraId="5581BD78">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31E7C2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restart"/>
            <w:vAlign w:val="center"/>
          </w:tcPr>
          <w:p w14:paraId="3E6702C7">
            <w:pPr>
              <w:pStyle w:val="281"/>
              <w:ind w:right="-23"/>
              <w:jc w:val="center"/>
              <w:rPr>
                <w:rFonts w:ascii="Times New Roman" w:hAnsi="Times New Roman" w:eastAsia="宋体" w:cs="Times New Roman"/>
                <w:color w:val="000000" w:themeColor="text1"/>
                <w:spacing w:val="-12"/>
                <w:sz w:val="21"/>
                <w:szCs w:val="21"/>
              </w:rPr>
            </w:pPr>
            <w:r>
              <w:rPr>
                <w:rFonts w:ascii="Times New Roman" w:hAnsi="Times New Roman" w:eastAsia="宋体" w:cs="Times New Roman"/>
                <w:b/>
                <w:color w:val="000000" w:themeColor="text1"/>
                <w:spacing w:val="-5"/>
                <w:sz w:val="21"/>
                <w:szCs w:val="21"/>
              </w:rPr>
              <w:t>20191115</w:t>
            </w:r>
          </w:p>
        </w:tc>
        <w:tc>
          <w:tcPr>
            <w:tcW w:w="851" w:type="pct"/>
            <w:vMerge w:val="restart"/>
            <w:vAlign w:val="center"/>
          </w:tcPr>
          <w:p w14:paraId="05BA7B36">
            <w:pPr>
              <w:pStyle w:val="281"/>
              <w:spacing w:before="171"/>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rPr>
              <w:t>厂界东外</w:t>
            </w:r>
            <w:r>
              <w:rPr>
                <w:rFonts w:ascii="Times New Roman" w:hAnsi="Times New Roman" w:eastAsia="宋体" w:cs="Times New Roman"/>
                <w:color w:val="000000" w:themeColor="text1"/>
                <w:sz w:val="21"/>
                <w:szCs w:val="21"/>
                <w:lang w:eastAsia="zh-CN"/>
              </w:rPr>
              <w:t>1m处</w:t>
            </w:r>
          </w:p>
        </w:tc>
        <w:tc>
          <w:tcPr>
            <w:tcW w:w="1219" w:type="pct"/>
            <w:vAlign w:val="center"/>
          </w:tcPr>
          <w:p w14:paraId="442AFA6E">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昼间</w:t>
            </w:r>
          </w:p>
        </w:tc>
        <w:tc>
          <w:tcPr>
            <w:tcW w:w="0" w:type="auto"/>
            <w:vAlign w:val="center"/>
          </w:tcPr>
          <w:p w14:paraId="321CF5AC">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43</w:t>
            </w:r>
          </w:p>
        </w:tc>
        <w:tc>
          <w:tcPr>
            <w:tcW w:w="0" w:type="auto"/>
            <w:vAlign w:val="center"/>
          </w:tcPr>
          <w:p w14:paraId="78122B97">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1168154D">
            <w:pPr>
              <w:autoSpaceDN w:val="0"/>
              <w:jc w:val="center"/>
              <w:textAlignment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60</w:t>
            </w:r>
          </w:p>
        </w:tc>
        <w:tc>
          <w:tcPr>
            <w:tcW w:w="682" w:type="pct"/>
            <w:vAlign w:val="center"/>
          </w:tcPr>
          <w:p w14:paraId="3F9226BF">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7663FA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continue"/>
            <w:vAlign w:val="center"/>
          </w:tcPr>
          <w:p w14:paraId="177E8536">
            <w:pPr>
              <w:pStyle w:val="281"/>
              <w:ind w:right="-23"/>
              <w:jc w:val="center"/>
              <w:rPr>
                <w:rFonts w:ascii="Times New Roman" w:hAnsi="Times New Roman" w:eastAsia="宋体" w:cs="Times New Roman"/>
                <w:color w:val="000000" w:themeColor="text1"/>
                <w:spacing w:val="-12"/>
                <w:sz w:val="21"/>
                <w:szCs w:val="21"/>
              </w:rPr>
            </w:pPr>
          </w:p>
        </w:tc>
        <w:tc>
          <w:tcPr>
            <w:tcW w:w="851" w:type="pct"/>
            <w:vMerge w:val="continue"/>
            <w:vAlign w:val="center"/>
          </w:tcPr>
          <w:p w14:paraId="3C376E6E">
            <w:pPr>
              <w:jc w:val="center"/>
              <w:rPr>
                <w:rFonts w:ascii="Times New Roman" w:hAnsi="Times New Roman" w:eastAsia="宋体" w:cs="Times New Roman"/>
                <w:color w:val="000000" w:themeColor="text1"/>
                <w:szCs w:val="21"/>
                <w:lang w:eastAsia="en-US"/>
              </w:rPr>
            </w:pPr>
          </w:p>
        </w:tc>
        <w:tc>
          <w:tcPr>
            <w:tcW w:w="1219" w:type="pct"/>
            <w:vAlign w:val="center"/>
          </w:tcPr>
          <w:p w14:paraId="2CE115E2">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夜间</w:t>
            </w:r>
          </w:p>
        </w:tc>
        <w:tc>
          <w:tcPr>
            <w:tcW w:w="0" w:type="auto"/>
            <w:vAlign w:val="center"/>
          </w:tcPr>
          <w:p w14:paraId="25CD7DD1">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39</w:t>
            </w:r>
          </w:p>
        </w:tc>
        <w:tc>
          <w:tcPr>
            <w:tcW w:w="0" w:type="auto"/>
            <w:vAlign w:val="center"/>
          </w:tcPr>
          <w:p w14:paraId="5D3166B2">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6F3AF68A">
            <w:pPr>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en-US"/>
              </w:rPr>
              <w:t>5</w:t>
            </w:r>
            <w:r>
              <w:rPr>
                <w:rFonts w:ascii="Times New Roman" w:hAnsi="Times New Roman" w:eastAsia="宋体" w:cs="Times New Roman"/>
                <w:color w:val="000000" w:themeColor="text1"/>
                <w:szCs w:val="21"/>
                <w:lang w:eastAsia="zh-CN"/>
              </w:rPr>
              <w:t>0</w:t>
            </w:r>
          </w:p>
        </w:tc>
        <w:tc>
          <w:tcPr>
            <w:tcW w:w="682" w:type="pct"/>
            <w:vAlign w:val="center"/>
          </w:tcPr>
          <w:p w14:paraId="1D3DA509">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196503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continue"/>
            <w:vAlign w:val="center"/>
          </w:tcPr>
          <w:p w14:paraId="2E1FE9C5">
            <w:pPr>
              <w:pStyle w:val="281"/>
              <w:ind w:right="-23"/>
              <w:jc w:val="center"/>
              <w:rPr>
                <w:rFonts w:ascii="Times New Roman" w:hAnsi="Times New Roman" w:eastAsia="宋体" w:cs="Times New Roman"/>
                <w:color w:val="000000" w:themeColor="text1"/>
                <w:spacing w:val="-12"/>
                <w:sz w:val="21"/>
                <w:szCs w:val="21"/>
              </w:rPr>
            </w:pPr>
          </w:p>
        </w:tc>
        <w:tc>
          <w:tcPr>
            <w:tcW w:w="851" w:type="pct"/>
            <w:vMerge w:val="restart"/>
            <w:vAlign w:val="center"/>
          </w:tcPr>
          <w:p w14:paraId="73FD5211">
            <w:pPr>
              <w:pStyle w:val="281"/>
              <w:spacing w:before="17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rPr>
              <w:t>厂界南</w:t>
            </w:r>
            <w:r>
              <w:rPr>
                <w:rFonts w:ascii="Times New Roman" w:hAnsi="Times New Roman" w:eastAsia="宋体" w:cs="Times New Roman"/>
                <w:color w:val="000000" w:themeColor="text1"/>
                <w:sz w:val="21"/>
                <w:szCs w:val="21"/>
                <w:lang w:eastAsia="zh-CN"/>
              </w:rPr>
              <w:t>外1m处</w:t>
            </w:r>
          </w:p>
        </w:tc>
        <w:tc>
          <w:tcPr>
            <w:tcW w:w="1219" w:type="pct"/>
            <w:vAlign w:val="center"/>
          </w:tcPr>
          <w:p w14:paraId="1A02DF55">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昼间</w:t>
            </w:r>
          </w:p>
        </w:tc>
        <w:tc>
          <w:tcPr>
            <w:tcW w:w="0" w:type="auto"/>
            <w:vAlign w:val="center"/>
          </w:tcPr>
          <w:p w14:paraId="405F1C69">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44</w:t>
            </w:r>
          </w:p>
        </w:tc>
        <w:tc>
          <w:tcPr>
            <w:tcW w:w="0" w:type="auto"/>
            <w:vAlign w:val="center"/>
          </w:tcPr>
          <w:p w14:paraId="46E9DA82">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669C8775">
            <w:pPr>
              <w:autoSpaceDN w:val="0"/>
              <w:jc w:val="center"/>
              <w:textAlignment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60</w:t>
            </w:r>
          </w:p>
        </w:tc>
        <w:tc>
          <w:tcPr>
            <w:tcW w:w="682" w:type="pct"/>
            <w:vAlign w:val="center"/>
          </w:tcPr>
          <w:p w14:paraId="449DA673">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381B64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continue"/>
            <w:vAlign w:val="center"/>
          </w:tcPr>
          <w:p w14:paraId="68C96E23">
            <w:pPr>
              <w:pStyle w:val="281"/>
              <w:ind w:right="-23"/>
              <w:jc w:val="center"/>
              <w:rPr>
                <w:rFonts w:ascii="Times New Roman" w:hAnsi="Times New Roman" w:eastAsia="宋体" w:cs="Times New Roman"/>
                <w:color w:val="000000" w:themeColor="text1"/>
                <w:spacing w:val="-12"/>
                <w:sz w:val="21"/>
                <w:szCs w:val="21"/>
              </w:rPr>
            </w:pPr>
          </w:p>
        </w:tc>
        <w:tc>
          <w:tcPr>
            <w:tcW w:w="851" w:type="pct"/>
            <w:vMerge w:val="continue"/>
            <w:vAlign w:val="center"/>
          </w:tcPr>
          <w:p w14:paraId="64F18C81">
            <w:pPr>
              <w:jc w:val="center"/>
              <w:rPr>
                <w:rFonts w:ascii="Times New Roman" w:hAnsi="Times New Roman" w:eastAsia="宋体" w:cs="Times New Roman"/>
                <w:color w:val="000000" w:themeColor="text1"/>
                <w:szCs w:val="21"/>
                <w:lang w:eastAsia="en-US"/>
              </w:rPr>
            </w:pPr>
          </w:p>
        </w:tc>
        <w:tc>
          <w:tcPr>
            <w:tcW w:w="1219" w:type="pct"/>
            <w:vAlign w:val="center"/>
          </w:tcPr>
          <w:p w14:paraId="7EBC76B6">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夜间</w:t>
            </w:r>
          </w:p>
        </w:tc>
        <w:tc>
          <w:tcPr>
            <w:tcW w:w="0" w:type="auto"/>
            <w:vAlign w:val="center"/>
          </w:tcPr>
          <w:p w14:paraId="42EE6EBE">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37</w:t>
            </w:r>
          </w:p>
        </w:tc>
        <w:tc>
          <w:tcPr>
            <w:tcW w:w="0" w:type="auto"/>
            <w:vAlign w:val="center"/>
          </w:tcPr>
          <w:p w14:paraId="570EFA49">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1F94790E">
            <w:pPr>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en-US"/>
              </w:rPr>
              <w:t>5</w:t>
            </w:r>
            <w:r>
              <w:rPr>
                <w:rFonts w:ascii="Times New Roman" w:hAnsi="Times New Roman" w:eastAsia="宋体" w:cs="Times New Roman"/>
                <w:color w:val="000000" w:themeColor="text1"/>
                <w:szCs w:val="21"/>
                <w:lang w:eastAsia="zh-CN"/>
              </w:rPr>
              <w:t>0</w:t>
            </w:r>
          </w:p>
        </w:tc>
        <w:tc>
          <w:tcPr>
            <w:tcW w:w="682" w:type="pct"/>
            <w:vAlign w:val="center"/>
          </w:tcPr>
          <w:p w14:paraId="296FA59E">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39EDE2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continue"/>
            <w:vAlign w:val="center"/>
          </w:tcPr>
          <w:p w14:paraId="68818711">
            <w:pPr>
              <w:pStyle w:val="281"/>
              <w:ind w:right="-23"/>
              <w:jc w:val="center"/>
              <w:rPr>
                <w:rFonts w:ascii="Times New Roman" w:hAnsi="Times New Roman" w:eastAsia="宋体" w:cs="Times New Roman"/>
                <w:color w:val="000000" w:themeColor="text1"/>
                <w:spacing w:val="-12"/>
                <w:sz w:val="21"/>
                <w:szCs w:val="21"/>
              </w:rPr>
            </w:pPr>
          </w:p>
        </w:tc>
        <w:tc>
          <w:tcPr>
            <w:tcW w:w="851" w:type="pct"/>
            <w:vMerge w:val="restart"/>
            <w:vAlign w:val="center"/>
          </w:tcPr>
          <w:p w14:paraId="46996A67">
            <w:pPr>
              <w:pStyle w:val="281"/>
              <w:spacing w:before="171"/>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rPr>
              <w:t>厂界西外</w:t>
            </w:r>
            <w:r>
              <w:rPr>
                <w:rFonts w:ascii="Times New Roman" w:hAnsi="Times New Roman" w:eastAsia="宋体" w:cs="Times New Roman"/>
                <w:color w:val="000000" w:themeColor="text1"/>
                <w:sz w:val="21"/>
                <w:szCs w:val="21"/>
                <w:lang w:eastAsia="zh-CN"/>
              </w:rPr>
              <w:t>1m处</w:t>
            </w:r>
          </w:p>
        </w:tc>
        <w:tc>
          <w:tcPr>
            <w:tcW w:w="1219" w:type="pct"/>
            <w:vAlign w:val="center"/>
          </w:tcPr>
          <w:p w14:paraId="596F338E">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昼间</w:t>
            </w:r>
          </w:p>
        </w:tc>
        <w:tc>
          <w:tcPr>
            <w:tcW w:w="0" w:type="auto"/>
            <w:vAlign w:val="center"/>
          </w:tcPr>
          <w:p w14:paraId="4DBEA45C">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43</w:t>
            </w:r>
          </w:p>
        </w:tc>
        <w:tc>
          <w:tcPr>
            <w:tcW w:w="0" w:type="auto"/>
            <w:vAlign w:val="center"/>
          </w:tcPr>
          <w:p w14:paraId="57D89FB7">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02CFC7A7">
            <w:pPr>
              <w:autoSpaceDN w:val="0"/>
              <w:jc w:val="center"/>
              <w:textAlignment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60</w:t>
            </w:r>
          </w:p>
        </w:tc>
        <w:tc>
          <w:tcPr>
            <w:tcW w:w="682" w:type="pct"/>
            <w:vAlign w:val="center"/>
          </w:tcPr>
          <w:p w14:paraId="52B7F1AC">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49C39D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continue"/>
            <w:vAlign w:val="center"/>
          </w:tcPr>
          <w:p w14:paraId="568BA4F6">
            <w:pPr>
              <w:pStyle w:val="281"/>
              <w:ind w:right="-23"/>
              <w:jc w:val="center"/>
              <w:rPr>
                <w:rFonts w:ascii="Times New Roman" w:hAnsi="Times New Roman" w:eastAsia="宋体" w:cs="Times New Roman"/>
                <w:color w:val="000000" w:themeColor="text1"/>
                <w:spacing w:val="-12"/>
                <w:sz w:val="21"/>
                <w:szCs w:val="21"/>
              </w:rPr>
            </w:pPr>
          </w:p>
        </w:tc>
        <w:tc>
          <w:tcPr>
            <w:tcW w:w="851" w:type="pct"/>
            <w:vMerge w:val="continue"/>
            <w:vAlign w:val="center"/>
          </w:tcPr>
          <w:p w14:paraId="20977565">
            <w:pPr>
              <w:jc w:val="center"/>
              <w:rPr>
                <w:rFonts w:ascii="Times New Roman" w:hAnsi="Times New Roman" w:eastAsia="宋体" w:cs="Times New Roman"/>
                <w:color w:val="000000" w:themeColor="text1"/>
                <w:szCs w:val="21"/>
                <w:lang w:eastAsia="en-US"/>
              </w:rPr>
            </w:pPr>
          </w:p>
        </w:tc>
        <w:tc>
          <w:tcPr>
            <w:tcW w:w="1219" w:type="pct"/>
            <w:vAlign w:val="center"/>
          </w:tcPr>
          <w:p w14:paraId="19201BDF">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夜间</w:t>
            </w:r>
          </w:p>
        </w:tc>
        <w:tc>
          <w:tcPr>
            <w:tcW w:w="0" w:type="auto"/>
            <w:vAlign w:val="center"/>
          </w:tcPr>
          <w:p w14:paraId="54EC5D62">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40</w:t>
            </w:r>
          </w:p>
        </w:tc>
        <w:tc>
          <w:tcPr>
            <w:tcW w:w="0" w:type="auto"/>
            <w:vAlign w:val="center"/>
          </w:tcPr>
          <w:p w14:paraId="3811418C">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2059ACC1">
            <w:pPr>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en-US"/>
              </w:rPr>
              <w:t>5</w:t>
            </w:r>
            <w:r>
              <w:rPr>
                <w:rFonts w:ascii="Times New Roman" w:hAnsi="Times New Roman" w:eastAsia="宋体" w:cs="Times New Roman"/>
                <w:color w:val="000000" w:themeColor="text1"/>
                <w:szCs w:val="21"/>
                <w:lang w:eastAsia="zh-CN"/>
              </w:rPr>
              <w:t>0</w:t>
            </w:r>
          </w:p>
        </w:tc>
        <w:tc>
          <w:tcPr>
            <w:tcW w:w="682" w:type="pct"/>
            <w:vAlign w:val="center"/>
          </w:tcPr>
          <w:p w14:paraId="4F2A1256">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6A48CA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continue"/>
            <w:vAlign w:val="center"/>
          </w:tcPr>
          <w:p w14:paraId="6482E971">
            <w:pPr>
              <w:pStyle w:val="281"/>
              <w:ind w:right="-23"/>
              <w:jc w:val="center"/>
              <w:rPr>
                <w:rFonts w:ascii="Times New Roman" w:hAnsi="Times New Roman" w:eastAsia="宋体" w:cs="Times New Roman"/>
                <w:color w:val="000000" w:themeColor="text1"/>
                <w:spacing w:val="-12"/>
                <w:sz w:val="21"/>
                <w:szCs w:val="21"/>
              </w:rPr>
            </w:pPr>
          </w:p>
        </w:tc>
        <w:tc>
          <w:tcPr>
            <w:tcW w:w="851" w:type="pct"/>
            <w:vMerge w:val="restart"/>
            <w:vAlign w:val="center"/>
          </w:tcPr>
          <w:p w14:paraId="0D281EEE">
            <w:pPr>
              <w:pStyle w:val="281"/>
              <w:spacing w:before="17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rPr>
              <w:t>厂界北处</w:t>
            </w:r>
            <w:r>
              <w:rPr>
                <w:rFonts w:ascii="Times New Roman" w:hAnsi="Times New Roman" w:eastAsia="宋体" w:cs="Times New Roman"/>
                <w:color w:val="000000" w:themeColor="text1"/>
                <w:sz w:val="21"/>
                <w:szCs w:val="21"/>
                <w:lang w:eastAsia="zh-CN"/>
              </w:rPr>
              <w:t>1m处</w:t>
            </w:r>
          </w:p>
        </w:tc>
        <w:tc>
          <w:tcPr>
            <w:tcW w:w="1219" w:type="pct"/>
            <w:vAlign w:val="center"/>
          </w:tcPr>
          <w:p w14:paraId="437C37E0">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昼间</w:t>
            </w:r>
          </w:p>
        </w:tc>
        <w:tc>
          <w:tcPr>
            <w:tcW w:w="0" w:type="auto"/>
            <w:vAlign w:val="center"/>
          </w:tcPr>
          <w:p w14:paraId="05D48921">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44</w:t>
            </w:r>
          </w:p>
        </w:tc>
        <w:tc>
          <w:tcPr>
            <w:tcW w:w="0" w:type="auto"/>
            <w:vAlign w:val="center"/>
          </w:tcPr>
          <w:p w14:paraId="106AFDC6">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73AC9802">
            <w:pPr>
              <w:autoSpaceDN w:val="0"/>
              <w:jc w:val="center"/>
              <w:textAlignment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60</w:t>
            </w:r>
          </w:p>
        </w:tc>
        <w:tc>
          <w:tcPr>
            <w:tcW w:w="682" w:type="pct"/>
            <w:vAlign w:val="center"/>
          </w:tcPr>
          <w:p w14:paraId="118D9E7B">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18A31C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continue"/>
            <w:vAlign w:val="center"/>
          </w:tcPr>
          <w:p w14:paraId="4F2F1E1F">
            <w:pPr>
              <w:pStyle w:val="281"/>
              <w:ind w:right="-23"/>
              <w:jc w:val="center"/>
              <w:rPr>
                <w:rFonts w:ascii="Times New Roman" w:hAnsi="Times New Roman" w:eastAsia="宋体" w:cs="Times New Roman"/>
                <w:color w:val="000000" w:themeColor="text1"/>
                <w:spacing w:val="-12"/>
                <w:sz w:val="21"/>
                <w:szCs w:val="21"/>
              </w:rPr>
            </w:pPr>
          </w:p>
        </w:tc>
        <w:tc>
          <w:tcPr>
            <w:tcW w:w="851" w:type="pct"/>
            <w:vMerge w:val="continue"/>
            <w:vAlign w:val="center"/>
          </w:tcPr>
          <w:p w14:paraId="75312FD1">
            <w:pPr>
              <w:jc w:val="center"/>
              <w:rPr>
                <w:rFonts w:ascii="Times New Roman" w:hAnsi="Times New Roman" w:eastAsia="宋体" w:cs="Times New Roman"/>
                <w:color w:val="000000" w:themeColor="text1"/>
                <w:szCs w:val="21"/>
                <w:lang w:eastAsia="en-US"/>
              </w:rPr>
            </w:pPr>
          </w:p>
        </w:tc>
        <w:tc>
          <w:tcPr>
            <w:tcW w:w="1219" w:type="pct"/>
            <w:vAlign w:val="center"/>
          </w:tcPr>
          <w:p w14:paraId="3FD42516">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夜间</w:t>
            </w:r>
          </w:p>
        </w:tc>
        <w:tc>
          <w:tcPr>
            <w:tcW w:w="0" w:type="auto"/>
            <w:vAlign w:val="center"/>
          </w:tcPr>
          <w:p w14:paraId="3021C536">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41</w:t>
            </w:r>
          </w:p>
        </w:tc>
        <w:tc>
          <w:tcPr>
            <w:tcW w:w="0" w:type="auto"/>
            <w:vAlign w:val="center"/>
          </w:tcPr>
          <w:p w14:paraId="4D8D9C19">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6A44958D">
            <w:pPr>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en-US"/>
              </w:rPr>
              <w:t>5</w:t>
            </w:r>
            <w:r>
              <w:rPr>
                <w:rFonts w:ascii="Times New Roman" w:hAnsi="Times New Roman" w:eastAsia="宋体" w:cs="Times New Roman"/>
                <w:color w:val="000000" w:themeColor="text1"/>
                <w:szCs w:val="21"/>
                <w:lang w:eastAsia="zh-CN"/>
              </w:rPr>
              <w:t>0</w:t>
            </w:r>
          </w:p>
        </w:tc>
        <w:tc>
          <w:tcPr>
            <w:tcW w:w="682" w:type="pct"/>
            <w:vAlign w:val="center"/>
          </w:tcPr>
          <w:p w14:paraId="48176026">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1E287B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558" w:type="pct"/>
            <w:vMerge w:val="continue"/>
            <w:vAlign w:val="center"/>
          </w:tcPr>
          <w:p w14:paraId="1B105AC7">
            <w:pPr>
              <w:pStyle w:val="281"/>
              <w:ind w:right="-23"/>
              <w:jc w:val="center"/>
              <w:rPr>
                <w:rFonts w:ascii="Times New Roman" w:hAnsi="Times New Roman" w:eastAsia="宋体" w:cs="Times New Roman"/>
                <w:color w:val="000000" w:themeColor="text1"/>
                <w:spacing w:val="-12"/>
                <w:sz w:val="21"/>
                <w:szCs w:val="21"/>
              </w:rPr>
            </w:pPr>
          </w:p>
        </w:tc>
        <w:tc>
          <w:tcPr>
            <w:tcW w:w="851" w:type="pct"/>
            <w:vMerge w:val="restart"/>
            <w:vAlign w:val="center"/>
          </w:tcPr>
          <w:p w14:paraId="7F0C840A">
            <w:pPr>
              <w:pStyle w:val="281"/>
              <w:spacing w:before="171"/>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户拉分场六队</w:t>
            </w:r>
          </w:p>
        </w:tc>
        <w:tc>
          <w:tcPr>
            <w:tcW w:w="1219" w:type="pct"/>
            <w:vAlign w:val="center"/>
          </w:tcPr>
          <w:p w14:paraId="64964A8E">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昼间</w:t>
            </w:r>
          </w:p>
        </w:tc>
        <w:tc>
          <w:tcPr>
            <w:tcW w:w="0" w:type="auto"/>
            <w:vAlign w:val="center"/>
          </w:tcPr>
          <w:p w14:paraId="5C3FEE6B">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46</w:t>
            </w:r>
          </w:p>
        </w:tc>
        <w:tc>
          <w:tcPr>
            <w:tcW w:w="0" w:type="auto"/>
            <w:vAlign w:val="center"/>
          </w:tcPr>
          <w:p w14:paraId="7EEBFC7E">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05C6EEC6">
            <w:pPr>
              <w:autoSpaceDN w:val="0"/>
              <w:jc w:val="center"/>
              <w:textAlignment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60</w:t>
            </w:r>
          </w:p>
        </w:tc>
        <w:tc>
          <w:tcPr>
            <w:tcW w:w="682" w:type="pct"/>
            <w:vAlign w:val="center"/>
          </w:tcPr>
          <w:p w14:paraId="28B941AC">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r w14:paraId="477F0A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8" w:type="pct"/>
            <w:vMerge w:val="continue"/>
            <w:vAlign w:val="center"/>
          </w:tcPr>
          <w:p w14:paraId="6E2BC512">
            <w:pPr>
              <w:pStyle w:val="281"/>
              <w:ind w:right="-23"/>
              <w:jc w:val="center"/>
              <w:rPr>
                <w:rFonts w:ascii="Times New Roman" w:hAnsi="Times New Roman" w:eastAsia="宋体" w:cs="Times New Roman"/>
                <w:color w:val="000000" w:themeColor="text1"/>
                <w:spacing w:val="-12"/>
                <w:sz w:val="21"/>
                <w:szCs w:val="21"/>
              </w:rPr>
            </w:pPr>
          </w:p>
        </w:tc>
        <w:tc>
          <w:tcPr>
            <w:tcW w:w="851" w:type="pct"/>
            <w:vMerge w:val="continue"/>
            <w:vAlign w:val="center"/>
          </w:tcPr>
          <w:p w14:paraId="3D4E1B55">
            <w:pPr>
              <w:jc w:val="center"/>
              <w:rPr>
                <w:rFonts w:ascii="Times New Roman" w:hAnsi="Times New Roman" w:eastAsia="宋体" w:cs="Times New Roman"/>
                <w:color w:val="000000" w:themeColor="text1"/>
                <w:szCs w:val="21"/>
                <w:lang w:eastAsia="en-US"/>
              </w:rPr>
            </w:pPr>
          </w:p>
        </w:tc>
        <w:tc>
          <w:tcPr>
            <w:tcW w:w="1219" w:type="pct"/>
            <w:vAlign w:val="center"/>
          </w:tcPr>
          <w:p w14:paraId="13EBC37B">
            <w:pPr>
              <w:pStyle w:val="281"/>
              <w:ind w:right="-23"/>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pacing w:val="-12"/>
                <w:sz w:val="21"/>
                <w:szCs w:val="21"/>
              </w:rPr>
              <w:t>夜间</w:t>
            </w:r>
          </w:p>
        </w:tc>
        <w:tc>
          <w:tcPr>
            <w:tcW w:w="0" w:type="auto"/>
            <w:vAlign w:val="center"/>
          </w:tcPr>
          <w:p w14:paraId="6FA1872E">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42</w:t>
            </w:r>
          </w:p>
        </w:tc>
        <w:tc>
          <w:tcPr>
            <w:tcW w:w="0" w:type="auto"/>
            <w:vAlign w:val="center"/>
          </w:tcPr>
          <w:p w14:paraId="0A5FA4E1">
            <w:pPr>
              <w:autoSpaceDN w:val="0"/>
              <w:jc w:val="center"/>
              <w:textAlignment w:val="center"/>
              <w:rPr>
                <w:rFonts w:ascii="Times New Roman" w:hAnsi="Times New Roman" w:cs="Times New Roman" w:eastAsiaTheme="minorEastAsia"/>
                <w:color w:val="000000" w:themeColor="text1"/>
                <w:sz w:val="24"/>
                <w:lang w:eastAsia="en-US"/>
              </w:rPr>
            </w:pPr>
            <w:r>
              <w:rPr>
                <w:rFonts w:ascii="Times New Roman" w:hAnsi="Times New Roman" w:cs="Times New Roman" w:eastAsiaTheme="minorEastAsia"/>
                <w:color w:val="000000" w:themeColor="text1"/>
                <w:sz w:val="24"/>
                <w:lang w:eastAsia="en-US"/>
              </w:rPr>
              <w:t>环境噪声</w:t>
            </w:r>
          </w:p>
        </w:tc>
        <w:tc>
          <w:tcPr>
            <w:tcW w:w="0" w:type="auto"/>
            <w:vAlign w:val="center"/>
          </w:tcPr>
          <w:p w14:paraId="2B3E803A">
            <w:pPr>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en-US"/>
              </w:rPr>
              <w:t>5</w:t>
            </w:r>
            <w:r>
              <w:rPr>
                <w:rFonts w:ascii="Times New Roman" w:hAnsi="Times New Roman" w:eastAsia="宋体" w:cs="Times New Roman"/>
                <w:color w:val="000000" w:themeColor="text1"/>
                <w:szCs w:val="21"/>
                <w:lang w:eastAsia="zh-CN"/>
              </w:rPr>
              <w:t>0</w:t>
            </w:r>
          </w:p>
        </w:tc>
        <w:tc>
          <w:tcPr>
            <w:tcW w:w="682" w:type="pct"/>
            <w:vAlign w:val="center"/>
          </w:tcPr>
          <w:p w14:paraId="49CF2AC9">
            <w:pPr>
              <w:jc w:val="center"/>
              <w:rPr>
                <w:rFonts w:ascii="Times New Roman" w:hAnsi="Times New Roman" w:eastAsia="宋体" w:cs="Times New Roman"/>
                <w:color w:val="000000" w:themeColor="text1"/>
                <w:szCs w:val="21"/>
                <w:lang w:eastAsia="en-US"/>
              </w:rPr>
            </w:pPr>
            <w:r>
              <w:rPr>
                <w:rFonts w:ascii="Times New Roman" w:hAnsi="Times New Roman" w:eastAsia="宋体" w:cs="Times New Roman"/>
                <w:color w:val="000000" w:themeColor="text1"/>
                <w:szCs w:val="21"/>
                <w:lang w:eastAsia="en-US"/>
              </w:rPr>
              <w:t>达标</w:t>
            </w:r>
          </w:p>
        </w:tc>
      </w:tr>
    </w:tbl>
    <w:p w14:paraId="5A129B30">
      <w:pPr>
        <w:spacing w:line="360" w:lineRule="auto"/>
        <w:ind w:firstLine="480" w:firstLineChars="200"/>
        <w:rPr>
          <w:color w:val="000000" w:themeColor="text1"/>
          <w:sz w:val="24"/>
        </w:rPr>
      </w:pPr>
      <w:r>
        <w:rPr>
          <w:color w:val="000000" w:themeColor="text1"/>
          <w:sz w:val="24"/>
        </w:rPr>
        <w:t>根据监测结果，项目5个声监测点的昼间、夜间声环境监测值均达到了GB3096-2008《声环境质量标准》2类区标准。</w:t>
      </w:r>
    </w:p>
    <w:p w14:paraId="0D07514F">
      <w:pPr>
        <w:pStyle w:val="105"/>
        <w:rPr>
          <w:rFonts w:cs="Times New Roman"/>
          <w:color w:val="000000" w:themeColor="text1"/>
          <w:kern w:val="0"/>
        </w:rPr>
      </w:pPr>
      <w:r>
        <w:rPr>
          <w:rFonts w:cs="Times New Roman"/>
          <w:color w:val="000000" w:themeColor="text1"/>
          <w:kern w:val="0"/>
        </w:rPr>
        <w:t>4.5.4评价区生态环境现状</w:t>
      </w:r>
    </w:p>
    <w:p w14:paraId="17EF83EF">
      <w:pPr>
        <w:autoSpaceDE w:val="0"/>
        <w:autoSpaceDN w:val="0"/>
        <w:adjustRightInd w:val="0"/>
        <w:spacing w:line="360" w:lineRule="auto"/>
        <w:ind w:firstLine="480" w:firstLineChars="200"/>
        <w:jc w:val="left"/>
        <w:rPr>
          <w:color w:val="000000" w:themeColor="text1"/>
          <w:sz w:val="24"/>
        </w:rPr>
      </w:pPr>
      <w:r>
        <w:rPr>
          <w:color w:val="000000" w:themeColor="text1"/>
          <w:sz w:val="24"/>
        </w:rPr>
        <w:t>项目</w:t>
      </w:r>
      <w:r>
        <w:rPr>
          <w:rFonts w:eastAsiaTheme="minorEastAsia"/>
          <w:color w:val="000000" w:themeColor="text1"/>
          <w:sz w:val="24"/>
        </w:rPr>
        <w:t>选址于</w:t>
      </w:r>
      <w:r>
        <w:rPr>
          <w:bCs/>
          <w:color w:val="000000" w:themeColor="text1"/>
          <w:sz w:val="24"/>
        </w:rPr>
        <w:t>云南省德宏州芒市遮放镇户拉村委会遮焕村民小组盛达泰硅业厂区内</w:t>
      </w:r>
      <w:r>
        <w:rPr>
          <w:rFonts w:eastAsiaTheme="minorEastAsia"/>
          <w:color w:val="000000" w:themeColor="text1"/>
          <w:sz w:val="24"/>
        </w:rPr>
        <w:t>，租用盛达泰硅业的土地</w:t>
      </w:r>
      <w:r>
        <w:rPr>
          <w:color w:val="000000" w:themeColor="text1"/>
          <w:sz w:val="24"/>
        </w:rPr>
        <w:t>，受人为活动开发建设影响，项目所在区域原始植被遭受破坏，无天然植被存在。生物多样性比较单一，生态环境自我调节能力低。区内无国家级和省级规定保护的野生动植物和古树名木。</w:t>
      </w:r>
    </w:p>
    <w:p w14:paraId="16B76E9D">
      <w:pPr>
        <w:autoSpaceDE w:val="0"/>
        <w:autoSpaceDN w:val="0"/>
        <w:adjustRightInd w:val="0"/>
        <w:spacing w:line="360" w:lineRule="auto"/>
        <w:ind w:firstLine="480" w:firstLineChars="200"/>
        <w:jc w:val="left"/>
        <w:rPr>
          <w:color w:val="000000" w:themeColor="text1"/>
          <w:sz w:val="24"/>
        </w:rPr>
      </w:pPr>
      <w:r>
        <w:rPr>
          <w:color w:val="000000" w:themeColor="text1"/>
          <w:sz w:val="24"/>
        </w:rPr>
        <w:t>评价范围内未发现国家级、省级重点保护的野生动物，也未发现当地特有种。</w:t>
      </w:r>
    </w:p>
    <w:bookmarkEnd w:id="328"/>
    <w:bookmarkEnd w:id="329"/>
    <w:p w14:paraId="770ADC18">
      <w:pPr>
        <w:widowControl/>
        <w:jc w:val="left"/>
        <w:rPr>
          <w:rFonts w:eastAsia="黑体"/>
          <w:b/>
          <w:bCs/>
          <w:color w:val="000000" w:themeColor="text1"/>
          <w:kern w:val="44"/>
          <w:sz w:val="36"/>
          <w:szCs w:val="36"/>
        </w:rPr>
      </w:pPr>
      <w:bookmarkStart w:id="374" w:name="_Toc362393179"/>
      <w:bookmarkStart w:id="375" w:name="_Toc290295815"/>
      <w:r>
        <w:rPr>
          <w:color w:val="000000" w:themeColor="text1"/>
        </w:rPr>
        <w:br w:type="page"/>
      </w:r>
    </w:p>
    <w:p w14:paraId="7F36D03E">
      <w:pPr>
        <w:pStyle w:val="3"/>
        <w:rPr>
          <w:color w:val="000000" w:themeColor="text1"/>
        </w:rPr>
      </w:pPr>
      <w:bookmarkStart w:id="376" w:name="_Toc28117704"/>
      <w:r>
        <w:rPr>
          <w:color w:val="000000" w:themeColor="text1"/>
        </w:rPr>
        <w:t>5施工期环境影响分析与评价</w:t>
      </w:r>
      <w:bookmarkEnd w:id="374"/>
      <w:bookmarkEnd w:id="376"/>
    </w:p>
    <w:p w14:paraId="1FA3C232">
      <w:pPr>
        <w:pStyle w:val="4"/>
        <w:rPr>
          <w:rFonts w:ascii="Times New Roman" w:hAnsi="Times New Roman"/>
          <w:color w:val="000000" w:themeColor="text1"/>
        </w:rPr>
      </w:pPr>
      <w:bookmarkStart w:id="377" w:name="_Toc286776690"/>
      <w:bookmarkStart w:id="378" w:name="_Toc323204975"/>
      <w:bookmarkStart w:id="379" w:name="_Toc354822923"/>
      <w:bookmarkStart w:id="380" w:name="_Toc281558499"/>
      <w:bookmarkStart w:id="381" w:name="_Toc284944381"/>
      <w:bookmarkStart w:id="382" w:name="_Toc28117705"/>
      <w:bookmarkStart w:id="383" w:name="_Toc331866105"/>
      <w:bookmarkStart w:id="384" w:name="_Toc295258889"/>
      <w:r>
        <w:rPr>
          <w:rFonts w:ascii="Times New Roman" w:hAnsi="Times New Roman"/>
          <w:color w:val="000000" w:themeColor="text1"/>
        </w:rPr>
        <w:t>5.1施工期环境空气影响分析</w:t>
      </w:r>
      <w:bookmarkEnd w:id="377"/>
      <w:bookmarkEnd w:id="378"/>
      <w:bookmarkEnd w:id="379"/>
      <w:bookmarkEnd w:id="380"/>
      <w:bookmarkEnd w:id="381"/>
      <w:bookmarkEnd w:id="382"/>
      <w:bookmarkEnd w:id="383"/>
      <w:bookmarkEnd w:id="384"/>
    </w:p>
    <w:p w14:paraId="47FF93E4">
      <w:pPr>
        <w:pStyle w:val="116"/>
        <w:ind w:firstLine="480"/>
        <w:rPr>
          <w:color w:val="000000" w:themeColor="text1"/>
        </w:rPr>
      </w:pPr>
      <w:bookmarkStart w:id="385" w:name="_Toc280621098"/>
      <w:r>
        <w:rPr>
          <w:color w:val="000000" w:themeColor="text1"/>
        </w:rPr>
        <w:t>施工期环境空气影响主要来自施工建设、运输等活动产生的粉尘及施工机械和运输工具产生的废气影响。</w:t>
      </w:r>
    </w:p>
    <w:p w14:paraId="0DED2CCB">
      <w:pPr>
        <w:pStyle w:val="116"/>
        <w:ind w:firstLine="482"/>
        <w:rPr>
          <w:b/>
          <w:color w:val="000000" w:themeColor="text1"/>
        </w:rPr>
      </w:pPr>
      <w:r>
        <w:rPr>
          <w:b/>
          <w:color w:val="000000" w:themeColor="text1"/>
        </w:rPr>
        <w:t>1、扬尘</w:t>
      </w:r>
    </w:p>
    <w:p w14:paraId="0818DAC7">
      <w:pPr>
        <w:pStyle w:val="116"/>
        <w:ind w:firstLine="482"/>
        <w:rPr>
          <w:b/>
          <w:color w:val="000000" w:themeColor="text1"/>
        </w:rPr>
      </w:pPr>
      <w:r>
        <w:rPr>
          <w:b/>
          <w:color w:val="000000" w:themeColor="text1"/>
        </w:rPr>
        <w:t>（1）施工场地扬尘的影响分析</w:t>
      </w:r>
    </w:p>
    <w:p w14:paraId="2F10233B">
      <w:pPr>
        <w:pStyle w:val="116"/>
        <w:ind w:firstLine="480"/>
        <w:rPr>
          <w:color w:val="000000" w:themeColor="text1"/>
        </w:rPr>
      </w:pPr>
      <w:r>
        <w:rPr>
          <w:color w:val="000000" w:themeColor="text1"/>
        </w:rPr>
        <w:t>项目施工阶段扬尘来源于：基础开挖，机械挖掘作业、土石方装运、堆置等过程产生的扬尘；主体机构、装修施工中的建筑材料堆放、搬运、使用产生的扬尘；来往运输车辆产生的道路扬尘；裸露地表风蚀产生的扬尘等。主要是因为施工过程破坏了地表结构，泥土发生松动、破碎，以及建筑材料使用被扰动等形成施工扬尘。</w:t>
      </w:r>
    </w:p>
    <w:p w14:paraId="1BADD0FB">
      <w:pPr>
        <w:spacing w:line="360" w:lineRule="auto"/>
        <w:ind w:left="105" w:leftChars="50" w:right="105" w:rightChars="50" w:firstLine="480" w:firstLineChars="200"/>
        <w:rPr>
          <w:color w:val="000000" w:themeColor="text1"/>
          <w:sz w:val="24"/>
        </w:rPr>
      </w:pPr>
      <w:r>
        <w:rPr>
          <w:color w:val="000000" w:themeColor="text1"/>
          <w:sz w:val="24"/>
        </w:rPr>
        <w:t>项目区常年平均风速为2.7m/s，施工扬尘影响主要集中在施工场地边界200m范围；施工及运输车辆引起的扬尘对路边30m范围以内影响较大，路边的TSP浓度可达10mg/m</w:t>
      </w:r>
      <w:r>
        <w:rPr>
          <w:color w:val="000000" w:themeColor="text1"/>
          <w:sz w:val="24"/>
          <w:vertAlign w:val="superscript"/>
        </w:rPr>
        <w:t>3</w:t>
      </w:r>
      <w:r>
        <w:rPr>
          <w:color w:val="000000" w:themeColor="text1"/>
          <w:sz w:val="24"/>
        </w:rPr>
        <w:t>以上。</w:t>
      </w:r>
    </w:p>
    <w:p w14:paraId="077FFF0B">
      <w:pPr>
        <w:spacing w:line="360" w:lineRule="auto"/>
        <w:ind w:left="105" w:leftChars="50" w:right="105" w:rightChars="50" w:firstLine="480" w:firstLineChars="200"/>
        <w:rPr>
          <w:color w:val="FF0000"/>
          <w:sz w:val="24"/>
        </w:rPr>
      </w:pPr>
      <w:r>
        <w:rPr>
          <w:color w:val="FF0000"/>
          <w:sz w:val="24"/>
        </w:rPr>
        <w:t>根据现场勘查，项目区周边主要保护目标为项目区西北侧820m的排鲁村影响较小，为减少施工废气对周围环境的影响，需采取措施降低影响。</w:t>
      </w:r>
    </w:p>
    <w:p w14:paraId="43BC04C5">
      <w:pPr>
        <w:pStyle w:val="116"/>
        <w:ind w:firstLine="482"/>
        <w:rPr>
          <w:b/>
          <w:color w:val="000000" w:themeColor="text1"/>
        </w:rPr>
      </w:pPr>
      <w:r>
        <w:rPr>
          <w:b/>
          <w:color w:val="000000" w:themeColor="text1"/>
        </w:rPr>
        <w:t>对于施工场地扬尘需采取有效措施：</w:t>
      </w:r>
    </w:p>
    <w:p w14:paraId="3424BD55">
      <w:pPr>
        <w:pStyle w:val="116"/>
        <w:ind w:firstLine="480"/>
        <w:rPr>
          <w:color w:val="000000" w:themeColor="text1"/>
        </w:rPr>
      </w:pPr>
      <w:r>
        <w:rPr>
          <w:rFonts w:hint="eastAsia" w:ascii="宋体" w:hAnsi="宋体" w:cs="宋体"/>
          <w:color w:val="000000" w:themeColor="text1"/>
        </w:rPr>
        <w:t>①</w:t>
      </w:r>
      <w:r>
        <w:rPr>
          <w:color w:val="000000" w:themeColor="text1"/>
        </w:rPr>
        <w:t>施工工地厂界设置遮挡围墙，以有效减少近地面扬尘的扩散。</w:t>
      </w:r>
    </w:p>
    <w:p w14:paraId="6ED136C9">
      <w:pPr>
        <w:pStyle w:val="116"/>
        <w:ind w:firstLine="480"/>
        <w:rPr>
          <w:color w:val="000000" w:themeColor="text1"/>
        </w:rPr>
      </w:pPr>
      <w:r>
        <w:rPr>
          <w:rFonts w:hint="eastAsia" w:ascii="宋体" w:hAnsi="宋体" w:cs="宋体"/>
          <w:color w:val="000000" w:themeColor="text1"/>
        </w:rPr>
        <w:t>②</w:t>
      </w:r>
      <w:r>
        <w:rPr>
          <w:color w:val="000000" w:themeColor="text1"/>
        </w:rPr>
        <w:t>专人负责施工场地和车辆的清洁打扫，保证施工场地和道路的清洁。</w:t>
      </w:r>
    </w:p>
    <w:p w14:paraId="42257339">
      <w:pPr>
        <w:pStyle w:val="116"/>
        <w:ind w:firstLine="480"/>
        <w:rPr>
          <w:color w:val="000000" w:themeColor="text1"/>
        </w:rPr>
      </w:pPr>
      <w:r>
        <w:rPr>
          <w:rFonts w:hint="eastAsia" w:ascii="宋体" w:hAnsi="宋体" w:cs="宋体"/>
          <w:color w:val="000000" w:themeColor="text1"/>
        </w:rPr>
        <w:t>③</w:t>
      </w:r>
      <w:r>
        <w:rPr>
          <w:color w:val="000000" w:themeColor="text1"/>
        </w:rPr>
        <w:t>施工场地粉状料堆等材料堆场应远离项目区西北侧820m的排鲁村及西侧排鲁水库，材料堆场进行遮盖并设置防护措施（使用铺彩条布进行临时遮盖），防止大量扬尘产生；同时建议施工方优先进行生产区的建设，以减少对周边的影响。</w:t>
      </w:r>
    </w:p>
    <w:p w14:paraId="7BEC3246">
      <w:pPr>
        <w:pStyle w:val="116"/>
        <w:ind w:firstLine="482"/>
        <w:rPr>
          <w:b/>
          <w:color w:val="000000" w:themeColor="text1"/>
        </w:rPr>
      </w:pPr>
      <w:r>
        <w:rPr>
          <w:b/>
          <w:color w:val="000000" w:themeColor="text1"/>
        </w:rPr>
        <w:t>2、运输车辆扬尘分析</w:t>
      </w:r>
    </w:p>
    <w:p w14:paraId="77B1C54B">
      <w:pPr>
        <w:pStyle w:val="116"/>
        <w:ind w:firstLine="480"/>
        <w:rPr>
          <w:color w:val="000000" w:themeColor="text1"/>
        </w:rPr>
      </w:pPr>
      <w:r>
        <w:rPr>
          <w:color w:val="000000" w:themeColor="text1"/>
        </w:rPr>
        <w:t>施工高峰期，运输量大，车辆往来频繁时，道路扬尘污染较为严重。汽车运输产生的道路扬尘量与车型、车速、车流量、风速、道路表面积尘、尘土湿度等有关。</w:t>
      </w:r>
    </w:p>
    <w:p w14:paraId="04E998A8">
      <w:pPr>
        <w:pStyle w:val="116"/>
        <w:ind w:firstLine="480"/>
        <w:rPr>
          <w:color w:val="000000" w:themeColor="text1"/>
        </w:rPr>
      </w:pPr>
      <w:r>
        <w:rPr>
          <w:color w:val="000000" w:themeColor="text1"/>
        </w:rPr>
        <w:t>针对运输扬尘，施工方必须严格执行以下环境保护措施：</w:t>
      </w:r>
    </w:p>
    <w:p w14:paraId="7C701B14">
      <w:pPr>
        <w:pStyle w:val="116"/>
        <w:ind w:firstLine="480"/>
        <w:rPr>
          <w:color w:val="000000" w:themeColor="text1"/>
        </w:rPr>
      </w:pPr>
      <w:r>
        <w:rPr>
          <w:rFonts w:hint="eastAsia" w:ascii="宋体" w:hAnsi="宋体" w:cs="宋体"/>
          <w:color w:val="000000" w:themeColor="text1"/>
        </w:rPr>
        <w:t>①</w:t>
      </w:r>
      <w:r>
        <w:rPr>
          <w:color w:val="000000" w:themeColor="text1"/>
        </w:rPr>
        <w:t>施工场地内运输通道应及时清扫和平整，以尽量减少运输车辆行驶产生的扬尘，必要时应采取洒水抑尘等措施；</w:t>
      </w:r>
    </w:p>
    <w:p w14:paraId="0F292DF5">
      <w:pPr>
        <w:pStyle w:val="116"/>
        <w:ind w:firstLine="480"/>
        <w:rPr>
          <w:color w:val="000000" w:themeColor="text1"/>
        </w:rPr>
      </w:pPr>
      <w:r>
        <w:rPr>
          <w:rFonts w:hint="eastAsia" w:ascii="宋体" w:hAnsi="宋体" w:cs="宋体"/>
          <w:color w:val="000000" w:themeColor="text1"/>
        </w:rPr>
        <w:t>②</w:t>
      </w:r>
      <w:r>
        <w:rPr>
          <w:color w:val="000000" w:themeColor="text1"/>
        </w:rPr>
        <w:t>运输车辆进入施工场地要限速行驶，减少产尘量；</w:t>
      </w:r>
    </w:p>
    <w:p w14:paraId="0C1F6AF8">
      <w:pPr>
        <w:pStyle w:val="116"/>
        <w:ind w:firstLine="482"/>
        <w:rPr>
          <w:b/>
          <w:color w:val="000000" w:themeColor="text1"/>
        </w:rPr>
      </w:pPr>
      <w:r>
        <w:rPr>
          <w:b/>
          <w:color w:val="000000" w:themeColor="text1"/>
        </w:rPr>
        <w:t>3、机械运输废气对环境的影响</w:t>
      </w:r>
    </w:p>
    <w:p w14:paraId="208DEF92">
      <w:pPr>
        <w:pStyle w:val="116"/>
        <w:ind w:firstLine="480"/>
        <w:rPr>
          <w:color w:val="000000" w:themeColor="text1"/>
        </w:rPr>
      </w:pPr>
      <w:r>
        <w:rPr>
          <w:color w:val="000000" w:themeColor="text1"/>
        </w:rPr>
        <w:t>施工机械废气主要是CO、碳氢化合物等，其产生量及废气中污染物浓度视其使用频率及发动机对燃料的燃烧情况而异。施工机械废气属低架点源无组织排放性质，具有间断性产生，产生量较小，产生点相对分散，易被稀释扩散等特点，加之项目区施工范围相对较大，施工场地周围较空旷，大气扩散条件相对较好，故一般情况下，施工机械和运输车辆所产生污染在空气中经自然扩散和稀释后，对评价区域的空气环境质量影响不大。</w:t>
      </w:r>
    </w:p>
    <w:p w14:paraId="1CAFAFBC">
      <w:pPr>
        <w:pStyle w:val="4"/>
        <w:rPr>
          <w:rFonts w:ascii="Times New Roman" w:hAnsi="Times New Roman"/>
          <w:color w:val="000000" w:themeColor="text1"/>
        </w:rPr>
      </w:pPr>
      <w:bookmarkStart w:id="386" w:name="_Toc28117706"/>
      <w:r>
        <w:rPr>
          <w:rFonts w:ascii="Times New Roman" w:hAnsi="Times New Roman"/>
          <w:color w:val="000000" w:themeColor="text1"/>
        </w:rPr>
        <w:t>5.2施工期水环境影响分析</w:t>
      </w:r>
      <w:bookmarkEnd w:id="386"/>
    </w:p>
    <w:p w14:paraId="6E49414F">
      <w:pPr>
        <w:pStyle w:val="116"/>
        <w:ind w:firstLine="482"/>
        <w:rPr>
          <w:b/>
          <w:color w:val="000000" w:themeColor="text1"/>
        </w:rPr>
      </w:pPr>
      <w:r>
        <w:rPr>
          <w:b/>
          <w:color w:val="000000" w:themeColor="text1"/>
        </w:rPr>
        <w:t>1、生活污水影响分析</w:t>
      </w:r>
    </w:p>
    <w:p w14:paraId="4D8AEE77">
      <w:pPr>
        <w:pStyle w:val="296"/>
        <w:ind w:firstLine="480"/>
        <w:rPr>
          <w:rFonts w:cs="Times New Roman"/>
          <w:color w:val="000000" w:themeColor="text1"/>
        </w:rPr>
      </w:pPr>
      <w:r>
        <w:rPr>
          <w:rFonts w:cs="Times New Roman"/>
          <w:color w:val="000000" w:themeColor="text1"/>
        </w:rPr>
        <w:t>根据工程分析可知，施工期间施工人员污水量为0.24m</w:t>
      </w:r>
      <w:r>
        <w:rPr>
          <w:rFonts w:cs="Times New Roman"/>
          <w:color w:val="000000" w:themeColor="text1"/>
          <w:vertAlign w:val="superscript"/>
        </w:rPr>
        <w:t>3</w:t>
      </w:r>
      <w:r>
        <w:rPr>
          <w:rFonts w:cs="Times New Roman"/>
          <w:color w:val="000000" w:themeColor="text1"/>
        </w:rPr>
        <w:t>/d，主要来源于洗手清洁等环节，产生量较少，利用盛达泰硅业厕所处理，定期清掏做农肥使用，不外排，对地表水体基本无影响。</w:t>
      </w:r>
    </w:p>
    <w:p w14:paraId="2CC8DA00">
      <w:pPr>
        <w:pStyle w:val="116"/>
        <w:ind w:firstLine="482"/>
        <w:rPr>
          <w:b/>
          <w:color w:val="000000" w:themeColor="text1"/>
        </w:rPr>
      </w:pPr>
      <w:r>
        <w:rPr>
          <w:b/>
          <w:color w:val="000000" w:themeColor="text1"/>
        </w:rPr>
        <w:t>2、施工废水环境影响分析</w:t>
      </w:r>
    </w:p>
    <w:p w14:paraId="6A06E56B">
      <w:pPr>
        <w:pStyle w:val="296"/>
        <w:ind w:firstLine="480"/>
        <w:rPr>
          <w:rFonts w:cs="Times New Roman"/>
          <w:color w:val="000000" w:themeColor="text1"/>
        </w:rPr>
      </w:pPr>
      <w:r>
        <w:rPr>
          <w:rFonts w:cs="Times New Roman"/>
          <w:color w:val="000000" w:themeColor="text1"/>
        </w:rPr>
        <w:t>根据工程分析估算，建筑施工期废水产生量为1.5m</w:t>
      </w:r>
      <w:r>
        <w:rPr>
          <w:rFonts w:cs="Times New Roman"/>
          <w:color w:val="000000" w:themeColor="text1"/>
          <w:vertAlign w:val="superscript"/>
        </w:rPr>
        <w:t>3</w:t>
      </w:r>
      <w:r>
        <w:rPr>
          <w:rFonts w:cs="Times New Roman"/>
          <w:color w:val="000000" w:themeColor="text1"/>
        </w:rPr>
        <w:t>/d。项目施工场地将设置废水沉淀池1座，容积为3m</w:t>
      </w:r>
      <w:r>
        <w:rPr>
          <w:rFonts w:cs="Times New Roman"/>
          <w:color w:val="000000" w:themeColor="text1"/>
          <w:vertAlign w:val="superscript"/>
        </w:rPr>
        <w:t>3</w:t>
      </w:r>
      <w:r>
        <w:rPr>
          <w:rFonts w:cs="Times New Roman"/>
          <w:color w:val="000000" w:themeColor="text1"/>
        </w:rPr>
        <w:t>（后续作为雨水收集池），可用于收集沉淀施工废水。经过沉淀处理后的施工废水全部回用于建筑材料的冲洗和施工场地喷水降尘，不外排。</w:t>
      </w:r>
    </w:p>
    <w:p w14:paraId="7AAD4F8F">
      <w:pPr>
        <w:pStyle w:val="4"/>
        <w:rPr>
          <w:rFonts w:ascii="Times New Roman" w:hAnsi="Times New Roman"/>
          <w:color w:val="000000" w:themeColor="text1"/>
        </w:rPr>
      </w:pPr>
      <w:bookmarkStart w:id="387" w:name="_Toc28117707"/>
      <w:r>
        <w:rPr>
          <w:rFonts w:ascii="Times New Roman" w:hAnsi="Times New Roman"/>
          <w:color w:val="000000" w:themeColor="text1"/>
        </w:rPr>
        <w:t>5.3施工期声环境影响分析</w:t>
      </w:r>
      <w:bookmarkEnd w:id="387"/>
    </w:p>
    <w:p w14:paraId="7AF16441">
      <w:pPr>
        <w:pStyle w:val="116"/>
        <w:ind w:firstLine="480"/>
        <w:rPr>
          <w:color w:val="000000" w:themeColor="text1"/>
        </w:rPr>
      </w:pPr>
      <w:r>
        <w:rPr>
          <w:color w:val="000000" w:themeColor="text1"/>
        </w:rPr>
        <w:t>本项目施工期对声环境的噪声影响主要包括施工期的基础开挖、主体结构、装修工程过程中的施工噪声。</w:t>
      </w:r>
    </w:p>
    <w:p w14:paraId="30657A8E">
      <w:pPr>
        <w:pStyle w:val="116"/>
        <w:ind w:firstLine="482"/>
        <w:rPr>
          <w:b/>
          <w:color w:val="000000" w:themeColor="text1"/>
        </w:rPr>
      </w:pPr>
      <w:r>
        <w:rPr>
          <w:b/>
          <w:color w:val="000000" w:themeColor="text1"/>
        </w:rPr>
        <w:t xml:space="preserve">1、噪声源分析 </w:t>
      </w:r>
    </w:p>
    <w:p w14:paraId="672A4F5F">
      <w:pPr>
        <w:pStyle w:val="116"/>
        <w:ind w:firstLine="480"/>
        <w:rPr>
          <w:color w:val="000000" w:themeColor="text1"/>
        </w:rPr>
      </w:pPr>
      <w:r>
        <w:rPr>
          <w:color w:val="000000" w:themeColor="text1"/>
        </w:rPr>
        <w:t>由于施工设备种类多，不同的设备产生的噪声不同。在多台机械设备同时作业时，产生的噪声还会叠加（根据类比调查，叠加后的噪声增值约为3-8dB）。</w:t>
      </w:r>
    </w:p>
    <w:p w14:paraId="1E24363D">
      <w:pPr>
        <w:pStyle w:val="116"/>
        <w:ind w:firstLine="480"/>
        <w:rPr>
          <w:color w:val="000000" w:themeColor="text1"/>
        </w:rPr>
      </w:pPr>
      <w:r>
        <w:rPr>
          <w:color w:val="000000" w:themeColor="text1"/>
        </w:rPr>
        <w:t>本项目施工期对声环境的噪声影响主要包括施工期的基础开挖、主体结构、室内外装修过程中的施工机械噪声以及施工车辆运输的交通噪声。</w:t>
      </w:r>
    </w:p>
    <w:p w14:paraId="3FEA38D2">
      <w:pPr>
        <w:pStyle w:val="116"/>
        <w:ind w:firstLine="480"/>
        <w:rPr>
          <w:color w:val="000000" w:themeColor="text1"/>
        </w:rPr>
      </w:pPr>
      <w:r>
        <w:rPr>
          <w:color w:val="000000" w:themeColor="text1"/>
        </w:rPr>
        <w:t>由于施工设备种类多，不同的设备产生的噪声不同。施工机械噪声声级见表3.4-1。</w:t>
      </w:r>
    </w:p>
    <w:p w14:paraId="4A42D5A5">
      <w:pPr>
        <w:pStyle w:val="116"/>
        <w:ind w:firstLine="482"/>
        <w:rPr>
          <w:b/>
          <w:color w:val="000000" w:themeColor="text1"/>
        </w:rPr>
      </w:pPr>
      <w:r>
        <w:rPr>
          <w:b/>
          <w:color w:val="000000" w:themeColor="text1"/>
        </w:rPr>
        <w:t>2、施工期声环境影响分析</w:t>
      </w:r>
    </w:p>
    <w:p w14:paraId="07E8C394">
      <w:pPr>
        <w:pStyle w:val="116"/>
        <w:ind w:firstLine="480"/>
        <w:rPr>
          <w:color w:val="000000" w:themeColor="text1"/>
        </w:rPr>
      </w:pPr>
      <w:r>
        <w:rPr>
          <w:color w:val="000000" w:themeColor="text1"/>
        </w:rPr>
        <w:t>在施工过程中，施工机械又往往是同时作业，噪声源辐射量的相互叠加，声级值将更高，辐射范围也更大。</w:t>
      </w:r>
    </w:p>
    <w:p w14:paraId="6FD164F4">
      <w:pPr>
        <w:pStyle w:val="116"/>
        <w:ind w:firstLine="480"/>
        <w:rPr>
          <w:color w:val="000000" w:themeColor="text1"/>
        </w:rPr>
      </w:pPr>
      <w:r>
        <w:rPr>
          <w:color w:val="000000" w:themeColor="text1"/>
        </w:rPr>
        <w:t>施工噪声对周边声环境的影响，采用GB12523-2011《建筑施工场界环境噪声排放标准》进行评价。</w:t>
      </w:r>
    </w:p>
    <w:p w14:paraId="37331174">
      <w:pPr>
        <w:pStyle w:val="116"/>
        <w:ind w:firstLine="480"/>
        <w:rPr>
          <w:color w:val="000000" w:themeColor="text1"/>
        </w:rPr>
      </w:pPr>
      <w:r>
        <w:rPr>
          <w:color w:val="000000" w:themeColor="text1"/>
        </w:rPr>
        <w:t>采用点源衰减模式，预测只计算声源至受声点的几何发散衰减，不考虑声屏障、空气吸收等衰减。</w:t>
      </w:r>
    </w:p>
    <w:p w14:paraId="424814C0">
      <w:pPr>
        <w:pStyle w:val="116"/>
        <w:ind w:firstLine="480"/>
        <w:rPr>
          <w:color w:val="000000" w:themeColor="text1"/>
        </w:rPr>
      </w:pPr>
      <w:r>
        <w:rPr>
          <w:color w:val="000000" w:themeColor="text1"/>
        </w:rPr>
        <w:t>首先预测主要施工机械在不同距离贡献值，预测时r</w:t>
      </w:r>
      <w:r>
        <w:rPr>
          <w:color w:val="000000" w:themeColor="text1"/>
          <w:vertAlign w:val="subscript"/>
        </w:rPr>
        <w:t>0</w:t>
      </w:r>
      <w:r>
        <w:rPr>
          <w:color w:val="000000" w:themeColor="text1"/>
        </w:rPr>
        <w:t xml:space="preserve"> 为1m，预测结果见表5.4-1。</w:t>
      </w:r>
    </w:p>
    <w:p w14:paraId="784C10C4">
      <w:pPr>
        <w:autoSpaceDE w:val="0"/>
        <w:autoSpaceDN w:val="0"/>
        <w:adjustRightInd w:val="0"/>
        <w:jc w:val="center"/>
        <w:rPr>
          <w:b/>
          <w:color w:val="FF0000"/>
          <w:kern w:val="0"/>
          <w:sz w:val="24"/>
        </w:rPr>
      </w:pPr>
      <w:r>
        <w:rPr>
          <w:b/>
          <w:color w:val="FF0000"/>
          <w:kern w:val="0"/>
          <w:sz w:val="24"/>
        </w:rPr>
        <w:t>表</w:t>
      </w:r>
      <w:r>
        <w:rPr>
          <w:b/>
          <w:bCs/>
          <w:color w:val="FF0000"/>
          <w:kern w:val="0"/>
          <w:sz w:val="24"/>
        </w:rPr>
        <w:t xml:space="preserve">5.4-1  </w:t>
      </w:r>
      <w:r>
        <w:rPr>
          <w:b/>
          <w:color w:val="FF0000"/>
          <w:kern w:val="0"/>
          <w:sz w:val="24"/>
        </w:rPr>
        <w:t>各主要施工机械在不同距离处的贡献值</w:t>
      </w:r>
    </w:p>
    <w:tbl>
      <w:tblPr>
        <w:tblStyle w:val="42"/>
        <w:tblW w:w="5489" w:type="pct"/>
        <w:tblInd w:w="-459" w:type="dxa"/>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580"/>
        <w:gridCol w:w="1046"/>
        <w:gridCol w:w="611"/>
        <w:gridCol w:w="614"/>
        <w:gridCol w:w="614"/>
        <w:gridCol w:w="614"/>
        <w:gridCol w:w="612"/>
        <w:gridCol w:w="614"/>
        <w:gridCol w:w="614"/>
        <w:gridCol w:w="614"/>
        <w:gridCol w:w="612"/>
        <w:gridCol w:w="614"/>
        <w:gridCol w:w="614"/>
        <w:gridCol w:w="614"/>
        <w:gridCol w:w="724"/>
      </w:tblGrid>
      <w:tr w14:paraId="1C0BC04B">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vMerge w:val="restart"/>
            <w:shd w:val="clear" w:color="auto" w:fill="auto"/>
            <w:noWrap/>
            <w:vAlign w:val="center"/>
          </w:tcPr>
          <w:p w14:paraId="067AD937">
            <w:pPr>
              <w:widowControl/>
              <w:adjustRightInd w:val="0"/>
              <w:snapToGrid w:val="0"/>
              <w:jc w:val="center"/>
              <w:rPr>
                <w:color w:val="000000" w:themeColor="text1"/>
                <w:kern w:val="0"/>
                <w:sz w:val="18"/>
                <w:szCs w:val="18"/>
              </w:rPr>
            </w:pPr>
            <w:r>
              <w:rPr>
                <w:color w:val="000000" w:themeColor="text1"/>
                <w:kern w:val="0"/>
                <w:sz w:val="18"/>
                <w:szCs w:val="18"/>
              </w:rPr>
              <w:t>序号</w:t>
            </w:r>
          </w:p>
        </w:tc>
        <w:tc>
          <w:tcPr>
            <w:tcW w:w="539" w:type="pct"/>
            <w:vMerge w:val="restart"/>
            <w:shd w:val="clear" w:color="auto" w:fill="auto"/>
            <w:noWrap/>
            <w:vAlign w:val="center"/>
          </w:tcPr>
          <w:p w14:paraId="35223A2B">
            <w:pPr>
              <w:widowControl/>
              <w:adjustRightInd w:val="0"/>
              <w:snapToGrid w:val="0"/>
              <w:jc w:val="center"/>
              <w:rPr>
                <w:color w:val="000000" w:themeColor="text1"/>
                <w:kern w:val="0"/>
                <w:sz w:val="18"/>
                <w:szCs w:val="18"/>
              </w:rPr>
            </w:pPr>
            <w:r>
              <w:rPr>
                <w:color w:val="000000" w:themeColor="text1"/>
                <w:kern w:val="0"/>
                <w:sz w:val="18"/>
                <w:szCs w:val="18"/>
              </w:rPr>
              <w:t>机械名称</w:t>
            </w:r>
          </w:p>
        </w:tc>
        <w:tc>
          <w:tcPr>
            <w:tcW w:w="3788" w:type="pct"/>
            <w:gridSpan w:val="12"/>
            <w:shd w:val="clear" w:color="auto" w:fill="auto"/>
            <w:noWrap/>
            <w:vAlign w:val="center"/>
          </w:tcPr>
          <w:p w14:paraId="5DD7BCBD">
            <w:pPr>
              <w:widowControl/>
              <w:adjustRightInd w:val="0"/>
              <w:snapToGrid w:val="0"/>
              <w:jc w:val="center"/>
              <w:rPr>
                <w:color w:val="000000" w:themeColor="text1"/>
                <w:kern w:val="0"/>
                <w:sz w:val="18"/>
                <w:szCs w:val="18"/>
              </w:rPr>
            </w:pPr>
            <w:r>
              <w:rPr>
                <w:color w:val="000000" w:themeColor="text1"/>
                <w:kern w:val="0"/>
                <w:sz w:val="18"/>
                <w:szCs w:val="18"/>
              </w:rPr>
              <w:t>不同距离处的噪声预测 dB(A)</w:t>
            </w:r>
          </w:p>
        </w:tc>
        <w:tc>
          <w:tcPr>
            <w:tcW w:w="373" w:type="pct"/>
            <w:vMerge w:val="restart"/>
            <w:shd w:val="clear" w:color="auto" w:fill="auto"/>
            <w:noWrap/>
            <w:vAlign w:val="center"/>
          </w:tcPr>
          <w:p w14:paraId="714AA250">
            <w:pPr>
              <w:widowControl/>
              <w:adjustRightInd w:val="0"/>
              <w:snapToGrid w:val="0"/>
              <w:jc w:val="center"/>
              <w:rPr>
                <w:color w:val="000000" w:themeColor="text1"/>
                <w:kern w:val="0"/>
                <w:sz w:val="18"/>
                <w:szCs w:val="18"/>
              </w:rPr>
            </w:pPr>
            <w:r>
              <w:rPr>
                <w:color w:val="000000" w:themeColor="text1"/>
                <w:kern w:val="0"/>
                <w:sz w:val="18"/>
                <w:szCs w:val="18"/>
              </w:rPr>
              <w:t>施工阶段</w:t>
            </w:r>
          </w:p>
        </w:tc>
      </w:tr>
      <w:tr w14:paraId="3620ED8E">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vMerge w:val="continue"/>
            <w:shd w:val="clear" w:color="auto" w:fill="auto"/>
            <w:noWrap/>
            <w:vAlign w:val="center"/>
          </w:tcPr>
          <w:p w14:paraId="2F472FE3">
            <w:pPr>
              <w:widowControl/>
              <w:adjustRightInd w:val="0"/>
              <w:snapToGrid w:val="0"/>
              <w:jc w:val="center"/>
              <w:rPr>
                <w:color w:val="000000" w:themeColor="text1"/>
                <w:kern w:val="0"/>
                <w:sz w:val="18"/>
                <w:szCs w:val="18"/>
              </w:rPr>
            </w:pPr>
          </w:p>
        </w:tc>
        <w:tc>
          <w:tcPr>
            <w:tcW w:w="539" w:type="pct"/>
            <w:vMerge w:val="continue"/>
            <w:shd w:val="clear" w:color="auto" w:fill="auto"/>
            <w:noWrap/>
            <w:vAlign w:val="center"/>
          </w:tcPr>
          <w:p w14:paraId="627AC7B4">
            <w:pPr>
              <w:widowControl/>
              <w:adjustRightInd w:val="0"/>
              <w:snapToGrid w:val="0"/>
              <w:jc w:val="center"/>
              <w:rPr>
                <w:color w:val="000000" w:themeColor="text1"/>
                <w:kern w:val="0"/>
                <w:sz w:val="18"/>
                <w:szCs w:val="18"/>
              </w:rPr>
            </w:pPr>
          </w:p>
        </w:tc>
        <w:tc>
          <w:tcPr>
            <w:tcW w:w="315" w:type="pct"/>
            <w:shd w:val="clear" w:color="auto" w:fill="auto"/>
            <w:noWrap/>
            <w:vAlign w:val="center"/>
          </w:tcPr>
          <w:p w14:paraId="22A2F2C4">
            <w:pPr>
              <w:widowControl/>
              <w:adjustRightInd w:val="0"/>
              <w:snapToGrid w:val="0"/>
              <w:jc w:val="center"/>
              <w:rPr>
                <w:color w:val="000000" w:themeColor="text1"/>
                <w:kern w:val="0"/>
                <w:sz w:val="18"/>
                <w:szCs w:val="18"/>
              </w:rPr>
            </w:pPr>
            <w:r>
              <w:rPr>
                <w:color w:val="000000" w:themeColor="text1"/>
                <w:kern w:val="0"/>
                <w:sz w:val="18"/>
                <w:szCs w:val="18"/>
              </w:rPr>
              <w:t>10m</w:t>
            </w:r>
          </w:p>
        </w:tc>
        <w:tc>
          <w:tcPr>
            <w:tcW w:w="316" w:type="pct"/>
            <w:shd w:val="clear" w:color="auto" w:fill="auto"/>
            <w:noWrap/>
            <w:vAlign w:val="center"/>
          </w:tcPr>
          <w:p w14:paraId="4947DB9D">
            <w:pPr>
              <w:widowControl/>
              <w:adjustRightInd w:val="0"/>
              <w:snapToGrid w:val="0"/>
              <w:jc w:val="center"/>
              <w:rPr>
                <w:color w:val="000000" w:themeColor="text1"/>
                <w:kern w:val="0"/>
                <w:sz w:val="18"/>
                <w:szCs w:val="18"/>
              </w:rPr>
            </w:pPr>
            <w:r>
              <w:rPr>
                <w:color w:val="000000" w:themeColor="text1"/>
                <w:kern w:val="0"/>
                <w:sz w:val="18"/>
                <w:szCs w:val="18"/>
              </w:rPr>
              <w:t>20m</w:t>
            </w:r>
          </w:p>
        </w:tc>
        <w:tc>
          <w:tcPr>
            <w:tcW w:w="316" w:type="pct"/>
            <w:shd w:val="clear" w:color="auto" w:fill="auto"/>
            <w:noWrap/>
            <w:vAlign w:val="center"/>
          </w:tcPr>
          <w:p w14:paraId="045D2617">
            <w:pPr>
              <w:widowControl/>
              <w:adjustRightInd w:val="0"/>
              <w:snapToGrid w:val="0"/>
              <w:jc w:val="center"/>
              <w:rPr>
                <w:color w:val="000000" w:themeColor="text1"/>
                <w:kern w:val="0"/>
                <w:sz w:val="18"/>
                <w:szCs w:val="18"/>
              </w:rPr>
            </w:pPr>
            <w:r>
              <w:rPr>
                <w:color w:val="000000" w:themeColor="text1"/>
                <w:kern w:val="0"/>
                <w:sz w:val="18"/>
                <w:szCs w:val="18"/>
              </w:rPr>
              <w:t>30m</w:t>
            </w:r>
          </w:p>
        </w:tc>
        <w:tc>
          <w:tcPr>
            <w:tcW w:w="316" w:type="pct"/>
            <w:shd w:val="clear" w:color="auto" w:fill="auto"/>
            <w:noWrap/>
            <w:vAlign w:val="center"/>
          </w:tcPr>
          <w:p w14:paraId="796B1142">
            <w:pPr>
              <w:widowControl/>
              <w:adjustRightInd w:val="0"/>
              <w:snapToGrid w:val="0"/>
              <w:jc w:val="center"/>
              <w:rPr>
                <w:color w:val="000000" w:themeColor="text1"/>
                <w:kern w:val="0"/>
                <w:sz w:val="18"/>
                <w:szCs w:val="18"/>
              </w:rPr>
            </w:pPr>
            <w:r>
              <w:rPr>
                <w:color w:val="000000" w:themeColor="text1"/>
                <w:kern w:val="0"/>
                <w:sz w:val="18"/>
                <w:szCs w:val="18"/>
              </w:rPr>
              <w:t>50m</w:t>
            </w:r>
          </w:p>
        </w:tc>
        <w:tc>
          <w:tcPr>
            <w:tcW w:w="315" w:type="pct"/>
            <w:shd w:val="clear" w:color="auto" w:fill="auto"/>
            <w:noWrap/>
            <w:vAlign w:val="center"/>
          </w:tcPr>
          <w:p w14:paraId="24213AF1">
            <w:pPr>
              <w:widowControl/>
              <w:adjustRightInd w:val="0"/>
              <w:snapToGrid w:val="0"/>
              <w:jc w:val="center"/>
              <w:rPr>
                <w:color w:val="000000" w:themeColor="text1"/>
                <w:kern w:val="0"/>
                <w:sz w:val="18"/>
                <w:szCs w:val="18"/>
              </w:rPr>
            </w:pPr>
            <w:r>
              <w:rPr>
                <w:color w:val="000000" w:themeColor="text1"/>
                <w:kern w:val="0"/>
                <w:sz w:val="18"/>
                <w:szCs w:val="18"/>
              </w:rPr>
              <w:t>60m</w:t>
            </w:r>
          </w:p>
        </w:tc>
        <w:tc>
          <w:tcPr>
            <w:tcW w:w="316" w:type="pct"/>
            <w:shd w:val="clear" w:color="auto" w:fill="auto"/>
            <w:noWrap/>
            <w:vAlign w:val="center"/>
          </w:tcPr>
          <w:p w14:paraId="06166EFE">
            <w:pPr>
              <w:widowControl/>
              <w:adjustRightInd w:val="0"/>
              <w:snapToGrid w:val="0"/>
              <w:jc w:val="center"/>
              <w:rPr>
                <w:color w:val="000000" w:themeColor="text1"/>
                <w:kern w:val="0"/>
                <w:sz w:val="18"/>
                <w:szCs w:val="18"/>
              </w:rPr>
            </w:pPr>
            <w:r>
              <w:rPr>
                <w:color w:val="000000" w:themeColor="text1"/>
                <w:kern w:val="0"/>
                <w:sz w:val="18"/>
                <w:szCs w:val="18"/>
              </w:rPr>
              <w:t>70m</w:t>
            </w:r>
          </w:p>
        </w:tc>
        <w:tc>
          <w:tcPr>
            <w:tcW w:w="316" w:type="pct"/>
            <w:shd w:val="clear" w:color="auto" w:fill="auto"/>
            <w:noWrap/>
            <w:vAlign w:val="center"/>
          </w:tcPr>
          <w:p w14:paraId="5C9CD37A">
            <w:pPr>
              <w:widowControl/>
              <w:adjustRightInd w:val="0"/>
              <w:snapToGrid w:val="0"/>
              <w:jc w:val="center"/>
              <w:rPr>
                <w:color w:val="000000" w:themeColor="text1"/>
                <w:kern w:val="0"/>
                <w:sz w:val="18"/>
                <w:szCs w:val="18"/>
              </w:rPr>
            </w:pPr>
            <w:r>
              <w:rPr>
                <w:color w:val="000000" w:themeColor="text1"/>
                <w:kern w:val="0"/>
                <w:sz w:val="18"/>
                <w:szCs w:val="18"/>
              </w:rPr>
              <w:t>100m</w:t>
            </w:r>
          </w:p>
        </w:tc>
        <w:tc>
          <w:tcPr>
            <w:tcW w:w="316" w:type="pct"/>
            <w:shd w:val="clear" w:color="auto" w:fill="auto"/>
            <w:noWrap/>
            <w:vAlign w:val="center"/>
          </w:tcPr>
          <w:p w14:paraId="5D95D225">
            <w:pPr>
              <w:widowControl/>
              <w:adjustRightInd w:val="0"/>
              <w:snapToGrid w:val="0"/>
              <w:jc w:val="center"/>
              <w:rPr>
                <w:color w:val="000000" w:themeColor="text1"/>
                <w:kern w:val="0"/>
                <w:sz w:val="18"/>
                <w:szCs w:val="18"/>
              </w:rPr>
            </w:pPr>
            <w:r>
              <w:rPr>
                <w:color w:val="000000" w:themeColor="text1"/>
                <w:kern w:val="0"/>
                <w:sz w:val="18"/>
                <w:szCs w:val="18"/>
              </w:rPr>
              <w:t>150m</w:t>
            </w:r>
          </w:p>
        </w:tc>
        <w:tc>
          <w:tcPr>
            <w:tcW w:w="315" w:type="pct"/>
            <w:shd w:val="clear" w:color="auto" w:fill="auto"/>
            <w:noWrap/>
            <w:vAlign w:val="center"/>
          </w:tcPr>
          <w:p w14:paraId="3EAEE5B2">
            <w:pPr>
              <w:widowControl/>
              <w:adjustRightInd w:val="0"/>
              <w:snapToGrid w:val="0"/>
              <w:jc w:val="center"/>
              <w:rPr>
                <w:color w:val="000000" w:themeColor="text1"/>
                <w:kern w:val="0"/>
                <w:sz w:val="18"/>
                <w:szCs w:val="18"/>
              </w:rPr>
            </w:pPr>
            <w:r>
              <w:rPr>
                <w:color w:val="000000" w:themeColor="text1"/>
                <w:kern w:val="0"/>
                <w:sz w:val="18"/>
                <w:szCs w:val="18"/>
              </w:rPr>
              <w:t>200m</w:t>
            </w:r>
          </w:p>
        </w:tc>
        <w:tc>
          <w:tcPr>
            <w:tcW w:w="316" w:type="pct"/>
            <w:shd w:val="clear" w:color="auto" w:fill="auto"/>
            <w:noWrap/>
            <w:vAlign w:val="center"/>
          </w:tcPr>
          <w:p w14:paraId="6C115C1B">
            <w:pPr>
              <w:widowControl/>
              <w:adjustRightInd w:val="0"/>
              <w:snapToGrid w:val="0"/>
              <w:jc w:val="center"/>
              <w:rPr>
                <w:color w:val="000000" w:themeColor="text1"/>
                <w:kern w:val="0"/>
                <w:sz w:val="18"/>
                <w:szCs w:val="18"/>
              </w:rPr>
            </w:pPr>
            <w:r>
              <w:rPr>
                <w:color w:val="000000" w:themeColor="text1"/>
                <w:kern w:val="0"/>
                <w:sz w:val="18"/>
                <w:szCs w:val="18"/>
              </w:rPr>
              <w:t>250m</w:t>
            </w:r>
          </w:p>
        </w:tc>
        <w:tc>
          <w:tcPr>
            <w:tcW w:w="316" w:type="pct"/>
            <w:shd w:val="clear" w:color="auto" w:fill="auto"/>
            <w:noWrap/>
            <w:vAlign w:val="center"/>
          </w:tcPr>
          <w:p w14:paraId="30C96332">
            <w:pPr>
              <w:widowControl/>
              <w:adjustRightInd w:val="0"/>
              <w:snapToGrid w:val="0"/>
              <w:jc w:val="center"/>
              <w:rPr>
                <w:color w:val="000000" w:themeColor="text1"/>
                <w:kern w:val="0"/>
                <w:sz w:val="18"/>
                <w:szCs w:val="18"/>
              </w:rPr>
            </w:pPr>
            <w:r>
              <w:rPr>
                <w:color w:val="000000" w:themeColor="text1"/>
                <w:kern w:val="0"/>
                <w:sz w:val="18"/>
                <w:szCs w:val="18"/>
              </w:rPr>
              <w:t>300m</w:t>
            </w:r>
          </w:p>
        </w:tc>
        <w:tc>
          <w:tcPr>
            <w:tcW w:w="316" w:type="pct"/>
            <w:shd w:val="clear" w:color="auto" w:fill="auto"/>
            <w:noWrap/>
            <w:vAlign w:val="center"/>
          </w:tcPr>
          <w:p w14:paraId="7B705DC2">
            <w:pPr>
              <w:widowControl/>
              <w:adjustRightInd w:val="0"/>
              <w:snapToGrid w:val="0"/>
              <w:jc w:val="center"/>
              <w:rPr>
                <w:color w:val="000000" w:themeColor="text1"/>
                <w:kern w:val="0"/>
                <w:sz w:val="18"/>
                <w:szCs w:val="18"/>
              </w:rPr>
            </w:pPr>
            <w:r>
              <w:rPr>
                <w:color w:val="000000" w:themeColor="text1"/>
                <w:kern w:val="0"/>
                <w:sz w:val="18"/>
                <w:szCs w:val="18"/>
              </w:rPr>
              <w:t>350m</w:t>
            </w:r>
          </w:p>
        </w:tc>
        <w:tc>
          <w:tcPr>
            <w:tcW w:w="373" w:type="pct"/>
            <w:vMerge w:val="continue"/>
            <w:shd w:val="clear" w:color="auto" w:fill="auto"/>
            <w:noWrap/>
            <w:vAlign w:val="center"/>
          </w:tcPr>
          <w:p w14:paraId="0E2CFB88">
            <w:pPr>
              <w:widowControl/>
              <w:adjustRightInd w:val="0"/>
              <w:snapToGrid w:val="0"/>
              <w:jc w:val="center"/>
              <w:rPr>
                <w:color w:val="000000" w:themeColor="text1"/>
                <w:kern w:val="0"/>
                <w:sz w:val="18"/>
                <w:szCs w:val="18"/>
              </w:rPr>
            </w:pPr>
          </w:p>
        </w:tc>
      </w:tr>
      <w:tr w14:paraId="1F455B8D">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7D00C2FB">
            <w:pPr>
              <w:widowControl/>
              <w:adjustRightInd w:val="0"/>
              <w:snapToGrid w:val="0"/>
              <w:jc w:val="center"/>
              <w:rPr>
                <w:color w:val="000000" w:themeColor="text1"/>
                <w:kern w:val="0"/>
                <w:sz w:val="18"/>
                <w:szCs w:val="18"/>
              </w:rPr>
            </w:pPr>
            <w:r>
              <w:rPr>
                <w:color w:val="000000" w:themeColor="text1"/>
                <w:kern w:val="0"/>
                <w:sz w:val="18"/>
                <w:szCs w:val="18"/>
              </w:rPr>
              <w:t>1</w:t>
            </w:r>
          </w:p>
        </w:tc>
        <w:tc>
          <w:tcPr>
            <w:tcW w:w="539" w:type="pct"/>
            <w:shd w:val="clear" w:color="auto" w:fill="auto"/>
            <w:noWrap/>
            <w:vAlign w:val="center"/>
          </w:tcPr>
          <w:p w14:paraId="51493A58">
            <w:pPr>
              <w:widowControl/>
              <w:adjustRightInd w:val="0"/>
              <w:snapToGrid w:val="0"/>
              <w:jc w:val="center"/>
              <w:rPr>
                <w:color w:val="000000" w:themeColor="text1"/>
                <w:kern w:val="0"/>
                <w:sz w:val="18"/>
                <w:szCs w:val="18"/>
              </w:rPr>
            </w:pPr>
            <w:r>
              <w:rPr>
                <w:color w:val="000000" w:themeColor="text1"/>
                <w:kern w:val="0"/>
                <w:sz w:val="18"/>
                <w:szCs w:val="18"/>
              </w:rPr>
              <w:t>挖掘机</w:t>
            </w:r>
          </w:p>
        </w:tc>
        <w:tc>
          <w:tcPr>
            <w:tcW w:w="315" w:type="pct"/>
            <w:shd w:val="clear" w:color="auto" w:fill="auto"/>
            <w:noWrap/>
            <w:vAlign w:val="center"/>
          </w:tcPr>
          <w:p w14:paraId="7FE89989">
            <w:pPr>
              <w:widowControl/>
              <w:adjustRightInd w:val="0"/>
              <w:snapToGrid w:val="0"/>
              <w:jc w:val="center"/>
              <w:rPr>
                <w:color w:val="000000" w:themeColor="text1"/>
                <w:kern w:val="0"/>
                <w:sz w:val="15"/>
                <w:szCs w:val="15"/>
              </w:rPr>
            </w:pPr>
            <w:r>
              <w:rPr>
                <w:color w:val="000000" w:themeColor="text1"/>
                <w:kern w:val="0"/>
                <w:sz w:val="15"/>
                <w:szCs w:val="15"/>
              </w:rPr>
              <w:t>75</w:t>
            </w:r>
          </w:p>
        </w:tc>
        <w:tc>
          <w:tcPr>
            <w:tcW w:w="316" w:type="pct"/>
            <w:shd w:val="clear" w:color="auto" w:fill="auto"/>
            <w:noWrap/>
            <w:vAlign w:val="center"/>
          </w:tcPr>
          <w:p w14:paraId="6D36788D">
            <w:pPr>
              <w:widowControl/>
              <w:adjustRightInd w:val="0"/>
              <w:snapToGrid w:val="0"/>
              <w:jc w:val="center"/>
              <w:rPr>
                <w:color w:val="000000" w:themeColor="text1"/>
                <w:kern w:val="0"/>
                <w:sz w:val="15"/>
                <w:szCs w:val="15"/>
              </w:rPr>
            </w:pPr>
            <w:r>
              <w:rPr>
                <w:color w:val="000000" w:themeColor="text1"/>
                <w:kern w:val="0"/>
                <w:sz w:val="15"/>
                <w:szCs w:val="15"/>
              </w:rPr>
              <w:t>68.98</w:t>
            </w:r>
          </w:p>
        </w:tc>
        <w:tc>
          <w:tcPr>
            <w:tcW w:w="316" w:type="pct"/>
            <w:shd w:val="clear" w:color="auto" w:fill="auto"/>
            <w:noWrap/>
            <w:vAlign w:val="center"/>
          </w:tcPr>
          <w:p w14:paraId="1067B295">
            <w:pPr>
              <w:widowControl/>
              <w:adjustRightInd w:val="0"/>
              <w:snapToGrid w:val="0"/>
              <w:jc w:val="center"/>
              <w:rPr>
                <w:color w:val="000000" w:themeColor="text1"/>
                <w:kern w:val="0"/>
                <w:sz w:val="15"/>
                <w:szCs w:val="15"/>
              </w:rPr>
            </w:pPr>
            <w:r>
              <w:rPr>
                <w:color w:val="000000" w:themeColor="text1"/>
                <w:kern w:val="0"/>
                <w:sz w:val="15"/>
                <w:szCs w:val="15"/>
              </w:rPr>
              <w:t>65.46</w:t>
            </w:r>
          </w:p>
        </w:tc>
        <w:tc>
          <w:tcPr>
            <w:tcW w:w="316" w:type="pct"/>
            <w:shd w:val="clear" w:color="auto" w:fill="auto"/>
            <w:noWrap/>
            <w:vAlign w:val="center"/>
          </w:tcPr>
          <w:p w14:paraId="4A716672">
            <w:pPr>
              <w:widowControl/>
              <w:adjustRightInd w:val="0"/>
              <w:snapToGrid w:val="0"/>
              <w:jc w:val="center"/>
              <w:rPr>
                <w:color w:val="000000" w:themeColor="text1"/>
                <w:kern w:val="0"/>
                <w:sz w:val="15"/>
                <w:szCs w:val="15"/>
              </w:rPr>
            </w:pPr>
            <w:r>
              <w:rPr>
                <w:color w:val="000000" w:themeColor="text1"/>
                <w:kern w:val="0"/>
                <w:sz w:val="15"/>
                <w:szCs w:val="15"/>
              </w:rPr>
              <w:t>61.02</w:t>
            </w:r>
          </w:p>
        </w:tc>
        <w:tc>
          <w:tcPr>
            <w:tcW w:w="315" w:type="pct"/>
            <w:shd w:val="clear" w:color="auto" w:fill="auto"/>
            <w:noWrap/>
            <w:vAlign w:val="center"/>
          </w:tcPr>
          <w:p w14:paraId="5658B9E7">
            <w:pPr>
              <w:widowControl/>
              <w:adjustRightInd w:val="0"/>
              <w:snapToGrid w:val="0"/>
              <w:jc w:val="center"/>
              <w:rPr>
                <w:color w:val="000000" w:themeColor="text1"/>
                <w:kern w:val="0"/>
                <w:sz w:val="15"/>
                <w:szCs w:val="15"/>
              </w:rPr>
            </w:pPr>
            <w:r>
              <w:rPr>
                <w:color w:val="000000" w:themeColor="text1"/>
                <w:kern w:val="0"/>
                <w:sz w:val="15"/>
                <w:szCs w:val="15"/>
              </w:rPr>
              <w:t>59.44</w:t>
            </w:r>
          </w:p>
        </w:tc>
        <w:tc>
          <w:tcPr>
            <w:tcW w:w="316" w:type="pct"/>
            <w:shd w:val="clear" w:color="auto" w:fill="auto"/>
            <w:noWrap/>
            <w:vAlign w:val="center"/>
          </w:tcPr>
          <w:p w14:paraId="2D96BB5F">
            <w:pPr>
              <w:widowControl/>
              <w:adjustRightInd w:val="0"/>
              <w:snapToGrid w:val="0"/>
              <w:jc w:val="center"/>
              <w:rPr>
                <w:color w:val="000000" w:themeColor="text1"/>
                <w:kern w:val="0"/>
                <w:sz w:val="15"/>
                <w:szCs w:val="15"/>
              </w:rPr>
            </w:pPr>
            <w:r>
              <w:rPr>
                <w:color w:val="000000" w:themeColor="text1"/>
                <w:kern w:val="0"/>
                <w:sz w:val="15"/>
                <w:szCs w:val="15"/>
              </w:rPr>
              <w:t>58.1</w:t>
            </w:r>
          </w:p>
        </w:tc>
        <w:tc>
          <w:tcPr>
            <w:tcW w:w="316" w:type="pct"/>
            <w:shd w:val="clear" w:color="auto" w:fill="auto"/>
            <w:noWrap/>
            <w:vAlign w:val="center"/>
          </w:tcPr>
          <w:p w14:paraId="1E35200E">
            <w:pPr>
              <w:widowControl/>
              <w:adjustRightInd w:val="0"/>
              <w:snapToGrid w:val="0"/>
              <w:jc w:val="center"/>
              <w:rPr>
                <w:color w:val="000000" w:themeColor="text1"/>
                <w:kern w:val="0"/>
                <w:sz w:val="15"/>
                <w:szCs w:val="15"/>
              </w:rPr>
            </w:pPr>
            <w:r>
              <w:rPr>
                <w:color w:val="000000" w:themeColor="text1"/>
                <w:kern w:val="0"/>
                <w:sz w:val="15"/>
                <w:szCs w:val="15"/>
              </w:rPr>
              <w:t>55</w:t>
            </w:r>
          </w:p>
        </w:tc>
        <w:tc>
          <w:tcPr>
            <w:tcW w:w="316" w:type="pct"/>
            <w:shd w:val="clear" w:color="auto" w:fill="auto"/>
            <w:noWrap/>
            <w:vAlign w:val="center"/>
          </w:tcPr>
          <w:p w14:paraId="40D39566">
            <w:pPr>
              <w:widowControl/>
              <w:adjustRightInd w:val="0"/>
              <w:snapToGrid w:val="0"/>
              <w:jc w:val="center"/>
              <w:rPr>
                <w:color w:val="000000" w:themeColor="text1"/>
                <w:kern w:val="0"/>
                <w:sz w:val="15"/>
                <w:szCs w:val="15"/>
              </w:rPr>
            </w:pPr>
            <w:r>
              <w:rPr>
                <w:color w:val="000000" w:themeColor="text1"/>
                <w:kern w:val="0"/>
                <w:sz w:val="15"/>
                <w:szCs w:val="15"/>
              </w:rPr>
              <w:t>51.48</w:t>
            </w:r>
          </w:p>
        </w:tc>
        <w:tc>
          <w:tcPr>
            <w:tcW w:w="315" w:type="pct"/>
            <w:shd w:val="clear" w:color="auto" w:fill="auto"/>
            <w:noWrap/>
            <w:vAlign w:val="center"/>
          </w:tcPr>
          <w:p w14:paraId="731E9AF8">
            <w:pPr>
              <w:widowControl/>
              <w:adjustRightInd w:val="0"/>
              <w:snapToGrid w:val="0"/>
              <w:jc w:val="center"/>
              <w:rPr>
                <w:color w:val="000000" w:themeColor="text1"/>
                <w:kern w:val="0"/>
                <w:sz w:val="15"/>
                <w:szCs w:val="15"/>
              </w:rPr>
            </w:pPr>
            <w:r>
              <w:rPr>
                <w:color w:val="000000" w:themeColor="text1"/>
                <w:kern w:val="0"/>
                <w:sz w:val="15"/>
                <w:szCs w:val="15"/>
              </w:rPr>
              <w:t>48.98</w:t>
            </w:r>
          </w:p>
        </w:tc>
        <w:tc>
          <w:tcPr>
            <w:tcW w:w="316" w:type="pct"/>
            <w:shd w:val="clear" w:color="auto" w:fill="auto"/>
            <w:noWrap/>
            <w:vAlign w:val="center"/>
          </w:tcPr>
          <w:p w14:paraId="618E4D4F">
            <w:pPr>
              <w:widowControl/>
              <w:adjustRightInd w:val="0"/>
              <w:snapToGrid w:val="0"/>
              <w:jc w:val="center"/>
              <w:rPr>
                <w:color w:val="000000" w:themeColor="text1"/>
                <w:kern w:val="0"/>
                <w:sz w:val="15"/>
                <w:szCs w:val="15"/>
              </w:rPr>
            </w:pPr>
            <w:r>
              <w:rPr>
                <w:color w:val="000000" w:themeColor="text1"/>
                <w:kern w:val="0"/>
                <w:sz w:val="15"/>
                <w:szCs w:val="15"/>
              </w:rPr>
              <w:t>47.04</w:t>
            </w:r>
          </w:p>
        </w:tc>
        <w:tc>
          <w:tcPr>
            <w:tcW w:w="316" w:type="pct"/>
            <w:shd w:val="clear" w:color="auto" w:fill="auto"/>
            <w:noWrap/>
            <w:vAlign w:val="center"/>
          </w:tcPr>
          <w:p w14:paraId="7E039EDC">
            <w:pPr>
              <w:widowControl/>
              <w:adjustRightInd w:val="0"/>
              <w:snapToGrid w:val="0"/>
              <w:jc w:val="center"/>
              <w:rPr>
                <w:color w:val="000000" w:themeColor="text1"/>
                <w:kern w:val="0"/>
                <w:sz w:val="15"/>
                <w:szCs w:val="15"/>
              </w:rPr>
            </w:pPr>
            <w:r>
              <w:rPr>
                <w:color w:val="000000" w:themeColor="text1"/>
                <w:kern w:val="0"/>
                <w:sz w:val="15"/>
                <w:szCs w:val="15"/>
              </w:rPr>
              <w:t>45.46</w:t>
            </w:r>
          </w:p>
        </w:tc>
        <w:tc>
          <w:tcPr>
            <w:tcW w:w="316" w:type="pct"/>
            <w:shd w:val="clear" w:color="auto" w:fill="auto"/>
            <w:noWrap/>
            <w:vAlign w:val="center"/>
          </w:tcPr>
          <w:p w14:paraId="768E83A9">
            <w:pPr>
              <w:widowControl/>
              <w:adjustRightInd w:val="0"/>
              <w:snapToGrid w:val="0"/>
              <w:jc w:val="center"/>
              <w:rPr>
                <w:color w:val="000000" w:themeColor="text1"/>
                <w:kern w:val="0"/>
                <w:sz w:val="15"/>
                <w:szCs w:val="15"/>
              </w:rPr>
            </w:pPr>
            <w:r>
              <w:rPr>
                <w:color w:val="000000" w:themeColor="text1"/>
                <w:kern w:val="0"/>
                <w:sz w:val="15"/>
                <w:szCs w:val="15"/>
              </w:rPr>
              <w:t>44.12</w:t>
            </w:r>
          </w:p>
        </w:tc>
        <w:tc>
          <w:tcPr>
            <w:tcW w:w="373" w:type="pct"/>
            <w:vMerge w:val="restart"/>
            <w:shd w:val="clear" w:color="auto" w:fill="auto"/>
            <w:noWrap/>
            <w:vAlign w:val="center"/>
          </w:tcPr>
          <w:p w14:paraId="5DCBA8BE">
            <w:pPr>
              <w:widowControl/>
              <w:adjustRightInd w:val="0"/>
              <w:snapToGrid w:val="0"/>
              <w:jc w:val="center"/>
              <w:rPr>
                <w:color w:val="000000" w:themeColor="text1"/>
                <w:kern w:val="0"/>
                <w:sz w:val="18"/>
                <w:szCs w:val="18"/>
              </w:rPr>
            </w:pPr>
            <w:r>
              <w:rPr>
                <w:color w:val="000000" w:themeColor="text1"/>
                <w:kern w:val="0"/>
                <w:sz w:val="18"/>
                <w:szCs w:val="18"/>
              </w:rPr>
              <w:t>土石方阶段</w:t>
            </w:r>
          </w:p>
          <w:p w14:paraId="74171488">
            <w:pPr>
              <w:widowControl/>
              <w:adjustRightInd w:val="0"/>
              <w:snapToGrid w:val="0"/>
              <w:jc w:val="center"/>
              <w:rPr>
                <w:color w:val="000000" w:themeColor="text1"/>
                <w:kern w:val="0"/>
                <w:sz w:val="18"/>
                <w:szCs w:val="18"/>
              </w:rPr>
            </w:pPr>
          </w:p>
          <w:p w14:paraId="413BDDD9">
            <w:pPr>
              <w:widowControl/>
              <w:adjustRightInd w:val="0"/>
              <w:snapToGrid w:val="0"/>
              <w:jc w:val="center"/>
              <w:rPr>
                <w:color w:val="000000" w:themeColor="text1"/>
                <w:kern w:val="0"/>
                <w:sz w:val="18"/>
                <w:szCs w:val="18"/>
              </w:rPr>
            </w:pPr>
          </w:p>
          <w:p w14:paraId="4332CB3D">
            <w:pPr>
              <w:adjustRightInd w:val="0"/>
              <w:snapToGrid w:val="0"/>
              <w:jc w:val="center"/>
              <w:rPr>
                <w:color w:val="000000" w:themeColor="text1"/>
                <w:kern w:val="0"/>
                <w:sz w:val="18"/>
                <w:szCs w:val="18"/>
              </w:rPr>
            </w:pPr>
          </w:p>
        </w:tc>
      </w:tr>
      <w:tr w14:paraId="416714CA">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2B203716">
            <w:pPr>
              <w:widowControl/>
              <w:adjustRightInd w:val="0"/>
              <w:snapToGrid w:val="0"/>
              <w:jc w:val="center"/>
              <w:rPr>
                <w:color w:val="000000" w:themeColor="text1"/>
                <w:kern w:val="0"/>
                <w:sz w:val="18"/>
                <w:szCs w:val="18"/>
              </w:rPr>
            </w:pPr>
            <w:r>
              <w:rPr>
                <w:color w:val="000000" w:themeColor="text1"/>
                <w:kern w:val="0"/>
                <w:sz w:val="18"/>
                <w:szCs w:val="18"/>
              </w:rPr>
              <w:t>2</w:t>
            </w:r>
          </w:p>
        </w:tc>
        <w:tc>
          <w:tcPr>
            <w:tcW w:w="539" w:type="pct"/>
            <w:shd w:val="clear" w:color="auto" w:fill="auto"/>
            <w:noWrap/>
            <w:vAlign w:val="center"/>
          </w:tcPr>
          <w:p w14:paraId="4E375548">
            <w:pPr>
              <w:widowControl/>
              <w:adjustRightInd w:val="0"/>
              <w:snapToGrid w:val="0"/>
              <w:jc w:val="center"/>
              <w:rPr>
                <w:color w:val="000000" w:themeColor="text1"/>
                <w:kern w:val="0"/>
                <w:sz w:val="18"/>
                <w:szCs w:val="18"/>
              </w:rPr>
            </w:pPr>
            <w:r>
              <w:rPr>
                <w:color w:val="000000" w:themeColor="text1"/>
                <w:kern w:val="0"/>
                <w:sz w:val="18"/>
                <w:szCs w:val="18"/>
              </w:rPr>
              <w:t>推土机</w:t>
            </w:r>
          </w:p>
        </w:tc>
        <w:tc>
          <w:tcPr>
            <w:tcW w:w="315" w:type="pct"/>
            <w:shd w:val="clear" w:color="auto" w:fill="auto"/>
            <w:noWrap/>
            <w:vAlign w:val="center"/>
          </w:tcPr>
          <w:p w14:paraId="6D4197EE">
            <w:pPr>
              <w:widowControl/>
              <w:adjustRightInd w:val="0"/>
              <w:snapToGrid w:val="0"/>
              <w:jc w:val="center"/>
              <w:rPr>
                <w:color w:val="000000" w:themeColor="text1"/>
                <w:kern w:val="0"/>
                <w:sz w:val="15"/>
                <w:szCs w:val="15"/>
              </w:rPr>
            </w:pPr>
            <w:r>
              <w:rPr>
                <w:color w:val="000000" w:themeColor="text1"/>
                <w:kern w:val="0"/>
                <w:sz w:val="15"/>
                <w:szCs w:val="15"/>
              </w:rPr>
              <w:t>65</w:t>
            </w:r>
          </w:p>
        </w:tc>
        <w:tc>
          <w:tcPr>
            <w:tcW w:w="316" w:type="pct"/>
            <w:shd w:val="clear" w:color="auto" w:fill="auto"/>
            <w:noWrap/>
            <w:vAlign w:val="center"/>
          </w:tcPr>
          <w:p w14:paraId="68E056D2">
            <w:pPr>
              <w:widowControl/>
              <w:adjustRightInd w:val="0"/>
              <w:snapToGrid w:val="0"/>
              <w:jc w:val="center"/>
              <w:rPr>
                <w:color w:val="000000" w:themeColor="text1"/>
                <w:kern w:val="0"/>
                <w:sz w:val="15"/>
                <w:szCs w:val="15"/>
              </w:rPr>
            </w:pPr>
            <w:r>
              <w:rPr>
                <w:color w:val="000000" w:themeColor="text1"/>
                <w:kern w:val="0"/>
                <w:sz w:val="15"/>
                <w:szCs w:val="15"/>
              </w:rPr>
              <w:t>58.98</w:t>
            </w:r>
          </w:p>
        </w:tc>
        <w:tc>
          <w:tcPr>
            <w:tcW w:w="316" w:type="pct"/>
            <w:shd w:val="clear" w:color="auto" w:fill="auto"/>
            <w:noWrap/>
            <w:vAlign w:val="center"/>
          </w:tcPr>
          <w:p w14:paraId="46B82FFB">
            <w:pPr>
              <w:widowControl/>
              <w:adjustRightInd w:val="0"/>
              <w:snapToGrid w:val="0"/>
              <w:jc w:val="center"/>
              <w:rPr>
                <w:color w:val="000000" w:themeColor="text1"/>
                <w:kern w:val="0"/>
                <w:sz w:val="15"/>
                <w:szCs w:val="15"/>
              </w:rPr>
            </w:pPr>
            <w:r>
              <w:rPr>
                <w:color w:val="000000" w:themeColor="text1"/>
                <w:kern w:val="0"/>
                <w:sz w:val="15"/>
                <w:szCs w:val="15"/>
              </w:rPr>
              <w:t>55.46</w:t>
            </w:r>
          </w:p>
        </w:tc>
        <w:tc>
          <w:tcPr>
            <w:tcW w:w="316" w:type="pct"/>
            <w:shd w:val="clear" w:color="auto" w:fill="auto"/>
            <w:noWrap/>
            <w:vAlign w:val="center"/>
          </w:tcPr>
          <w:p w14:paraId="4D076748">
            <w:pPr>
              <w:widowControl/>
              <w:adjustRightInd w:val="0"/>
              <w:snapToGrid w:val="0"/>
              <w:jc w:val="center"/>
              <w:rPr>
                <w:color w:val="000000" w:themeColor="text1"/>
                <w:kern w:val="0"/>
                <w:sz w:val="15"/>
                <w:szCs w:val="15"/>
              </w:rPr>
            </w:pPr>
            <w:r>
              <w:rPr>
                <w:color w:val="000000" w:themeColor="text1"/>
                <w:kern w:val="0"/>
                <w:sz w:val="15"/>
                <w:szCs w:val="15"/>
              </w:rPr>
              <w:t>51.02</w:t>
            </w:r>
          </w:p>
        </w:tc>
        <w:tc>
          <w:tcPr>
            <w:tcW w:w="315" w:type="pct"/>
            <w:shd w:val="clear" w:color="auto" w:fill="auto"/>
            <w:noWrap/>
            <w:vAlign w:val="center"/>
          </w:tcPr>
          <w:p w14:paraId="36E7A4BA">
            <w:pPr>
              <w:widowControl/>
              <w:adjustRightInd w:val="0"/>
              <w:snapToGrid w:val="0"/>
              <w:jc w:val="center"/>
              <w:rPr>
                <w:color w:val="000000" w:themeColor="text1"/>
                <w:kern w:val="0"/>
                <w:sz w:val="15"/>
                <w:szCs w:val="15"/>
              </w:rPr>
            </w:pPr>
            <w:r>
              <w:rPr>
                <w:color w:val="000000" w:themeColor="text1"/>
                <w:kern w:val="0"/>
                <w:sz w:val="15"/>
                <w:szCs w:val="15"/>
              </w:rPr>
              <w:t>49.44</w:t>
            </w:r>
          </w:p>
        </w:tc>
        <w:tc>
          <w:tcPr>
            <w:tcW w:w="316" w:type="pct"/>
            <w:shd w:val="clear" w:color="auto" w:fill="auto"/>
            <w:noWrap/>
            <w:vAlign w:val="center"/>
          </w:tcPr>
          <w:p w14:paraId="554493E5">
            <w:pPr>
              <w:widowControl/>
              <w:adjustRightInd w:val="0"/>
              <w:snapToGrid w:val="0"/>
              <w:jc w:val="center"/>
              <w:rPr>
                <w:color w:val="000000" w:themeColor="text1"/>
                <w:kern w:val="0"/>
                <w:sz w:val="15"/>
                <w:szCs w:val="15"/>
              </w:rPr>
            </w:pPr>
            <w:r>
              <w:rPr>
                <w:color w:val="000000" w:themeColor="text1"/>
                <w:kern w:val="0"/>
                <w:sz w:val="15"/>
                <w:szCs w:val="15"/>
              </w:rPr>
              <w:t>48.1</w:t>
            </w:r>
          </w:p>
        </w:tc>
        <w:tc>
          <w:tcPr>
            <w:tcW w:w="316" w:type="pct"/>
            <w:shd w:val="clear" w:color="auto" w:fill="auto"/>
            <w:noWrap/>
            <w:vAlign w:val="center"/>
          </w:tcPr>
          <w:p w14:paraId="5EDE1E39">
            <w:pPr>
              <w:widowControl/>
              <w:adjustRightInd w:val="0"/>
              <w:snapToGrid w:val="0"/>
              <w:jc w:val="center"/>
              <w:rPr>
                <w:color w:val="000000" w:themeColor="text1"/>
                <w:kern w:val="0"/>
                <w:sz w:val="15"/>
                <w:szCs w:val="15"/>
              </w:rPr>
            </w:pPr>
            <w:r>
              <w:rPr>
                <w:color w:val="000000" w:themeColor="text1"/>
                <w:kern w:val="0"/>
                <w:sz w:val="15"/>
                <w:szCs w:val="15"/>
              </w:rPr>
              <w:t>45</w:t>
            </w:r>
          </w:p>
        </w:tc>
        <w:tc>
          <w:tcPr>
            <w:tcW w:w="316" w:type="pct"/>
            <w:shd w:val="clear" w:color="auto" w:fill="auto"/>
            <w:noWrap/>
            <w:vAlign w:val="center"/>
          </w:tcPr>
          <w:p w14:paraId="670148A3">
            <w:pPr>
              <w:widowControl/>
              <w:adjustRightInd w:val="0"/>
              <w:snapToGrid w:val="0"/>
              <w:jc w:val="center"/>
              <w:rPr>
                <w:color w:val="000000" w:themeColor="text1"/>
                <w:kern w:val="0"/>
                <w:sz w:val="15"/>
                <w:szCs w:val="15"/>
              </w:rPr>
            </w:pPr>
            <w:r>
              <w:rPr>
                <w:color w:val="000000" w:themeColor="text1"/>
                <w:kern w:val="0"/>
                <w:sz w:val="15"/>
                <w:szCs w:val="15"/>
              </w:rPr>
              <w:t>41.48</w:t>
            </w:r>
          </w:p>
        </w:tc>
        <w:tc>
          <w:tcPr>
            <w:tcW w:w="315" w:type="pct"/>
            <w:shd w:val="clear" w:color="auto" w:fill="auto"/>
            <w:noWrap/>
            <w:vAlign w:val="center"/>
          </w:tcPr>
          <w:p w14:paraId="06C13D7C">
            <w:pPr>
              <w:widowControl/>
              <w:adjustRightInd w:val="0"/>
              <w:snapToGrid w:val="0"/>
              <w:jc w:val="center"/>
              <w:rPr>
                <w:color w:val="000000" w:themeColor="text1"/>
                <w:kern w:val="0"/>
                <w:sz w:val="15"/>
                <w:szCs w:val="15"/>
              </w:rPr>
            </w:pPr>
            <w:r>
              <w:rPr>
                <w:color w:val="000000" w:themeColor="text1"/>
                <w:kern w:val="0"/>
                <w:sz w:val="15"/>
                <w:szCs w:val="15"/>
              </w:rPr>
              <w:t>38.98</w:t>
            </w:r>
          </w:p>
        </w:tc>
        <w:tc>
          <w:tcPr>
            <w:tcW w:w="316" w:type="pct"/>
            <w:shd w:val="clear" w:color="auto" w:fill="auto"/>
            <w:noWrap/>
            <w:vAlign w:val="center"/>
          </w:tcPr>
          <w:p w14:paraId="2E0ADCBB">
            <w:pPr>
              <w:widowControl/>
              <w:adjustRightInd w:val="0"/>
              <w:snapToGrid w:val="0"/>
              <w:jc w:val="center"/>
              <w:rPr>
                <w:color w:val="000000" w:themeColor="text1"/>
                <w:kern w:val="0"/>
                <w:sz w:val="15"/>
                <w:szCs w:val="15"/>
              </w:rPr>
            </w:pPr>
            <w:r>
              <w:rPr>
                <w:color w:val="000000" w:themeColor="text1"/>
                <w:kern w:val="0"/>
                <w:sz w:val="15"/>
                <w:szCs w:val="15"/>
              </w:rPr>
              <w:t>37.04</w:t>
            </w:r>
          </w:p>
        </w:tc>
        <w:tc>
          <w:tcPr>
            <w:tcW w:w="316" w:type="pct"/>
            <w:shd w:val="clear" w:color="auto" w:fill="auto"/>
            <w:noWrap/>
            <w:vAlign w:val="center"/>
          </w:tcPr>
          <w:p w14:paraId="11058866">
            <w:pPr>
              <w:widowControl/>
              <w:adjustRightInd w:val="0"/>
              <w:snapToGrid w:val="0"/>
              <w:jc w:val="center"/>
              <w:rPr>
                <w:color w:val="000000" w:themeColor="text1"/>
                <w:kern w:val="0"/>
                <w:sz w:val="15"/>
                <w:szCs w:val="15"/>
              </w:rPr>
            </w:pPr>
            <w:r>
              <w:rPr>
                <w:color w:val="000000" w:themeColor="text1"/>
                <w:kern w:val="0"/>
                <w:sz w:val="15"/>
                <w:szCs w:val="15"/>
              </w:rPr>
              <w:t>35.46</w:t>
            </w:r>
          </w:p>
        </w:tc>
        <w:tc>
          <w:tcPr>
            <w:tcW w:w="316" w:type="pct"/>
            <w:shd w:val="clear" w:color="auto" w:fill="auto"/>
            <w:noWrap/>
            <w:vAlign w:val="center"/>
          </w:tcPr>
          <w:p w14:paraId="5770F4FD">
            <w:pPr>
              <w:widowControl/>
              <w:adjustRightInd w:val="0"/>
              <w:snapToGrid w:val="0"/>
              <w:jc w:val="center"/>
              <w:rPr>
                <w:color w:val="000000" w:themeColor="text1"/>
                <w:kern w:val="0"/>
                <w:sz w:val="15"/>
                <w:szCs w:val="15"/>
              </w:rPr>
            </w:pPr>
            <w:r>
              <w:rPr>
                <w:color w:val="000000" w:themeColor="text1"/>
                <w:kern w:val="0"/>
                <w:sz w:val="15"/>
                <w:szCs w:val="15"/>
              </w:rPr>
              <w:t>34.12</w:t>
            </w:r>
          </w:p>
        </w:tc>
        <w:tc>
          <w:tcPr>
            <w:tcW w:w="373" w:type="pct"/>
            <w:vMerge w:val="continue"/>
            <w:shd w:val="clear" w:color="auto" w:fill="auto"/>
            <w:noWrap/>
            <w:vAlign w:val="center"/>
          </w:tcPr>
          <w:p w14:paraId="4BC18D8E">
            <w:pPr>
              <w:adjustRightInd w:val="0"/>
              <w:snapToGrid w:val="0"/>
              <w:jc w:val="center"/>
              <w:rPr>
                <w:color w:val="000000" w:themeColor="text1"/>
                <w:kern w:val="0"/>
                <w:sz w:val="18"/>
                <w:szCs w:val="18"/>
              </w:rPr>
            </w:pPr>
          </w:p>
        </w:tc>
      </w:tr>
      <w:tr w14:paraId="431F27F6">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221542F6">
            <w:pPr>
              <w:widowControl/>
              <w:adjustRightInd w:val="0"/>
              <w:snapToGrid w:val="0"/>
              <w:jc w:val="center"/>
              <w:rPr>
                <w:color w:val="000000" w:themeColor="text1"/>
                <w:kern w:val="0"/>
                <w:sz w:val="18"/>
                <w:szCs w:val="18"/>
              </w:rPr>
            </w:pPr>
            <w:r>
              <w:rPr>
                <w:color w:val="000000" w:themeColor="text1"/>
                <w:kern w:val="0"/>
                <w:sz w:val="18"/>
                <w:szCs w:val="18"/>
              </w:rPr>
              <w:t>3</w:t>
            </w:r>
          </w:p>
        </w:tc>
        <w:tc>
          <w:tcPr>
            <w:tcW w:w="539" w:type="pct"/>
            <w:shd w:val="clear" w:color="auto" w:fill="auto"/>
            <w:noWrap/>
            <w:vAlign w:val="center"/>
          </w:tcPr>
          <w:p w14:paraId="785FB15D">
            <w:pPr>
              <w:widowControl/>
              <w:adjustRightInd w:val="0"/>
              <w:snapToGrid w:val="0"/>
              <w:jc w:val="center"/>
              <w:rPr>
                <w:color w:val="000000" w:themeColor="text1"/>
                <w:kern w:val="0"/>
                <w:sz w:val="18"/>
                <w:szCs w:val="18"/>
              </w:rPr>
            </w:pPr>
            <w:r>
              <w:rPr>
                <w:color w:val="000000" w:themeColor="text1"/>
                <w:kern w:val="0"/>
                <w:sz w:val="18"/>
                <w:szCs w:val="18"/>
              </w:rPr>
              <w:t>装载机</w:t>
            </w:r>
          </w:p>
        </w:tc>
        <w:tc>
          <w:tcPr>
            <w:tcW w:w="315" w:type="pct"/>
            <w:shd w:val="clear" w:color="auto" w:fill="auto"/>
            <w:noWrap/>
            <w:vAlign w:val="center"/>
          </w:tcPr>
          <w:p w14:paraId="2F473954">
            <w:pPr>
              <w:widowControl/>
              <w:adjustRightInd w:val="0"/>
              <w:snapToGrid w:val="0"/>
              <w:jc w:val="center"/>
              <w:rPr>
                <w:color w:val="000000" w:themeColor="text1"/>
                <w:kern w:val="0"/>
                <w:sz w:val="15"/>
                <w:szCs w:val="15"/>
              </w:rPr>
            </w:pPr>
            <w:r>
              <w:rPr>
                <w:color w:val="000000" w:themeColor="text1"/>
                <w:kern w:val="0"/>
                <w:sz w:val="15"/>
                <w:szCs w:val="15"/>
              </w:rPr>
              <w:t>70</w:t>
            </w:r>
          </w:p>
        </w:tc>
        <w:tc>
          <w:tcPr>
            <w:tcW w:w="316" w:type="pct"/>
            <w:shd w:val="clear" w:color="auto" w:fill="auto"/>
            <w:noWrap/>
            <w:vAlign w:val="center"/>
          </w:tcPr>
          <w:p w14:paraId="73B86256">
            <w:pPr>
              <w:widowControl/>
              <w:adjustRightInd w:val="0"/>
              <w:snapToGrid w:val="0"/>
              <w:jc w:val="center"/>
              <w:rPr>
                <w:color w:val="000000" w:themeColor="text1"/>
                <w:kern w:val="0"/>
                <w:sz w:val="15"/>
                <w:szCs w:val="15"/>
              </w:rPr>
            </w:pPr>
            <w:r>
              <w:rPr>
                <w:color w:val="000000" w:themeColor="text1"/>
                <w:kern w:val="0"/>
                <w:sz w:val="15"/>
                <w:szCs w:val="15"/>
              </w:rPr>
              <w:t>63.98</w:t>
            </w:r>
          </w:p>
        </w:tc>
        <w:tc>
          <w:tcPr>
            <w:tcW w:w="316" w:type="pct"/>
            <w:shd w:val="clear" w:color="auto" w:fill="auto"/>
            <w:noWrap/>
            <w:vAlign w:val="center"/>
          </w:tcPr>
          <w:p w14:paraId="4C8C41C6">
            <w:pPr>
              <w:widowControl/>
              <w:adjustRightInd w:val="0"/>
              <w:snapToGrid w:val="0"/>
              <w:jc w:val="center"/>
              <w:rPr>
                <w:color w:val="000000" w:themeColor="text1"/>
                <w:kern w:val="0"/>
                <w:sz w:val="15"/>
                <w:szCs w:val="15"/>
              </w:rPr>
            </w:pPr>
            <w:r>
              <w:rPr>
                <w:color w:val="000000" w:themeColor="text1"/>
                <w:kern w:val="0"/>
                <w:sz w:val="15"/>
                <w:szCs w:val="15"/>
              </w:rPr>
              <w:t>60.46</w:t>
            </w:r>
          </w:p>
        </w:tc>
        <w:tc>
          <w:tcPr>
            <w:tcW w:w="316" w:type="pct"/>
            <w:shd w:val="clear" w:color="auto" w:fill="auto"/>
            <w:noWrap/>
            <w:vAlign w:val="center"/>
          </w:tcPr>
          <w:p w14:paraId="2CC6D7FF">
            <w:pPr>
              <w:widowControl/>
              <w:adjustRightInd w:val="0"/>
              <w:snapToGrid w:val="0"/>
              <w:jc w:val="center"/>
              <w:rPr>
                <w:color w:val="000000" w:themeColor="text1"/>
                <w:kern w:val="0"/>
                <w:sz w:val="15"/>
                <w:szCs w:val="15"/>
              </w:rPr>
            </w:pPr>
            <w:r>
              <w:rPr>
                <w:color w:val="000000" w:themeColor="text1"/>
                <w:kern w:val="0"/>
                <w:sz w:val="15"/>
                <w:szCs w:val="15"/>
              </w:rPr>
              <w:t>56.02</w:t>
            </w:r>
          </w:p>
        </w:tc>
        <w:tc>
          <w:tcPr>
            <w:tcW w:w="315" w:type="pct"/>
            <w:shd w:val="clear" w:color="auto" w:fill="auto"/>
            <w:noWrap/>
            <w:vAlign w:val="center"/>
          </w:tcPr>
          <w:p w14:paraId="7281767D">
            <w:pPr>
              <w:widowControl/>
              <w:adjustRightInd w:val="0"/>
              <w:snapToGrid w:val="0"/>
              <w:jc w:val="center"/>
              <w:rPr>
                <w:color w:val="000000" w:themeColor="text1"/>
                <w:kern w:val="0"/>
                <w:sz w:val="15"/>
                <w:szCs w:val="15"/>
              </w:rPr>
            </w:pPr>
            <w:r>
              <w:rPr>
                <w:color w:val="000000" w:themeColor="text1"/>
                <w:kern w:val="0"/>
                <w:sz w:val="15"/>
                <w:szCs w:val="15"/>
              </w:rPr>
              <w:t>54.44</w:t>
            </w:r>
          </w:p>
        </w:tc>
        <w:tc>
          <w:tcPr>
            <w:tcW w:w="316" w:type="pct"/>
            <w:shd w:val="clear" w:color="auto" w:fill="auto"/>
            <w:noWrap/>
            <w:vAlign w:val="center"/>
          </w:tcPr>
          <w:p w14:paraId="3051ABEA">
            <w:pPr>
              <w:widowControl/>
              <w:adjustRightInd w:val="0"/>
              <w:snapToGrid w:val="0"/>
              <w:jc w:val="center"/>
              <w:rPr>
                <w:color w:val="000000" w:themeColor="text1"/>
                <w:kern w:val="0"/>
                <w:sz w:val="15"/>
                <w:szCs w:val="15"/>
              </w:rPr>
            </w:pPr>
            <w:r>
              <w:rPr>
                <w:color w:val="000000" w:themeColor="text1"/>
                <w:kern w:val="0"/>
                <w:sz w:val="15"/>
                <w:szCs w:val="15"/>
              </w:rPr>
              <w:t>53.1</w:t>
            </w:r>
          </w:p>
        </w:tc>
        <w:tc>
          <w:tcPr>
            <w:tcW w:w="316" w:type="pct"/>
            <w:shd w:val="clear" w:color="auto" w:fill="auto"/>
            <w:noWrap/>
            <w:vAlign w:val="center"/>
          </w:tcPr>
          <w:p w14:paraId="459AC3AA">
            <w:pPr>
              <w:widowControl/>
              <w:adjustRightInd w:val="0"/>
              <w:snapToGrid w:val="0"/>
              <w:jc w:val="center"/>
              <w:rPr>
                <w:color w:val="000000" w:themeColor="text1"/>
                <w:kern w:val="0"/>
                <w:sz w:val="15"/>
                <w:szCs w:val="15"/>
              </w:rPr>
            </w:pPr>
            <w:r>
              <w:rPr>
                <w:color w:val="000000" w:themeColor="text1"/>
                <w:kern w:val="0"/>
                <w:sz w:val="15"/>
                <w:szCs w:val="15"/>
              </w:rPr>
              <w:t>50</w:t>
            </w:r>
          </w:p>
        </w:tc>
        <w:tc>
          <w:tcPr>
            <w:tcW w:w="316" w:type="pct"/>
            <w:shd w:val="clear" w:color="auto" w:fill="auto"/>
            <w:noWrap/>
            <w:vAlign w:val="center"/>
          </w:tcPr>
          <w:p w14:paraId="2EC30B3A">
            <w:pPr>
              <w:widowControl/>
              <w:adjustRightInd w:val="0"/>
              <w:snapToGrid w:val="0"/>
              <w:jc w:val="center"/>
              <w:rPr>
                <w:color w:val="000000" w:themeColor="text1"/>
                <w:kern w:val="0"/>
                <w:sz w:val="15"/>
                <w:szCs w:val="15"/>
              </w:rPr>
            </w:pPr>
            <w:r>
              <w:rPr>
                <w:color w:val="000000" w:themeColor="text1"/>
                <w:kern w:val="0"/>
                <w:sz w:val="15"/>
                <w:szCs w:val="15"/>
              </w:rPr>
              <w:t>46.48</w:t>
            </w:r>
          </w:p>
        </w:tc>
        <w:tc>
          <w:tcPr>
            <w:tcW w:w="315" w:type="pct"/>
            <w:shd w:val="clear" w:color="auto" w:fill="auto"/>
            <w:noWrap/>
            <w:vAlign w:val="center"/>
          </w:tcPr>
          <w:p w14:paraId="21BFCA0A">
            <w:pPr>
              <w:widowControl/>
              <w:adjustRightInd w:val="0"/>
              <w:snapToGrid w:val="0"/>
              <w:jc w:val="center"/>
              <w:rPr>
                <w:color w:val="000000" w:themeColor="text1"/>
                <w:kern w:val="0"/>
                <w:sz w:val="15"/>
                <w:szCs w:val="15"/>
              </w:rPr>
            </w:pPr>
            <w:r>
              <w:rPr>
                <w:color w:val="000000" w:themeColor="text1"/>
                <w:kern w:val="0"/>
                <w:sz w:val="15"/>
                <w:szCs w:val="15"/>
              </w:rPr>
              <w:t>43.98</w:t>
            </w:r>
          </w:p>
        </w:tc>
        <w:tc>
          <w:tcPr>
            <w:tcW w:w="316" w:type="pct"/>
            <w:shd w:val="clear" w:color="auto" w:fill="auto"/>
            <w:noWrap/>
            <w:vAlign w:val="center"/>
          </w:tcPr>
          <w:p w14:paraId="0AC9D4C4">
            <w:pPr>
              <w:widowControl/>
              <w:adjustRightInd w:val="0"/>
              <w:snapToGrid w:val="0"/>
              <w:jc w:val="center"/>
              <w:rPr>
                <w:color w:val="000000" w:themeColor="text1"/>
                <w:kern w:val="0"/>
                <w:sz w:val="15"/>
                <w:szCs w:val="15"/>
              </w:rPr>
            </w:pPr>
            <w:r>
              <w:rPr>
                <w:color w:val="000000" w:themeColor="text1"/>
                <w:kern w:val="0"/>
                <w:sz w:val="15"/>
                <w:szCs w:val="15"/>
              </w:rPr>
              <w:t>42.04</w:t>
            </w:r>
          </w:p>
        </w:tc>
        <w:tc>
          <w:tcPr>
            <w:tcW w:w="316" w:type="pct"/>
            <w:shd w:val="clear" w:color="auto" w:fill="auto"/>
            <w:noWrap/>
            <w:vAlign w:val="center"/>
          </w:tcPr>
          <w:p w14:paraId="0AFD6287">
            <w:pPr>
              <w:widowControl/>
              <w:adjustRightInd w:val="0"/>
              <w:snapToGrid w:val="0"/>
              <w:jc w:val="center"/>
              <w:rPr>
                <w:color w:val="000000" w:themeColor="text1"/>
                <w:kern w:val="0"/>
                <w:sz w:val="15"/>
                <w:szCs w:val="15"/>
              </w:rPr>
            </w:pPr>
            <w:r>
              <w:rPr>
                <w:color w:val="000000" w:themeColor="text1"/>
                <w:kern w:val="0"/>
                <w:sz w:val="15"/>
                <w:szCs w:val="15"/>
              </w:rPr>
              <w:t>40.46</w:t>
            </w:r>
          </w:p>
        </w:tc>
        <w:tc>
          <w:tcPr>
            <w:tcW w:w="316" w:type="pct"/>
            <w:shd w:val="clear" w:color="auto" w:fill="auto"/>
            <w:noWrap/>
            <w:vAlign w:val="center"/>
          </w:tcPr>
          <w:p w14:paraId="2DE65BA5">
            <w:pPr>
              <w:widowControl/>
              <w:adjustRightInd w:val="0"/>
              <w:snapToGrid w:val="0"/>
              <w:jc w:val="center"/>
              <w:rPr>
                <w:color w:val="000000" w:themeColor="text1"/>
                <w:kern w:val="0"/>
                <w:sz w:val="15"/>
                <w:szCs w:val="15"/>
              </w:rPr>
            </w:pPr>
            <w:r>
              <w:rPr>
                <w:color w:val="000000" w:themeColor="text1"/>
                <w:kern w:val="0"/>
                <w:sz w:val="15"/>
                <w:szCs w:val="15"/>
              </w:rPr>
              <w:t>39.12</w:t>
            </w:r>
          </w:p>
        </w:tc>
        <w:tc>
          <w:tcPr>
            <w:tcW w:w="373" w:type="pct"/>
            <w:vMerge w:val="continue"/>
            <w:shd w:val="clear" w:color="auto" w:fill="auto"/>
            <w:noWrap/>
            <w:vAlign w:val="center"/>
          </w:tcPr>
          <w:p w14:paraId="5BC91F7E">
            <w:pPr>
              <w:adjustRightInd w:val="0"/>
              <w:snapToGrid w:val="0"/>
              <w:jc w:val="center"/>
              <w:rPr>
                <w:color w:val="000000" w:themeColor="text1"/>
                <w:kern w:val="0"/>
                <w:sz w:val="18"/>
                <w:szCs w:val="18"/>
              </w:rPr>
            </w:pPr>
          </w:p>
        </w:tc>
      </w:tr>
      <w:tr w14:paraId="62B2579C">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573881DA">
            <w:pPr>
              <w:widowControl/>
              <w:adjustRightInd w:val="0"/>
              <w:snapToGrid w:val="0"/>
              <w:jc w:val="center"/>
              <w:rPr>
                <w:color w:val="000000" w:themeColor="text1"/>
                <w:kern w:val="0"/>
                <w:sz w:val="18"/>
                <w:szCs w:val="18"/>
              </w:rPr>
            </w:pPr>
            <w:r>
              <w:rPr>
                <w:color w:val="000000" w:themeColor="text1"/>
                <w:kern w:val="0"/>
                <w:sz w:val="18"/>
                <w:szCs w:val="18"/>
              </w:rPr>
              <w:t>4</w:t>
            </w:r>
          </w:p>
        </w:tc>
        <w:tc>
          <w:tcPr>
            <w:tcW w:w="539" w:type="pct"/>
            <w:shd w:val="clear" w:color="auto" w:fill="auto"/>
            <w:noWrap/>
            <w:vAlign w:val="center"/>
          </w:tcPr>
          <w:p w14:paraId="792F520B">
            <w:pPr>
              <w:widowControl/>
              <w:adjustRightInd w:val="0"/>
              <w:snapToGrid w:val="0"/>
              <w:jc w:val="center"/>
              <w:rPr>
                <w:color w:val="000000" w:themeColor="text1"/>
                <w:kern w:val="0"/>
                <w:sz w:val="18"/>
                <w:szCs w:val="18"/>
              </w:rPr>
            </w:pPr>
            <w:r>
              <w:rPr>
                <w:color w:val="000000" w:themeColor="text1"/>
                <w:kern w:val="0"/>
                <w:sz w:val="18"/>
                <w:szCs w:val="18"/>
              </w:rPr>
              <w:t>载重汽车</w:t>
            </w:r>
          </w:p>
        </w:tc>
        <w:tc>
          <w:tcPr>
            <w:tcW w:w="315" w:type="pct"/>
            <w:shd w:val="clear" w:color="auto" w:fill="auto"/>
            <w:noWrap/>
            <w:vAlign w:val="center"/>
          </w:tcPr>
          <w:p w14:paraId="5E2B1E93">
            <w:pPr>
              <w:widowControl/>
              <w:adjustRightInd w:val="0"/>
              <w:snapToGrid w:val="0"/>
              <w:jc w:val="center"/>
              <w:rPr>
                <w:color w:val="000000" w:themeColor="text1"/>
                <w:kern w:val="0"/>
                <w:sz w:val="15"/>
                <w:szCs w:val="15"/>
              </w:rPr>
            </w:pPr>
            <w:r>
              <w:rPr>
                <w:color w:val="000000" w:themeColor="text1"/>
                <w:kern w:val="0"/>
                <w:sz w:val="15"/>
                <w:szCs w:val="15"/>
              </w:rPr>
              <w:t>65</w:t>
            </w:r>
          </w:p>
        </w:tc>
        <w:tc>
          <w:tcPr>
            <w:tcW w:w="316" w:type="pct"/>
            <w:shd w:val="clear" w:color="auto" w:fill="auto"/>
            <w:noWrap/>
            <w:vAlign w:val="center"/>
          </w:tcPr>
          <w:p w14:paraId="3900DAB5">
            <w:pPr>
              <w:widowControl/>
              <w:adjustRightInd w:val="0"/>
              <w:snapToGrid w:val="0"/>
              <w:jc w:val="center"/>
              <w:rPr>
                <w:color w:val="000000" w:themeColor="text1"/>
                <w:kern w:val="0"/>
                <w:sz w:val="15"/>
                <w:szCs w:val="15"/>
              </w:rPr>
            </w:pPr>
            <w:r>
              <w:rPr>
                <w:color w:val="000000" w:themeColor="text1"/>
                <w:kern w:val="0"/>
                <w:sz w:val="15"/>
                <w:szCs w:val="15"/>
              </w:rPr>
              <w:t>58.98</w:t>
            </w:r>
          </w:p>
        </w:tc>
        <w:tc>
          <w:tcPr>
            <w:tcW w:w="316" w:type="pct"/>
            <w:shd w:val="clear" w:color="auto" w:fill="auto"/>
            <w:noWrap/>
            <w:vAlign w:val="center"/>
          </w:tcPr>
          <w:p w14:paraId="24547ADF">
            <w:pPr>
              <w:widowControl/>
              <w:adjustRightInd w:val="0"/>
              <w:snapToGrid w:val="0"/>
              <w:jc w:val="center"/>
              <w:rPr>
                <w:color w:val="000000" w:themeColor="text1"/>
                <w:kern w:val="0"/>
                <w:sz w:val="15"/>
                <w:szCs w:val="15"/>
              </w:rPr>
            </w:pPr>
            <w:r>
              <w:rPr>
                <w:color w:val="000000" w:themeColor="text1"/>
                <w:kern w:val="0"/>
                <w:sz w:val="15"/>
                <w:szCs w:val="15"/>
              </w:rPr>
              <w:t>55.46</w:t>
            </w:r>
          </w:p>
        </w:tc>
        <w:tc>
          <w:tcPr>
            <w:tcW w:w="316" w:type="pct"/>
            <w:shd w:val="clear" w:color="auto" w:fill="auto"/>
            <w:noWrap/>
            <w:vAlign w:val="center"/>
          </w:tcPr>
          <w:p w14:paraId="0F33EE67">
            <w:pPr>
              <w:widowControl/>
              <w:adjustRightInd w:val="0"/>
              <w:snapToGrid w:val="0"/>
              <w:jc w:val="center"/>
              <w:rPr>
                <w:color w:val="000000" w:themeColor="text1"/>
                <w:kern w:val="0"/>
                <w:sz w:val="15"/>
                <w:szCs w:val="15"/>
              </w:rPr>
            </w:pPr>
            <w:r>
              <w:rPr>
                <w:color w:val="000000" w:themeColor="text1"/>
                <w:kern w:val="0"/>
                <w:sz w:val="15"/>
                <w:szCs w:val="15"/>
              </w:rPr>
              <w:t>51.02</w:t>
            </w:r>
          </w:p>
        </w:tc>
        <w:tc>
          <w:tcPr>
            <w:tcW w:w="315" w:type="pct"/>
            <w:shd w:val="clear" w:color="auto" w:fill="auto"/>
            <w:noWrap/>
            <w:vAlign w:val="center"/>
          </w:tcPr>
          <w:p w14:paraId="44488188">
            <w:pPr>
              <w:widowControl/>
              <w:adjustRightInd w:val="0"/>
              <w:snapToGrid w:val="0"/>
              <w:jc w:val="center"/>
              <w:rPr>
                <w:color w:val="000000" w:themeColor="text1"/>
                <w:kern w:val="0"/>
                <w:sz w:val="15"/>
                <w:szCs w:val="15"/>
              </w:rPr>
            </w:pPr>
            <w:r>
              <w:rPr>
                <w:color w:val="000000" w:themeColor="text1"/>
                <w:kern w:val="0"/>
                <w:sz w:val="15"/>
                <w:szCs w:val="15"/>
              </w:rPr>
              <w:t>49.44</w:t>
            </w:r>
          </w:p>
        </w:tc>
        <w:tc>
          <w:tcPr>
            <w:tcW w:w="316" w:type="pct"/>
            <w:shd w:val="clear" w:color="auto" w:fill="auto"/>
            <w:noWrap/>
            <w:vAlign w:val="center"/>
          </w:tcPr>
          <w:p w14:paraId="44A5169B">
            <w:pPr>
              <w:widowControl/>
              <w:adjustRightInd w:val="0"/>
              <w:snapToGrid w:val="0"/>
              <w:jc w:val="center"/>
              <w:rPr>
                <w:color w:val="000000" w:themeColor="text1"/>
                <w:kern w:val="0"/>
                <w:sz w:val="15"/>
                <w:szCs w:val="15"/>
              </w:rPr>
            </w:pPr>
            <w:r>
              <w:rPr>
                <w:color w:val="000000" w:themeColor="text1"/>
                <w:kern w:val="0"/>
                <w:sz w:val="15"/>
                <w:szCs w:val="15"/>
              </w:rPr>
              <w:t>48.1</w:t>
            </w:r>
          </w:p>
        </w:tc>
        <w:tc>
          <w:tcPr>
            <w:tcW w:w="316" w:type="pct"/>
            <w:shd w:val="clear" w:color="auto" w:fill="auto"/>
            <w:noWrap/>
            <w:vAlign w:val="center"/>
          </w:tcPr>
          <w:p w14:paraId="413A8E50">
            <w:pPr>
              <w:widowControl/>
              <w:adjustRightInd w:val="0"/>
              <w:snapToGrid w:val="0"/>
              <w:jc w:val="center"/>
              <w:rPr>
                <w:color w:val="000000" w:themeColor="text1"/>
                <w:kern w:val="0"/>
                <w:sz w:val="15"/>
                <w:szCs w:val="15"/>
              </w:rPr>
            </w:pPr>
            <w:r>
              <w:rPr>
                <w:color w:val="000000" w:themeColor="text1"/>
                <w:kern w:val="0"/>
                <w:sz w:val="15"/>
                <w:szCs w:val="15"/>
              </w:rPr>
              <w:t>45</w:t>
            </w:r>
          </w:p>
        </w:tc>
        <w:tc>
          <w:tcPr>
            <w:tcW w:w="316" w:type="pct"/>
            <w:shd w:val="clear" w:color="auto" w:fill="auto"/>
            <w:noWrap/>
            <w:vAlign w:val="center"/>
          </w:tcPr>
          <w:p w14:paraId="0BB7433B">
            <w:pPr>
              <w:widowControl/>
              <w:adjustRightInd w:val="0"/>
              <w:snapToGrid w:val="0"/>
              <w:jc w:val="center"/>
              <w:rPr>
                <w:color w:val="000000" w:themeColor="text1"/>
                <w:kern w:val="0"/>
                <w:sz w:val="15"/>
                <w:szCs w:val="15"/>
              </w:rPr>
            </w:pPr>
            <w:r>
              <w:rPr>
                <w:color w:val="000000" w:themeColor="text1"/>
                <w:kern w:val="0"/>
                <w:sz w:val="15"/>
                <w:szCs w:val="15"/>
              </w:rPr>
              <w:t>41.48</w:t>
            </w:r>
          </w:p>
        </w:tc>
        <w:tc>
          <w:tcPr>
            <w:tcW w:w="315" w:type="pct"/>
            <w:shd w:val="clear" w:color="auto" w:fill="auto"/>
            <w:noWrap/>
            <w:vAlign w:val="center"/>
          </w:tcPr>
          <w:p w14:paraId="77DC343F">
            <w:pPr>
              <w:widowControl/>
              <w:adjustRightInd w:val="0"/>
              <w:snapToGrid w:val="0"/>
              <w:jc w:val="center"/>
              <w:rPr>
                <w:color w:val="000000" w:themeColor="text1"/>
                <w:kern w:val="0"/>
                <w:sz w:val="15"/>
                <w:szCs w:val="15"/>
              </w:rPr>
            </w:pPr>
            <w:r>
              <w:rPr>
                <w:color w:val="000000" w:themeColor="text1"/>
                <w:kern w:val="0"/>
                <w:sz w:val="15"/>
                <w:szCs w:val="15"/>
              </w:rPr>
              <w:t>38.98</w:t>
            </w:r>
          </w:p>
        </w:tc>
        <w:tc>
          <w:tcPr>
            <w:tcW w:w="316" w:type="pct"/>
            <w:shd w:val="clear" w:color="auto" w:fill="auto"/>
            <w:noWrap/>
            <w:vAlign w:val="center"/>
          </w:tcPr>
          <w:p w14:paraId="16903DD7">
            <w:pPr>
              <w:widowControl/>
              <w:adjustRightInd w:val="0"/>
              <w:snapToGrid w:val="0"/>
              <w:jc w:val="center"/>
              <w:rPr>
                <w:color w:val="000000" w:themeColor="text1"/>
                <w:kern w:val="0"/>
                <w:sz w:val="15"/>
                <w:szCs w:val="15"/>
              </w:rPr>
            </w:pPr>
            <w:r>
              <w:rPr>
                <w:color w:val="000000" w:themeColor="text1"/>
                <w:kern w:val="0"/>
                <w:sz w:val="15"/>
                <w:szCs w:val="15"/>
              </w:rPr>
              <w:t>37.04</w:t>
            </w:r>
          </w:p>
        </w:tc>
        <w:tc>
          <w:tcPr>
            <w:tcW w:w="316" w:type="pct"/>
            <w:shd w:val="clear" w:color="auto" w:fill="auto"/>
            <w:noWrap/>
            <w:vAlign w:val="center"/>
          </w:tcPr>
          <w:p w14:paraId="2DDCA4C5">
            <w:pPr>
              <w:widowControl/>
              <w:adjustRightInd w:val="0"/>
              <w:snapToGrid w:val="0"/>
              <w:jc w:val="center"/>
              <w:rPr>
                <w:color w:val="000000" w:themeColor="text1"/>
                <w:kern w:val="0"/>
                <w:sz w:val="15"/>
                <w:szCs w:val="15"/>
              </w:rPr>
            </w:pPr>
            <w:r>
              <w:rPr>
                <w:color w:val="000000" w:themeColor="text1"/>
                <w:kern w:val="0"/>
                <w:sz w:val="15"/>
                <w:szCs w:val="15"/>
              </w:rPr>
              <w:t>35.46</w:t>
            </w:r>
          </w:p>
        </w:tc>
        <w:tc>
          <w:tcPr>
            <w:tcW w:w="316" w:type="pct"/>
            <w:shd w:val="clear" w:color="auto" w:fill="auto"/>
            <w:noWrap/>
            <w:vAlign w:val="center"/>
          </w:tcPr>
          <w:p w14:paraId="680D68C9">
            <w:pPr>
              <w:widowControl/>
              <w:adjustRightInd w:val="0"/>
              <w:snapToGrid w:val="0"/>
              <w:jc w:val="center"/>
              <w:rPr>
                <w:color w:val="000000" w:themeColor="text1"/>
                <w:kern w:val="0"/>
                <w:sz w:val="15"/>
                <w:szCs w:val="15"/>
              </w:rPr>
            </w:pPr>
            <w:r>
              <w:rPr>
                <w:color w:val="000000" w:themeColor="text1"/>
                <w:kern w:val="0"/>
                <w:sz w:val="15"/>
                <w:szCs w:val="15"/>
              </w:rPr>
              <w:t>34.12</w:t>
            </w:r>
          </w:p>
        </w:tc>
        <w:tc>
          <w:tcPr>
            <w:tcW w:w="373" w:type="pct"/>
            <w:vMerge w:val="continue"/>
            <w:shd w:val="clear" w:color="auto" w:fill="auto"/>
            <w:noWrap/>
            <w:vAlign w:val="center"/>
          </w:tcPr>
          <w:p w14:paraId="052CD400">
            <w:pPr>
              <w:widowControl/>
              <w:adjustRightInd w:val="0"/>
              <w:snapToGrid w:val="0"/>
              <w:jc w:val="center"/>
              <w:rPr>
                <w:color w:val="000000" w:themeColor="text1"/>
                <w:kern w:val="0"/>
                <w:sz w:val="18"/>
                <w:szCs w:val="18"/>
              </w:rPr>
            </w:pPr>
          </w:p>
        </w:tc>
      </w:tr>
      <w:tr w14:paraId="327E72EA">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0EDC040B">
            <w:pPr>
              <w:widowControl/>
              <w:adjustRightInd w:val="0"/>
              <w:snapToGrid w:val="0"/>
              <w:jc w:val="center"/>
              <w:rPr>
                <w:color w:val="000000" w:themeColor="text1"/>
                <w:kern w:val="0"/>
                <w:sz w:val="18"/>
                <w:szCs w:val="18"/>
              </w:rPr>
            </w:pPr>
          </w:p>
        </w:tc>
        <w:tc>
          <w:tcPr>
            <w:tcW w:w="539" w:type="pct"/>
            <w:shd w:val="clear" w:color="auto" w:fill="auto"/>
            <w:noWrap/>
            <w:vAlign w:val="center"/>
          </w:tcPr>
          <w:p w14:paraId="0CB280A2">
            <w:pPr>
              <w:widowControl/>
              <w:adjustRightInd w:val="0"/>
              <w:snapToGrid w:val="0"/>
              <w:jc w:val="center"/>
              <w:rPr>
                <w:color w:val="000000" w:themeColor="text1"/>
                <w:kern w:val="0"/>
                <w:sz w:val="18"/>
                <w:szCs w:val="18"/>
              </w:rPr>
            </w:pPr>
            <w:r>
              <w:rPr>
                <w:color w:val="000000" w:themeColor="text1"/>
                <w:kern w:val="0"/>
                <w:sz w:val="18"/>
                <w:szCs w:val="18"/>
              </w:rPr>
              <w:t>多声源叠加值</w:t>
            </w:r>
          </w:p>
        </w:tc>
        <w:tc>
          <w:tcPr>
            <w:tcW w:w="315" w:type="pct"/>
            <w:shd w:val="clear" w:color="auto" w:fill="auto"/>
            <w:noWrap/>
            <w:vAlign w:val="center"/>
          </w:tcPr>
          <w:p w14:paraId="3EED5F26">
            <w:pPr>
              <w:widowControl/>
              <w:adjustRightInd w:val="0"/>
              <w:snapToGrid w:val="0"/>
              <w:jc w:val="center"/>
              <w:rPr>
                <w:color w:val="000000" w:themeColor="text1"/>
                <w:kern w:val="0"/>
                <w:sz w:val="15"/>
                <w:szCs w:val="15"/>
              </w:rPr>
            </w:pPr>
            <w:r>
              <w:rPr>
                <w:color w:val="000000" w:themeColor="text1"/>
                <w:kern w:val="0"/>
                <w:sz w:val="15"/>
                <w:szCs w:val="15"/>
              </w:rPr>
              <w:t>76.81</w:t>
            </w:r>
          </w:p>
        </w:tc>
        <w:tc>
          <w:tcPr>
            <w:tcW w:w="316" w:type="pct"/>
            <w:shd w:val="clear" w:color="auto" w:fill="auto"/>
            <w:noWrap/>
            <w:vAlign w:val="center"/>
          </w:tcPr>
          <w:p w14:paraId="7BF1BF51">
            <w:pPr>
              <w:widowControl/>
              <w:adjustRightInd w:val="0"/>
              <w:snapToGrid w:val="0"/>
              <w:jc w:val="center"/>
              <w:rPr>
                <w:color w:val="000000" w:themeColor="text1"/>
                <w:kern w:val="0"/>
                <w:sz w:val="15"/>
                <w:szCs w:val="15"/>
              </w:rPr>
            </w:pPr>
            <w:r>
              <w:rPr>
                <w:color w:val="000000" w:themeColor="text1"/>
                <w:kern w:val="0"/>
                <w:sz w:val="15"/>
                <w:szCs w:val="15"/>
              </w:rPr>
              <w:t>70.79</w:t>
            </w:r>
          </w:p>
        </w:tc>
        <w:tc>
          <w:tcPr>
            <w:tcW w:w="316" w:type="pct"/>
            <w:shd w:val="clear" w:color="auto" w:fill="auto"/>
            <w:noWrap/>
            <w:vAlign w:val="center"/>
          </w:tcPr>
          <w:p w14:paraId="02052B0E">
            <w:pPr>
              <w:widowControl/>
              <w:adjustRightInd w:val="0"/>
              <w:snapToGrid w:val="0"/>
              <w:jc w:val="center"/>
              <w:rPr>
                <w:color w:val="000000" w:themeColor="text1"/>
                <w:kern w:val="0"/>
                <w:sz w:val="15"/>
                <w:szCs w:val="15"/>
              </w:rPr>
            </w:pPr>
            <w:r>
              <w:rPr>
                <w:color w:val="000000" w:themeColor="text1"/>
                <w:kern w:val="0"/>
                <w:sz w:val="15"/>
                <w:szCs w:val="15"/>
              </w:rPr>
              <w:t>67.27</w:t>
            </w:r>
          </w:p>
        </w:tc>
        <w:tc>
          <w:tcPr>
            <w:tcW w:w="316" w:type="pct"/>
            <w:shd w:val="clear" w:color="auto" w:fill="auto"/>
            <w:noWrap/>
            <w:vAlign w:val="center"/>
          </w:tcPr>
          <w:p w14:paraId="1E32FDDC">
            <w:pPr>
              <w:widowControl/>
              <w:adjustRightInd w:val="0"/>
              <w:snapToGrid w:val="0"/>
              <w:jc w:val="center"/>
              <w:rPr>
                <w:color w:val="000000" w:themeColor="text1"/>
                <w:kern w:val="0"/>
                <w:sz w:val="15"/>
                <w:szCs w:val="15"/>
              </w:rPr>
            </w:pPr>
            <w:r>
              <w:rPr>
                <w:color w:val="000000" w:themeColor="text1"/>
                <w:kern w:val="0"/>
                <w:sz w:val="15"/>
                <w:szCs w:val="15"/>
              </w:rPr>
              <w:t>62.83</w:t>
            </w:r>
          </w:p>
        </w:tc>
        <w:tc>
          <w:tcPr>
            <w:tcW w:w="315" w:type="pct"/>
            <w:shd w:val="clear" w:color="auto" w:fill="auto"/>
            <w:noWrap/>
            <w:vAlign w:val="center"/>
          </w:tcPr>
          <w:p w14:paraId="3AF55E03">
            <w:pPr>
              <w:widowControl/>
              <w:adjustRightInd w:val="0"/>
              <w:snapToGrid w:val="0"/>
              <w:jc w:val="center"/>
              <w:rPr>
                <w:color w:val="000000" w:themeColor="text1"/>
                <w:kern w:val="0"/>
                <w:sz w:val="15"/>
                <w:szCs w:val="15"/>
              </w:rPr>
            </w:pPr>
            <w:r>
              <w:rPr>
                <w:color w:val="000000" w:themeColor="text1"/>
                <w:kern w:val="0"/>
                <w:sz w:val="15"/>
                <w:szCs w:val="15"/>
              </w:rPr>
              <w:t>61.25</w:t>
            </w:r>
          </w:p>
        </w:tc>
        <w:tc>
          <w:tcPr>
            <w:tcW w:w="316" w:type="pct"/>
            <w:shd w:val="clear" w:color="auto" w:fill="auto"/>
            <w:noWrap/>
            <w:vAlign w:val="center"/>
          </w:tcPr>
          <w:p w14:paraId="7E0BA512">
            <w:pPr>
              <w:widowControl/>
              <w:adjustRightInd w:val="0"/>
              <w:snapToGrid w:val="0"/>
              <w:jc w:val="center"/>
              <w:rPr>
                <w:color w:val="000000" w:themeColor="text1"/>
                <w:kern w:val="0"/>
                <w:sz w:val="15"/>
                <w:szCs w:val="15"/>
              </w:rPr>
            </w:pPr>
            <w:r>
              <w:rPr>
                <w:color w:val="000000" w:themeColor="text1"/>
                <w:kern w:val="0"/>
                <w:sz w:val="15"/>
                <w:szCs w:val="15"/>
              </w:rPr>
              <w:t>59.91</w:t>
            </w:r>
          </w:p>
        </w:tc>
        <w:tc>
          <w:tcPr>
            <w:tcW w:w="316" w:type="pct"/>
            <w:shd w:val="clear" w:color="auto" w:fill="auto"/>
            <w:noWrap/>
            <w:vAlign w:val="center"/>
          </w:tcPr>
          <w:p w14:paraId="6C06001F">
            <w:pPr>
              <w:widowControl/>
              <w:adjustRightInd w:val="0"/>
              <w:snapToGrid w:val="0"/>
              <w:jc w:val="center"/>
              <w:rPr>
                <w:color w:val="000000" w:themeColor="text1"/>
                <w:kern w:val="0"/>
                <w:sz w:val="15"/>
                <w:szCs w:val="15"/>
              </w:rPr>
            </w:pPr>
            <w:r>
              <w:rPr>
                <w:color w:val="000000" w:themeColor="text1"/>
                <w:kern w:val="0"/>
                <w:sz w:val="15"/>
                <w:szCs w:val="15"/>
              </w:rPr>
              <w:t>56.81</w:t>
            </w:r>
          </w:p>
        </w:tc>
        <w:tc>
          <w:tcPr>
            <w:tcW w:w="316" w:type="pct"/>
            <w:shd w:val="clear" w:color="auto" w:fill="auto"/>
            <w:noWrap/>
            <w:vAlign w:val="center"/>
          </w:tcPr>
          <w:p w14:paraId="6AE7A8CA">
            <w:pPr>
              <w:widowControl/>
              <w:adjustRightInd w:val="0"/>
              <w:snapToGrid w:val="0"/>
              <w:jc w:val="center"/>
              <w:rPr>
                <w:color w:val="000000" w:themeColor="text1"/>
                <w:kern w:val="0"/>
                <w:sz w:val="15"/>
                <w:szCs w:val="15"/>
              </w:rPr>
            </w:pPr>
            <w:r>
              <w:rPr>
                <w:color w:val="000000" w:themeColor="text1"/>
                <w:kern w:val="0"/>
                <w:sz w:val="15"/>
                <w:szCs w:val="15"/>
              </w:rPr>
              <w:t>53.29</w:t>
            </w:r>
          </w:p>
        </w:tc>
        <w:tc>
          <w:tcPr>
            <w:tcW w:w="315" w:type="pct"/>
            <w:shd w:val="clear" w:color="auto" w:fill="auto"/>
            <w:noWrap/>
            <w:vAlign w:val="center"/>
          </w:tcPr>
          <w:p w14:paraId="07ED4F51">
            <w:pPr>
              <w:widowControl/>
              <w:adjustRightInd w:val="0"/>
              <w:snapToGrid w:val="0"/>
              <w:jc w:val="center"/>
              <w:rPr>
                <w:color w:val="000000" w:themeColor="text1"/>
                <w:kern w:val="0"/>
                <w:sz w:val="15"/>
                <w:szCs w:val="15"/>
              </w:rPr>
            </w:pPr>
            <w:r>
              <w:rPr>
                <w:color w:val="000000" w:themeColor="text1"/>
                <w:kern w:val="0"/>
                <w:sz w:val="15"/>
                <w:szCs w:val="15"/>
              </w:rPr>
              <w:t>50.79</w:t>
            </w:r>
          </w:p>
        </w:tc>
        <w:tc>
          <w:tcPr>
            <w:tcW w:w="316" w:type="pct"/>
            <w:shd w:val="clear" w:color="auto" w:fill="auto"/>
            <w:noWrap/>
            <w:vAlign w:val="center"/>
          </w:tcPr>
          <w:p w14:paraId="39E649DE">
            <w:pPr>
              <w:widowControl/>
              <w:adjustRightInd w:val="0"/>
              <w:snapToGrid w:val="0"/>
              <w:jc w:val="center"/>
              <w:rPr>
                <w:color w:val="000000" w:themeColor="text1"/>
                <w:kern w:val="0"/>
                <w:sz w:val="15"/>
                <w:szCs w:val="15"/>
              </w:rPr>
            </w:pPr>
            <w:r>
              <w:rPr>
                <w:color w:val="000000" w:themeColor="text1"/>
                <w:kern w:val="0"/>
                <w:sz w:val="15"/>
                <w:szCs w:val="15"/>
              </w:rPr>
              <w:t>48.85</w:t>
            </w:r>
          </w:p>
        </w:tc>
        <w:tc>
          <w:tcPr>
            <w:tcW w:w="316" w:type="pct"/>
            <w:shd w:val="clear" w:color="auto" w:fill="auto"/>
            <w:noWrap/>
            <w:vAlign w:val="center"/>
          </w:tcPr>
          <w:p w14:paraId="03593359">
            <w:pPr>
              <w:widowControl/>
              <w:adjustRightInd w:val="0"/>
              <w:snapToGrid w:val="0"/>
              <w:jc w:val="center"/>
              <w:rPr>
                <w:color w:val="000000" w:themeColor="text1"/>
                <w:kern w:val="0"/>
                <w:sz w:val="15"/>
                <w:szCs w:val="15"/>
              </w:rPr>
            </w:pPr>
            <w:r>
              <w:rPr>
                <w:color w:val="000000" w:themeColor="text1"/>
                <w:kern w:val="0"/>
                <w:sz w:val="15"/>
                <w:szCs w:val="15"/>
              </w:rPr>
              <w:t>47.27</w:t>
            </w:r>
          </w:p>
        </w:tc>
        <w:tc>
          <w:tcPr>
            <w:tcW w:w="316" w:type="pct"/>
            <w:shd w:val="clear" w:color="auto" w:fill="auto"/>
            <w:noWrap/>
            <w:vAlign w:val="center"/>
          </w:tcPr>
          <w:p w14:paraId="476B390B">
            <w:pPr>
              <w:widowControl/>
              <w:adjustRightInd w:val="0"/>
              <w:snapToGrid w:val="0"/>
              <w:jc w:val="center"/>
              <w:rPr>
                <w:color w:val="000000" w:themeColor="text1"/>
                <w:kern w:val="0"/>
                <w:sz w:val="15"/>
                <w:szCs w:val="15"/>
              </w:rPr>
            </w:pPr>
            <w:r>
              <w:rPr>
                <w:color w:val="000000" w:themeColor="text1"/>
                <w:kern w:val="0"/>
                <w:sz w:val="15"/>
                <w:szCs w:val="15"/>
              </w:rPr>
              <w:t>45.93</w:t>
            </w:r>
          </w:p>
        </w:tc>
        <w:tc>
          <w:tcPr>
            <w:tcW w:w="373" w:type="pct"/>
            <w:vMerge w:val="continue"/>
            <w:shd w:val="clear" w:color="auto" w:fill="auto"/>
            <w:noWrap/>
            <w:vAlign w:val="center"/>
          </w:tcPr>
          <w:p w14:paraId="1CD799BC">
            <w:pPr>
              <w:widowControl/>
              <w:adjustRightInd w:val="0"/>
              <w:snapToGrid w:val="0"/>
              <w:jc w:val="center"/>
              <w:rPr>
                <w:color w:val="000000" w:themeColor="text1"/>
                <w:kern w:val="0"/>
                <w:sz w:val="18"/>
                <w:szCs w:val="18"/>
              </w:rPr>
            </w:pPr>
          </w:p>
        </w:tc>
      </w:tr>
      <w:tr w14:paraId="186286E3">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50142922">
            <w:pPr>
              <w:widowControl/>
              <w:adjustRightInd w:val="0"/>
              <w:snapToGrid w:val="0"/>
              <w:jc w:val="center"/>
              <w:rPr>
                <w:color w:val="000000" w:themeColor="text1"/>
                <w:kern w:val="0"/>
                <w:sz w:val="18"/>
                <w:szCs w:val="18"/>
              </w:rPr>
            </w:pPr>
            <w:r>
              <w:rPr>
                <w:color w:val="000000" w:themeColor="text1"/>
                <w:kern w:val="0"/>
                <w:sz w:val="18"/>
                <w:szCs w:val="18"/>
              </w:rPr>
              <w:t>1</w:t>
            </w:r>
          </w:p>
        </w:tc>
        <w:tc>
          <w:tcPr>
            <w:tcW w:w="539" w:type="pct"/>
            <w:shd w:val="clear" w:color="auto" w:fill="auto"/>
            <w:noWrap/>
            <w:vAlign w:val="center"/>
          </w:tcPr>
          <w:p w14:paraId="56E84EE3">
            <w:pPr>
              <w:widowControl/>
              <w:adjustRightInd w:val="0"/>
              <w:snapToGrid w:val="0"/>
              <w:jc w:val="center"/>
              <w:rPr>
                <w:color w:val="000000" w:themeColor="text1"/>
                <w:kern w:val="0"/>
                <w:sz w:val="18"/>
                <w:szCs w:val="18"/>
              </w:rPr>
            </w:pPr>
            <w:r>
              <w:rPr>
                <w:color w:val="000000" w:themeColor="text1"/>
                <w:kern w:val="0"/>
                <w:sz w:val="18"/>
                <w:szCs w:val="18"/>
              </w:rPr>
              <w:t>振捣器</w:t>
            </w:r>
          </w:p>
        </w:tc>
        <w:tc>
          <w:tcPr>
            <w:tcW w:w="315" w:type="pct"/>
            <w:shd w:val="clear" w:color="auto" w:fill="auto"/>
            <w:noWrap/>
            <w:vAlign w:val="center"/>
          </w:tcPr>
          <w:p w14:paraId="5C125043">
            <w:pPr>
              <w:widowControl/>
              <w:adjustRightInd w:val="0"/>
              <w:snapToGrid w:val="0"/>
              <w:jc w:val="center"/>
              <w:rPr>
                <w:color w:val="000000" w:themeColor="text1"/>
                <w:kern w:val="0"/>
                <w:sz w:val="15"/>
                <w:szCs w:val="15"/>
              </w:rPr>
            </w:pPr>
            <w:r>
              <w:rPr>
                <w:color w:val="000000" w:themeColor="text1"/>
                <w:kern w:val="0"/>
                <w:sz w:val="15"/>
                <w:szCs w:val="15"/>
              </w:rPr>
              <w:t>80</w:t>
            </w:r>
          </w:p>
        </w:tc>
        <w:tc>
          <w:tcPr>
            <w:tcW w:w="316" w:type="pct"/>
            <w:shd w:val="clear" w:color="auto" w:fill="auto"/>
            <w:noWrap/>
            <w:vAlign w:val="center"/>
          </w:tcPr>
          <w:p w14:paraId="5DDBEDD7">
            <w:pPr>
              <w:widowControl/>
              <w:adjustRightInd w:val="0"/>
              <w:snapToGrid w:val="0"/>
              <w:jc w:val="center"/>
              <w:rPr>
                <w:color w:val="000000" w:themeColor="text1"/>
                <w:kern w:val="0"/>
                <w:sz w:val="15"/>
                <w:szCs w:val="15"/>
              </w:rPr>
            </w:pPr>
            <w:r>
              <w:rPr>
                <w:color w:val="000000" w:themeColor="text1"/>
                <w:kern w:val="0"/>
                <w:sz w:val="15"/>
                <w:szCs w:val="15"/>
              </w:rPr>
              <w:t>73.98</w:t>
            </w:r>
          </w:p>
        </w:tc>
        <w:tc>
          <w:tcPr>
            <w:tcW w:w="316" w:type="pct"/>
            <w:shd w:val="clear" w:color="auto" w:fill="auto"/>
            <w:noWrap/>
            <w:vAlign w:val="center"/>
          </w:tcPr>
          <w:p w14:paraId="50EB6170">
            <w:pPr>
              <w:widowControl/>
              <w:adjustRightInd w:val="0"/>
              <w:snapToGrid w:val="0"/>
              <w:jc w:val="center"/>
              <w:rPr>
                <w:color w:val="000000" w:themeColor="text1"/>
                <w:kern w:val="0"/>
                <w:sz w:val="15"/>
                <w:szCs w:val="15"/>
              </w:rPr>
            </w:pPr>
            <w:r>
              <w:rPr>
                <w:color w:val="000000" w:themeColor="text1"/>
                <w:kern w:val="0"/>
                <w:sz w:val="15"/>
                <w:szCs w:val="15"/>
              </w:rPr>
              <w:t>70.46</w:t>
            </w:r>
          </w:p>
        </w:tc>
        <w:tc>
          <w:tcPr>
            <w:tcW w:w="316" w:type="pct"/>
            <w:shd w:val="clear" w:color="auto" w:fill="auto"/>
            <w:noWrap/>
            <w:vAlign w:val="center"/>
          </w:tcPr>
          <w:p w14:paraId="19B24944">
            <w:pPr>
              <w:widowControl/>
              <w:adjustRightInd w:val="0"/>
              <w:snapToGrid w:val="0"/>
              <w:jc w:val="center"/>
              <w:rPr>
                <w:color w:val="000000" w:themeColor="text1"/>
                <w:kern w:val="0"/>
                <w:sz w:val="15"/>
                <w:szCs w:val="15"/>
              </w:rPr>
            </w:pPr>
            <w:r>
              <w:rPr>
                <w:color w:val="000000" w:themeColor="text1"/>
                <w:kern w:val="0"/>
                <w:sz w:val="15"/>
                <w:szCs w:val="15"/>
              </w:rPr>
              <w:t>66.02</w:t>
            </w:r>
          </w:p>
        </w:tc>
        <w:tc>
          <w:tcPr>
            <w:tcW w:w="315" w:type="pct"/>
            <w:shd w:val="clear" w:color="auto" w:fill="auto"/>
            <w:noWrap/>
            <w:vAlign w:val="center"/>
          </w:tcPr>
          <w:p w14:paraId="4B105C90">
            <w:pPr>
              <w:widowControl/>
              <w:adjustRightInd w:val="0"/>
              <w:snapToGrid w:val="0"/>
              <w:jc w:val="center"/>
              <w:rPr>
                <w:color w:val="000000" w:themeColor="text1"/>
                <w:kern w:val="0"/>
                <w:sz w:val="15"/>
                <w:szCs w:val="15"/>
              </w:rPr>
            </w:pPr>
            <w:r>
              <w:rPr>
                <w:color w:val="000000" w:themeColor="text1"/>
                <w:kern w:val="0"/>
                <w:sz w:val="15"/>
                <w:szCs w:val="15"/>
              </w:rPr>
              <w:t>64.44</w:t>
            </w:r>
          </w:p>
        </w:tc>
        <w:tc>
          <w:tcPr>
            <w:tcW w:w="316" w:type="pct"/>
            <w:shd w:val="clear" w:color="auto" w:fill="auto"/>
            <w:noWrap/>
            <w:vAlign w:val="center"/>
          </w:tcPr>
          <w:p w14:paraId="54C08296">
            <w:pPr>
              <w:widowControl/>
              <w:adjustRightInd w:val="0"/>
              <w:snapToGrid w:val="0"/>
              <w:jc w:val="center"/>
              <w:rPr>
                <w:color w:val="000000" w:themeColor="text1"/>
                <w:kern w:val="0"/>
                <w:sz w:val="15"/>
                <w:szCs w:val="15"/>
              </w:rPr>
            </w:pPr>
            <w:r>
              <w:rPr>
                <w:color w:val="000000" w:themeColor="text1"/>
                <w:kern w:val="0"/>
                <w:sz w:val="15"/>
                <w:szCs w:val="15"/>
              </w:rPr>
              <w:t>63.1</w:t>
            </w:r>
          </w:p>
        </w:tc>
        <w:tc>
          <w:tcPr>
            <w:tcW w:w="316" w:type="pct"/>
            <w:shd w:val="clear" w:color="auto" w:fill="auto"/>
            <w:noWrap/>
            <w:vAlign w:val="center"/>
          </w:tcPr>
          <w:p w14:paraId="6C0D3090">
            <w:pPr>
              <w:widowControl/>
              <w:adjustRightInd w:val="0"/>
              <w:snapToGrid w:val="0"/>
              <w:jc w:val="center"/>
              <w:rPr>
                <w:color w:val="000000" w:themeColor="text1"/>
                <w:kern w:val="0"/>
                <w:sz w:val="15"/>
                <w:szCs w:val="15"/>
              </w:rPr>
            </w:pPr>
            <w:r>
              <w:rPr>
                <w:color w:val="000000" w:themeColor="text1"/>
                <w:kern w:val="0"/>
                <w:sz w:val="15"/>
                <w:szCs w:val="15"/>
              </w:rPr>
              <w:t>60</w:t>
            </w:r>
          </w:p>
        </w:tc>
        <w:tc>
          <w:tcPr>
            <w:tcW w:w="316" w:type="pct"/>
            <w:shd w:val="clear" w:color="auto" w:fill="auto"/>
            <w:noWrap/>
            <w:vAlign w:val="center"/>
          </w:tcPr>
          <w:p w14:paraId="48447F6F">
            <w:pPr>
              <w:widowControl/>
              <w:adjustRightInd w:val="0"/>
              <w:snapToGrid w:val="0"/>
              <w:jc w:val="center"/>
              <w:rPr>
                <w:color w:val="000000" w:themeColor="text1"/>
                <w:kern w:val="0"/>
                <w:sz w:val="15"/>
                <w:szCs w:val="15"/>
              </w:rPr>
            </w:pPr>
            <w:r>
              <w:rPr>
                <w:color w:val="000000" w:themeColor="text1"/>
                <w:kern w:val="0"/>
                <w:sz w:val="15"/>
                <w:szCs w:val="15"/>
              </w:rPr>
              <w:t>56.48</w:t>
            </w:r>
          </w:p>
        </w:tc>
        <w:tc>
          <w:tcPr>
            <w:tcW w:w="315" w:type="pct"/>
            <w:shd w:val="clear" w:color="auto" w:fill="auto"/>
            <w:noWrap/>
            <w:vAlign w:val="center"/>
          </w:tcPr>
          <w:p w14:paraId="4D1FCF83">
            <w:pPr>
              <w:widowControl/>
              <w:adjustRightInd w:val="0"/>
              <w:snapToGrid w:val="0"/>
              <w:jc w:val="center"/>
              <w:rPr>
                <w:color w:val="000000" w:themeColor="text1"/>
                <w:kern w:val="0"/>
                <w:sz w:val="15"/>
                <w:szCs w:val="15"/>
              </w:rPr>
            </w:pPr>
            <w:r>
              <w:rPr>
                <w:color w:val="000000" w:themeColor="text1"/>
                <w:kern w:val="0"/>
                <w:sz w:val="15"/>
                <w:szCs w:val="15"/>
              </w:rPr>
              <w:t>53.98</w:t>
            </w:r>
          </w:p>
        </w:tc>
        <w:tc>
          <w:tcPr>
            <w:tcW w:w="316" w:type="pct"/>
            <w:shd w:val="clear" w:color="auto" w:fill="auto"/>
            <w:noWrap/>
            <w:vAlign w:val="center"/>
          </w:tcPr>
          <w:p w14:paraId="5E9D7444">
            <w:pPr>
              <w:widowControl/>
              <w:adjustRightInd w:val="0"/>
              <w:snapToGrid w:val="0"/>
              <w:jc w:val="center"/>
              <w:rPr>
                <w:color w:val="000000" w:themeColor="text1"/>
                <w:kern w:val="0"/>
                <w:sz w:val="15"/>
                <w:szCs w:val="15"/>
              </w:rPr>
            </w:pPr>
            <w:r>
              <w:rPr>
                <w:color w:val="000000" w:themeColor="text1"/>
                <w:kern w:val="0"/>
                <w:sz w:val="15"/>
                <w:szCs w:val="15"/>
              </w:rPr>
              <w:t>52.04</w:t>
            </w:r>
          </w:p>
        </w:tc>
        <w:tc>
          <w:tcPr>
            <w:tcW w:w="316" w:type="pct"/>
            <w:shd w:val="clear" w:color="auto" w:fill="auto"/>
            <w:noWrap/>
            <w:vAlign w:val="center"/>
          </w:tcPr>
          <w:p w14:paraId="48D8D8A1">
            <w:pPr>
              <w:widowControl/>
              <w:adjustRightInd w:val="0"/>
              <w:snapToGrid w:val="0"/>
              <w:jc w:val="center"/>
              <w:rPr>
                <w:color w:val="000000" w:themeColor="text1"/>
                <w:kern w:val="0"/>
                <w:sz w:val="15"/>
                <w:szCs w:val="15"/>
              </w:rPr>
            </w:pPr>
            <w:r>
              <w:rPr>
                <w:color w:val="000000" w:themeColor="text1"/>
                <w:kern w:val="0"/>
                <w:sz w:val="15"/>
                <w:szCs w:val="15"/>
              </w:rPr>
              <w:t>50.46</w:t>
            </w:r>
          </w:p>
        </w:tc>
        <w:tc>
          <w:tcPr>
            <w:tcW w:w="316" w:type="pct"/>
            <w:shd w:val="clear" w:color="auto" w:fill="auto"/>
            <w:noWrap/>
            <w:vAlign w:val="center"/>
          </w:tcPr>
          <w:p w14:paraId="7C701465">
            <w:pPr>
              <w:widowControl/>
              <w:adjustRightInd w:val="0"/>
              <w:snapToGrid w:val="0"/>
              <w:jc w:val="center"/>
              <w:rPr>
                <w:color w:val="000000" w:themeColor="text1"/>
                <w:kern w:val="0"/>
                <w:sz w:val="15"/>
                <w:szCs w:val="15"/>
              </w:rPr>
            </w:pPr>
            <w:r>
              <w:rPr>
                <w:color w:val="000000" w:themeColor="text1"/>
                <w:kern w:val="0"/>
                <w:sz w:val="15"/>
                <w:szCs w:val="15"/>
              </w:rPr>
              <w:t>49.12</w:t>
            </w:r>
          </w:p>
        </w:tc>
        <w:tc>
          <w:tcPr>
            <w:tcW w:w="373" w:type="pct"/>
            <w:vMerge w:val="restart"/>
            <w:shd w:val="clear" w:color="auto" w:fill="auto"/>
            <w:noWrap/>
            <w:vAlign w:val="center"/>
          </w:tcPr>
          <w:p w14:paraId="70F65B2B">
            <w:pPr>
              <w:widowControl/>
              <w:adjustRightInd w:val="0"/>
              <w:snapToGrid w:val="0"/>
              <w:jc w:val="center"/>
              <w:rPr>
                <w:color w:val="000000" w:themeColor="text1"/>
                <w:kern w:val="0"/>
                <w:sz w:val="18"/>
                <w:szCs w:val="18"/>
              </w:rPr>
            </w:pPr>
            <w:r>
              <w:rPr>
                <w:color w:val="000000" w:themeColor="text1"/>
                <w:kern w:val="0"/>
                <w:sz w:val="18"/>
                <w:szCs w:val="18"/>
              </w:rPr>
              <w:t>底版与结构</w:t>
            </w:r>
          </w:p>
          <w:p w14:paraId="35977B7F">
            <w:pPr>
              <w:adjustRightInd w:val="0"/>
              <w:snapToGrid w:val="0"/>
              <w:jc w:val="center"/>
              <w:rPr>
                <w:color w:val="000000" w:themeColor="text1"/>
                <w:kern w:val="0"/>
                <w:sz w:val="18"/>
                <w:szCs w:val="18"/>
              </w:rPr>
            </w:pPr>
            <w:r>
              <w:rPr>
                <w:color w:val="000000" w:themeColor="text1"/>
                <w:kern w:val="0"/>
                <w:sz w:val="18"/>
                <w:szCs w:val="18"/>
              </w:rPr>
              <w:t>阶段</w:t>
            </w:r>
          </w:p>
        </w:tc>
      </w:tr>
      <w:tr w14:paraId="657F790E">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341D48E8">
            <w:pPr>
              <w:widowControl/>
              <w:adjustRightInd w:val="0"/>
              <w:snapToGrid w:val="0"/>
              <w:jc w:val="center"/>
              <w:rPr>
                <w:color w:val="000000" w:themeColor="text1"/>
                <w:kern w:val="0"/>
                <w:sz w:val="18"/>
                <w:szCs w:val="18"/>
              </w:rPr>
            </w:pPr>
            <w:r>
              <w:rPr>
                <w:color w:val="000000" w:themeColor="text1"/>
                <w:kern w:val="0"/>
                <w:sz w:val="18"/>
                <w:szCs w:val="18"/>
              </w:rPr>
              <w:t>2</w:t>
            </w:r>
          </w:p>
        </w:tc>
        <w:tc>
          <w:tcPr>
            <w:tcW w:w="539" w:type="pct"/>
            <w:shd w:val="clear" w:color="auto" w:fill="auto"/>
            <w:noWrap/>
            <w:vAlign w:val="center"/>
          </w:tcPr>
          <w:p w14:paraId="194339E7">
            <w:pPr>
              <w:widowControl/>
              <w:adjustRightInd w:val="0"/>
              <w:snapToGrid w:val="0"/>
              <w:jc w:val="center"/>
              <w:rPr>
                <w:color w:val="000000" w:themeColor="text1"/>
                <w:kern w:val="0"/>
                <w:sz w:val="18"/>
                <w:szCs w:val="18"/>
              </w:rPr>
            </w:pPr>
            <w:r>
              <w:rPr>
                <w:color w:val="000000" w:themeColor="text1"/>
                <w:kern w:val="0"/>
                <w:sz w:val="18"/>
                <w:szCs w:val="18"/>
              </w:rPr>
              <w:t>切割机</w:t>
            </w:r>
          </w:p>
        </w:tc>
        <w:tc>
          <w:tcPr>
            <w:tcW w:w="315" w:type="pct"/>
            <w:shd w:val="clear" w:color="auto" w:fill="auto"/>
            <w:noWrap/>
            <w:vAlign w:val="center"/>
          </w:tcPr>
          <w:p w14:paraId="607A968C">
            <w:pPr>
              <w:widowControl/>
              <w:adjustRightInd w:val="0"/>
              <w:snapToGrid w:val="0"/>
              <w:jc w:val="center"/>
              <w:rPr>
                <w:color w:val="000000" w:themeColor="text1"/>
                <w:kern w:val="0"/>
                <w:sz w:val="15"/>
                <w:szCs w:val="15"/>
              </w:rPr>
            </w:pPr>
            <w:r>
              <w:rPr>
                <w:color w:val="000000" w:themeColor="text1"/>
                <w:kern w:val="0"/>
                <w:sz w:val="15"/>
                <w:szCs w:val="15"/>
              </w:rPr>
              <w:t>70</w:t>
            </w:r>
          </w:p>
        </w:tc>
        <w:tc>
          <w:tcPr>
            <w:tcW w:w="316" w:type="pct"/>
            <w:shd w:val="clear" w:color="auto" w:fill="auto"/>
            <w:noWrap/>
            <w:vAlign w:val="center"/>
          </w:tcPr>
          <w:p w14:paraId="0921817F">
            <w:pPr>
              <w:widowControl/>
              <w:adjustRightInd w:val="0"/>
              <w:snapToGrid w:val="0"/>
              <w:jc w:val="center"/>
              <w:rPr>
                <w:color w:val="000000" w:themeColor="text1"/>
                <w:kern w:val="0"/>
                <w:sz w:val="15"/>
                <w:szCs w:val="15"/>
              </w:rPr>
            </w:pPr>
            <w:r>
              <w:rPr>
                <w:color w:val="000000" w:themeColor="text1"/>
                <w:kern w:val="0"/>
                <w:sz w:val="15"/>
                <w:szCs w:val="15"/>
              </w:rPr>
              <w:t>63.98</w:t>
            </w:r>
          </w:p>
        </w:tc>
        <w:tc>
          <w:tcPr>
            <w:tcW w:w="316" w:type="pct"/>
            <w:shd w:val="clear" w:color="auto" w:fill="auto"/>
            <w:noWrap/>
            <w:vAlign w:val="center"/>
          </w:tcPr>
          <w:p w14:paraId="6BA1472E">
            <w:pPr>
              <w:widowControl/>
              <w:adjustRightInd w:val="0"/>
              <w:snapToGrid w:val="0"/>
              <w:jc w:val="center"/>
              <w:rPr>
                <w:color w:val="000000" w:themeColor="text1"/>
                <w:kern w:val="0"/>
                <w:sz w:val="15"/>
                <w:szCs w:val="15"/>
              </w:rPr>
            </w:pPr>
            <w:r>
              <w:rPr>
                <w:color w:val="000000" w:themeColor="text1"/>
                <w:kern w:val="0"/>
                <w:sz w:val="15"/>
                <w:szCs w:val="15"/>
              </w:rPr>
              <w:t>60.46</w:t>
            </w:r>
          </w:p>
        </w:tc>
        <w:tc>
          <w:tcPr>
            <w:tcW w:w="316" w:type="pct"/>
            <w:shd w:val="clear" w:color="auto" w:fill="auto"/>
            <w:noWrap/>
            <w:vAlign w:val="center"/>
          </w:tcPr>
          <w:p w14:paraId="39F61D3F">
            <w:pPr>
              <w:widowControl/>
              <w:adjustRightInd w:val="0"/>
              <w:snapToGrid w:val="0"/>
              <w:jc w:val="center"/>
              <w:rPr>
                <w:color w:val="000000" w:themeColor="text1"/>
                <w:kern w:val="0"/>
                <w:sz w:val="15"/>
                <w:szCs w:val="15"/>
              </w:rPr>
            </w:pPr>
            <w:r>
              <w:rPr>
                <w:color w:val="000000" w:themeColor="text1"/>
                <w:kern w:val="0"/>
                <w:sz w:val="15"/>
                <w:szCs w:val="15"/>
              </w:rPr>
              <w:t>56.02</w:t>
            </w:r>
          </w:p>
        </w:tc>
        <w:tc>
          <w:tcPr>
            <w:tcW w:w="315" w:type="pct"/>
            <w:shd w:val="clear" w:color="auto" w:fill="auto"/>
            <w:noWrap/>
            <w:vAlign w:val="center"/>
          </w:tcPr>
          <w:p w14:paraId="237C3374">
            <w:pPr>
              <w:widowControl/>
              <w:adjustRightInd w:val="0"/>
              <w:snapToGrid w:val="0"/>
              <w:jc w:val="center"/>
              <w:rPr>
                <w:color w:val="000000" w:themeColor="text1"/>
                <w:kern w:val="0"/>
                <w:sz w:val="15"/>
                <w:szCs w:val="15"/>
              </w:rPr>
            </w:pPr>
            <w:r>
              <w:rPr>
                <w:color w:val="000000" w:themeColor="text1"/>
                <w:kern w:val="0"/>
                <w:sz w:val="15"/>
                <w:szCs w:val="15"/>
              </w:rPr>
              <w:t>54.44</w:t>
            </w:r>
          </w:p>
        </w:tc>
        <w:tc>
          <w:tcPr>
            <w:tcW w:w="316" w:type="pct"/>
            <w:shd w:val="clear" w:color="auto" w:fill="auto"/>
            <w:noWrap/>
            <w:vAlign w:val="center"/>
          </w:tcPr>
          <w:p w14:paraId="28ACAAF1">
            <w:pPr>
              <w:widowControl/>
              <w:adjustRightInd w:val="0"/>
              <w:snapToGrid w:val="0"/>
              <w:jc w:val="center"/>
              <w:rPr>
                <w:color w:val="000000" w:themeColor="text1"/>
                <w:kern w:val="0"/>
                <w:sz w:val="15"/>
                <w:szCs w:val="15"/>
              </w:rPr>
            </w:pPr>
            <w:r>
              <w:rPr>
                <w:color w:val="000000" w:themeColor="text1"/>
                <w:kern w:val="0"/>
                <w:sz w:val="15"/>
                <w:szCs w:val="15"/>
              </w:rPr>
              <w:t>53.1</w:t>
            </w:r>
          </w:p>
        </w:tc>
        <w:tc>
          <w:tcPr>
            <w:tcW w:w="316" w:type="pct"/>
            <w:shd w:val="clear" w:color="auto" w:fill="auto"/>
            <w:noWrap/>
            <w:vAlign w:val="center"/>
          </w:tcPr>
          <w:p w14:paraId="7CA33F75">
            <w:pPr>
              <w:widowControl/>
              <w:adjustRightInd w:val="0"/>
              <w:snapToGrid w:val="0"/>
              <w:jc w:val="center"/>
              <w:rPr>
                <w:color w:val="000000" w:themeColor="text1"/>
                <w:kern w:val="0"/>
                <w:sz w:val="15"/>
                <w:szCs w:val="15"/>
              </w:rPr>
            </w:pPr>
            <w:r>
              <w:rPr>
                <w:color w:val="000000" w:themeColor="text1"/>
                <w:kern w:val="0"/>
                <w:sz w:val="15"/>
                <w:szCs w:val="15"/>
              </w:rPr>
              <w:t>50</w:t>
            </w:r>
          </w:p>
        </w:tc>
        <w:tc>
          <w:tcPr>
            <w:tcW w:w="316" w:type="pct"/>
            <w:shd w:val="clear" w:color="auto" w:fill="auto"/>
            <w:noWrap/>
            <w:vAlign w:val="center"/>
          </w:tcPr>
          <w:p w14:paraId="5C943157">
            <w:pPr>
              <w:widowControl/>
              <w:adjustRightInd w:val="0"/>
              <w:snapToGrid w:val="0"/>
              <w:jc w:val="center"/>
              <w:rPr>
                <w:color w:val="000000" w:themeColor="text1"/>
                <w:kern w:val="0"/>
                <w:sz w:val="15"/>
                <w:szCs w:val="15"/>
              </w:rPr>
            </w:pPr>
            <w:r>
              <w:rPr>
                <w:color w:val="000000" w:themeColor="text1"/>
                <w:kern w:val="0"/>
                <w:sz w:val="15"/>
                <w:szCs w:val="15"/>
              </w:rPr>
              <w:t>46.48</w:t>
            </w:r>
          </w:p>
        </w:tc>
        <w:tc>
          <w:tcPr>
            <w:tcW w:w="315" w:type="pct"/>
            <w:shd w:val="clear" w:color="auto" w:fill="auto"/>
            <w:noWrap/>
            <w:vAlign w:val="center"/>
          </w:tcPr>
          <w:p w14:paraId="71CF2E57">
            <w:pPr>
              <w:widowControl/>
              <w:adjustRightInd w:val="0"/>
              <w:snapToGrid w:val="0"/>
              <w:jc w:val="center"/>
              <w:rPr>
                <w:color w:val="000000" w:themeColor="text1"/>
                <w:kern w:val="0"/>
                <w:sz w:val="15"/>
                <w:szCs w:val="15"/>
              </w:rPr>
            </w:pPr>
            <w:r>
              <w:rPr>
                <w:color w:val="000000" w:themeColor="text1"/>
                <w:kern w:val="0"/>
                <w:sz w:val="15"/>
                <w:szCs w:val="15"/>
              </w:rPr>
              <w:t>43.98</w:t>
            </w:r>
          </w:p>
        </w:tc>
        <w:tc>
          <w:tcPr>
            <w:tcW w:w="316" w:type="pct"/>
            <w:shd w:val="clear" w:color="auto" w:fill="auto"/>
            <w:noWrap/>
            <w:vAlign w:val="center"/>
          </w:tcPr>
          <w:p w14:paraId="49F87BF7">
            <w:pPr>
              <w:widowControl/>
              <w:adjustRightInd w:val="0"/>
              <w:snapToGrid w:val="0"/>
              <w:jc w:val="center"/>
              <w:rPr>
                <w:color w:val="000000" w:themeColor="text1"/>
                <w:kern w:val="0"/>
                <w:sz w:val="15"/>
                <w:szCs w:val="15"/>
              </w:rPr>
            </w:pPr>
            <w:r>
              <w:rPr>
                <w:color w:val="000000" w:themeColor="text1"/>
                <w:kern w:val="0"/>
                <w:sz w:val="15"/>
                <w:szCs w:val="15"/>
              </w:rPr>
              <w:t>42.04</w:t>
            </w:r>
          </w:p>
        </w:tc>
        <w:tc>
          <w:tcPr>
            <w:tcW w:w="316" w:type="pct"/>
            <w:shd w:val="clear" w:color="auto" w:fill="auto"/>
            <w:noWrap/>
            <w:vAlign w:val="center"/>
          </w:tcPr>
          <w:p w14:paraId="359DAC99">
            <w:pPr>
              <w:widowControl/>
              <w:adjustRightInd w:val="0"/>
              <w:snapToGrid w:val="0"/>
              <w:jc w:val="center"/>
              <w:rPr>
                <w:color w:val="000000" w:themeColor="text1"/>
                <w:kern w:val="0"/>
                <w:sz w:val="15"/>
                <w:szCs w:val="15"/>
              </w:rPr>
            </w:pPr>
            <w:r>
              <w:rPr>
                <w:color w:val="000000" w:themeColor="text1"/>
                <w:kern w:val="0"/>
                <w:sz w:val="15"/>
                <w:szCs w:val="15"/>
              </w:rPr>
              <w:t>40.46</w:t>
            </w:r>
          </w:p>
        </w:tc>
        <w:tc>
          <w:tcPr>
            <w:tcW w:w="316" w:type="pct"/>
            <w:shd w:val="clear" w:color="auto" w:fill="auto"/>
            <w:noWrap/>
            <w:vAlign w:val="center"/>
          </w:tcPr>
          <w:p w14:paraId="360E6FCF">
            <w:pPr>
              <w:widowControl/>
              <w:adjustRightInd w:val="0"/>
              <w:snapToGrid w:val="0"/>
              <w:jc w:val="center"/>
              <w:rPr>
                <w:color w:val="000000" w:themeColor="text1"/>
                <w:kern w:val="0"/>
                <w:sz w:val="15"/>
                <w:szCs w:val="15"/>
              </w:rPr>
            </w:pPr>
            <w:r>
              <w:rPr>
                <w:color w:val="000000" w:themeColor="text1"/>
                <w:kern w:val="0"/>
                <w:sz w:val="15"/>
                <w:szCs w:val="15"/>
              </w:rPr>
              <w:t>39.12</w:t>
            </w:r>
          </w:p>
        </w:tc>
        <w:tc>
          <w:tcPr>
            <w:tcW w:w="373" w:type="pct"/>
            <w:vMerge w:val="continue"/>
            <w:shd w:val="clear" w:color="auto" w:fill="auto"/>
            <w:noWrap/>
            <w:vAlign w:val="center"/>
          </w:tcPr>
          <w:p w14:paraId="0C6B3A81">
            <w:pPr>
              <w:widowControl/>
              <w:adjustRightInd w:val="0"/>
              <w:snapToGrid w:val="0"/>
              <w:jc w:val="center"/>
              <w:rPr>
                <w:color w:val="000000" w:themeColor="text1"/>
                <w:kern w:val="0"/>
                <w:sz w:val="18"/>
                <w:szCs w:val="18"/>
              </w:rPr>
            </w:pPr>
          </w:p>
        </w:tc>
      </w:tr>
      <w:tr w14:paraId="0AE306B9">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64B006E7">
            <w:pPr>
              <w:widowControl/>
              <w:adjustRightInd w:val="0"/>
              <w:snapToGrid w:val="0"/>
              <w:jc w:val="center"/>
              <w:rPr>
                <w:color w:val="000000" w:themeColor="text1"/>
                <w:kern w:val="0"/>
                <w:sz w:val="18"/>
                <w:szCs w:val="18"/>
              </w:rPr>
            </w:pPr>
            <w:r>
              <w:rPr>
                <w:color w:val="000000" w:themeColor="text1"/>
                <w:kern w:val="0"/>
                <w:sz w:val="18"/>
                <w:szCs w:val="18"/>
              </w:rPr>
              <w:t>3</w:t>
            </w:r>
          </w:p>
        </w:tc>
        <w:tc>
          <w:tcPr>
            <w:tcW w:w="539" w:type="pct"/>
            <w:shd w:val="clear" w:color="auto" w:fill="auto"/>
            <w:noWrap/>
            <w:vAlign w:val="center"/>
          </w:tcPr>
          <w:p w14:paraId="3417BEE1">
            <w:pPr>
              <w:widowControl/>
              <w:adjustRightInd w:val="0"/>
              <w:snapToGrid w:val="0"/>
              <w:jc w:val="center"/>
              <w:rPr>
                <w:color w:val="000000" w:themeColor="text1"/>
                <w:kern w:val="0"/>
                <w:sz w:val="18"/>
                <w:szCs w:val="18"/>
              </w:rPr>
            </w:pPr>
            <w:r>
              <w:rPr>
                <w:color w:val="000000" w:themeColor="text1"/>
                <w:kern w:val="0"/>
                <w:sz w:val="18"/>
                <w:szCs w:val="18"/>
              </w:rPr>
              <w:t>电焊机</w:t>
            </w:r>
          </w:p>
        </w:tc>
        <w:tc>
          <w:tcPr>
            <w:tcW w:w="315" w:type="pct"/>
            <w:shd w:val="clear" w:color="auto" w:fill="auto"/>
            <w:noWrap/>
            <w:vAlign w:val="center"/>
          </w:tcPr>
          <w:p w14:paraId="17F6130A">
            <w:pPr>
              <w:widowControl/>
              <w:adjustRightInd w:val="0"/>
              <w:snapToGrid w:val="0"/>
              <w:jc w:val="center"/>
              <w:rPr>
                <w:color w:val="000000" w:themeColor="text1"/>
                <w:kern w:val="0"/>
                <w:sz w:val="15"/>
                <w:szCs w:val="15"/>
              </w:rPr>
            </w:pPr>
            <w:r>
              <w:rPr>
                <w:color w:val="000000" w:themeColor="text1"/>
                <w:kern w:val="0"/>
                <w:sz w:val="15"/>
                <w:szCs w:val="15"/>
              </w:rPr>
              <w:t>60</w:t>
            </w:r>
          </w:p>
        </w:tc>
        <w:tc>
          <w:tcPr>
            <w:tcW w:w="316" w:type="pct"/>
            <w:shd w:val="clear" w:color="auto" w:fill="auto"/>
            <w:noWrap/>
            <w:vAlign w:val="center"/>
          </w:tcPr>
          <w:p w14:paraId="1A417640">
            <w:pPr>
              <w:widowControl/>
              <w:adjustRightInd w:val="0"/>
              <w:snapToGrid w:val="0"/>
              <w:jc w:val="center"/>
              <w:rPr>
                <w:color w:val="000000" w:themeColor="text1"/>
                <w:kern w:val="0"/>
                <w:sz w:val="15"/>
                <w:szCs w:val="15"/>
              </w:rPr>
            </w:pPr>
            <w:r>
              <w:rPr>
                <w:color w:val="000000" w:themeColor="text1"/>
                <w:kern w:val="0"/>
                <w:sz w:val="15"/>
                <w:szCs w:val="15"/>
              </w:rPr>
              <w:t>53.98</w:t>
            </w:r>
          </w:p>
        </w:tc>
        <w:tc>
          <w:tcPr>
            <w:tcW w:w="316" w:type="pct"/>
            <w:shd w:val="clear" w:color="auto" w:fill="auto"/>
            <w:noWrap/>
            <w:vAlign w:val="center"/>
          </w:tcPr>
          <w:p w14:paraId="295F5EA6">
            <w:pPr>
              <w:widowControl/>
              <w:adjustRightInd w:val="0"/>
              <w:snapToGrid w:val="0"/>
              <w:jc w:val="center"/>
              <w:rPr>
                <w:color w:val="000000" w:themeColor="text1"/>
                <w:kern w:val="0"/>
                <w:sz w:val="15"/>
                <w:szCs w:val="15"/>
              </w:rPr>
            </w:pPr>
            <w:r>
              <w:rPr>
                <w:color w:val="000000" w:themeColor="text1"/>
                <w:kern w:val="0"/>
                <w:sz w:val="15"/>
                <w:szCs w:val="15"/>
              </w:rPr>
              <w:t>50.46</w:t>
            </w:r>
          </w:p>
        </w:tc>
        <w:tc>
          <w:tcPr>
            <w:tcW w:w="316" w:type="pct"/>
            <w:shd w:val="clear" w:color="auto" w:fill="auto"/>
            <w:noWrap/>
            <w:vAlign w:val="center"/>
          </w:tcPr>
          <w:p w14:paraId="5244008C">
            <w:pPr>
              <w:widowControl/>
              <w:adjustRightInd w:val="0"/>
              <w:snapToGrid w:val="0"/>
              <w:jc w:val="center"/>
              <w:rPr>
                <w:color w:val="000000" w:themeColor="text1"/>
                <w:kern w:val="0"/>
                <w:sz w:val="15"/>
                <w:szCs w:val="15"/>
              </w:rPr>
            </w:pPr>
            <w:r>
              <w:rPr>
                <w:color w:val="000000" w:themeColor="text1"/>
                <w:kern w:val="0"/>
                <w:sz w:val="15"/>
                <w:szCs w:val="15"/>
              </w:rPr>
              <w:t>46.02</w:t>
            </w:r>
          </w:p>
        </w:tc>
        <w:tc>
          <w:tcPr>
            <w:tcW w:w="315" w:type="pct"/>
            <w:shd w:val="clear" w:color="auto" w:fill="auto"/>
            <w:noWrap/>
            <w:vAlign w:val="center"/>
          </w:tcPr>
          <w:p w14:paraId="435F312A">
            <w:pPr>
              <w:widowControl/>
              <w:adjustRightInd w:val="0"/>
              <w:snapToGrid w:val="0"/>
              <w:jc w:val="center"/>
              <w:rPr>
                <w:color w:val="000000" w:themeColor="text1"/>
                <w:kern w:val="0"/>
                <w:sz w:val="15"/>
                <w:szCs w:val="15"/>
              </w:rPr>
            </w:pPr>
            <w:r>
              <w:rPr>
                <w:color w:val="000000" w:themeColor="text1"/>
                <w:kern w:val="0"/>
                <w:sz w:val="15"/>
                <w:szCs w:val="15"/>
              </w:rPr>
              <w:t>44.44</w:t>
            </w:r>
          </w:p>
        </w:tc>
        <w:tc>
          <w:tcPr>
            <w:tcW w:w="316" w:type="pct"/>
            <w:shd w:val="clear" w:color="auto" w:fill="auto"/>
            <w:noWrap/>
            <w:vAlign w:val="center"/>
          </w:tcPr>
          <w:p w14:paraId="550CDDDE">
            <w:pPr>
              <w:widowControl/>
              <w:adjustRightInd w:val="0"/>
              <w:snapToGrid w:val="0"/>
              <w:jc w:val="center"/>
              <w:rPr>
                <w:color w:val="000000" w:themeColor="text1"/>
                <w:kern w:val="0"/>
                <w:sz w:val="15"/>
                <w:szCs w:val="15"/>
              </w:rPr>
            </w:pPr>
            <w:r>
              <w:rPr>
                <w:color w:val="000000" w:themeColor="text1"/>
                <w:kern w:val="0"/>
                <w:sz w:val="15"/>
                <w:szCs w:val="15"/>
              </w:rPr>
              <w:t>43.1</w:t>
            </w:r>
          </w:p>
        </w:tc>
        <w:tc>
          <w:tcPr>
            <w:tcW w:w="316" w:type="pct"/>
            <w:shd w:val="clear" w:color="auto" w:fill="auto"/>
            <w:noWrap/>
            <w:vAlign w:val="center"/>
          </w:tcPr>
          <w:p w14:paraId="4400599F">
            <w:pPr>
              <w:widowControl/>
              <w:adjustRightInd w:val="0"/>
              <w:snapToGrid w:val="0"/>
              <w:jc w:val="center"/>
              <w:rPr>
                <w:color w:val="000000" w:themeColor="text1"/>
                <w:kern w:val="0"/>
                <w:sz w:val="15"/>
                <w:szCs w:val="15"/>
              </w:rPr>
            </w:pPr>
            <w:r>
              <w:rPr>
                <w:color w:val="000000" w:themeColor="text1"/>
                <w:kern w:val="0"/>
                <w:sz w:val="15"/>
                <w:szCs w:val="15"/>
              </w:rPr>
              <w:t>40</w:t>
            </w:r>
          </w:p>
        </w:tc>
        <w:tc>
          <w:tcPr>
            <w:tcW w:w="316" w:type="pct"/>
            <w:shd w:val="clear" w:color="auto" w:fill="auto"/>
            <w:noWrap/>
            <w:vAlign w:val="center"/>
          </w:tcPr>
          <w:p w14:paraId="4FB4AAF8">
            <w:pPr>
              <w:widowControl/>
              <w:adjustRightInd w:val="0"/>
              <w:snapToGrid w:val="0"/>
              <w:jc w:val="center"/>
              <w:rPr>
                <w:color w:val="000000" w:themeColor="text1"/>
                <w:kern w:val="0"/>
                <w:sz w:val="15"/>
                <w:szCs w:val="15"/>
              </w:rPr>
            </w:pPr>
            <w:r>
              <w:rPr>
                <w:color w:val="000000" w:themeColor="text1"/>
                <w:kern w:val="0"/>
                <w:sz w:val="15"/>
                <w:szCs w:val="15"/>
              </w:rPr>
              <w:t>36.48</w:t>
            </w:r>
          </w:p>
        </w:tc>
        <w:tc>
          <w:tcPr>
            <w:tcW w:w="315" w:type="pct"/>
            <w:shd w:val="clear" w:color="auto" w:fill="auto"/>
            <w:noWrap/>
            <w:vAlign w:val="center"/>
          </w:tcPr>
          <w:p w14:paraId="3F98A6C1">
            <w:pPr>
              <w:widowControl/>
              <w:adjustRightInd w:val="0"/>
              <w:snapToGrid w:val="0"/>
              <w:jc w:val="center"/>
              <w:rPr>
                <w:color w:val="000000" w:themeColor="text1"/>
                <w:kern w:val="0"/>
                <w:sz w:val="15"/>
                <w:szCs w:val="15"/>
              </w:rPr>
            </w:pPr>
            <w:r>
              <w:rPr>
                <w:color w:val="000000" w:themeColor="text1"/>
                <w:kern w:val="0"/>
                <w:sz w:val="15"/>
                <w:szCs w:val="15"/>
              </w:rPr>
              <w:t>33.98</w:t>
            </w:r>
          </w:p>
        </w:tc>
        <w:tc>
          <w:tcPr>
            <w:tcW w:w="316" w:type="pct"/>
            <w:shd w:val="clear" w:color="auto" w:fill="auto"/>
            <w:noWrap/>
            <w:vAlign w:val="center"/>
          </w:tcPr>
          <w:p w14:paraId="799D4CDB">
            <w:pPr>
              <w:widowControl/>
              <w:adjustRightInd w:val="0"/>
              <w:snapToGrid w:val="0"/>
              <w:jc w:val="center"/>
              <w:rPr>
                <w:color w:val="000000" w:themeColor="text1"/>
                <w:kern w:val="0"/>
                <w:sz w:val="15"/>
                <w:szCs w:val="15"/>
              </w:rPr>
            </w:pPr>
            <w:r>
              <w:rPr>
                <w:color w:val="000000" w:themeColor="text1"/>
                <w:kern w:val="0"/>
                <w:sz w:val="15"/>
                <w:szCs w:val="15"/>
              </w:rPr>
              <w:t>32.04</w:t>
            </w:r>
          </w:p>
        </w:tc>
        <w:tc>
          <w:tcPr>
            <w:tcW w:w="316" w:type="pct"/>
            <w:shd w:val="clear" w:color="auto" w:fill="auto"/>
            <w:noWrap/>
            <w:vAlign w:val="center"/>
          </w:tcPr>
          <w:p w14:paraId="3BDE7664">
            <w:pPr>
              <w:widowControl/>
              <w:adjustRightInd w:val="0"/>
              <w:snapToGrid w:val="0"/>
              <w:jc w:val="center"/>
              <w:rPr>
                <w:color w:val="000000" w:themeColor="text1"/>
                <w:kern w:val="0"/>
                <w:sz w:val="15"/>
                <w:szCs w:val="15"/>
              </w:rPr>
            </w:pPr>
            <w:r>
              <w:rPr>
                <w:color w:val="000000" w:themeColor="text1"/>
                <w:kern w:val="0"/>
                <w:sz w:val="15"/>
                <w:szCs w:val="15"/>
              </w:rPr>
              <w:t>30.46</w:t>
            </w:r>
          </w:p>
        </w:tc>
        <w:tc>
          <w:tcPr>
            <w:tcW w:w="316" w:type="pct"/>
            <w:shd w:val="clear" w:color="auto" w:fill="auto"/>
            <w:noWrap/>
            <w:vAlign w:val="center"/>
          </w:tcPr>
          <w:p w14:paraId="0BBA2548">
            <w:pPr>
              <w:widowControl/>
              <w:adjustRightInd w:val="0"/>
              <w:snapToGrid w:val="0"/>
              <w:jc w:val="center"/>
              <w:rPr>
                <w:color w:val="000000" w:themeColor="text1"/>
                <w:kern w:val="0"/>
                <w:sz w:val="15"/>
                <w:szCs w:val="15"/>
              </w:rPr>
            </w:pPr>
            <w:r>
              <w:rPr>
                <w:color w:val="000000" w:themeColor="text1"/>
                <w:kern w:val="0"/>
                <w:sz w:val="15"/>
                <w:szCs w:val="15"/>
              </w:rPr>
              <w:t>29.12</w:t>
            </w:r>
          </w:p>
        </w:tc>
        <w:tc>
          <w:tcPr>
            <w:tcW w:w="373" w:type="pct"/>
            <w:vMerge w:val="continue"/>
            <w:shd w:val="clear" w:color="auto" w:fill="auto"/>
            <w:noWrap/>
            <w:vAlign w:val="center"/>
          </w:tcPr>
          <w:p w14:paraId="496D062E">
            <w:pPr>
              <w:widowControl/>
              <w:adjustRightInd w:val="0"/>
              <w:snapToGrid w:val="0"/>
              <w:jc w:val="center"/>
              <w:rPr>
                <w:color w:val="000000" w:themeColor="text1"/>
                <w:kern w:val="0"/>
                <w:sz w:val="18"/>
                <w:szCs w:val="18"/>
              </w:rPr>
            </w:pPr>
          </w:p>
        </w:tc>
      </w:tr>
      <w:tr w14:paraId="5B07D1CE">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37942017">
            <w:pPr>
              <w:widowControl/>
              <w:adjustRightInd w:val="0"/>
              <w:snapToGrid w:val="0"/>
              <w:jc w:val="center"/>
              <w:rPr>
                <w:color w:val="000000" w:themeColor="text1"/>
                <w:kern w:val="0"/>
                <w:sz w:val="18"/>
                <w:szCs w:val="18"/>
              </w:rPr>
            </w:pPr>
          </w:p>
        </w:tc>
        <w:tc>
          <w:tcPr>
            <w:tcW w:w="539" w:type="pct"/>
            <w:shd w:val="clear" w:color="auto" w:fill="auto"/>
            <w:noWrap/>
            <w:vAlign w:val="center"/>
          </w:tcPr>
          <w:p w14:paraId="65816516">
            <w:pPr>
              <w:widowControl/>
              <w:adjustRightInd w:val="0"/>
              <w:snapToGrid w:val="0"/>
              <w:jc w:val="center"/>
              <w:rPr>
                <w:color w:val="000000" w:themeColor="text1"/>
                <w:kern w:val="0"/>
                <w:sz w:val="18"/>
                <w:szCs w:val="18"/>
              </w:rPr>
            </w:pPr>
            <w:r>
              <w:rPr>
                <w:color w:val="000000" w:themeColor="text1"/>
                <w:kern w:val="0"/>
                <w:sz w:val="18"/>
                <w:szCs w:val="18"/>
              </w:rPr>
              <w:t>多声源叠加值</w:t>
            </w:r>
          </w:p>
        </w:tc>
        <w:tc>
          <w:tcPr>
            <w:tcW w:w="315" w:type="pct"/>
            <w:shd w:val="clear" w:color="auto" w:fill="auto"/>
            <w:noWrap/>
            <w:vAlign w:val="center"/>
          </w:tcPr>
          <w:p w14:paraId="1B53BD4D">
            <w:pPr>
              <w:widowControl/>
              <w:adjustRightInd w:val="0"/>
              <w:snapToGrid w:val="0"/>
              <w:jc w:val="center"/>
              <w:rPr>
                <w:color w:val="000000" w:themeColor="text1"/>
                <w:kern w:val="0"/>
                <w:sz w:val="15"/>
                <w:szCs w:val="15"/>
              </w:rPr>
            </w:pPr>
            <w:r>
              <w:rPr>
                <w:color w:val="000000" w:themeColor="text1"/>
                <w:kern w:val="0"/>
                <w:sz w:val="15"/>
                <w:szCs w:val="15"/>
              </w:rPr>
              <w:t>80.45</w:t>
            </w:r>
          </w:p>
        </w:tc>
        <w:tc>
          <w:tcPr>
            <w:tcW w:w="316" w:type="pct"/>
            <w:shd w:val="clear" w:color="auto" w:fill="auto"/>
            <w:noWrap/>
            <w:vAlign w:val="center"/>
          </w:tcPr>
          <w:p w14:paraId="68C76F7D">
            <w:pPr>
              <w:widowControl/>
              <w:adjustRightInd w:val="0"/>
              <w:snapToGrid w:val="0"/>
              <w:jc w:val="center"/>
              <w:rPr>
                <w:color w:val="000000" w:themeColor="text1"/>
                <w:kern w:val="0"/>
                <w:sz w:val="15"/>
                <w:szCs w:val="15"/>
              </w:rPr>
            </w:pPr>
            <w:r>
              <w:rPr>
                <w:color w:val="000000" w:themeColor="text1"/>
                <w:kern w:val="0"/>
                <w:sz w:val="15"/>
                <w:szCs w:val="15"/>
              </w:rPr>
              <w:t>74.43</w:t>
            </w:r>
          </w:p>
        </w:tc>
        <w:tc>
          <w:tcPr>
            <w:tcW w:w="316" w:type="pct"/>
            <w:shd w:val="clear" w:color="auto" w:fill="auto"/>
            <w:noWrap/>
            <w:vAlign w:val="center"/>
          </w:tcPr>
          <w:p w14:paraId="0D24FCFB">
            <w:pPr>
              <w:widowControl/>
              <w:adjustRightInd w:val="0"/>
              <w:snapToGrid w:val="0"/>
              <w:jc w:val="center"/>
              <w:rPr>
                <w:color w:val="000000" w:themeColor="text1"/>
                <w:kern w:val="0"/>
                <w:sz w:val="15"/>
                <w:szCs w:val="15"/>
              </w:rPr>
            </w:pPr>
            <w:r>
              <w:rPr>
                <w:color w:val="000000" w:themeColor="text1"/>
                <w:kern w:val="0"/>
                <w:sz w:val="15"/>
                <w:szCs w:val="15"/>
              </w:rPr>
              <w:t>70.91</w:t>
            </w:r>
          </w:p>
        </w:tc>
        <w:tc>
          <w:tcPr>
            <w:tcW w:w="316" w:type="pct"/>
            <w:shd w:val="clear" w:color="auto" w:fill="auto"/>
            <w:noWrap/>
            <w:vAlign w:val="center"/>
          </w:tcPr>
          <w:p w14:paraId="3F9B9E0F">
            <w:pPr>
              <w:widowControl/>
              <w:adjustRightInd w:val="0"/>
              <w:snapToGrid w:val="0"/>
              <w:jc w:val="center"/>
              <w:rPr>
                <w:color w:val="000000" w:themeColor="text1"/>
                <w:kern w:val="0"/>
                <w:sz w:val="15"/>
                <w:szCs w:val="15"/>
              </w:rPr>
            </w:pPr>
            <w:r>
              <w:rPr>
                <w:color w:val="000000" w:themeColor="text1"/>
                <w:kern w:val="0"/>
                <w:sz w:val="15"/>
                <w:szCs w:val="15"/>
              </w:rPr>
              <w:t>66.47</w:t>
            </w:r>
          </w:p>
        </w:tc>
        <w:tc>
          <w:tcPr>
            <w:tcW w:w="315" w:type="pct"/>
            <w:shd w:val="clear" w:color="auto" w:fill="auto"/>
            <w:noWrap/>
            <w:vAlign w:val="center"/>
          </w:tcPr>
          <w:p w14:paraId="61C6170C">
            <w:pPr>
              <w:widowControl/>
              <w:adjustRightInd w:val="0"/>
              <w:snapToGrid w:val="0"/>
              <w:jc w:val="center"/>
              <w:rPr>
                <w:color w:val="000000" w:themeColor="text1"/>
                <w:kern w:val="0"/>
                <w:sz w:val="15"/>
                <w:szCs w:val="15"/>
              </w:rPr>
            </w:pPr>
            <w:r>
              <w:rPr>
                <w:color w:val="000000" w:themeColor="text1"/>
                <w:kern w:val="0"/>
                <w:sz w:val="15"/>
                <w:szCs w:val="15"/>
              </w:rPr>
              <w:t>64.89</w:t>
            </w:r>
          </w:p>
        </w:tc>
        <w:tc>
          <w:tcPr>
            <w:tcW w:w="316" w:type="pct"/>
            <w:shd w:val="clear" w:color="auto" w:fill="auto"/>
            <w:noWrap/>
            <w:vAlign w:val="center"/>
          </w:tcPr>
          <w:p w14:paraId="63C8A1A2">
            <w:pPr>
              <w:widowControl/>
              <w:adjustRightInd w:val="0"/>
              <w:snapToGrid w:val="0"/>
              <w:jc w:val="center"/>
              <w:rPr>
                <w:color w:val="000000" w:themeColor="text1"/>
                <w:kern w:val="0"/>
                <w:sz w:val="15"/>
                <w:szCs w:val="15"/>
              </w:rPr>
            </w:pPr>
            <w:r>
              <w:rPr>
                <w:color w:val="000000" w:themeColor="text1"/>
                <w:kern w:val="0"/>
                <w:sz w:val="15"/>
                <w:szCs w:val="15"/>
              </w:rPr>
              <w:t>63.55</w:t>
            </w:r>
          </w:p>
        </w:tc>
        <w:tc>
          <w:tcPr>
            <w:tcW w:w="316" w:type="pct"/>
            <w:shd w:val="clear" w:color="auto" w:fill="auto"/>
            <w:noWrap/>
            <w:vAlign w:val="center"/>
          </w:tcPr>
          <w:p w14:paraId="72464E81">
            <w:pPr>
              <w:widowControl/>
              <w:adjustRightInd w:val="0"/>
              <w:snapToGrid w:val="0"/>
              <w:jc w:val="center"/>
              <w:rPr>
                <w:color w:val="000000" w:themeColor="text1"/>
                <w:kern w:val="0"/>
                <w:sz w:val="15"/>
                <w:szCs w:val="15"/>
              </w:rPr>
            </w:pPr>
            <w:r>
              <w:rPr>
                <w:color w:val="000000" w:themeColor="text1"/>
                <w:kern w:val="0"/>
                <w:sz w:val="15"/>
                <w:szCs w:val="15"/>
              </w:rPr>
              <w:t>60.45</w:t>
            </w:r>
          </w:p>
        </w:tc>
        <w:tc>
          <w:tcPr>
            <w:tcW w:w="316" w:type="pct"/>
            <w:shd w:val="clear" w:color="auto" w:fill="auto"/>
            <w:noWrap/>
            <w:vAlign w:val="center"/>
          </w:tcPr>
          <w:p w14:paraId="2FD49913">
            <w:pPr>
              <w:widowControl/>
              <w:adjustRightInd w:val="0"/>
              <w:snapToGrid w:val="0"/>
              <w:jc w:val="center"/>
              <w:rPr>
                <w:color w:val="000000" w:themeColor="text1"/>
                <w:kern w:val="0"/>
                <w:sz w:val="15"/>
                <w:szCs w:val="15"/>
              </w:rPr>
            </w:pPr>
            <w:r>
              <w:rPr>
                <w:color w:val="000000" w:themeColor="text1"/>
                <w:kern w:val="0"/>
                <w:sz w:val="15"/>
                <w:szCs w:val="15"/>
              </w:rPr>
              <w:t>56.93</w:t>
            </w:r>
          </w:p>
        </w:tc>
        <w:tc>
          <w:tcPr>
            <w:tcW w:w="315" w:type="pct"/>
            <w:shd w:val="clear" w:color="auto" w:fill="auto"/>
            <w:noWrap/>
            <w:vAlign w:val="center"/>
          </w:tcPr>
          <w:p w14:paraId="73BD6014">
            <w:pPr>
              <w:widowControl/>
              <w:adjustRightInd w:val="0"/>
              <w:snapToGrid w:val="0"/>
              <w:jc w:val="center"/>
              <w:rPr>
                <w:color w:val="000000" w:themeColor="text1"/>
                <w:kern w:val="0"/>
                <w:sz w:val="15"/>
                <w:szCs w:val="15"/>
              </w:rPr>
            </w:pPr>
            <w:r>
              <w:rPr>
                <w:color w:val="000000" w:themeColor="text1"/>
                <w:kern w:val="0"/>
                <w:sz w:val="15"/>
                <w:szCs w:val="15"/>
              </w:rPr>
              <w:t>54.43</w:t>
            </w:r>
          </w:p>
        </w:tc>
        <w:tc>
          <w:tcPr>
            <w:tcW w:w="316" w:type="pct"/>
            <w:shd w:val="clear" w:color="auto" w:fill="auto"/>
            <w:noWrap/>
            <w:vAlign w:val="center"/>
          </w:tcPr>
          <w:p w14:paraId="20197C6A">
            <w:pPr>
              <w:widowControl/>
              <w:adjustRightInd w:val="0"/>
              <w:snapToGrid w:val="0"/>
              <w:jc w:val="center"/>
              <w:rPr>
                <w:color w:val="000000" w:themeColor="text1"/>
                <w:kern w:val="0"/>
                <w:sz w:val="15"/>
                <w:szCs w:val="15"/>
              </w:rPr>
            </w:pPr>
            <w:r>
              <w:rPr>
                <w:color w:val="000000" w:themeColor="text1"/>
                <w:kern w:val="0"/>
                <w:sz w:val="15"/>
                <w:szCs w:val="15"/>
              </w:rPr>
              <w:t>52.49</w:t>
            </w:r>
          </w:p>
        </w:tc>
        <w:tc>
          <w:tcPr>
            <w:tcW w:w="316" w:type="pct"/>
            <w:shd w:val="clear" w:color="auto" w:fill="auto"/>
            <w:noWrap/>
            <w:vAlign w:val="center"/>
          </w:tcPr>
          <w:p w14:paraId="557C9F0A">
            <w:pPr>
              <w:widowControl/>
              <w:adjustRightInd w:val="0"/>
              <w:snapToGrid w:val="0"/>
              <w:jc w:val="center"/>
              <w:rPr>
                <w:color w:val="000000" w:themeColor="text1"/>
                <w:kern w:val="0"/>
                <w:sz w:val="15"/>
                <w:szCs w:val="15"/>
              </w:rPr>
            </w:pPr>
            <w:r>
              <w:rPr>
                <w:color w:val="000000" w:themeColor="text1"/>
                <w:kern w:val="0"/>
                <w:sz w:val="15"/>
                <w:szCs w:val="15"/>
              </w:rPr>
              <w:t>50.91</w:t>
            </w:r>
          </w:p>
        </w:tc>
        <w:tc>
          <w:tcPr>
            <w:tcW w:w="316" w:type="pct"/>
            <w:shd w:val="clear" w:color="auto" w:fill="auto"/>
            <w:noWrap/>
            <w:vAlign w:val="center"/>
          </w:tcPr>
          <w:p w14:paraId="4A458BB5">
            <w:pPr>
              <w:widowControl/>
              <w:adjustRightInd w:val="0"/>
              <w:snapToGrid w:val="0"/>
              <w:jc w:val="center"/>
              <w:rPr>
                <w:color w:val="000000" w:themeColor="text1"/>
                <w:kern w:val="0"/>
                <w:sz w:val="15"/>
                <w:szCs w:val="15"/>
              </w:rPr>
            </w:pPr>
            <w:r>
              <w:rPr>
                <w:color w:val="000000" w:themeColor="text1"/>
                <w:kern w:val="0"/>
                <w:sz w:val="15"/>
                <w:szCs w:val="15"/>
              </w:rPr>
              <w:t>49.53</w:t>
            </w:r>
          </w:p>
        </w:tc>
        <w:tc>
          <w:tcPr>
            <w:tcW w:w="373" w:type="pct"/>
            <w:vMerge w:val="continue"/>
            <w:shd w:val="clear" w:color="auto" w:fill="auto"/>
            <w:noWrap/>
            <w:vAlign w:val="center"/>
          </w:tcPr>
          <w:p w14:paraId="0EFB5B05">
            <w:pPr>
              <w:widowControl/>
              <w:adjustRightInd w:val="0"/>
              <w:snapToGrid w:val="0"/>
              <w:jc w:val="center"/>
              <w:rPr>
                <w:color w:val="000000" w:themeColor="text1"/>
                <w:kern w:val="0"/>
                <w:sz w:val="18"/>
                <w:szCs w:val="18"/>
              </w:rPr>
            </w:pPr>
          </w:p>
        </w:tc>
      </w:tr>
      <w:tr w14:paraId="2CC6FB8F">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0A47EF87">
            <w:pPr>
              <w:widowControl/>
              <w:adjustRightInd w:val="0"/>
              <w:snapToGrid w:val="0"/>
              <w:jc w:val="center"/>
              <w:rPr>
                <w:color w:val="000000" w:themeColor="text1"/>
                <w:kern w:val="0"/>
                <w:sz w:val="18"/>
                <w:szCs w:val="18"/>
              </w:rPr>
            </w:pPr>
            <w:r>
              <w:rPr>
                <w:color w:val="000000" w:themeColor="text1"/>
                <w:kern w:val="0"/>
                <w:sz w:val="18"/>
                <w:szCs w:val="18"/>
              </w:rPr>
              <w:t>1</w:t>
            </w:r>
          </w:p>
        </w:tc>
        <w:tc>
          <w:tcPr>
            <w:tcW w:w="539" w:type="pct"/>
            <w:shd w:val="clear" w:color="auto" w:fill="auto"/>
            <w:noWrap/>
            <w:vAlign w:val="center"/>
          </w:tcPr>
          <w:p w14:paraId="7BCEC6C9">
            <w:pPr>
              <w:widowControl/>
              <w:adjustRightInd w:val="0"/>
              <w:snapToGrid w:val="0"/>
              <w:jc w:val="center"/>
              <w:rPr>
                <w:color w:val="000000" w:themeColor="text1"/>
                <w:kern w:val="0"/>
                <w:sz w:val="18"/>
                <w:szCs w:val="18"/>
              </w:rPr>
            </w:pPr>
            <w:r>
              <w:rPr>
                <w:color w:val="000000" w:themeColor="text1"/>
                <w:kern w:val="0"/>
                <w:sz w:val="18"/>
                <w:szCs w:val="18"/>
              </w:rPr>
              <w:t>电锤</w:t>
            </w:r>
          </w:p>
        </w:tc>
        <w:tc>
          <w:tcPr>
            <w:tcW w:w="315" w:type="pct"/>
            <w:shd w:val="clear" w:color="auto" w:fill="auto"/>
            <w:noWrap/>
            <w:vAlign w:val="center"/>
          </w:tcPr>
          <w:p w14:paraId="5C9A6117">
            <w:pPr>
              <w:widowControl/>
              <w:adjustRightInd w:val="0"/>
              <w:snapToGrid w:val="0"/>
              <w:jc w:val="center"/>
              <w:rPr>
                <w:color w:val="000000" w:themeColor="text1"/>
                <w:kern w:val="0"/>
                <w:sz w:val="15"/>
                <w:szCs w:val="15"/>
              </w:rPr>
            </w:pPr>
            <w:r>
              <w:rPr>
                <w:color w:val="000000" w:themeColor="text1"/>
                <w:kern w:val="0"/>
                <w:sz w:val="15"/>
                <w:szCs w:val="15"/>
              </w:rPr>
              <w:t>65</w:t>
            </w:r>
          </w:p>
        </w:tc>
        <w:tc>
          <w:tcPr>
            <w:tcW w:w="316" w:type="pct"/>
            <w:shd w:val="clear" w:color="auto" w:fill="auto"/>
            <w:noWrap/>
            <w:vAlign w:val="center"/>
          </w:tcPr>
          <w:p w14:paraId="1878E50B">
            <w:pPr>
              <w:widowControl/>
              <w:adjustRightInd w:val="0"/>
              <w:snapToGrid w:val="0"/>
              <w:jc w:val="center"/>
              <w:rPr>
                <w:color w:val="000000" w:themeColor="text1"/>
                <w:kern w:val="0"/>
                <w:sz w:val="15"/>
                <w:szCs w:val="15"/>
              </w:rPr>
            </w:pPr>
            <w:r>
              <w:rPr>
                <w:color w:val="000000" w:themeColor="text1"/>
                <w:kern w:val="0"/>
                <w:sz w:val="15"/>
                <w:szCs w:val="15"/>
              </w:rPr>
              <w:t>58.98</w:t>
            </w:r>
          </w:p>
        </w:tc>
        <w:tc>
          <w:tcPr>
            <w:tcW w:w="316" w:type="pct"/>
            <w:shd w:val="clear" w:color="auto" w:fill="auto"/>
            <w:noWrap/>
            <w:vAlign w:val="center"/>
          </w:tcPr>
          <w:p w14:paraId="0D108173">
            <w:pPr>
              <w:widowControl/>
              <w:adjustRightInd w:val="0"/>
              <w:snapToGrid w:val="0"/>
              <w:jc w:val="center"/>
              <w:rPr>
                <w:color w:val="000000" w:themeColor="text1"/>
                <w:kern w:val="0"/>
                <w:sz w:val="15"/>
                <w:szCs w:val="15"/>
              </w:rPr>
            </w:pPr>
            <w:r>
              <w:rPr>
                <w:color w:val="000000" w:themeColor="text1"/>
                <w:kern w:val="0"/>
                <w:sz w:val="15"/>
                <w:szCs w:val="15"/>
              </w:rPr>
              <w:t>55.46</w:t>
            </w:r>
          </w:p>
        </w:tc>
        <w:tc>
          <w:tcPr>
            <w:tcW w:w="316" w:type="pct"/>
            <w:shd w:val="clear" w:color="auto" w:fill="auto"/>
            <w:noWrap/>
            <w:vAlign w:val="center"/>
          </w:tcPr>
          <w:p w14:paraId="3806BC66">
            <w:pPr>
              <w:widowControl/>
              <w:adjustRightInd w:val="0"/>
              <w:snapToGrid w:val="0"/>
              <w:jc w:val="center"/>
              <w:rPr>
                <w:color w:val="000000" w:themeColor="text1"/>
                <w:kern w:val="0"/>
                <w:sz w:val="15"/>
                <w:szCs w:val="15"/>
              </w:rPr>
            </w:pPr>
            <w:r>
              <w:rPr>
                <w:color w:val="000000" w:themeColor="text1"/>
                <w:kern w:val="0"/>
                <w:sz w:val="15"/>
                <w:szCs w:val="15"/>
              </w:rPr>
              <w:t>51.02</w:t>
            </w:r>
          </w:p>
        </w:tc>
        <w:tc>
          <w:tcPr>
            <w:tcW w:w="315" w:type="pct"/>
            <w:shd w:val="clear" w:color="auto" w:fill="auto"/>
            <w:noWrap/>
            <w:vAlign w:val="center"/>
          </w:tcPr>
          <w:p w14:paraId="086D5522">
            <w:pPr>
              <w:widowControl/>
              <w:adjustRightInd w:val="0"/>
              <w:snapToGrid w:val="0"/>
              <w:jc w:val="center"/>
              <w:rPr>
                <w:color w:val="000000" w:themeColor="text1"/>
                <w:kern w:val="0"/>
                <w:sz w:val="15"/>
                <w:szCs w:val="15"/>
              </w:rPr>
            </w:pPr>
            <w:r>
              <w:rPr>
                <w:color w:val="000000" w:themeColor="text1"/>
                <w:kern w:val="0"/>
                <w:sz w:val="15"/>
                <w:szCs w:val="15"/>
              </w:rPr>
              <w:t>49.44</w:t>
            </w:r>
          </w:p>
        </w:tc>
        <w:tc>
          <w:tcPr>
            <w:tcW w:w="316" w:type="pct"/>
            <w:shd w:val="clear" w:color="auto" w:fill="auto"/>
            <w:noWrap/>
            <w:vAlign w:val="center"/>
          </w:tcPr>
          <w:p w14:paraId="3A2F1BC0">
            <w:pPr>
              <w:widowControl/>
              <w:adjustRightInd w:val="0"/>
              <w:snapToGrid w:val="0"/>
              <w:jc w:val="center"/>
              <w:rPr>
                <w:color w:val="000000" w:themeColor="text1"/>
                <w:kern w:val="0"/>
                <w:sz w:val="15"/>
                <w:szCs w:val="15"/>
              </w:rPr>
            </w:pPr>
            <w:r>
              <w:rPr>
                <w:color w:val="000000" w:themeColor="text1"/>
                <w:kern w:val="0"/>
                <w:sz w:val="15"/>
                <w:szCs w:val="15"/>
              </w:rPr>
              <w:t>48.1</w:t>
            </w:r>
          </w:p>
        </w:tc>
        <w:tc>
          <w:tcPr>
            <w:tcW w:w="316" w:type="pct"/>
            <w:shd w:val="clear" w:color="auto" w:fill="auto"/>
            <w:noWrap/>
            <w:vAlign w:val="center"/>
          </w:tcPr>
          <w:p w14:paraId="35A5FE61">
            <w:pPr>
              <w:widowControl/>
              <w:adjustRightInd w:val="0"/>
              <w:snapToGrid w:val="0"/>
              <w:jc w:val="center"/>
              <w:rPr>
                <w:color w:val="000000" w:themeColor="text1"/>
                <w:kern w:val="0"/>
                <w:sz w:val="15"/>
                <w:szCs w:val="15"/>
              </w:rPr>
            </w:pPr>
            <w:r>
              <w:rPr>
                <w:color w:val="000000" w:themeColor="text1"/>
                <w:kern w:val="0"/>
                <w:sz w:val="15"/>
                <w:szCs w:val="15"/>
              </w:rPr>
              <w:t>45</w:t>
            </w:r>
          </w:p>
        </w:tc>
        <w:tc>
          <w:tcPr>
            <w:tcW w:w="316" w:type="pct"/>
            <w:shd w:val="clear" w:color="auto" w:fill="auto"/>
            <w:noWrap/>
            <w:vAlign w:val="center"/>
          </w:tcPr>
          <w:p w14:paraId="53B7E91A">
            <w:pPr>
              <w:widowControl/>
              <w:adjustRightInd w:val="0"/>
              <w:snapToGrid w:val="0"/>
              <w:jc w:val="center"/>
              <w:rPr>
                <w:color w:val="000000" w:themeColor="text1"/>
                <w:kern w:val="0"/>
                <w:sz w:val="15"/>
                <w:szCs w:val="15"/>
              </w:rPr>
            </w:pPr>
            <w:r>
              <w:rPr>
                <w:color w:val="000000" w:themeColor="text1"/>
                <w:kern w:val="0"/>
                <w:sz w:val="15"/>
                <w:szCs w:val="15"/>
              </w:rPr>
              <w:t>41.48</w:t>
            </w:r>
          </w:p>
        </w:tc>
        <w:tc>
          <w:tcPr>
            <w:tcW w:w="315" w:type="pct"/>
            <w:shd w:val="clear" w:color="auto" w:fill="auto"/>
            <w:noWrap/>
            <w:vAlign w:val="center"/>
          </w:tcPr>
          <w:p w14:paraId="1FD9960B">
            <w:pPr>
              <w:widowControl/>
              <w:adjustRightInd w:val="0"/>
              <w:snapToGrid w:val="0"/>
              <w:jc w:val="center"/>
              <w:rPr>
                <w:color w:val="000000" w:themeColor="text1"/>
                <w:kern w:val="0"/>
                <w:sz w:val="15"/>
                <w:szCs w:val="15"/>
              </w:rPr>
            </w:pPr>
            <w:r>
              <w:rPr>
                <w:color w:val="000000" w:themeColor="text1"/>
                <w:kern w:val="0"/>
                <w:sz w:val="15"/>
                <w:szCs w:val="15"/>
              </w:rPr>
              <w:t>38.98</w:t>
            </w:r>
          </w:p>
        </w:tc>
        <w:tc>
          <w:tcPr>
            <w:tcW w:w="316" w:type="pct"/>
            <w:shd w:val="clear" w:color="auto" w:fill="auto"/>
            <w:noWrap/>
            <w:vAlign w:val="center"/>
          </w:tcPr>
          <w:p w14:paraId="0F91FA67">
            <w:pPr>
              <w:widowControl/>
              <w:adjustRightInd w:val="0"/>
              <w:snapToGrid w:val="0"/>
              <w:jc w:val="center"/>
              <w:rPr>
                <w:color w:val="000000" w:themeColor="text1"/>
                <w:kern w:val="0"/>
                <w:sz w:val="15"/>
                <w:szCs w:val="15"/>
              </w:rPr>
            </w:pPr>
            <w:r>
              <w:rPr>
                <w:color w:val="000000" w:themeColor="text1"/>
                <w:kern w:val="0"/>
                <w:sz w:val="15"/>
                <w:szCs w:val="15"/>
              </w:rPr>
              <w:t>37.04</w:t>
            </w:r>
          </w:p>
        </w:tc>
        <w:tc>
          <w:tcPr>
            <w:tcW w:w="316" w:type="pct"/>
            <w:shd w:val="clear" w:color="auto" w:fill="auto"/>
            <w:noWrap/>
            <w:vAlign w:val="center"/>
          </w:tcPr>
          <w:p w14:paraId="6F5A1BE2">
            <w:pPr>
              <w:widowControl/>
              <w:adjustRightInd w:val="0"/>
              <w:snapToGrid w:val="0"/>
              <w:jc w:val="center"/>
              <w:rPr>
                <w:color w:val="000000" w:themeColor="text1"/>
                <w:kern w:val="0"/>
                <w:sz w:val="15"/>
                <w:szCs w:val="15"/>
              </w:rPr>
            </w:pPr>
            <w:r>
              <w:rPr>
                <w:color w:val="000000" w:themeColor="text1"/>
                <w:kern w:val="0"/>
                <w:sz w:val="15"/>
                <w:szCs w:val="15"/>
              </w:rPr>
              <w:t>35.46</w:t>
            </w:r>
          </w:p>
        </w:tc>
        <w:tc>
          <w:tcPr>
            <w:tcW w:w="316" w:type="pct"/>
            <w:shd w:val="clear" w:color="auto" w:fill="auto"/>
            <w:noWrap/>
            <w:vAlign w:val="center"/>
          </w:tcPr>
          <w:p w14:paraId="342054AF">
            <w:pPr>
              <w:widowControl/>
              <w:adjustRightInd w:val="0"/>
              <w:snapToGrid w:val="0"/>
              <w:jc w:val="center"/>
              <w:rPr>
                <w:color w:val="000000" w:themeColor="text1"/>
                <w:kern w:val="0"/>
                <w:sz w:val="15"/>
                <w:szCs w:val="15"/>
              </w:rPr>
            </w:pPr>
            <w:r>
              <w:rPr>
                <w:color w:val="000000" w:themeColor="text1"/>
                <w:kern w:val="0"/>
                <w:sz w:val="15"/>
                <w:szCs w:val="15"/>
              </w:rPr>
              <w:t>34.12</w:t>
            </w:r>
          </w:p>
        </w:tc>
        <w:tc>
          <w:tcPr>
            <w:tcW w:w="373" w:type="pct"/>
            <w:vMerge w:val="restart"/>
            <w:shd w:val="clear" w:color="auto" w:fill="auto"/>
            <w:noWrap/>
            <w:vAlign w:val="center"/>
          </w:tcPr>
          <w:p w14:paraId="504125E6">
            <w:pPr>
              <w:widowControl/>
              <w:adjustRightInd w:val="0"/>
              <w:snapToGrid w:val="0"/>
              <w:jc w:val="center"/>
              <w:rPr>
                <w:color w:val="000000" w:themeColor="text1"/>
                <w:kern w:val="0"/>
                <w:sz w:val="18"/>
                <w:szCs w:val="18"/>
              </w:rPr>
            </w:pPr>
            <w:r>
              <w:rPr>
                <w:color w:val="000000" w:themeColor="text1"/>
                <w:kern w:val="0"/>
                <w:sz w:val="18"/>
                <w:szCs w:val="18"/>
              </w:rPr>
              <w:t>装修阶段</w:t>
            </w:r>
          </w:p>
        </w:tc>
      </w:tr>
      <w:tr w14:paraId="2C49F43F">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7B82F15C">
            <w:pPr>
              <w:widowControl/>
              <w:adjustRightInd w:val="0"/>
              <w:snapToGrid w:val="0"/>
              <w:jc w:val="center"/>
              <w:rPr>
                <w:color w:val="000000" w:themeColor="text1"/>
                <w:kern w:val="0"/>
                <w:sz w:val="18"/>
                <w:szCs w:val="18"/>
              </w:rPr>
            </w:pPr>
            <w:r>
              <w:rPr>
                <w:color w:val="000000" w:themeColor="text1"/>
                <w:kern w:val="0"/>
                <w:sz w:val="18"/>
                <w:szCs w:val="18"/>
              </w:rPr>
              <w:t>2</w:t>
            </w:r>
          </w:p>
        </w:tc>
        <w:tc>
          <w:tcPr>
            <w:tcW w:w="539" w:type="pct"/>
            <w:shd w:val="clear" w:color="auto" w:fill="auto"/>
            <w:noWrap/>
            <w:vAlign w:val="center"/>
          </w:tcPr>
          <w:p w14:paraId="4725DB34">
            <w:pPr>
              <w:widowControl/>
              <w:adjustRightInd w:val="0"/>
              <w:snapToGrid w:val="0"/>
              <w:jc w:val="center"/>
              <w:rPr>
                <w:color w:val="000000" w:themeColor="text1"/>
                <w:kern w:val="0"/>
                <w:sz w:val="18"/>
                <w:szCs w:val="18"/>
              </w:rPr>
            </w:pPr>
            <w:r>
              <w:rPr>
                <w:color w:val="000000" w:themeColor="text1"/>
                <w:kern w:val="0"/>
                <w:sz w:val="18"/>
                <w:szCs w:val="18"/>
              </w:rPr>
              <w:t>升降机</w:t>
            </w:r>
          </w:p>
        </w:tc>
        <w:tc>
          <w:tcPr>
            <w:tcW w:w="315" w:type="pct"/>
            <w:shd w:val="clear" w:color="auto" w:fill="auto"/>
            <w:noWrap/>
            <w:vAlign w:val="center"/>
          </w:tcPr>
          <w:p w14:paraId="713646FE">
            <w:pPr>
              <w:widowControl/>
              <w:adjustRightInd w:val="0"/>
              <w:snapToGrid w:val="0"/>
              <w:jc w:val="center"/>
              <w:rPr>
                <w:color w:val="000000" w:themeColor="text1"/>
                <w:kern w:val="0"/>
                <w:sz w:val="15"/>
                <w:szCs w:val="15"/>
              </w:rPr>
            </w:pPr>
            <w:r>
              <w:rPr>
                <w:color w:val="000000" w:themeColor="text1"/>
                <w:kern w:val="0"/>
                <w:sz w:val="15"/>
                <w:szCs w:val="15"/>
              </w:rPr>
              <w:t>60</w:t>
            </w:r>
          </w:p>
        </w:tc>
        <w:tc>
          <w:tcPr>
            <w:tcW w:w="316" w:type="pct"/>
            <w:shd w:val="clear" w:color="auto" w:fill="auto"/>
            <w:noWrap/>
            <w:vAlign w:val="center"/>
          </w:tcPr>
          <w:p w14:paraId="2FB8F667">
            <w:pPr>
              <w:widowControl/>
              <w:adjustRightInd w:val="0"/>
              <w:snapToGrid w:val="0"/>
              <w:jc w:val="center"/>
              <w:rPr>
                <w:color w:val="000000" w:themeColor="text1"/>
                <w:kern w:val="0"/>
                <w:sz w:val="15"/>
                <w:szCs w:val="15"/>
              </w:rPr>
            </w:pPr>
            <w:r>
              <w:rPr>
                <w:color w:val="000000" w:themeColor="text1"/>
                <w:kern w:val="0"/>
                <w:sz w:val="15"/>
                <w:szCs w:val="15"/>
              </w:rPr>
              <w:t>53.98</w:t>
            </w:r>
          </w:p>
        </w:tc>
        <w:tc>
          <w:tcPr>
            <w:tcW w:w="316" w:type="pct"/>
            <w:shd w:val="clear" w:color="auto" w:fill="auto"/>
            <w:noWrap/>
            <w:vAlign w:val="center"/>
          </w:tcPr>
          <w:p w14:paraId="75424086">
            <w:pPr>
              <w:widowControl/>
              <w:adjustRightInd w:val="0"/>
              <w:snapToGrid w:val="0"/>
              <w:jc w:val="center"/>
              <w:rPr>
                <w:color w:val="000000" w:themeColor="text1"/>
                <w:kern w:val="0"/>
                <w:sz w:val="15"/>
                <w:szCs w:val="15"/>
              </w:rPr>
            </w:pPr>
            <w:r>
              <w:rPr>
                <w:color w:val="000000" w:themeColor="text1"/>
                <w:kern w:val="0"/>
                <w:sz w:val="15"/>
                <w:szCs w:val="15"/>
              </w:rPr>
              <w:t>50.46</w:t>
            </w:r>
          </w:p>
        </w:tc>
        <w:tc>
          <w:tcPr>
            <w:tcW w:w="316" w:type="pct"/>
            <w:shd w:val="clear" w:color="auto" w:fill="auto"/>
            <w:noWrap/>
            <w:vAlign w:val="center"/>
          </w:tcPr>
          <w:p w14:paraId="652E34B7">
            <w:pPr>
              <w:widowControl/>
              <w:adjustRightInd w:val="0"/>
              <w:snapToGrid w:val="0"/>
              <w:jc w:val="center"/>
              <w:rPr>
                <w:color w:val="000000" w:themeColor="text1"/>
                <w:kern w:val="0"/>
                <w:sz w:val="15"/>
                <w:szCs w:val="15"/>
              </w:rPr>
            </w:pPr>
            <w:r>
              <w:rPr>
                <w:color w:val="000000" w:themeColor="text1"/>
                <w:kern w:val="0"/>
                <w:sz w:val="15"/>
                <w:szCs w:val="15"/>
              </w:rPr>
              <w:t>46.02</w:t>
            </w:r>
          </w:p>
        </w:tc>
        <w:tc>
          <w:tcPr>
            <w:tcW w:w="315" w:type="pct"/>
            <w:shd w:val="clear" w:color="auto" w:fill="auto"/>
            <w:noWrap/>
            <w:vAlign w:val="center"/>
          </w:tcPr>
          <w:p w14:paraId="4A23DD0A">
            <w:pPr>
              <w:widowControl/>
              <w:adjustRightInd w:val="0"/>
              <w:snapToGrid w:val="0"/>
              <w:jc w:val="center"/>
              <w:rPr>
                <w:color w:val="000000" w:themeColor="text1"/>
                <w:kern w:val="0"/>
                <w:sz w:val="15"/>
                <w:szCs w:val="15"/>
              </w:rPr>
            </w:pPr>
            <w:r>
              <w:rPr>
                <w:color w:val="000000" w:themeColor="text1"/>
                <w:kern w:val="0"/>
                <w:sz w:val="15"/>
                <w:szCs w:val="15"/>
              </w:rPr>
              <w:t>44.44</w:t>
            </w:r>
          </w:p>
        </w:tc>
        <w:tc>
          <w:tcPr>
            <w:tcW w:w="316" w:type="pct"/>
            <w:shd w:val="clear" w:color="auto" w:fill="auto"/>
            <w:noWrap/>
            <w:vAlign w:val="center"/>
          </w:tcPr>
          <w:p w14:paraId="5C64486A">
            <w:pPr>
              <w:widowControl/>
              <w:adjustRightInd w:val="0"/>
              <w:snapToGrid w:val="0"/>
              <w:jc w:val="center"/>
              <w:rPr>
                <w:color w:val="000000" w:themeColor="text1"/>
                <w:kern w:val="0"/>
                <w:sz w:val="15"/>
                <w:szCs w:val="15"/>
              </w:rPr>
            </w:pPr>
            <w:r>
              <w:rPr>
                <w:color w:val="000000" w:themeColor="text1"/>
                <w:kern w:val="0"/>
                <w:sz w:val="15"/>
                <w:szCs w:val="15"/>
              </w:rPr>
              <w:t>43.1</w:t>
            </w:r>
          </w:p>
        </w:tc>
        <w:tc>
          <w:tcPr>
            <w:tcW w:w="316" w:type="pct"/>
            <w:shd w:val="clear" w:color="auto" w:fill="auto"/>
            <w:noWrap/>
            <w:vAlign w:val="center"/>
          </w:tcPr>
          <w:p w14:paraId="07168889">
            <w:pPr>
              <w:widowControl/>
              <w:adjustRightInd w:val="0"/>
              <w:snapToGrid w:val="0"/>
              <w:jc w:val="center"/>
              <w:rPr>
                <w:color w:val="000000" w:themeColor="text1"/>
                <w:kern w:val="0"/>
                <w:sz w:val="15"/>
                <w:szCs w:val="15"/>
              </w:rPr>
            </w:pPr>
            <w:r>
              <w:rPr>
                <w:color w:val="000000" w:themeColor="text1"/>
                <w:kern w:val="0"/>
                <w:sz w:val="15"/>
                <w:szCs w:val="15"/>
              </w:rPr>
              <w:t>40</w:t>
            </w:r>
          </w:p>
        </w:tc>
        <w:tc>
          <w:tcPr>
            <w:tcW w:w="316" w:type="pct"/>
            <w:shd w:val="clear" w:color="auto" w:fill="auto"/>
            <w:noWrap/>
            <w:vAlign w:val="center"/>
          </w:tcPr>
          <w:p w14:paraId="6C5B2687">
            <w:pPr>
              <w:widowControl/>
              <w:adjustRightInd w:val="0"/>
              <w:snapToGrid w:val="0"/>
              <w:jc w:val="center"/>
              <w:rPr>
                <w:color w:val="000000" w:themeColor="text1"/>
                <w:kern w:val="0"/>
                <w:sz w:val="15"/>
                <w:szCs w:val="15"/>
              </w:rPr>
            </w:pPr>
            <w:r>
              <w:rPr>
                <w:color w:val="000000" w:themeColor="text1"/>
                <w:kern w:val="0"/>
                <w:sz w:val="15"/>
                <w:szCs w:val="15"/>
              </w:rPr>
              <w:t>36.48</w:t>
            </w:r>
          </w:p>
        </w:tc>
        <w:tc>
          <w:tcPr>
            <w:tcW w:w="315" w:type="pct"/>
            <w:shd w:val="clear" w:color="auto" w:fill="auto"/>
            <w:noWrap/>
            <w:vAlign w:val="center"/>
          </w:tcPr>
          <w:p w14:paraId="51EE5C83">
            <w:pPr>
              <w:widowControl/>
              <w:adjustRightInd w:val="0"/>
              <w:snapToGrid w:val="0"/>
              <w:jc w:val="center"/>
              <w:rPr>
                <w:color w:val="000000" w:themeColor="text1"/>
                <w:kern w:val="0"/>
                <w:sz w:val="15"/>
                <w:szCs w:val="15"/>
              </w:rPr>
            </w:pPr>
            <w:r>
              <w:rPr>
                <w:color w:val="000000" w:themeColor="text1"/>
                <w:kern w:val="0"/>
                <w:sz w:val="15"/>
                <w:szCs w:val="15"/>
              </w:rPr>
              <w:t>33.98</w:t>
            </w:r>
          </w:p>
        </w:tc>
        <w:tc>
          <w:tcPr>
            <w:tcW w:w="316" w:type="pct"/>
            <w:shd w:val="clear" w:color="auto" w:fill="auto"/>
            <w:noWrap/>
            <w:vAlign w:val="center"/>
          </w:tcPr>
          <w:p w14:paraId="12A84A99">
            <w:pPr>
              <w:widowControl/>
              <w:adjustRightInd w:val="0"/>
              <w:snapToGrid w:val="0"/>
              <w:jc w:val="center"/>
              <w:rPr>
                <w:color w:val="000000" w:themeColor="text1"/>
                <w:kern w:val="0"/>
                <w:sz w:val="15"/>
                <w:szCs w:val="15"/>
              </w:rPr>
            </w:pPr>
            <w:r>
              <w:rPr>
                <w:color w:val="000000" w:themeColor="text1"/>
                <w:kern w:val="0"/>
                <w:sz w:val="15"/>
                <w:szCs w:val="15"/>
              </w:rPr>
              <w:t>32.04</w:t>
            </w:r>
          </w:p>
        </w:tc>
        <w:tc>
          <w:tcPr>
            <w:tcW w:w="316" w:type="pct"/>
            <w:shd w:val="clear" w:color="auto" w:fill="auto"/>
            <w:noWrap/>
            <w:vAlign w:val="center"/>
          </w:tcPr>
          <w:p w14:paraId="75424932">
            <w:pPr>
              <w:widowControl/>
              <w:adjustRightInd w:val="0"/>
              <w:snapToGrid w:val="0"/>
              <w:jc w:val="center"/>
              <w:rPr>
                <w:color w:val="000000" w:themeColor="text1"/>
                <w:kern w:val="0"/>
                <w:sz w:val="15"/>
                <w:szCs w:val="15"/>
              </w:rPr>
            </w:pPr>
            <w:r>
              <w:rPr>
                <w:color w:val="000000" w:themeColor="text1"/>
                <w:kern w:val="0"/>
                <w:sz w:val="15"/>
                <w:szCs w:val="15"/>
              </w:rPr>
              <w:t>30.46</w:t>
            </w:r>
          </w:p>
        </w:tc>
        <w:tc>
          <w:tcPr>
            <w:tcW w:w="316" w:type="pct"/>
            <w:shd w:val="clear" w:color="auto" w:fill="auto"/>
            <w:noWrap/>
            <w:vAlign w:val="center"/>
          </w:tcPr>
          <w:p w14:paraId="6FEF3B8D">
            <w:pPr>
              <w:widowControl/>
              <w:adjustRightInd w:val="0"/>
              <w:snapToGrid w:val="0"/>
              <w:jc w:val="center"/>
              <w:rPr>
                <w:color w:val="000000" w:themeColor="text1"/>
                <w:kern w:val="0"/>
                <w:sz w:val="15"/>
                <w:szCs w:val="15"/>
              </w:rPr>
            </w:pPr>
            <w:r>
              <w:rPr>
                <w:color w:val="000000" w:themeColor="text1"/>
                <w:kern w:val="0"/>
                <w:sz w:val="15"/>
                <w:szCs w:val="15"/>
              </w:rPr>
              <w:t>29.12</w:t>
            </w:r>
          </w:p>
        </w:tc>
        <w:tc>
          <w:tcPr>
            <w:tcW w:w="373" w:type="pct"/>
            <w:vMerge w:val="continue"/>
            <w:shd w:val="clear" w:color="auto" w:fill="auto"/>
            <w:noWrap/>
            <w:vAlign w:val="center"/>
          </w:tcPr>
          <w:p w14:paraId="2ECD2B78">
            <w:pPr>
              <w:widowControl/>
              <w:adjustRightInd w:val="0"/>
              <w:snapToGrid w:val="0"/>
              <w:jc w:val="center"/>
              <w:rPr>
                <w:color w:val="000000" w:themeColor="text1"/>
                <w:kern w:val="0"/>
                <w:sz w:val="18"/>
                <w:szCs w:val="18"/>
              </w:rPr>
            </w:pPr>
          </w:p>
        </w:tc>
      </w:tr>
      <w:tr w14:paraId="098997D7">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4F1E5456">
            <w:pPr>
              <w:widowControl/>
              <w:adjustRightInd w:val="0"/>
              <w:snapToGrid w:val="0"/>
              <w:jc w:val="center"/>
              <w:rPr>
                <w:color w:val="000000" w:themeColor="text1"/>
                <w:kern w:val="0"/>
                <w:sz w:val="18"/>
                <w:szCs w:val="18"/>
              </w:rPr>
            </w:pPr>
            <w:r>
              <w:rPr>
                <w:color w:val="000000" w:themeColor="text1"/>
                <w:kern w:val="0"/>
                <w:sz w:val="18"/>
                <w:szCs w:val="18"/>
              </w:rPr>
              <w:t>3</w:t>
            </w:r>
          </w:p>
        </w:tc>
        <w:tc>
          <w:tcPr>
            <w:tcW w:w="539" w:type="pct"/>
            <w:shd w:val="clear" w:color="auto" w:fill="auto"/>
            <w:noWrap/>
            <w:vAlign w:val="center"/>
          </w:tcPr>
          <w:p w14:paraId="74A46DFD">
            <w:pPr>
              <w:widowControl/>
              <w:adjustRightInd w:val="0"/>
              <w:snapToGrid w:val="0"/>
              <w:jc w:val="center"/>
              <w:rPr>
                <w:color w:val="000000" w:themeColor="text1"/>
                <w:kern w:val="0"/>
                <w:sz w:val="18"/>
                <w:szCs w:val="18"/>
              </w:rPr>
            </w:pPr>
            <w:r>
              <w:rPr>
                <w:color w:val="000000" w:themeColor="text1"/>
                <w:kern w:val="0"/>
                <w:sz w:val="18"/>
                <w:szCs w:val="18"/>
              </w:rPr>
              <w:t>砂浆机</w:t>
            </w:r>
          </w:p>
        </w:tc>
        <w:tc>
          <w:tcPr>
            <w:tcW w:w="315" w:type="pct"/>
            <w:shd w:val="clear" w:color="auto" w:fill="auto"/>
            <w:noWrap/>
            <w:vAlign w:val="center"/>
          </w:tcPr>
          <w:p w14:paraId="3F63EDD0">
            <w:pPr>
              <w:widowControl/>
              <w:adjustRightInd w:val="0"/>
              <w:snapToGrid w:val="0"/>
              <w:jc w:val="center"/>
              <w:rPr>
                <w:color w:val="000000" w:themeColor="text1"/>
                <w:kern w:val="0"/>
                <w:sz w:val="15"/>
                <w:szCs w:val="15"/>
              </w:rPr>
            </w:pPr>
            <w:r>
              <w:rPr>
                <w:color w:val="000000" w:themeColor="text1"/>
                <w:kern w:val="0"/>
                <w:sz w:val="15"/>
                <w:szCs w:val="15"/>
              </w:rPr>
              <w:t>70</w:t>
            </w:r>
          </w:p>
        </w:tc>
        <w:tc>
          <w:tcPr>
            <w:tcW w:w="316" w:type="pct"/>
            <w:shd w:val="clear" w:color="auto" w:fill="auto"/>
            <w:noWrap/>
            <w:vAlign w:val="center"/>
          </w:tcPr>
          <w:p w14:paraId="14F40D55">
            <w:pPr>
              <w:widowControl/>
              <w:adjustRightInd w:val="0"/>
              <w:snapToGrid w:val="0"/>
              <w:jc w:val="center"/>
              <w:rPr>
                <w:color w:val="000000" w:themeColor="text1"/>
                <w:kern w:val="0"/>
                <w:sz w:val="15"/>
                <w:szCs w:val="15"/>
              </w:rPr>
            </w:pPr>
            <w:r>
              <w:rPr>
                <w:color w:val="000000" w:themeColor="text1"/>
                <w:kern w:val="0"/>
                <w:sz w:val="15"/>
                <w:szCs w:val="15"/>
              </w:rPr>
              <w:t>63.98</w:t>
            </w:r>
          </w:p>
        </w:tc>
        <w:tc>
          <w:tcPr>
            <w:tcW w:w="316" w:type="pct"/>
            <w:shd w:val="clear" w:color="auto" w:fill="auto"/>
            <w:noWrap/>
            <w:vAlign w:val="center"/>
          </w:tcPr>
          <w:p w14:paraId="09F7691D">
            <w:pPr>
              <w:widowControl/>
              <w:adjustRightInd w:val="0"/>
              <w:snapToGrid w:val="0"/>
              <w:jc w:val="center"/>
              <w:rPr>
                <w:color w:val="000000" w:themeColor="text1"/>
                <w:kern w:val="0"/>
                <w:sz w:val="15"/>
                <w:szCs w:val="15"/>
              </w:rPr>
            </w:pPr>
            <w:r>
              <w:rPr>
                <w:color w:val="000000" w:themeColor="text1"/>
                <w:kern w:val="0"/>
                <w:sz w:val="15"/>
                <w:szCs w:val="15"/>
              </w:rPr>
              <w:t>60.46</w:t>
            </w:r>
          </w:p>
        </w:tc>
        <w:tc>
          <w:tcPr>
            <w:tcW w:w="316" w:type="pct"/>
            <w:shd w:val="clear" w:color="auto" w:fill="auto"/>
            <w:noWrap/>
            <w:vAlign w:val="center"/>
          </w:tcPr>
          <w:p w14:paraId="557D3869">
            <w:pPr>
              <w:widowControl/>
              <w:adjustRightInd w:val="0"/>
              <w:snapToGrid w:val="0"/>
              <w:jc w:val="center"/>
              <w:rPr>
                <w:color w:val="000000" w:themeColor="text1"/>
                <w:kern w:val="0"/>
                <w:sz w:val="15"/>
                <w:szCs w:val="15"/>
              </w:rPr>
            </w:pPr>
            <w:r>
              <w:rPr>
                <w:color w:val="000000" w:themeColor="text1"/>
                <w:kern w:val="0"/>
                <w:sz w:val="15"/>
                <w:szCs w:val="15"/>
              </w:rPr>
              <w:t>56.02</w:t>
            </w:r>
          </w:p>
        </w:tc>
        <w:tc>
          <w:tcPr>
            <w:tcW w:w="315" w:type="pct"/>
            <w:shd w:val="clear" w:color="auto" w:fill="auto"/>
            <w:noWrap/>
            <w:vAlign w:val="center"/>
          </w:tcPr>
          <w:p w14:paraId="02D194A8">
            <w:pPr>
              <w:widowControl/>
              <w:adjustRightInd w:val="0"/>
              <w:snapToGrid w:val="0"/>
              <w:jc w:val="center"/>
              <w:rPr>
                <w:color w:val="000000" w:themeColor="text1"/>
                <w:kern w:val="0"/>
                <w:sz w:val="15"/>
                <w:szCs w:val="15"/>
              </w:rPr>
            </w:pPr>
            <w:r>
              <w:rPr>
                <w:color w:val="000000" w:themeColor="text1"/>
                <w:kern w:val="0"/>
                <w:sz w:val="15"/>
                <w:szCs w:val="15"/>
              </w:rPr>
              <w:t>54.44</w:t>
            </w:r>
          </w:p>
        </w:tc>
        <w:tc>
          <w:tcPr>
            <w:tcW w:w="316" w:type="pct"/>
            <w:shd w:val="clear" w:color="auto" w:fill="auto"/>
            <w:noWrap/>
            <w:vAlign w:val="center"/>
          </w:tcPr>
          <w:p w14:paraId="7555B1E3">
            <w:pPr>
              <w:widowControl/>
              <w:adjustRightInd w:val="0"/>
              <w:snapToGrid w:val="0"/>
              <w:jc w:val="center"/>
              <w:rPr>
                <w:color w:val="000000" w:themeColor="text1"/>
                <w:kern w:val="0"/>
                <w:sz w:val="15"/>
                <w:szCs w:val="15"/>
              </w:rPr>
            </w:pPr>
            <w:r>
              <w:rPr>
                <w:color w:val="000000" w:themeColor="text1"/>
                <w:kern w:val="0"/>
                <w:sz w:val="15"/>
                <w:szCs w:val="15"/>
              </w:rPr>
              <w:t>53.1</w:t>
            </w:r>
          </w:p>
        </w:tc>
        <w:tc>
          <w:tcPr>
            <w:tcW w:w="316" w:type="pct"/>
            <w:shd w:val="clear" w:color="auto" w:fill="auto"/>
            <w:noWrap/>
            <w:vAlign w:val="center"/>
          </w:tcPr>
          <w:p w14:paraId="5EAF8AAE">
            <w:pPr>
              <w:widowControl/>
              <w:adjustRightInd w:val="0"/>
              <w:snapToGrid w:val="0"/>
              <w:jc w:val="center"/>
              <w:rPr>
                <w:color w:val="000000" w:themeColor="text1"/>
                <w:kern w:val="0"/>
                <w:sz w:val="15"/>
                <w:szCs w:val="15"/>
              </w:rPr>
            </w:pPr>
            <w:r>
              <w:rPr>
                <w:color w:val="000000" w:themeColor="text1"/>
                <w:kern w:val="0"/>
                <w:sz w:val="15"/>
                <w:szCs w:val="15"/>
              </w:rPr>
              <w:t>50</w:t>
            </w:r>
          </w:p>
        </w:tc>
        <w:tc>
          <w:tcPr>
            <w:tcW w:w="316" w:type="pct"/>
            <w:shd w:val="clear" w:color="auto" w:fill="auto"/>
            <w:noWrap/>
            <w:vAlign w:val="center"/>
          </w:tcPr>
          <w:p w14:paraId="398A5D05">
            <w:pPr>
              <w:widowControl/>
              <w:adjustRightInd w:val="0"/>
              <w:snapToGrid w:val="0"/>
              <w:jc w:val="center"/>
              <w:rPr>
                <w:color w:val="000000" w:themeColor="text1"/>
                <w:kern w:val="0"/>
                <w:sz w:val="15"/>
                <w:szCs w:val="15"/>
              </w:rPr>
            </w:pPr>
            <w:r>
              <w:rPr>
                <w:color w:val="000000" w:themeColor="text1"/>
                <w:kern w:val="0"/>
                <w:sz w:val="15"/>
                <w:szCs w:val="15"/>
              </w:rPr>
              <w:t>46.48</w:t>
            </w:r>
          </w:p>
        </w:tc>
        <w:tc>
          <w:tcPr>
            <w:tcW w:w="315" w:type="pct"/>
            <w:shd w:val="clear" w:color="auto" w:fill="auto"/>
            <w:noWrap/>
            <w:vAlign w:val="center"/>
          </w:tcPr>
          <w:p w14:paraId="5C692E1B">
            <w:pPr>
              <w:widowControl/>
              <w:adjustRightInd w:val="0"/>
              <w:snapToGrid w:val="0"/>
              <w:jc w:val="center"/>
              <w:rPr>
                <w:color w:val="000000" w:themeColor="text1"/>
                <w:kern w:val="0"/>
                <w:sz w:val="15"/>
                <w:szCs w:val="15"/>
              </w:rPr>
            </w:pPr>
            <w:r>
              <w:rPr>
                <w:color w:val="000000" w:themeColor="text1"/>
                <w:kern w:val="0"/>
                <w:sz w:val="15"/>
                <w:szCs w:val="15"/>
              </w:rPr>
              <w:t>43.98</w:t>
            </w:r>
          </w:p>
        </w:tc>
        <w:tc>
          <w:tcPr>
            <w:tcW w:w="316" w:type="pct"/>
            <w:shd w:val="clear" w:color="auto" w:fill="auto"/>
            <w:noWrap/>
            <w:vAlign w:val="center"/>
          </w:tcPr>
          <w:p w14:paraId="57869624">
            <w:pPr>
              <w:widowControl/>
              <w:adjustRightInd w:val="0"/>
              <w:snapToGrid w:val="0"/>
              <w:jc w:val="center"/>
              <w:rPr>
                <w:color w:val="000000" w:themeColor="text1"/>
                <w:kern w:val="0"/>
                <w:sz w:val="15"/>
                <w:szCs w:val="15"/>
              </w:rPr>
            </w:pPr>
            <w:r>
              <w:rPr>
                <w:color w:val="000000" w:themeColor="text1"/>
                <w:kern w:val="0"/>
                <w:sz w:val="15"/>
                <w:szCs w:val="15"/>
              </w:rPr>
              <w:t>42.04</w:t>
            </w:r>
          </w:p>
        </w:tc>
        <w:tc>
          <w:tcPr>
            <w:tcW w:w="316" w:type="pct"/>
            <w:shd w:val="clear" w:color="auto" w:fill="auto"/>
            <w:noWrap/>
            <w:vAlign w:val="center"/>
          </w:tcPr>
          <w:p w14:paraId="5EC25616">
            <w:pPr>
              <w:widowControl/>
              <w:adjustRightInd w:val="0"/>
              <w:snapToGrid w:val="0"/>
              <w:jc w:val="center"/>
              <w:rPr>
                <w:color w:val="000000" w:themeColor="text1"/>
                <w:kern w:val="0"/>
                <w:sz w:val="15"/>
                <w:szCs w:val="15"/>
              </w:rPr>
            </w:pPr>
            <w:r>
              <w:rPr>
                <w:color w:val="000000" w:themeColor="text1"/>
                <w:kern w:val="0"/>
                <w:sz w:val="15"/>
                <w:szCs w:val="15"/>
              </w:rPr>
              <w:t>40.46</w:t>
            </w:r>
          </w:p>
        </w:tc>
        <w:tc>
          <w:tcPr>
            <w:tcW w:w="316" w:type="pct"/>
            <w:shd w:val="clear" w:color="auto" w:fill="auto"/>
            <w:noWrap/>
            <w:vAlign w:val="center"/>
          </w:tcPr>
          <w:p w14:paraId="3C65B8EB">
            <w:pPr>
              <w:widowControl/>
              <w:adjustRightInd w:val="0"/>
              <w:snapToGrid w:val="0"/>
              <w:jc w:val="center"/>
              <w:rPr>
                <w:color w:val="000000" w:themeColor="text1"/>
                <w:kern w:val="0"/>
                <w:sz w:val="15"/>
                <w:szCs w:val="15"/>
              </w:rPr>
            </w:pPr>
            <w:r>
              <w:rPr>
                <w:color w:val="000000" w:themeColor="text1"/>
                <w:kern w:val="0"/>
                <w:sz w:val="15"/>
                <w:szCs w:val="15"/>
              </w:rPr>
              <w:t>39.12</w:t>
            </w:r>
          </w:p>
        </w:tc>
        <w:tc>
          <w:tcPr>
            <w:tcW w:w="373" w:type="pct"/>
            <w:vMerge w:val="continue"/>
            <w:shd w:val="clear" w:color="auto" w:fill="auto"/>
            <w:noWrap/>
            <w:vAlign w:val="center"/>
          </w:tcPr>
          <w:p w14:paraId="3D0C8E84">
            <w:pPr>
              <w:widowControl/>
              <w:adjustRightInd w:val="0"/>
              <w:snapToGrid w:val="0"/>
              <w:jc w:val="center"/>
              <w:rPr>
                <w:color w:val="000000" w:themeColor="text1"/>
                <w:kern w:val="0"/>
                <w:sz w:val="18"/>
                <w:szCs w:val="18"/>
              </w:rPr>
            </w:pPr>
          </w:p>
        </w:tc>
      </w:tr>
      <w:tr w14:paraId="7414BD3C">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0" w:hRule="atLeast"/>
        </w:trPr>
        <w:tc>
          <w:tcPr>
            <w:tcW w:w="299" w:type="pct"/>
            <w:shd w:val="clear" w:color="auto" w:fill="auto"/>
            <w:noWrap/>
            <w:vAlign w:val="center"/>
          </w:tcPr>
          <w:p w14:paraId="37713D70">
            <w:pPr>
              <w:widowControl/>
              <w:adjustRightInd w:val="0"/>
              <w:snapToGrid w:val="0"/>
              <w:jc w:val="center"/>
              <w:rPr>
                <w:color w:val="000000" w:themeColor="text1"/>
                <w:kern w:val="0"/>
                <w:sz w:val="18"/>
                <w:szCs w:val="18"/>
              </w:rPr>
            </w:pPr>
          </w:p>
        </w:tc>
        <w:tc>
          <w:tcPr>
            <w:tcW w:w="539" w:type="pct"/>
            <w:shd w:val="clear" w:color="auto" w:fill="auto"/>
            <w:noWrap/>
            <w:vAlign w:val="center"/>
          </w:tcPr>
          <w:p w14:paraId="662A4A04">
            <w:pPr>
              <w:widowControl/>
              <w:adjustRightInd w:val="0"/>
              <w:snapToGrid w:val="0"/>
              <w:jc w:val="center"/>
              <w:rPr>
                <w:color w:val="000000" w:themeColor="text1"/>
                <w:kern w:val="0"/>
                <w:sz w:val="18"/>
                <w:szCs w:val="18"/>
              </w:rPr>
            </w:pPr>
            <w:r>
              <w:rPr>
                <w:color w:val="000000" w:themeColor="text1"/>
                <w:kern w:val="0"/>
                <w:sz w:val="18"/>
                <w:szCs w:val="18"/>
              </w:rPr>
              <w:t>多声源叠加值</w:t>
            </w:r>
          </w:p>
        </w:tc>
        <w:tc>
          <w:tcPr>
            <w:tcW w:w="315" w:type="pct"/>
            <w:shd w:val="clear" w:color="auto" w:fill="auto"/>
            <w:noWrap/>
            <w:vAlign w:val="center"/>
          </w:tcPr>
          <w:p w14:paraId="7022C9D5">
            <w:pPr>
              <w:widowControl/>
              <w:adjustRightInd w:val="0"/>
              <w:snapToGrid w:val="0"/>
              <w:jc w:val="center"/>
              <w:rPr>
                <w:color w:val="000000" w:themeColor="text1"/>
                <w:kern w:val="0"/>
                <w:sz w:val="15"/>
                <w:szCs w:val="15"/>
              </w:rPr>
            </w:pPr>
            <w:r>
              <w:rPr>
                <w:color w:val="000000" w:themeColor="text1"/>
                <w:kern w:val="0"/>
                <w:sz w:val="15"/>
                <w:szCs w:val="15"/>
              </w:rPr>
              <w:t>71.51</w:t>
            </w:r>
          </w:p>
        </w:tc>
        <w:tc>
          <w:tcPr>
            <w:tcW w:w="316" w:type="pct"/>
            <w:shd w:val="clear" w:color="auto" w:fill="auto"/>
            <w:noWrap/>
            <w:vAlign w:val="center"/>
          </w:tcPr>
          <w:p w14:paraId="337DD668">
            <w:pPr>
              <w:widowControl/>
              <w:adjustRightInd w:val="0"/>
              <w:snapToGrid w:val="0"/>
              <w:jc w:val="center"/>
              <w:rPr>
                <w:color w:val="000000" w:themeColor="text1"/>
                <w:kern w:val="0"/>
                <w:sz w:val="15"/>
                <w:szCs w:val="15"/>
              </w:rPr>
            </w:pPr>
            <w:r>
              <w:rPr>
                <w:color w:val="000000" w:themeColor="text1"/>
                <w:kern w:val="0"/>
                <w:sz w:val="15"/>
                <w:szCs w:val="15"/>
              </w:rPr>
              <w:t>65.49</w:t>
            </w:r>
          </w:p>
        </w:tc>
        <w:tc>
          <w:tcPr>
            <w:tcW w:w="316" w:type="pct"/>
            <w:shd w:val="clear" w:color="auto" w:fill="auto"/>
            <w:noWrap/>
            <w:vAlign w:val="center"/>
          </w:tcPr>
          <w:p w14:paraId="762CBAC8">
            <w:pPr>
              <w:widowControl/>
              <w:adjustRightInd w:val="0"/>
              <w:snapToGrid w:val="0"/>
              <w:jc w:val="center"/>
              <w:rPr>
                <w:color w:val="000000" w:themeColor="text1"/>
                <w:kern w:val="0"/>
                <w:sz w:val="15"/>
                <w:szCs w:val="15"/>
              </w:rPr>
            </w:pPr>
            <w:r>
              <w:rPr>
                <w:color w:val="000000" w:themeColor="text1"/>
                <w:kern w:val="0"/>
                <w:sz w:val="15"/>
                <w:szCs w:val="15"/>
              </w:rPr>
              <w:t>61.97</w:t>
            </w:r>
          </w:p>
        </w:tc>
        <w:tc>
          <w:tcPr>
            <w:tcW w:w="316" w:type="pct"/>
            <w:shd w:val="clear" w:color="auto" w:fill="auto"/>
            <w:noWrap/>
            <w:vAlign w:val="center"/>
          </w:tcPr>
          <w:p w14:paraId="38AD12EC">
            <w:pPr>
              <w:widowControl/>
              <w:adjustRightInd w:val="0"/>
              <w:snapToGrid w:val="0"/>
              <w:jc w:val="center"/>
              <w:rPr>
                <w:color w:val="000000" w:themeColor="text1"/>
                <w:kern w:val="0"/>
                <w:sz w:val="15"/>
                <w:szCs w:val="15"/>
              </w:rPr>
            </w:pPr>
            <w:r>
              <w:rPr>
                <w:color w:val="000000" w:themeColor="text1"/>
                <w:kern w:val="0"/>
                <w:sz w:val="15"/>
                <w:szCs w:val="15"/>
              </w:rPr>
              <w:t>57.53</w:t>
            </w:r>
          </w:p>
        </w:tc>
        <w:tc>
          <w:tcPr>
            <w:tcW w:w="315" w:type="pct"/>
            <w:shd w:val="clear" w:color="auto" w:fill="auto"/>
            <w:noWrap/>
            <w:vAlign w:val="center"/>
          </w:tcPr>
          <w:p w14:paraId="6342E766">
            <w:pPr>
              <w:widowControl/>
              <w:adjustRightInd w:val="0"/>
              <w:snapToGrid w:val="0"/>
              <w:jc w:val="center"/>
              <w:rPr>
                <w:color w:val="000000" w:themeColor="text1"/>
                <w:kern w:val="0"/>
                <w:sz w:val="15"/>
                <w:szCs w:val="15"/>
              </w:rPr>
            </w:pPr>
            <w:r>
              <w:rPr>
                <w:color w:val="000000" w:themeColor="text1"/>
                <w:kern w:val="0"/>
                <w:sz w:val="15"/>
                <w:szCs w:val="15"/>
              </w:rPr>
              <w:t>55.95</w:t>
            </w:r>
          </w:p>
        </w:tc>
        <w:tc>
          <w:tcPr>
            <w:tcW w:w="316" w:type="pct"/>
            <w:shd w:val="clear" w:color="auto" w:fill="auto"/>
            <w:noWrap/>
            <w:vAlign w:val="center"/>
          </w:tcPr>
          <w:p w14:paraId="4693D8A7">
            <w:pPr>
              <w:widowControl/>
              <w:adjustRightInd w:val="0"/>
              <w:snapToGrid w:val="0"/>
              <w:jc w:val="center"/>
              <w:rPr>
                <w:color w:val="000000" w:themeColor="text1"/>
                <w:kern w:val="0"/>
                <w:sz w:val="15"/>
                <w:szCs w:val="15"/>
              </w:rPr>
            </w:pPr>
            <w:r>
              <w:rPr>
                <w:color w:val="000000" w:themeColor="text1"/>
                <w:kern w:val="0"/>
                <w:sz w:val="15"/>
                <w:szCs w:val="15"/>
              </w:rPr>
              <w:t>54.61</w:t>
            </w:r>
          </w:p>
        </w:tc>
        <w:tc>
          <w:tcPr>
            <w:tcW w:w="316" w:type="pct"/>
            <w:shd w:val="clear" w:color="auto" w:fill="auto"/>
            <w:noWrap/>
            <w:vAlign w:val="center"/>
          </w:tcPr>
          <w:p w14:paraId="43D52D41">
            <w:pPr>
              <w:widowControl/>
              <w:adjustRightInd w:val="0"/>
              <w:snapToGrid w:val="0"/>
              <w:jc w:val="center"/>
              <w:rPr>
                <w:color w:val="000000" w:themeColor="text1"/>
                <w:kern w:val="0"/>
                <w:sz w:val="15"/>
                <w:szCs w:val="15"/>
              </w:rPr>
            </w:pPr>
            <w:r>
              <w:rPr>
                <w:color w:val="000000" w:themeColor="text1"/>
                <w:kern w:val="0"/>
                <w:sz w:val="15"/>
                <w:szCs w:val="15"/>
              </w:rPr>
              <w:t>51.51</w:t>
            </w:r>
          </w:p>
        </w:tc>
        <w:tc>
          <w:tcPr>
            <w:tcW w:w="316" w:type="pct"/>
            <w:shd w:val="clear" w:color="auto" w:fill="auto"/>
            <w:noWrap/>
            <w:vAlign w:val="center"/>
          </w:tcPr>
          <w:p w14:paraId="08177723">
            <w:pPr>
              <w:widowControl/>
              <w:adjustRightInd w:val="0"/>
              <w:snapToGrid w:val="0"/>
              <w:jc w:val="center"/>
              <w:rPr>
                <w:color w:val="000000" w:themeColor="text1"/>
                <w:kern w:val="0"/>
                <w:sz w:val="15"/>
                <w:szCs w:val="15"/>
              </w:rPr>
            </w:pPr>
            <w:r>
              <w:rPr>
                <w:color w:val="000000" w:themeColor="text1"/>
                <w:kern w:val="0"/>
                <w:sz w:val="15"/>
                <w:szCs w:val="15"/>
              </w:rPr>
              <w:t>47.99</w:t>
            </w:r>
          </w:p>
        </w:tc>
        <w:tc>
          <w:tcPr>
            <w:tcW w:w="315" w:type="pct"/>
            <w:shd w:val="clear" w:color="auto" w:fill="auto"/>
            <w:noWrap/>
            <w:vAlign w:val="center"/>
          </w:tcPr>
          <w:p w14:paraId="15E64F88">
            <w:pPr>
              <w:widowControl/>
              <w:adjustRightInd w:val="0"/>
              <w:snapToGrid w:val="0"/>
              <w:jc w:val="center"/>
              <w:rPr>
                <w:color w:val="000000" w:themeColor="text1"/>
                <w:kern w:val="0"/>
                <w:sz w:val="15"/>
                <w:szCs w:val="15"/>
              </w:rPr>
            </w:pPr>
            <w:r>
              <w:rPr>
                <w:color w:val="000000" w:themeColor="text1"/>
                <w:kern w:val="0"/>
                <w:sz w:val="15"/>
                <w:szCs w:val="15"/>
              </w:rPr>
              <w:t>45.49</w:t>
            </w:r>
          </w:p>
        </w:tc>
        <w:tc>
          <w:tcPr>
            <w:tcW w:w="316" w:type="pct"/>
            <w:shd w:val="clear" w:color="auto" w:fill="auto"/>
            <w:noWrap/>
            <w:vAlign w:val="center"/>
          </w:tcPr>
          <w:p w14:paraId="493F1755">
            <w:pPr>
              <w:widowControl/>
              <w:adjustRightInd w:val="0"/>
              <w:snapToGrid w:val="0"/>
              <w:jc w:val="center"/>
              <w:rPr>
                <w:color w:val="000000" w:themeColor="text1"/>
                <w:kern w:val="0"/>
                <w:sz w:val="15"/>
                <w:szCs w:val="15"/>
              </w:rPr>
            </w:pPr>
            <w:r>
              <w:rPr>
                <w:color w:val="000000" w:themeColor="text1"/>
                <w:kern w:val="0"/>
                <w:sz w:val="15"/>
                <w:szCs w:val="15"/>
              </w:rPr>
              <w:t>43.55</w:t>
            </w:r>
          </w:p>
        </w:tc>
        <w:tc>
          <w:tcPr>
            <w:tcW w:w="316" w:type="pct"/>
            <w:shd w:val="clear" w:color="auto" w:fill="auto"/>
            <w:noWrap/>
            <w:vAlign w:val="center"/>
          </w:tcPr>
          <w:p w14:paraId="715F228B">
            <w:pPr>
              <w:widowControl/>
              <w:adjustRightInd w:val="0"/>
              <w:snapToGrid w:val="0"/>
              <w:jc w:val="center"/>
              <w:rPr>
                <w:color w:val="000000" w:themeColor="text1"/>
                <w:kern w:val="0"/>
                <w:sz w:val="15"/>
                <w:szCs w:val="15"/>
              </w:rPr>
            </w:pPr>
            <w:r>
              <w:rPr>
                <w:color w:val="000000" w:themeColor="text1"/>
                <w:kern w:val="0"/>
                <w:sz w:val="15"/>
                <w:szCs w:val="15"/>
              </w:rPr>
              <w:t>41.97</w:t>
            </w:r>
          </w:p>
        </w:tc>
        <w:tc>
          <w:tcPr>
            <w:tcW w:w="316" w:type="pct"/>
            <w:shd w:val="clear" w:color="auto" w:fill="auto"/>
            <w:noWrap/>
            <w:vAlign w:val="center"/>
          </w:tcPr>
          <w:p w14:paraId="46AF469D">
            <w:pPr>
              <w:widowControl/>
              <w:adjustRightInd w:val="0"/>
              <w:snapToGrid w:val="0"/>
              <w:jc w:val="center"/>
              <w:rPr>
                <w:color w:val="000000" w:themeColor="text1"/>
                <w:kern w:val="0"/>
                <w:sz w:val="15"/>
                <w:szCs w:val="15"/>
              </w:rPr>
            </w:pPr>
            <w:r>
              <w:rPr>
                <w:color w:val="000000" w:themeColor="text1"/>
                <w:kern w:val="0"/>
                <w:sz w:val="15"/>
                <w:szCs w:val="15"/>
              </w:rPr>
              <w:t>40.63</w:t>
            </w:r>
          </w:p>
        </w:tc>
        <w:tc>
          <w:tcPr>
            <w:tcW w:w="373" w:type="pct"/>
            <w:vMerge w:val="continue"/>
            <w:shd w:val="clear" w:color="auto" w:fill="auto"/>
            <w:noWrap/>
            <w:vAlign w:val="center"/>
          </w:tcPr>
          <w:p w14:paraId="60CBF35F">
            <w:pPr>
              <w:widowControl/>
              <w:adjustRightInd w:val="0"/>
              <w:snapToGrid w:val="0"/>
              <w:jc w:val="center"/>
              <w:rPr>
                <w:color w:val="000000" w:themeColor="text1"/>
                <w:kern w:val="0"/>
                <w:sz w:val="18"/>
                <w:szCs w:val="18"/>
              </w:rPr>
            </w:pPr>
          </w:p>
        </w:tc>
      </w:tr>
    </w:tbl>
    <w:p w14:paraId="01365C0A">
      <w:pPr>
        <w:pStyle w:val="116"/>
        <w:ind w:firstLine="480"/>
        <w:rPr>
          <w:color w:val="FF0000"/>
        </w:rPr>
      </w:pPr>
      <w:r>
        <w:rPr>
          <w:color w:val="FF0000"/>
        </w:rPr>
        <w:t>根据预测结果，在多声源叠加的情况下，土石方阶段昼间22m 距离，夜间120m 距离能满足GB12523-2011《建筑施工场界环境噪声排放标准》（昼间≤70dB(A)，夜间55 dB(A)）；打桩和结构阶段昼间50m 距离，夜间200m 距离能满足GB12523-2011《建筑施工场界环境噪声排放标准》；装修阶段昼间20m 距离，夜间70m 距离，能满足GB12523-2011《建筑施工场界环境噪声排放标准》。</w:t>
      </w:r>
    </w:p>
    <w:p w14:paraId="0CD6370C">
      <w:pPr>
        <w:pStyle w:val="116"/>
        <w:ind w:firstLine="482"/>
        <w:rPr>
          <w:b/>
          <w:color w:val="000000" w:themeColor="text1"/>
        </w:rPr>
      </w:pPr>
      <w:r>
        <w:rPr>
          <w:b/>
          <w:color w:val="000000" w:themeColor="text1"/>
        </w:rPr>
        <w:t>3、关心点噪声影响分析</w:t>
      </w:r>
    </w:p>
    <w:p w14:paraId="488FDCBA">
      <w:pPr>
        <w:pStyle w:val="116"/>
        <w:ind w:firstLine="480"/>
        <w:rPr>
          <w:color w:val="000000" w:themeColor="text1"/>
        </w:rPr>
      </w:pPr>
      <w:r>
        <w:rPr>
          <w:color w:val="000000" w:themeColor="text1"/>
        </w:rPr>
        <w:t>根据现场勘查，项目区周边主要保护目标为项目区西北侧820m的排鲁村。</w:t>
      </w:r>
    </w:p>
    <w:p w14:paraId="1133C70C">
      <w:pPr>
        <w:pStyle w:val="116"/>
        <w:ind w:firstLine="480"/>
        <w:rPr>
          <w:color w:val="000000" w:themeColor="text1"/>
        </w:rPr>
      </w:pPr>
      <w:r>
        <w:rPr>
          <w:color w:val="000000" w:themeColor="text1"/>
        </w:rPr>
        <w:t>项目施工期内噪声对关心点影响较大的为打桩阶段和结构阶段机械同时施工，本环评预测打桩阶段施工机械对关心点的影响。</w:t>
      </w:r>
    </w:p>
    <w:p w14:paraId="7CF4ABA9">
      <w:pPr>
        <w:pStyle w:val="116"/>
        <w:ind w:firstLine="482"/>
        <w:rPr>
          <w:b/>
          <w:color w:val="000000" w:themeColor="text1"/>
        </w:rPr>
      </w:pPr>
      <w:r>
        <w:rPr>
          <w:b/>
          <w:color w:val="000000" w:themeColor="text1"/>
        </w:rPr>
        <w:t>（1）背景值</w:t>
      </w:r>
    </w:p>
    <w:p w14:paraId="32052BD9">
      <w:pPr>
        <w:pStyle w:val="116"/>
        <w:ind w:firstLine="480"/>
        <w:rPr>
          <w:color w:val="000000" w:themeColor="text1"/>
        </w:rPr>
      </w:pPr>
      <w:r>
        <w:rPr>
          <w:color w:val="000000" w:themeColor="text1"/>
        </w:rPr>
        <w:t>本项目西北侧820m的排鲁村声环境背景值采用声环境监测最大值。</w:t>
      </w:r>
    </w:p>
    <w:p w14:paraId="6F27D919">
      <w:pPr>
        <w:pStyle w:val="116"/>
        <w:ind w:firstLine="482"/>
        <w:rPr>
          <w:b/>
          <w:color w:val="000000" w:themeColor="text1"/>
        </w:rPr>
      </w:pPr>
      <w:r>
        <w:rPr>
          <w:b/>
          <w:color w:val="000000" w:themeColor="text1"/>
        </w:rPr>
        <w:t>（2）贡献值</w:t>
      </w:r>
    </w:p>
    <w:p w14:paraId="0C07E817">
      <w:pPr>
        <w:pStyle w:val="116"/>
        <w:ind w:firstLine="480"/>
        <w:rPr>
          <w:color w:val="000000" w:themeColor="text1"/>
        </w:rPr>
      </w:pPr>
      <w:r>
        <w:rPr>
          <w:color w:val="000000" w:themeColor="text1"/>
        </w:rPr>
        <w:t>针对施工期对保护目标的影响进行预测。</w:t>
      </w:r>
    </w:p>
    <w:p w14:paraId="717FFC38">
      <w:pPr>
        <w:pStyle w:val="116"/>
        <w:ind w:firstLine="480"/>
        <w:rPr>
          <w:color w:val="000000" w:themeColor="text1"/>
        </w:rPr>
      </w:pPr>
      <w:r>
        <w:rPr>
          <w:rFonts w:hint="eastAsia" w:ascii="宋体" w:hAnsi="宋体" w:cs="宋体"/>
          <w:color w:val="000000" w:themeColor="text1"/>
        </w:rPr>
        <w:t>①</w:t>
      </w:r>
      <w:r>
        <w:rPr>
          <w:color w:val="000000" w:themeColor="text1"/>
        </w:rPr>
        <w:t>预测模式</w:t>
      </w:r>
    </w:p>
    <w:p w14:paraId="436D41D3">
      <w:pPr>
        <w:pStyle w:val="116"/>
        <w:ind w:firstLine="480"/>
        <w:rPr>
          <w:color w:val="000000" w:themeColor="text1"/>
        </w:rPr>
      </w:pPr>
      <w:r>
        <w:rPr>
          <w:color w:val="000000" w:themeColor="text1"/>
        </w:rPr>
        <w:t>采用《环境影响评价技术导则 声环境》HJ2.4-2009 中推荐的预测模式，本次贡献值计算主要考虑距离衰减和屏障衰减。具体方法是见以下公式为：</w:t>
      </w:r>
    </w:p>
    <w:p w14:paraId="0298FE9E">
      <w:pPr>
        <w:pStyle w:val="116"/>
        <w:ind w:firstLine="480"/>
        <w:rPr>
          <w:color w:val="000000" w:themeColor="text1"/>
        </w:rPr>
      </w:pPr>
      <w:r>
        <w:rPr>
          <w:color w:val="000000" w:themeColor="text1"/>
        </w:rPr>
        <w:t>LA(r) =LP(r0) - (Adiv+ Abar)</w:t>
      </w:r>
    </w:p>
    <w:p w14:paraId="4BCC2AEA">
      <w:pPr>
        <w:pStyle w:val="116"/>
        <w:ind w:firstLine="480"/>
        <w:rPr>
          <w:color w:val="000000" w:themeColor="text1"/>
        </w:rPr>
      </w:pPr>
      <w:r>
        <w:rPr>
          <w:color w:val="000000" w:themeColor="text1"/>
        </w:rPr>
        <w:t>式中：LA(r)—距声源 r 处的 A 声级，dB；</w:t>
      </w:r>
    </w:p>
    <w:p w14:paraId="213258AE">
      <w:pPr>
        <w:pStyle w:val="116"/>
        <w:ind w:firstLine="1132" w:firstLineChars="472"/>
        <w:rPr>
          <w:color w:val="000000" w:themeColor="text1"/>
        </w:rPr>
      </w:pPr>
      <w:r>
        <w:rPr>
          <w:color w:val="000000" w:themeColor="text1"/>
        </w:rPr>
        <w:t>LP(r0) — 参考位置 r0 处的 A 声级，dB；</w:t>
      </w:r>
    </w:p>
    <w:p w14:paraId="0FB66DE9">
      <w:pPr>
        <w:pStyle w:val="116"/>
        <w:ind w:firstLine="1132" w:firstLineChars="472"/>
        <w:rPr>
          <w:color w:val="000000" w:themeColor="text1"/>
        </w:rPr>
      </w:pPr>
      <w:r>
        <w:rPr>
          <w:color w:val="000000" w:themeColor="text1"/>
        </w:rPr>
        <w:t>Adiv—声波几何发散引起的 A 声级衰减，dB；</w:t>
      </w:r>
    </w:p>
    <w:p w14:paraId="0567B35D">
      <w:pPr>
        <w:pStyle w:val="116"/>
        <w:ind w:firstLine="720" w:firstLineChars="300"/>
        <w:rPr>
          <w:color w:val="000000" w:themeColor="text1"/>
        </w:rPr>
      </w:pPr>
      <w:r>
        <w:rPr>
          <w:color w:val="000000" w:themeColor="text1"/>
        </w:rPr>
        <w:t>Abar—遮挡物引起的 A 声级衰减，dB（根据导则，在任何频带上，屏障衰减在单绕射薄屏障情况，衰减最大值取20 dB，本项目施工期设置围墙围挡）；</w:t>
      </w:r>
    </w:p>
    <w:p w14:paraId="60EBE4F4">
      <w:pPr>
        <w:pStyle w:val="116"/>
        <w:ind w:firstLine="720" w:firstLineChars="300"/>
        <w:rPr>
          <w:color w:val="000000" w:themeColor="text1"/>
        </w:rPr>
      </w:pPr>
      <w:r>
        <w:rPr>
          <w:color w:val="000000" w:themeColor="text1"/>
        </w:rPr>
        <w:t>因此：LA(r) =L (r0) - (Adiv+20)</w:t>
      </w:r>
    </w:p>
    <w:p w14:paraId="3DC6F0CF">
      <w:pPr>
        <w:pStyle w:val="116"/>
        <w:ind w:firstLine="720" w:firstLineChars="300"/>
        <w:rPr>
          <w:color w:val="000000" w:themeColor="text1"/>
        </w:rPr>
      </w:pPr>
      <w:r>
        <w:rPr>
          <w:color w:val="000000" w:themeColor="text1"/>
        </w:rPr>
        <w:t>距离衰减公式：Adiv= 20lg(r／ro)</w:t>
      </w:r>
    </w:p>
    <w:p w14:paraId="7561429A">
      <w:pPr>
        <w:pStyle w:val="116"/>
        <w:ind w:firstLine="723" w:firstLineChars="300"/>
        <w:rPr>
          <w:b/>
          <w:color w:val="000000" w:themeColor="text1"/>
        </w:rPr>
      </w:pPr>
      <w:r>
        <w:rPr>
          <w:rFonts w:hint="eastAsia" w:ascii="宋体" w:hAnsi="宋体" w:cs="宋体"/>
          <w:b/>
          <w:color w:val="000000" w:themeColor="text1"/>
        </w:rPr>
        <w:t>②</w:t>
      </w:r>
      <w:r>
        <w:rPr>
          <w:b/>
          <w:color w:val="000000" w:themeColor="text1"/>
        </w:rPr>
        <w:t>预测结果</w:t>
      </w:r>
    </w:p>
    <w:p w14:paraId="5F6D6331">
      <w:pPr>
        <w:pStyle w:val="116"/>
        <w:ind w:firstLine="720" w:firstLineChars="300"/>
        <w:rPr>
          <w:color w:val="000000" w:themeColor="text1"/>
        </w:rPr>
      </w:pPr>
      <w:r>
        <w:rPr>
          <w:color w:val="000000" w:themeColor="text1"/>
        </w:rPr>
        <w:t>噪声预测声源强度采用打桩阶段10m 处的多声源叠加值与背景值的叠加，本项目施工期关心点噪声预测结果如下。</w:t>
      </w:r>
    </w:p>
    <w:p w14:paraId="03F52DC1">
      <w:pPr>
        <w:autoSpaceDE w:val="0"/>
        <w:autoSpaceDN w:val="0"/>
        <w:adjustRightInd w:val="0"/>
        <w:jc w:val="center"/>
        <w:rPr>
          <w:b/>
          <w:color w:val="000000" w:themeColor="text1"/>
          <w:kern w:val="0"/>
          <w:sz w:val="24"/>
        </w:rPr>
      </w:pPr>
      <w:r>
        <w:rPr>
          <w:b/>
          <w:color w:val="000000" w:themeColor="text1"/>
          <w:kern w:val="0"/>
          <w:sz w:val="24"/>
        </w:rPr>
        <w:t>表5.4-2  关心点环境噪声预测值  单位：dB(A)</w:t>
      </w:r>
    </w:p>
    <w:tbl>
      <w:tblPr>
        <w:tblStyle w:val="42"/>
        <w:tblW w:w="5000" w:type="pct"/>
        <w:tblInd w:w="0" w:type="dxa"/>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57"/>
        <w:gridCol w:w="1479"/>
        <w:gridCol w:w="577"/>
        <w:gridCol w:w="757"/>
        <w:gridCol w:w="757"/>
        <w:gridCol w:w="757"/>
        <w:gridCol w:w="3185"/>
        <w:gridCol w:w="577"/>
      </w:tblGrid>
      <w:tr w14:paraId="749CF9F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trPr>
        <w:tc>
          <w:tcPr>
            <w:tcW w:w="429" w:type="pct"/>
            <w:shd w:val="clear" w:color="auto" w:fill="auto"/>
            <w:noWrap/>
            <w:vAlign w:val="center"/>
          </w:tcPr>
          <w:p w14:paraId="2B4AF2EF">
            <w:pPr>
              <w:widowControl/>
              <w:jc w:val="center"/>
              <w:rPr>
                <w:color w:val="000000" w:themeColor="text1"/>
                <w:kern w:val="0"/>
                <w:sz w:val="22"/>
                <w:szCs w:val="22"/>
              </w:rPr>
            </w:pPr>
            <w:r>
              <w:rPr>
                <w:color w:val="000000" w:themeColor="text1"/>
                <w:kern w:val="0"/>
                <w:sz w:val="22"/>
                <w:szCs w:val="22"/>
              </w:rPr>
              <w:t>关心点</w:t>
            </w:r>
          </w:p>
        </w:tc>
        <w:tc>
          <w:tcPr>
            <w:tcW w:w="834" w:type="pct"/>
            <w:shd w:val="clear" w:color="auto" w:fill="auto"/>
            <w:noWrap/>
            <w:vAlign w:val="center"/>
          </w:tcPr>
          <w:p w14:paraId="7CE4B81F">
            <w:pPr>
              <w:widowControl/>
              <w:jc w:val="center"/>
              <w:rPr>
                <w:color w:val="000000" w:themeColor="text1"/>
                <w:kern w:val="0"/>
                <w:sz w:val="22"/>
                <w:szCs w:val="22"/>
              </w:rPr>
            </w:pPr>
            <w:r>
              <w:rPr>
                <w:color w:val="000000" w:themeColor="text1"/>
                <w:kern w:val="0"/>
                <w:sz w:val="22"/>
                <w:szCs w:val="22"/>
              </w:rPr>
              <w:t>相对方位及距离</w:t>
            </w:r>
          </w:p>
        </w:tc>
        <w:tc>
          <w:tcPr>
            <w:tcW w:w="329" w:type="pct"/>
            <w:shd w:val="clear" w:color="auto" w:fill="auto"/>
            <w:noWrap/>
            <w:vAlign w:val="center"/>
          </w:tcPr>
          <w:p w14:paraId="538C83AD">
            <w:pPr>
              <w:widowControl/>
              <w:jc w:val="center"/>
              <w:rPr>
                <w:color w:val="000000" w:themeColor="text1"/>
                <w:kern w:val="0"/>
                <w:sz w:val="22"/>
                <w:szCs w:val="22"/>
              </w:rPr>
            </w:pPr>
            <w:r>
              <w:rPr>
                <w:color w:val="000000" w:themeColor="text1"/>
                <w:kern w:val="0"/>
                <w:sz w:val="22"/>
                <w:szCs w:val="22"/>
              </w:rPr>
              <w:t>时段</w:t>
            </w:r>
          </w:p>
        </w:tc>
        <w:tc>
          <w:tcPr>
            <w:tcW w:w="430" w:type="pct"/>
            <w:shd w:val="clear" w:color="auto" w:fill="auto"/>
            <w:noWrap/>
            <w:vAlign w:val="center"/>
          </w:tcPr>
          <w:p w14:paraId="4284B3CE">
            <w:pPr>
              <w:widowControl/>
              <w:jc w:val="center"/>
              <w:rPr>
                <w:color w:val="000000" w:themeColor="text1"/>
                <w:kern w:val="0"/>
                <w:sz w:val="22"/>
                <w:szCs w:val="22"/>
              </w:rPr>
            </w:pPr>
            <w:r>
              <w:rPr>
                <w:color w:val="000000" w:themeColor="text1"/>
                <w:kern w:val="0"/>
                <w:sz w:val="22"/>
                <w:szCs w:val="22"/>
              </w:rPr>
              <w:t>背景值</w:t>
            </w:r>
          </w:p>
        </w:tc>
        <w:tc>
          <w:tcPr>
            <w:tcW w:w="430" w:type="pct"/>
            <w:shd w:val="clear" w:color="auto" w:fill="auto"/>
            <w:noWrap/>
            <w:vAlign w:val="center"/>
          </w:tcPr>
          <w:p w14:paraId="2568B385">
            <w:pPr>
              <w:widowControl/>
              <w:jc w:val="center"/>
              <w:rPr>
                <w:color w:val="000000" w:themeColor="text1"/>
                <w:kern w:val="0"/>
                <w:sz w:val="22"/>
                <w:szCs w:val="22"/>
              </w:rPr>
            </w:pPr>
            <w:r>
              <w:rPr>
                <w:color w:val="000000" w:themeColor="text1"/>
                <w:kern w:val="0"/>
                <w:sz w:val="22"/>
                <w:szCs w:val="22"/>
              </w:rPr>
              <w:t>贡献值</w:t>
            </w:r>
          </w:p>
        </w:tc>
        <w:tc>
          <w:tcPr>
            <w:tcW w:w="430" w:type="pct"/>
            <w:shd w:val="clear" w:color="auto" w:fill="auto"/>
            <w:noWrap/>
            <w:vAlign w:val="center"/>
          </w:tcPr>
          <w:p w14:paraId="076D8684">
            <w:pPr>
              <w:widowControl/>
              <w:jc w:val="center"/>
              <w:rPr>
                <w:color w:val="000000" w:themeColor="text1"/>
                <w:kern w:val="0"/>
                <w:sz w:val="22"/>
                <w:szCs w:val="22"/>
              </w:rPr>
            </w:pPr>
            <w:r>
              <w:rPr>
                <w:color w:val="000000" w:themeColor="text1"/>
                <w:kern w:val="0"/>
                <w:sz w:val="22"/>
                <w:szCs w:val="22"/>
              </w:rPr>
              <w:t>预测值</w:t>
            </w:r>
          </w:p>
        </w:tc>
        <w:tc>
          <w:tcPr>
            <w:tcW w:w="1789" w:type="pct"/>
            <w:shd w:val="clear" w:color="auto" w:fill="auto"/>
            <w:noWrap/>
            <w:vAlign w:val="center"/>
          </w:tcPr>
          <w:p w14:paraId="29E102C6">
            <w:pPr>
              <w:widowControl/>
              <w:jc w:val="center"/>
              <w:rPr>
                <w:color w:val="000000" w:themeColor="text1"/>
                <w:kern w:val="0"/>
                <w:sz w:val="22"/>
                <w:szCs w:val="22"/>
              </w:rPr>
            </w:pPr>
            <w:r>
              <w:rPr>
                <w:color w:val="000000" w:themeColor="text1"/>
                <w:kern w:val="0"/>
                <w:sz w:val="22"/>
                <w:szCs w:val="22"/>
              </w:rPr>
              <w:t>标准值</w:t>
            </w:r>
          </w:p>
        </w:tc>
        <w:tc>
          <w:tcPr>
            <w:tcW w:w="329" w:type="pct"/>
            <w:shd w:val="clear" w:color="auto" w:fill="auto"/>
            <w:noWrap/>
            <w:vAlign w:val="center"/>
          </w:tcPr>
          <w:p w14:paraId="79B65197">
            <w:pPr>
              <w:widowControl/>
              <w:jc w:val="center"/>
              <w:rPr>
                <w:color w:val="000000" w:themeColor="text1"/>
                <w:kern w:val="0"/>
                <w:sz w:val="22"/>
                <w:szCs w:val="22"/>
              </w:rPr>
            </w:pPr>
            <w:r>
              <w:rPr>
                <w:color w:val="000000" w:themeColor="text1"/>
                <w:kern w:val="0"/>
                <w:sz w:val="22"/>
                <w:szCs w:val="22"/>
              </w:rPr>
              <w:t>评价</w:t>
            </w:r>
          </w:p>
        </w:tc>
      </w:tr>
      <w:tr w14:paraId="10401935">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trPr>
        <w:tc>
          <w:tcPr>
            <w:tcW w:w="429" w:type="pct"/>
            <w:vMerge w:val="restart"/>
            <w:shd w:val="clear" w:color="auto" w:fill="auto"/>
            <w:noWrap/>
            <w:vAlign w:val="center"/>
          </w:tcPr>
          <w:p w14:paraId="32380BEA">
            <w:pPr>
              <w:widowControl/>
              <w:jc w:val="center"/>
              <w:rPr>
                <w:color w:val="000000" w:themeColor="text1"/>
                <w:kern w:val="0"/>
                <w:sz w:val="22"/>
                <w:szCs w:val="22"/>
              </w:rPr>
            </w:pPr>
            <w:r>
              <w:rPr>
                <w:color w:val="000000" w:themeColor="text1"/>
                <w:kern w:val="0"/>
                <w:sz w:val="22"/>
                <w:szCs w:val="22"/>
              </w:rPr>
              <w:t>排鲁村</w:t>
            </w:r>
          </w:p>
        </w:tc>
        <w:tc>
          <w:tcPr>
            <w:tcW w:w="834" w:type="pct"/>
            <w:vMerge w:val="restart"/>
            <w:shd w:val="clear" w:color="auto" w:fill="auto"/>
            <w:noWrap/>
            <w:vAlign w:val="center"/>
          </w:tcPr>
          <w:p w14:paraId="7B36040B">
            <w:pPr>
              <w:widowControl/>
              <w:jc w:val="center"/>
              <w:rPr>
                <w:color w:val="000000" w:themeColor="text1"/>
                <w:kern w:val="0"/>
                <w:sz w:val="22"/>
                <w:szCs w:val="22"/>
              </w:rPr>
            </w:pPr>
            <w:r>
              <w:rPr>
                <w:color w:val="000000" w:themeColor="text1"/>
                <w:kern w:val="0"/>
                <w:sz w:val="22"/>
                <w:szCs w:val="22"/>
              </w:rPr>
              <w:t>西北侧820m</w:t>
            </w:r>
          </w:p>
        </w:tc>
        <w:tc>
          <w:tcPr>
            <w:tcW w:w="329" w:type="pct"/>
            <w:shd w:val="clear" w:color="auto" w:fill="auto"/>
            <w:noWrap/>
            <w:vAlign w:val="center"/>
          </w:tcPr>
          <w:p w14:paraId="7605C717">
            <w:pPr>
              <w:widowControl/>
              <w:jc w:val="center"/>
              <w:rPr>
                <w:color w:val="000000" w:themeColor="text1"/>
                <w:kern w:val="0"/>
                <w:sz w:val="22"/>
                <w:szCs w:val="22"/>
              </w:rPr>
            </w:pPr>
            <w:r>
              <w:rPr>
                <w:color w:val="000000" w:themeColor="text1"/>
                <w:kern w:val="0"/>
                <w:sz w:val="22"/>
                <w:szCs w:val="22"/>
              </w:rPr>
              <w:t>昼间</w:t>
            </w:r>
          </w:p>
        </w:tc>
        <w:tc>
          <w:tcPr>
            <w:tcW w:w="430" w:type="pct"/>
            <w:shd w:val="clear" w:color="auto" w:fill="auto"/>
            <w:noWrap/>
            <w:vAlign w:val="center"/>
          </w:tcPr>
          <w:p w14:paraId="3852B493">
            <w:pPr>
              <w:widowControl/>
              <w:jc w:val="center"/>
              <w:rPr>
                <w:color w:val="000000" w:themeColor="text1"/>
                <w:kern w:val="0"/>
                <w:sz w:val="22"/>
                <w:szCs w:val="22"/>
              </w:rPr>
            </w:pPr>
            <w:r>
              <w:rPr>
                <w:color w:val="000000" w:themeColor="text1"/>
                <w:kern w:val="0"/>
                <w:sz w:val="22"/>
                <w:szCs w:val="22"/>
              </w:rPr>
              <w:t>46</w:t>
            </w:r>
          </w:p>
        </w:tc>
        <w:tc>
          <w:tcPr>
            <w:tcW w:w="430" w:type="pct"/>
            <w:shd w:val="clear" w:color="auto" w:fill="auto"/>
            <w:noWrap/>
            <w:vAlign w:val="center"/>
          </w:tcPr>
          <w:p w14:paraId="7B5DEF97">
            <w:pPr>
              <w:widowControl/>
              <w:jc w:val="center"/>
              <w:rPr>
                <w:color w:val="000000" w:themeColor="text1"/>
                <w:kern w:val="0"/>
                <w:sz w:val="22"/>
                <w:szCs w:val="22"/>
              </w:rPr>
            </w:pPr>
            <w:r>
              <w:rPr>
                <w:color w:val="000000" w:themeColor="text1"/>
                <w:kern w:val="0"/>
                <w:sz w:val="22"/>
                <w:szCs w:val="22"/>
              </w:rPr>
              <w:t>37.93</w:t>
            </w:r>
          </w:p>
        </w:tc>
        <w:tc>
          <w:tcPr>
            <w:tcW w:w="430" w:type="pct"/>
            <w:shd w:val="clear" w:color="auto" w:fill="auto"/>
            <w:noWrap/>
            <w:vAlign w:val="center"/>
          </w:tcPr>
          <w:p w14:paraId="159C7D40">
            <w:pPr>
              <w:widowControl/>
              <w:jc w:val="center"/>
              <w:rPr>
                <w:color w:val="000000" w:themeColor="text1"/>
                <w:kern w:val="0"/>
                <w:sz w:val="22"/>
                <w:szCs w:val="22"/>
              </w:rPr>
            </w:pPr>
            <w:r>
              <w:rPr>
                <w:color w:val="000000" w:themeColor="text1"/>
                <w:kern w:val="0"/>
                <w:sz w:val="22"/>
                <w:szCs w:val="22"/>
              </w:rPr>
              <w:t>46.28</w:t>
            </w:r>
          </w:p>
        </w:tc>
        <w:tc>
          <w:tcPr>
            <w:tcW w:w="1789" w:type="pct"/>
            <w:vMerge w:val="restart"/>
            <w:shd w:val="clear" w:color="auto" w:fill="auto"/>
            <w:noWrap/>
            <w:vAlign w:val="center"/>
          </w:tcPr>
          <w:p w14:paraId="0380CBCD">
            <w:pPr>
              <w:widowControl/>
              <w:jc w:val="center"/>
              <w:rPr>
                <w:color w:val="000000" w:themeColor="text1"/>
                <w:kern w:val="0"/>
                <w:sz w:val="22"/>
                <w:szCs w:val="22"/>
              </w:rPr>
            </w:pPr>
            <w:r>
              <w:rPr>
                <w:color w:val="000000" w:themeColor="text1"/>
                <w:kern w:val="0"/>
                <w:sz w:val="22"/>
                <w:szCs w:val="22"/>
              </w:rPr>
              <w:t>2类标准昼间≤ 60dB(A)夜间≤ 50dB(A)</w:t>
            </w:r>
          </w:p>
        </w:tc>
        <w:tc>
          <w:tcPr>
            <w:tcW w:w="329" w:type="pct"/>
            <w:shd w:val="clear" w:color="auto" w:fill="auto"/>
            <w:noWrap/>
            <w:vAlign w:val="center"/>
          </w:tcPr>
          <w:p w14:paraId="080341E9">
            <w:pPr>
              <w:widowControl/>
              <w:jc w:val="center"/>
              <w:rPr>
                <w:color w:val="000000" w:themeColor="text1"/>
                <w:kern w:val="0"/>
                <w:sz w:val="22"/>
                <w:szCs w:val="22"/>
              </w:rPr>
            </w:pPr>
            <w:r>
              <w:rPr>
                <w:color w:val="000000" w:themeColor="text1"/>
                <w:kern w:val="0"/>
                <w:sz w:val="22"/>
                <w:szCs w:val="22"/>
              </w:rPr>
              <w:t>达标</w:t>
            </w:r>
          </w:p>
        </w:tc>
      </w:tr>
      <w:tr w14:paraId="23F3DD9C">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trPr>
        <w:tc>
          <w:tcPr>
            <w:tcW w:w="429" w:type="pct"/>
            <w:vMerge w:val="continue"/>
            <w:shd w:val="clear" w:color="auto" w:fill="auto"/>
            <w:noWrap/>
            <w:vAlign w:val="center"/>
          </w:tcPr>
          <w:p w14:paraId="2655441F">
            <w:pPr>
              <w:widowControl/>
              <w:jc w:val="center"/>
              <w:rPr>
                <w:color w:val="000000" w:themeColor="text1"/>
                <w:kern w:val="0"/>
                <w:sz w:val="22"/>
                <w:szCs w:val="22"/>
              </w:rPr>
            </w:pPr>
          </w:p>
        </w:tc>
        <w:tc>
          <w:tcPr>
            <w:tcW w:w="834" w:type="pct"/>
            <w:vMerge w:val="continue"/>
            <w:shd w:val="clear" w:color="auto" w:fill="auto"/>
            <w:noWrap/>
            <w:vAlign w:val="center"/>
          </w:tcPr>
          <w:p w14:paraId="2A18F7BF">
            <w:pPr>
              <w:widowControl/>
              <w:jc w:val="center"/>
              <w:rPr>
                <w:color w:val="000000" w:themeColor="text1"/>
                <w:kern w:val="0"/>
                <w:sz w:val="22"/>
                <w:szCs w:val="22"/>
              </w:rPr>
            </w:pPr>
          </w:p>
        </w:tc>
        <w:tc>
          <w:tcPr>
            <w:tcW w:w="329" w:type="pct"/>
            <w:shd w:val="clear" w:color="auto" w:fill="auto"/>
            <w:noWrap/>
            <w:vAlign w:val="center"/>
          </w:tcPr>
          <w:p w14:paraId="7D404FD9">
            <w:pPr>
              <w:widowControl/>
              <w:jc w:val="center"/>
              <w:rPr>
                <w:color w:val="000000" w:themeColor="text1"/>
                <w:kern w:val="0"/>
                <w:sz w:val="22"/>
                <w:szCs w:val="22"/>
              </w:rPr>
            </w:pPr>
            <w:r>
              <w:rPr>
                <w:color w:val="000000" w:themeColor="text1"/>
                <w:kern w:val="0"/>
                <w:sz w:val="22"/>
                <w:szCs w:val="22"/>
              </w:rPr>
              <w:t>夜间</w:t>
            </w:r>
          </w:p>
        </w:tc>
        <w:tc>
          <w:tcPr>
            <w:tcW w:w="430" w:type="pct"/>
            <w:shd w:val="clear" w:color="auto" w:fill="auto"/>
            <w:noWrap/>
            <w:vAlign w:val="center"/>
          </w:tcPr>
          <w:p w14:paraId="5E8304E7">
            <w:pPr>
              <w:widowControl/>
              <w:jc w:val="center"/>
              <w:rPr>
                <w:color w:val="000000" w:themeColor="text1"/>
                <w:kern w:val="0"/>
                <w:sz w:val="22"/>
                <w:szCs w:val="22"/>
              </w:rPr>
            </w:pPr>
            <w:r>
              <w:rPr>
                <w:color w:val="000000" w:themeColor="text1"/>
                <w:kern w:val="0"/>
                <w:sz w:val="22"/>
                <w:szCs w:val="22"/>
              </w:rPr>
              <w:t>42</w:t>
            </w:r>
          </w:p>
        </w:tc>
        <w:tc>
          <w:tcPr>
            <w:tcW w:w="430" w:type="pct"/>
            <w:shd w:val="clear" w:color="auto" w:fill="auto"/>
            <w:noWrap/>
            <w:vAlign w:val="center"/>
          </w:tcPr>
          <w:p w14:paraId="37C11E34">
            <w:pPr>
              <w:widowControl/>
              <w:jc w:val="center"/>
              <w:rPr>
                <w:color w:val="000000" w:themeColor="text1"/>
                <w:kern w:val="0"/>
                <w:sz w:val="22"/>
                <w:szCs w:val="22"/>
              </w:rPr>
            </w:pPr>
            <w:r>
              <w:rPr>
                <w:color w:val="000000" w:themeColor="text1"/>
                <w:kern w:val="0"/>
                <w:sz w:val="22"/>
                <w:szCs w:val="22"/>
              </w:rPr>
              <w:t>37.93</w:t>
            </w:r>
          </w:p>
        </w:tc>
        <w:tc>
          <w:tcPr>
            <w:tcW w:w="430" w:type="pct"/>
            <w:shd w:val="clear" w:color="auto" w:fill="auto"/>
            <w:noWrap/>
            <w:vAlign w:val="center"/>
          </w:tcPr>
          <w:p w14:paraId="7232B679">
            <w:pPr>
              <w:widowControl/>
              <w:jc w:val="center"/>
              <w:rPr>
                <w:color w:val="000000" w:themeColor="text1"/>
                <w:kern w:val="0"/>
                <w:sz w:val="22"/>
                <w:szCs w:val="22"/>
              </w:rPr>
            </w:pPr>
            <w:r>
              <w:rPr>
                <w:color w:val="000000" w:themeColor="text1"/>
                <w:kern w:val="0"/>
                <w:sz w:val="22"/>
                <w:szCs w:val="22"/>
              </w:rPr>
              <w:t>42.72</w:t>
            </w:r>
          </w:p>
        </w:tc>
        <w:tc>
          <w:tcPr>
            <w:tcW w:w="1789" w:type="pct"/>
            <w:vMerge w:val="continue"/>
            <w:shd w:val="clear" w:color="auto" w:fill="auto"/>
            <w:noWrap/>
            <w:vAlign w:val="center"/>
          </w:tcPr>
          <w:p w14:paraId="7A30DFC3">
            <w:pPr>
              <w:widowControl/>
              <w:jc w:val="center"/>
              <w:rPr>
                <w:color w:val="000000" w:themeColor="text1"/>
                <w:kern w:val="0"/>
                <w:sz w:val="22"/>
                <w:szCs w:val="22"/>
              </w:rPr>
            </w:pPr>
          </w:p>
        </w:tc>
        <w:tc>
          <w:tcPr>
            <w:tcW w:w="329" w:type="pct"/>
            <w:shd w:val="clear" w:color="auto" w:fill="auto"/>
            <w:noWrap/>
            <w:vAlign w:val="center"/>
          </w:tcPr>
          <w:p w14:paraId="1737A265">
            <w:pPr>
              <w:widowControl/>
              <w:jc w:val="center"/>
              <w:rPr>
                <w:color w:val="000000" w:themeColor="text1"/>
                <w:kern w:val="0"/>
                <w:sz w:val="22"/>
                <w:szCs w:val="22"/>
              </w:rPr>
            </w:pPr>
            <w:r>
              <w:rPr>
                <w:color w:val="000000" w:themeColor="text1"/>
                <w:kern w:val="0"/>
                <w:sz w:val="22"/>
                <w:szCs w:val="22"/>
              </w:rPr>
              <w:t>达标</w:t>
            </w:r>
          </w:p>
        </w:tc>
      </w:tr>
    </w:tbl>
    <w:p w14:paraId="4C5D80BB">
      <w:pPr>
        <w:pStyle w:val="116"/>
        <w:ind w:firstLine="720" w:firstLineChars="300"/>
        <w:rPr>
          <w:color w:val="000000" w:themeColor="text1"/>
        </w:rPr>
      </w:pPr>
      <w:r>
        <w:rPr>
          <w:color w:val="000000" w:themeColor="text1"/>
        </w:rPr>
        <w:t>从表5.4-2 的预测结果可以看出，本项打桩阶段施工期多台机械施工时，施工机械噪声经距离衰减后，排鲁村昼间、夜间噪声均达到《声环境质量标准》（GB3096-2008）2 类标准限值要求。</w:t>
      </w:r>
    </w:p>
    <w:p w14:paraId="55A91AB8">
      <w:pPr>
        <w:pStyle w:val="4"/>
        <w:rPr>
          <w:rFonts w:ascii="Times New Roman" w:hAnsi="Times New Roman"/>
          <w:color w:val="000000" w:themeColor="text1"/>
        </w:rPr>
      </w:pPr>
      <w:bookmarkStart w:id="388" w:name="_Toc28117708"/>
      <w:r>
        <w:rPr>
          <w:rFonts w:ascii="Times New Roman" w:hAnsi="Times New Roman"/>
          <w:color w:val="000000" w:themeColor="text1"/>
        </w:rPr>
        <w:t>5.4固体废弃物影响分析</w:t>
      </w:r>
      <w:bookmarkEnd w:id="388"/>
    </w:p>
    <w:p w14:paraId="6F6108FB">
      <w:pPr>
        <w:pStyle w:val="116"/>
        <w:ind w:firstLine="482"/>
        <w:rPr>
          <w:b/>
          <w:color w:val="000000" w:themeColor="text1"/>
        </w:rPr>
      </w:pPr>
      <w:r>
        <w:rPr>
          <w:b/>
          <w:color w:val="000000" w:themeColor="text1"/>
        </w:rPr>
        <w:t>（1）土石方</w:t>
      </w:r>
    </w:p>
    <w:p w14:paraId="1F9D32BE">
      <w:pPr>
        <w:spacing w:line="360" w:lineRule="auto"/>
        <w:ind w:firstLine="480" w:firstLineChars="200"/>
        <w:rPr>
          <w:color w:val="000000" w:themeColor="text1"/>
          <w:sz w:val="24"/>
        </w:rPr>
      </w:pPr>
      <w:r>
        <w:rPr>
          <w:color w:val="000000" w:themeColor="text1"/>
          <w:sz w:val="24"/>
        </w:rPr>
        <w:t>根据建设方资料，本项目土石方开挖量约30m</w:t>
      </w:r>
      <w:r>
        <w:rPr>
          <w:color w:val="000000" w:themeColor="text1"/>
          <w:sz w:val="24"/>
          <w:vertAlign w:val="superscript"/>
        </w:rPr>
        <w:t>3</w:t>
      </w:r>
      <w:r>
        <w:rPr>
          <w:color w:val="000000" w:themeColor="text1"/>
          <w:sz w:val="24"/>
        </w:rPr>
        <w:t>，项目场地回填30m</w:t>
      </w:r>
      <w:r>
        <w:rPr>
          <w:color w:val="000000" w:themeColor="text1"/>
          <w:sz w:val="24"/>
          <w:vertAlign w:val="superscript"/>
        </w:rPr>
        <w:t>3</w:t>
      </w:r>
      <w:r>
        <w:rPr>
          <w:color w:val="000000" w:themeColor="text1"/>
          <w:sz w:val="24"/>
        </w:rPr>
        <w:t>，施工期间剥离表土临时堆放用于绿化区空地内，用于后期场地绿化覆土，项目建设无永久弃渣。</w:t>
      </w:r>
    </w:p>
    <w:p w14:paraId="3CBFE165">
      <w:pPr>
        <w:pStyle w:val="116"/>
        <w:ind w:firstLine="482"/>
        <w:rPr>
          <w:b/>
          <w:color w:val="000000" w:themeColor="text1"/>
        </w:rPr>
      </w:pPr>
      <w:r>
        <w:rPr>
          <w:b/>
          <w:color w:val="000000" w:themeColor="text1"/>
        </w:rPr>
        <w:t>（2）建筑垃圾</w:t>
      </w:r>
    </w:p>
    <w:p w14:paraId="3A8F878A">
      <w:pPr>
        <w:pStyle w:val="116"/>
        <w:ind w:firstLine="480"/>
        <w:rPr>
          <w:color w:val="000000" w:themeColor="text1"/>
        </w:rPr>
      </w:pPr>
      <w:r>
        <w:rPr>
          <w:color w:val="000000" w:themeColor="text1"/>
        </w:rPr>
        <w:t>项目建筑施工期会产生一定的废弃建筑材料，尤其是装修废弃材料，本项目建筑垃圾产生量约为12吨。大量的建筑垃圾的堆放容易引起扬尘等环境问题，为避免这些问题的出现，对施工中产生的建筑垃圾必须及时处理。</w:t>
      </w:r>
    </w:p>
    <w:p w14:paraId="0F304020">
      <w:pPr>
        <w:pStyle w:val="116"/>
        <w:ind w:firstLine="480"/>
        <w:rPr>
          <w:color w:val="000000" w:themeColor="text1"/>
        </w:rPr>
      </w:pPr>
      <w:r>
        <w:rPr>
          <w:color w:val="000000" w:themeColor="text1"/>
        </w:rPr>
        <w:t>项目建设方应对建筑垃圾通过分类集中堆存、回收利用，不能利用则委托其施工单位统一清运，禁止与生活垃圾混合处置，禁止随意丢弃。</w:t>
      </w:r>
    </w:p>
    <w:p w14:paraId="676AB2F1">
      <w:pPr>
        <w:pStyle w:val="116"/>
        <w:ind w:firstLine="482"/>
        <w:rPr>
          <w:b/>
          <w:color w:val="000000" w:themeColor="text1"/>
        </w:rPr>
      </w:pPr>
      <w:r>
        <w:rPr>
          <w:b/>
          <w:color w:val="000000" w:themeColor="text1"/>
        </w:rPr>
        <w:t>（3）生活垃圾</w:t>
      </w:r>
    </w:p>
    <w:p w14:paraId="4F196187">
      <w:pPr>
        <w:pStyle w:val="116"/>
        <w:ind w:firstLine="480"/>
        <w:rPr>
          <w:color w:val="000000" w:themeColor="text1"/>
        </w:rPr>
      </w:pPr>
      <w:r>
        <w:rPr>
          <w:color w:val="FF0000"/>
        </w:rPr>
        <w:t>项目施工人员产生的生活垃圾总量约为0.9t</w:t>
      </w:r>
      <w:r>
        <w:rPr>
          <w:rFonts w:eastAsia="新宋体"/>
          <w:color w:val="FF0000"/>
          <w:szCs w:val="21"/>
        </w:rPr>
        <w:t>（施工期2个月）</w:t>
      </w:r>
      <w:r>
        <w:rPr>
          <w:color w:val="FF0000"/>
        </w:rPr>
        <w:t>，</w:t>
      </w:r>
      <w:r>
        <w:rPr>
          <w:color w:val="000000" w:themeColor="text1"/>
        </w:rPr>
        <w:t>项目派专人集中收集至统一地点堆放，</w:t>
      </w:r>
      <w:r>
        <w:rPr>
          <w:rFonts w:eastAsia="新宋体"/>
          <w:color w:val="000000" w:themeColor="text1"/>
          <w:szCs w:val="21"/>
        </w:rPr>
        <w:t>集中收集后定期清运至就近寨子的垃圾收集点</w:t>
      </w:r>
      <w:r>
        <w:rPr>
          <w:color w:val="000000" w:themeColor="text1"/>
        </w:rPr>
        <w:t>，对环境的影响较小。</w:t>
      </w:r>
    </w:p>
    <w:p w14:paraId="7F5AEC2B">
      <w:pPr>
        <w:pStyle w:val="116"/>
        <w:ind w:firstLine="482"/>
        <w:rPr>
          <w:b/>
          <w:color w:val="000000" w:themeColor="text1"/>
        </w:rPr>
      </w:pPr>
      <w:r>
        <w:rPr>
          <w:b/>
          <w:color w:val="000000" w:themeColor="text1"/>
        </w:rPr>
        <w:t>（4）总结</w:t>
      </w:r>
    </w:p>
    <w:p w14:paraId="464A51F9">
      <w:pPr>
        <w:pStyle w:val="116"/>
        <w:ind w:firstLine="480"/>
        <w:rPr>
          <w:color w:val="000000" w:themeColor="text1"/>
        </w:rPr>
      </w:pPr>
      <w:r>
        <w:rPr>
          <w:color w:val="000000" w:themeColor="text1"/>
        </w:rPr>
        <w:t>本项目施工期产生的土石方、建筑垃圾、生活垃圾均能得到有效的处置，禁止随意丢弃，对环境影响较小。</w:t>
      </w:r>
    </w:p>
    <w:bookmarkEnd w:id="385"/>
    <w:p w14:paraId="2C99DB55">
      <w:pPr>
        <w:pStyle w:val="4"/>
        <w:rPr>
          <w:rFonts w:ascii="Times New Roman" w:hAnsi="Times New Roman"/>
          <w:color w:val="000000" w:themeColor="text1"/>
          <w:lang w:val="zh-CN"/>
        </w:rPr>
      </w:pPr>
      <w:bookmarkStart w:id="389" w:name="_Toc28117709"/>
      <w:r>
        <w:rPr>
          <w:rFonts w:ascii="Times New Roman" w:hAnsi="Times New Roman"/>
          <w:color w:val="000000" w:themeColor="text1"/>
          <w:lang w:val="zh-CN"/>
        </w:rPr>
        <w:t>5.5施工期影响评价结论</w:t>
      </w:r>
      <w:bookmarkEnd w:id="389"/>
    </w:p>
    <w:p w14:paraId="0028042C">
      <w:pPr>
        <w:spacing w:line="360" w:lineRule="auto"/>
        <w:ind w:firstLine="480" w:firstLineChars="200"/>
        <w:rPr>
          <w:color w:val="000000" w:themeColor="text1"/>
          <w:sz w:val="24"/>
          <w:lang w:val="zh-CN"/>
        </w:rPr>
      </w:pPr>
      <w:r>
        <w:rPr>
          <w:color w:val="000000" w:themeColor="text1"/>
          <w:sz w:val="24"/>
          <w:lang w:val="zh-CN"/>
        </w:rPr>
        <w:t>综上，项目施工期对环境产生均为短期的影响，建设单位和施工单位在施工过程中只要切实落实对施工产生的废水、扬尘、噪声、固体废物的管理和控制措施，施工期环境影响将得到有效控制。</w:t>
      </w:r>
    </w:p>
    <w:p w14:paraId="7969952E">
      <w:pPr>
        <w:autoSpaceDE w:val="0"/>
        <w:autoSpaceDN w:val="0"/>
        <w:adjustRightInd w:val="0"/>
        <w:jc w:val="left"/>
        <w:rPr>
          <w:rFonts w:eastAsia="黑体"/>
          <w:b/>
          <w:bCs/>
          <w:color w:val="000000" w:themeColor="text1"/>
          <w:kern w:val="44"/>
          <w:sz w:val="36"/>
          <w:szCs w:val="36"/>
        </w:rPr>
      </w:pPr>
      <w:r>
        <w:rPr>
          <w:color w:val="000000" w:themeColor="text1"/>
        </w:rPr>
        <w:br w:type="page"/>
      </w:r>
    </w:p>
    <w:p w14:paraId="6D8D0E74">
      <w:pPr>
        <w:pStyle w:val="3"/>
        <w:rPr>
          <w:color w:val="000000" w:themeColor="text1"/>
        </w:rPr>
      </w:pPr>
      <w:bookmarkStart w:id="390" w:name="_Toc28117710"/>
      <w:r>
        <w:rPr>
          <w:color w:val="000000" w:themeColor="text1"/>
        </w:rPr>
        <w:t>6运营期环境影响预测评价</w:t>
      </w:r>
      <w:bookmarkEnd w:id="375"/>
      <w:bookmarkEnd w:id="390"/>
      <w:r>
        <w:rPr>
          <w:color w:val="000000" w:themeColor="text1"/>
        </w:rPr>
        <w:tab/>
      </w:r>
    </w:p>
    <w:p w14:paraId="1C505790">
      <w:pPr>
        <w:pStyle w:val="4"/>
        <w:rPr>
          <w:rFonts w:ascii="Times New Roman" w:hAnsi="Times New Roman"/>
          <w:color w:val="000000" w:themeColor="text1"/>
        </w:rPr>
      </w:pPr>
      <w:bookmarkStart w:id="391" w:name="_Toc28117711"/>
      <w:bookmarkStart w:id="392" w:name="_Toc280621099"/>
      <w:bookmarkStart w:id="393" w:name="_Toc290295816"/>
      <w:r>
        <w:rPr>
          <w:rFonts w:ascii="Times New Roman" w:hAnsi="Times New Roman"/>
          <w:color w:val="000000" w:themeColor="text1"/>
        </w:rPr>
        <w:t>6.1大气环境影响预测评价</w:t>
      </w:r>
      <w:bookmarkEnd w:id="391"/>
      <w:bookmarkEnd w:id="392"/>
      <w:bookmarkEnd w:id="393"/>
    </w:p>
    <w:p w14:paraId="6706B742">
      <w:pPr>
        <w:pStyle w:val="105"/>
        <w:rPr>
          <w:rFonts w:cs="Times New Roman"/>
          <w:color w:val="000000" w:themeColor="text1"/>
        </w:rPr>
      </w:pPr>
      <w:r>
        <w:rPr>
          <w:rFonts w:cs="Times New Roman"/>
          <w:color w:val="000000" w:themeColor="text1"/>
        </w:rPr>
        <w:t>6.1.1评价区气象资料</w:t>
      </w:r>
    </w:p>
    <w:p w14:paraId="6B2EE179">
      <w:pPr>
        <w:spacing w:line="360" w:lineRule="auto"/>
        <w:ind w:firstLine="482" w:firstLineChars="200"/>
        <w:rPr>
          <w:b/>
          <w:color w:val="000000" w:themeColor="text1"/>
          <w:sz w:val="24"/>
        </w:rPr>
      </w:pPr>
      <w:r>
        <w:rPr>
          <w:b/>
          <w:color w:val="000000" w:themeColor="text1"/>
          <w:sz w:val="24"/>
        </w:rPr>
        <w:t>1、区域气候概况</w:t>
      </w:r>
    </w:p>
    <w:p w14:paraId="28250BFC">
      <w:pPr>
        <w:spacing w:line="360" w:lineRule="auto"/>
        <w:ind w:firstLine="480" w:firstLineChars="200"/>
        <w:jc w:val="left"/>
        <w:rPr>
          <w:color w:val="000000" w:themeColor="text1"/>
          <w:sz w:val="24"/>
        </w:rPr>
      </w:pPr>
      <w:r>
        <w:rPr>
          <w:color w:val="000000" w:themeColor="text1"/>
          <w:sz w:val="24"/>
        </w:rPr>
        <w:t>芒市地处低纬高原，太阳高度角大，太阳辐射较强，热量丰富；受南亚季风影响， 夏季水气丰沛，湿润多雨，而冬季受干暖气团影响，温暖少雨，形成干雨分明，主体属南亚热带季风气候。潞西市历年平均气温 19.5 摄氏度，历年极端最高气温 36.2 摄氏度，极端最低气温-0.6摄氏度；历年平均相对湿度 79%；历年平均降雨量 1626.1 毫米，年最大降雨量 2294 毫米，年最小降雨 1309.7 毫米；历年平均日照 2352.3 小时，年最大日照 2713.3 小时，年最小日照 1834.9 小时；历年平均有霜期 19 天，年最大有霜期 54 天，年最小有霜期 2 天；有雾日数 60 天。</w:t>
      </w:r>
    </w:p>
    <w:p w14:paraId="65DE292A">
      <w:pPr>
        <w:spacing w:line="360" w:lineRule="auto"/>
        <w:ind w:firstLine="482" w:firstLineChars="200"/>
        <w:rPr>
          <w:b/>
          <w:color w:val="000000" w:themeColor="text1"/>
          <w:sz w:val="24"/>
        </w:rPr>
      </w:pPr>
      <w:r>
        <w:rPr>
          <w:b/>
          <w:color w:val="000000" w:themeColor="text1"/>
          <w:sz w:val="24"/>
        </w:rPr>
        <w:t>2、气象背景及污染气象</w:t>
      </w:r>
    </w:p>
    <w:p w14:paraId="711129D1">
      <w:pPr>
        <w:spacing w:line="360" w:lineRule="auto"/>
        <w:ind w:firstLine="480" w:firstLineChars="200"/>
        <w:jc w:val="left"/>
        <w:rPr>
          <w:color w:val="000000" w:themeColor="text1"/>
          <w:sz w:val="24"/>
        </w:rPr>
      </w:pPr>
      <w:r>
        <w:rPr>
          <w:color w:val="000000" w:themeColor="text1"/>
          <w:sz w:val="24"/>
        </w:rPr>
        <w:t>芒市气象站 30 年（1971~2000 年）平均气候资见表6.1-1。</w:t>
      </w:r>
    </w:p>
    <w:p w14:paraId="2C6AAA50">
      <w:pPr>
        <w:jc w:val="left"/>
        <w:rPr>
          <w:b/>
          <w:color w:val="000000" w:themeColor="text1"/>
          <w:sz w:val="24"/>
        </w:rPr>
      </w:pPr>
      <w:r>
        <w:rPr>
          <w:b/>
          <w:color w:val="000000" w:themeColor="text1"/>
          <w:sz w:val="24"/>
        </w:rPr>
        <w:t>表</w:t>
      </w:r>
      <w:r>
        <w:rPr>
          <w:b/>
          <w:color w:val="000000" w:themeColor="text1"/>
          <w:spacing w:val="-1"/>
          <w:sz w:val="24"/>
        </w:rPr>
        <w:t xml:space="preserve"> </w:t>
      </w:r>
      <w:r>
        <w:rPr>
          <w:rFonts w:eastAsia="Times New Roman"/>
          <w:b/>
          <w:color w:val="000000" w:themeColor="text1"/>
          <w:sz w:val="24"/>
        </w:rPr>
        <w:t>6.1-1</w:t>
      </w:r>
      <w:r>
        <w:rPr>
          <w:rFonts w:eastAsiaTheme="minorEastAsia"/>
          <w:b/>
          <w:color w:val="000000" w:themeColor="text1"/>
          <w:sz w:val="24"/>
        </w:rPr>
        <w:t xml:space="preserve">  </w:t>
      </w:r>
      <w:r>
        <w:rPr>
          <w:b/>
          <w:color w:val="000000" w:themeColor="text1"/>
          <w:sz w:val="24"/>
        </w:rPr>
        <w:t>芒市常年各月各气象要素一览表（资料年代：</w:t>
      </w:r>
      <w:r>
        <w:rPr>
          <w:rFonts w:eastAsia="Times New Roman"/>
          <w:b/>
          <w:color w:val="000000" w:themeColor="text1"/>
          <w:sz w:val="24"/>
        </w:rPr>
        <w:t>1971~2000</w:t>
      </w:r>
      <w:r>
        <w:rPr>
          <w:rFonts w:eastAsia="Times New Roman"/>
          <w:b/>
          <w:color w:val="000000" w:themeColor="text1"/>
          <w:spacing w:val="-18"/>
          <w:sz w:val="24"/>
        </w:rPr>
        <w:t xml:space="preserve"> </w:t>
      </w:r>
      <w:r>
        <w:rPr>
          <w:b/>
          <w:color w:val="000000" w:themeColor="text1"/>
          <w:sz w:val="24"/>
        </w:rPr>
        <w:t>年）</w:t>
      </w:r>
    </w:p>
    <w:tbl>
      <w:tblPr>
        <w:tblStyle w:val="280"/>
        <w:tblW w:w="5338" w:type="pct"/>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58"/>
        <w:gridCol w:w="584"/>
        <w:gridCol w:w="638"/>
        <w:gridCol w:w="639"/>
        <w:gridCol w:w="639"/>
        <w:gridCol w:w="639"/>
        <w:gridCol w:w="639"/>
        <w:gridCol w:w="550"/>
        <w:gridCol w:w="681"/>
        <w:gridCol w:w="548"/>
        <w:gridCol w:w="552"/>
        <w:gridCol w:w="548"/>
        <w:gridCol w:w="639"/>
        <w:gridCol w:w="670"/>
      </w:tblGrid>
      <w:tr w14:paraId="1BB6A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6950BDEB">
            <w:pPr>
              <w:pStyle w:val="281"/>
              <w:jc w:val="center"/>
              <w:rPr>
                <w:rFonts w:ascii="Times New Roman" w:hAnsi="Times New Roman" w:eastAsia="宋体" w:cs="Times New Roman"/>
                <w:color w:val="000000" w:themeColor="text1"/>
                <w:sz w:val="18"/>
              </w:rPr>
            </w:pPr>
            <w:r>
              <w:rPr>
                <w:rFonts w:ascii="Times New Roman" w:hAnsi="Times New Roman" w:eastAsia="宋体" w:cs="Times New Roman"/>
                <w:color w:val="000000" w:themeColor="text1"/>
                <w:sz w:val="18"/>
              </w:rPr>
              <w:t>月份</w:t>
            </w:r>
          </w:p>
        </w:tc>
        <w:tc>
          <w:tcPr>
            <w:tcW w:w="317" w:type="pct"/>
            <w:vAlign w:val="center"/>
          </w:tcPr>
          <w:p w14:paraId="20DC52D0">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346" w:type="pct"/>
            <w:vAlign w:val="center"/>
          </w:tcPr>
          <w:p w14:paraId="079C3E87">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w:t>
            </w:r>
          </w:p>
        </w:tc>
        <w:tc>
          <w:tcPr>
            <w:tcW w:w="346" w:type="pct"/>
            <w:vAlign w:val="center"/>
          </w:tcPr>
          <w:p w14:paraId="7E856CEE">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3</w:t>
            </w:r>
          </w:p>
        </w:tc>
        <w:tc>
          <w:tcPr>
            <w:tcW w:w="346" w:type="pct"/>
            <w:vAlign w:val="center"/>
          </w:tcPr>
          <w:p w14:paraId="5CF3A22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4</w:t>
            </w:r>
          </w:p>
        </w:tc>
        <w:tc>
          <w:tcPr>
            <w:tcW w:w="346" w:type="pct"/>
            <w:vAlign w:val="center"/>
          </w:tcPr>
          <w:p w14:paraId="240B17CF">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5</w:t>
            </w:r>
          </w:p>
        </w:tc>
        <w:tc>
          <w:tcPr>
            <w:tcW w:w="346" w:type="pct"/>
            <w:vAlign w:val="center"/>
          </w:tcPr>
          <w:p w14:paraId="6551C84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6</w:t>
            </w:r>
          </w:p>
        </w:tc>
        <w:tc>
          <w:tcPr>
            <w:tcW w:w="298" w:type="pct"/>
            <w:vAlign w:val="center"/>
          </w:tcPr>
          <w:p w14:paraId="604148B2">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7</w:t>
            </w:r>
          </w:p>
        </w:tc>
        <w:tc>
          <w:tcPr>
            <w:tcW w:w="369" w:type="pct"/>
            <w:vAlign w:val="center"/>
          </w:tcPr>
          <w:p w14:paraId="4532BE87">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8</w:t>
            </w:r>
          </w:p>
        </w:tc>
        <w:tc>
          <w:tcPr>
            <w:tcW w:w="297" w:type="pct"/>
            <w:vAlign w:val="center"/>
          </w:tcPr>
          <w:p w14:paraId="349AD7C0">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w:t>
            </w:r>
          </w:p>
        </w:tc>
        <w:tc>
          <w:tcPr>
            <w:tcW w:w="299" w:type="pct"/>
            <w:vAlign w:val="center"/>
          </w:tcPr>
          <w:p w14:paraId="7656DCF5">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10</w:t>
            </w:r>
          </w:p>
        </w:tc>
        <w:tc>
          <w:tcPr>
            <w:tcW w:w="297" w:type="pct"/>
            <w:vAlign w:val="center"/>
          </w:tcPr>
          <w:p w14:paraId="52AC34B8">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11</w:t>
            </w:r>
          </w:p>
        </w:tc>
        <w:tc>
          <w:tcPr>
            <w:tcW w:w="346" w:type="pct"/>
            <w:vAlign w:val="center"/>
          </w:tcPr>
          <w:p w14:paraId="47F163D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12</w:t>
            </w:r>
          </w:p>
        </w:tc>
        <w:tc>
          <w:tcPr>
            <w:tcW w:w="363" w:type="pct"/>
            <w:vAlign w:val="center"/>
          </w:tcPr>
          <w:p w14:paraId="176D19B5">
            <w:pPr>
              <w:pStyle w:val="281"/>
              <w:jc w:val="center"/>
              <w:rPr>
                <w:rFonts w:ascii="Times New Roman" w:hAnsi="Times New Roman" w:eastAsia="宋体" w:cs="Times New Roman"/>
                <w:color w:val="000000" w:themeColor="text1"/>
                <w:sz w:val="18"/>
              </w:rPr>
            </w:pPr>
            <w:r>
              <w:rPr>
                <w:rFonts w:ascii="Times New Roman" w:hAnsi="Times New Roman" w:eastAsia="宋体" w:cs="Times New Roman"/>
                <w:color w:val="000000" w:themeColor="text1"/>
                <w:sz w:val="18"/>
              </w:rPr>
              <w:t>全年</w:t>
            </w:r>
          </w:p>
        </w:tc>
      </w:tr>
      <w:tr w14:paraId="23F36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770B87C0">
            <w:pPr>
              <w:pStyle w:val="281"/>
              <w:jc w:val="center"/>
              <w:rPr>
                <w:rFonts w:ascii="Times New Roman" w:hAnsi="Times New Roman" w:eastAsia="宋体" w:cs="Times New Roman"/>
                <w:color w:val="000000" w:themeColor="text1"/>
                <w:sz w:val="18"/>
              </w:rPr>
            </w:pPr>
            <w:r>
              <w:rPr>
                <w:rFonts w:ascii="Times New Roman" w:hAnsi="Times New Roman" w:eastAsia="宋体" w:cs="Times New Roman"/>
                <w:color w:val="000000" w:themeColor="text1"/>
                <w:sz w:val="18"/>
              </w:rPr>
              <w:t>气压（</w:t>
            </w:r>
            <w:r>
              <w:rPr>
                <w:rFonts w:ascii="Times New Roman" w:hAnsi="Times New Roman" w:cs="Times New Roman"/>
                <w:color w:val="000000" w:themeColor="text1"/>
                <w:sz w:val="18"/>
              </w:rPr>
              <w:t>hPa</w:t>
            </w:r>
            <w:r>
              <w:rPr>
                <w:rFonts w:ascii="Times New Roman" w:hAnsi="Times New Roman" w:eastAsia="宋体" w:cs="Times New Roman"/>
                <w:color w:val="000000" w:themeColor="text1"/>
                <w:sz w:val="18"/>
              </w:rPr>
              <w:t>）</w:t>
            </w:r>
          </w:p>
        </w:tc>
        <w:tc>
          <w:tcPr>
            <w:tcW w:w="317" w:type="pct"/>
            <w:vAlign w:val="center"/>
          </w:tcPr>
          <w:p w14:paraId="14203E8A">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913.5</w:t>
            </w:r>
          </w:p>
        </w:tc>
        <w:tc>
          <w:tcPr>
            <w:tcW w:w="346" w:type="pct"/>
            <w:vAlign w:val="center"/>
          </w:tcPr>
          <w:p w14:paraId="1899EC3F">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912.3</w:t>
            </w:r>
          </w:p>
        </w:tc>
        <w:tc>
          <w:tcPr>
            <w:tcW w:w="346" w:type="pct"/>
            <w:vAlign w:val="center"/>
          </w:tcPr>
          <w:p w14:paraId="51A9CF41">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910.9</w:t>
            </w:r>
          </w:p>
        </w:tc>
        <w:tc>
          <w:tcPr>
            <w:tcW w:w="346" w:type="pct"/>
            <w:vAlign w:val="center"/>
          </w:tcPr>
          <w:p w14:paraId="004FAD87">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909.3</w:t>
            </w:r>
          </w:p>
        </w:tc>
        <w:tc>
          <w:tcPr>
            <w:tcW w:w="346" w:type="pct"/>
            <w:vAlign w:val="center"/>
          </w:tcPr>
          <w:p w14:paraId="5FEE4BA2">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907.4</w:t>
            </w:r>
          </w:p>
        </w:tc>
        <w:tc>
          <w:tcPr>
            <w:tcW w:w="346" w:type="pct"/>
            <w:vAlign w:val="center"/>
          </w:tcPr>
          <w:p w14:paraId="098685A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905.2</w:t>
            </w:r>
          </w:p>
        </w:tc>
        <w:tc>
          <w:tcPr>
            <w:tcW w:w="298" w:type="pct"/>
            <w:vAlign w:val="center"/>
          </w:tcPr>
          <w:p w14:paraId="0D50DF9F">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905.1</w:t>
            </w:r>
          </w:p>
        </w:tc>
        <w:tc>
          <w:tcPr>
            <w:tcW w:w="369" w:type="pct"/>
            <w:vAlign w:val="center"/>
          </w:tcPr>
          <w:p w14:paraId="32525019">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905.9</w:t>
            </w:r>
          </w:p>
        </w:tc>
        <w:tc>
          <w:tcPr>
            <w:tcW w:w="297" w:type="pct"/>
            <w:vAlign w:val="center"/>
          </w:tcPr>
          <w:p w14:paraId="42139930">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908.8</w:t>
            </w:r>
          </w:p>
        </w:tc>
        <w:tc>
          <w:tcPr>
            <w:tcW w:w="299" w:type="pct"/>
            <w:vAlign w:val="center"/>
          </w:tcPr>
          <w:p w14:paraId="7EE3F717">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911.9</w:t>
            </w:r>
          </w:p>
        </w:tc>
        <w:tc>
          <w:tcPr>
            <w:tcW w:w="297" w:type="pct"/>
            <w:vAlign w:val="center"/>
          </w:tcPr>
          <w:p w14:paraId="6F70D654">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914.0</w:t>
            </w:r>
          </w:p>
        </w:tc>
        <w:tc>
          <w:tcPr>
            <w:tcW w:w="346" w:type="pct"/>
            <w:vAlign w:val="center"/>
          </w:tcPr>
          <w:p w14:paraId="31EF879F">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914.8</w:t>
            </w:r>
          </w:p>
        </w:tc>
        <w:tc>
          <w:tcPr>
            <w:tcW w:w="363" w:type="pct"/>
            <w:vAlign w:val="center"/>
          </w:tcPr>
          <w:p w14:paraId="7C4D1A4D">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909.6</w:t>
            </w:r>
          </w:p>
        </w:tc>
      </w:tr>
      <w:tr w14:paraId="6019E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0F54685C">
            <w:pPr>
              <w:pStyle w:val="281"/>
              <w:jc w:val="center"/>
              <w:rPr>
                <w:rFonts w:ascii="Times New Roman" w:hAnsi="Times New Roman" w:cs="Times New Roman"/>
                <w:color w:val="000000" w:themeColor="text1"/>
                <w:sz w:val="18"/>
              </w:rPr>
            </w:pPr>
            <w:r>
              <w:rPr>
                <w:rFonts w:ascii="Times New Roman" w:hAnsi="Times New Roman" w:eastAsia="宋体" w:cs="Times New Roman"/>
                <w:color w:val="000000" w:themeColor="text1"/>
                <w:sz w:val="18"/>
              </w:rPr>
              <w:t>气温</w:t>
            </w:r>
            <w:r>
              <w:rPr>
                <w:rFonts w:ascii="Times New Roman" w:hAnsi="Times New Roman" w:cs="Times New Roman"/>
                <w:color w:val="000000" w:themeColor="text1"/>
                <w:sz w:val="18"/>
              </w:rPr>
              <w:t>(</w:t>
            </w:r>
            <w:r>
              <w:rPr>
                <w:rFonts w:ascii="Times New Roman" w:hAnsi="Times New Roman" w:eastAsia="宋体" w:cs="Times New Roman"/>
                <w:color w:val="000000" w:themeColor="text1"/>
                <w:sz w:val="18"/>
              </w:rPr>
              <w:t>℃</w:t>
            </w:r>
            <w:r>
              <w:rPr>
                <w:rFonts w:ascii="Times New Roman" w:hAnsi="Times New Roman" w:cs="Times New Roman"/>
                <w:color w:val="000000" w:themeColor="text1"/>
                <w:sz w:val="18"/>
              </w:rPr>
              <w:t>)</w:t>
            </w:r>
          </w:p>
        </w:tc>
        <w:tc>
          <w:tcPr>
            <w:tcW w:w="317" w:type="pct"/>
            <w:vAlign w:val="center"/>
          </w:tcPr>
          <w:p w14:paraId="0BB55C9A">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12.3</w:t>
            </w:r>
          </w:p>
        </w:tc>
        <w:tc>
          <w:tcPr>
            <w:tcW w:w="346" w:type="pct"/>
            <w:vAlign w:val="center"/>
          </w:tcPr>
          <w:p w14:paraId="1AA2B442">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14.2</w:t>
            </w:r>
          </w:p>
        </w:tc>
        <w:tc>
          <w:tcPr>
            <w:tcW w:w="346" w:type="pct"/>
            <w:vAlign w:val="center"/>
          </w:tcPr>
          <w:p w14:paraId="0770E36D">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17.7</w:t>
            </w:r>
          </w:p>
        </w:tc>
        <w:tc>
          <w:tcPr>
            <w:tcW w:w="346" w:type="pct"/>
            <w:vAlign w:val="center"/>
          </w:tcPr>
          <w:p w14:paraId="5B0343F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21.0</w:t>
            </w:r>
          </w:p>
        </w:tc>
        <w:tc>
          <w:tcPr>
            <w:tcW w:w="346" w:type="pct"/>
            <w:vAlign w:val="center"/>
          </w:tcPr>
          <w:p w14:paraId="43E947B0">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23.3</w:t>
            </w:r>
          </w:p>
        </w:tc>
        <w:tc>
          <w:tcPr>
            <w:tcW w:w="346" w:type="pct"/>
            <w:vAlign w:val="center"/>
          </w:tcPr>
          <w:p w14:paraId="6911DC28">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24.1</w:t>
            </w:r>
          </w:p>
        </w:tc>
        <w:tc>
          <w:tcPr>
            <w:tcW w:w="298" w:type="pct"/>
            <w:vAlign w:val="center"/>
          </w:tcPr>
          <w:p w14:paraId="7BDF1CB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23.7</w:t>
            </w:r>
          </w:p>
        </w:tc>
        <w:tc>
          <w:tcPr>
            <w:tcW w:w="369" w:type="pct"/>
            <w:vAlign w:val="center"/>
          </w:tcPr>
          <w:p w14:paraId="4C3D61AA">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23.9</w:t>
            </w:r>
          </w:p>
        </w:tc>
        <w:tc>
          <w:tcPr>
            <w:tcW w:w="297" w:type="pct"/>
            <w:vAlign w:val="center"/>
          </w:tcPr>
          <w:p w14:paraId="24602220">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23.3</w:t>
            </w:r>
          </w:p>
        </w:tc>
        <w:tc>
          <w:tcPr>
            <w:tcW w:w="299" w:type="pct"/>
            <w:vAlign w:val="center"/>
          </w:tcPr>
          <w:p w14:paraId="5E7735FE">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21.2</w:t>
            </w:r>
          </w:p>
        </w:tc>
        <w:tc>
          <w:tcPr>
            <w:tcW w:w="297" w:type="pct"/>
            <w:vAlign w:val="center"/>
          </w:tcPr>
          <w:p w14:paraId="1E3B2E88">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17.1</w:t>
            </w:r>
          </w:p>
        </w:tc>
        <w:tc>
          <w:tcPr>
            <w:tcW w:w="346" w:type="pct"/>
            <w:vAlign w:val="center"/>
          </w:tcPr>
          <w:p w14:paraId="00C7288A">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13.3</w:t>
            </w:r>
          </w:p>
        </w:tc>
        <w:tc>
          <w:tcPr>
            <w:tcW w:w="363" w:type="pct"/>
            <w:vAlign w:val="center"/>
          </w:tcPr>
          <w:p w14:paraId="3CF5A0B1">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19.6</w:t>
            </w:r>
          </w:p>
        </w:tc>
      </w:tr>
      <w:tr w14:paraId="36A80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4DBAF7D3">
            <w:pPr>
              <w:pStyle w:val="281"/>
              <w:jc w:val="center"/>
              <w:rPr>
                <w:rFonts w:ascii="Times New Roman" w:hAnsi="Times New Roman" w:cs="Times New Roman"/>
                <w:color w:val="000000" w:themeColor="text1"/>
                <w:sz w:val="18"/>
              </w:rPr>
            </w:pPr>
            <w:r>
              <w:rPr>
                <w:rFonts w:ascii="Times New Roman" w:hAnsi="Times New Roman" w:eastAsia="宋体" w:cs="Times New Roman"/>
                <w:color w:val="000000" w:themeColor="text1"/>
                <w:sz w:val="18"/>
              </w:rPr>
              <w:t>降水量</w:t>
            </w:r>
            <w:r>
              <w:rPr>
                <w:rFonts w:ascii="Times New Roman" w:hAnsi="Times New Roman" w:cs="Times New Roman"/>
                <w:color w:val="000000" w:themeColor="text1"/>
                <w:sz w:val="18"/>
              </w:rPr>
              <w:t>(mm)</w:t>
            </w:r>
          </w:p>
        </w:tc>
        <w:tc>
          <w:tcPr>
            <w:tcW w:w="317" w:type="pct"/>
            <w:vAlign w:val="center"/>
          </w:tcPr>
          <w:p w14:paraId="6DC9304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12.7</w:t>
            </w:r>
          </w:p>
        </w:tc>
        <w:tc>
          <w:tcPr>
            <w:tcW w:w="346" w:type="pct"/>
            <w:vAlign w:val="center"/>
          </w:tcPr>
          <w:p w14:paraId="7BAF53C1">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26.2</w:t>
            </w:r>
          </w:p>
        </w:tc>
        <w:tc>
          <w:tcPr>
            <w:tcW w:w="346" w:type="pct"/>
            <w:vAlign w:val="center"/>
          </w:tcPr>
          <w:p w14:paraId="5A4ABB84">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28.2</w:t>
            </w:r>
          </w:p>
        </w:tc>
        <w:tc>
          <w:tcPr>
            <w:tcW w:w="346" w:type="pct"/>
            <w:vAlign w:val="center"/>
          </w:tcPr>
          <w:p w14:paraId="0B7010A4">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59.8</w:t>
            </w:r>
          </w:p>
        </w:tc>
        <w:tc>
          <w:tcPr>
            <w:tcW w:w="346" w:type="pct"/>
            <w:vAlign w:val="center"/>
          </w:tcPr>
          <w:p w14:paraId="527ECE2D">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137.0</w:t>
            </w:r>
          </w:p>
        </w:tc>
        <w:tc>
          <w:tcPr>
            <w:tcW w:w="346" w:type="pct"/>
            <w:vAlign w:val="center"/>
          </w:tcPr>
          <w:p w14:paraId="25A9835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299.8</w:t>
            </w:r>
          </w:p>
        </w:tc>
        <w:tc>
          <w:tcPr>
            <w:tcW w:w="298" w:type="pct"/>
            <w:vAlign w:val="center"/>
          </w:tcPr>
          <w:p w14:paraId="09B05F6A">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391.2</w:t>
            </w:r>
          </w:p>
        </w:tc>
        <w:tc>
          <w:tcPr>
            <w:tcW w:w="369" w:type="pct"/>
            <w:vAlign w:val="center"/>
          </w:tcPr>
          <w:p w14:paraId="0F77D10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326.4</w:t>
            </w:r>
          </w:p>
        </w:tc>
        <w:tc>
          <w:tcPr>
            <w:tcW w:w="297" w:type="pct"/>
            <w:vAlign w:val="center"/>
          </w:tcPr>
          <w:p w14:paraId="46586EBA">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183.3</w:t>
            </w:r>
          </w:p>
        </w:tc>
        <w:tc>
          <w:tcPr>
            <w:tcW w:w="299" w:type="pct"/>
            <w:vAlign w:val="center"/>
          </w:tcPr>
          <w:p w14:paraId="35B6B7F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118.0</w:t>
            </w:r>
          </w:p>
        </w:tc>
        <w:tc>
          <w:tcPr>
            <w:tcW w:w="297" w:type="pct"/>
            <w:vAlign w:val="center"/>
          </w:tcPr>
          <w:p w14:paraId="01EC0825">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60.3</w:t>
            </w:r>
          </w:p>
        </w:tc>
        <w:tc>
          <w:tcPr>
            <w:tcW w:w="346" w:type="pct"/>
            <w:vAlign w:val="center"/>
          </w:tcPr>
          <w:p w14:paraId="0D26CDB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12.3</w:t>
            </w:r>
          </w:p>
        </w:tc>
        <w:tc>
          <w:tcPr>
            <w:tcW w:w="363" w:type="pct"/>
            <w:vAlign w:val="center"/>
          </w:tcPr>
          <w:p w14:paraId="278A0E68">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1655.2</w:t>
            </w:r>
          </w:p>
        </w:tc>
      </w:tr>
      <w:tr w14:paraId="41D30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5C84DF60">
            <w:pPr>
              <w:pStyle w:val="281"/>
              <w:jc w:val="center"/>
              <w:rPr>
                <w:rFonts w:ascii="Times New Roman" w:hAnsi="Times New Roman" w:cs="Times New Roman"/>
                <w:color w:val="000000" w:themeColor="text1"/>
                <w:sz w:val="18"/>
              </w:rPr>
            </w:pPr>
            <w:r>
              <w:rPr>
                <w:rFonts w:ascii="Times New Roman" w:hAnsi="Times New Roman" w:eastAsia="宋体" w:cs="Times New Roman"/>
                <w:color w:val="000000" w:themeColor="text1"/>
                <w:sz w:val="18"/>
              </w:rPr>
              <w:t>蒸发量</w:t>
            </w:r>
            <w:r>
              <w:rPr>
                <w:rFonts w:ascii="Times New Roman" w:hAnsi="Times New Roman" w:cs="Times New Roman"/>
                <w:color w:val="000000" w:themeColor="text1"/>
                <w:sz w:val="18"/>
              </w:rPr>
              <w:t>(mm)</w:t>
            </w:r>
          </w:p>
        </w:tc>
        <w:tc>
          <w:tcPr>
            <w:tcW w:w="317" w:type="pct"/>
            <w:vAlign w:val="center"/>
          </w:tcPr>
          <w:p w14:paraId="05917048">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110.4</w:t>
            </w:r>
          </w:p>
        </w:tc>
        <w:tc>
          <w:tcPr>
            <w:tcW w:w="346" w:type="pct"/>
            <w:vAlign w:val="center"/>
          </w:tcPr>
          <w:p w14:paraId="195C2D77">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132.9</w:t>
            </w:r>
          </w:p>
        </w:tc>
        <w:tc>
          <w:tcPr>
            <w:tcW w:w="346" w:type="pct"/>
            <w:vAlign w:val="center"/>
          </w:tcPr>
          <w:p w14:paraId="3EB16E31">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197.6</w:t>
            </w:r>
          </w:p>
        </w:tc>
        <w:tc>
          <w:tcPr>
            <w:tcW w:w="346" w:type="pct"/>
            <w:vAlign w:val="center"/>
          </w:tcPr>
          <w:p w14:paraId="7FC769D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214.7</w:t>
            </w:r>
          </w:p>
        </w:tc>
        <w:tc>
          <w:tcPr>
            <w:tcW w:w="346" w:type="pct"/>
            <w:vAlign w:val="center"/>
          </w:tcPr>
          <w:p w14:paraId="371AAFA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196.7</w:t>
            </w:r>
          </w:p>
        </w:tc>
        <w:tc>
          <w:tcPr>
            <w:tcW w:w="346" w:type="pct"/>
            <w:vAlign w:val="center"/>
          </w:tcPr>
          <w:p w14:paraId="08E0F6CA">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139.2</w:t>
            </w:r>
          </w:p>
        </w:tc>
        <w:tc>
          <w:tcPr>
            <w:tcW w:w="298" w:type="pct"/>
            <w:vAlign w:val="center"/>
          </w:tcPr>
          <w:p w14:paraId="5C3D6EF0">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110.6</w:t>
            </w:r>
          </w:p>
        </w:tc>
        <w:tc>
          <w:tcPr>
            <w:tcW w:w="369" w:type="pct"/>
            <w:vAlign w:val="center"/>
          </w:tcPr>
          <w:p w14:paraId="760ABB5E">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131.4</w:t>
            </w:r>
          </w:p>
        </w:tc>
        <w:tc>
          <w:tcPr>
            <w:tcW w:w="297" w:type="pct"/>
            <w:vAlign w:val="center"/>
          </w:tcPr>
          <w:p w14:paraId="6E639A8E">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140.3</w:t>
            </w:r>
          </w:p>
        </w:tc>
        <w:tc>
          <w:tcPr>
            <w:tcW w:w="299" w:type="pct"/>
            <w:vAlign w:val="center"/>
          </w:tcPr>
          <w:p w14:paraId="7593FEB6">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132.1</w:t>
            </w:r>
          </w:p>
        </w:tc>
        <w:tc>
          <w:tcPr>
            <w:tcW w:w="297" w:type="pct"/>
            <w:vAlign w:val="center"/>
          </w:tcPr>
          <w:p w14:paraId="5D3FF956">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106.3</w:t>
            </w:r>
          </w:p>
        </w:tc>
        <w:tc>
          <w:tcPr>
            <w:tcW w:w="346" w:type="pct"/>
            <w:vAlign w:val="center"/>
          </w:tcPr>
          <w:p w14:paraId="369895A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98.3</w:t>
            </w:r>
          </w:p>
        </w:tc>
        <w:tc>
          <w:tcPr>
            <w:tcW w:w="363" w:type="pct"/>
            <w:vAlign w:val="center"/>
          </w:tcPr>
          <w:p w14:paraId="04FBD199">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1710.2</w:t>
            </w:r>
          </w:p>
        </w:tc>
      </w:tr>
      <w:tr w14:paraId="10DFC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5C70EC15">
            <w:pPr>
              <w:pStyle w:val="281"/>
              <w:jc w:val="center"/>
              <w:rPr>
                <w:rFonts w:ascii="Times New Roman" w:hAnsi="Times New Roman" w:eastAsia="宋体" w:cs="Times New Roman"/>
                <w:color w:val="000000" w:themeColor="text1"/>
                <w:sz w:val="18"/>
              </w:rPr>
            </w:pPr>
            <w:r>
              <w:rPr>
                <w:rFonts w:ascii="Times New Roman" w:hAnsi="Times New Roman" w:eastAsia="宋体" w:cs="Times New Roman"/>
                <w:color w:val="000000" w:themeColor="text1"/>
                <w:spacing w:val="-21"/>
                <w:sz w:val="18"/>
              </w:rPr>
              <w:t>相对湿度</w:t>
            </w:r>
            <w:r>
              <w:rPr>
                <w:rFonts w:ascii="Times New Roman" w:hAnsi="Times New Roman" w:eastAsia="宋体" w:cs="Times New Roman"/>
                <w:color w:val="000000" w:themeColor="text1"/>
                <w:spacing w:val="-11"/>
                <w:sz w:val="18"/>
              </w:rPr>
              <w:t>（</w:t>
            </w:r>
            <w:r>
              <w:rPr>
                <w:rFonts w:ascii="Times New Roman" w:hAnsi="Times New Roman" w:cs="Times New Roman"/>
                <w:color w:val="000000" w:themeColor="text1"/>
                <w:spacing w:val="-11"/>
                <w:sz w:val="18"/>
              </w:rPr>
              <w:t>%</w:t>
            </w:r>
            <w:r>
              <w:rPr>
                <w:rFonts w:ascii="Times New Roman" w:hAnsi="Times New Roman" w:eastAsia="宋体" w:cs="Times New Roman"/>
                <w:color w:val="000000" w:themeColor="text1"/>
                <w:spacing w:val="-11"/>
                <w:sz w:val="18"/>
              </w:rPr>
              <w:t>）</w:t>
            </w:r>
          </w:p>
        </w:tc>
        <w:tc>
          <w:tcPr>
            <w:tcW w:w="317" w:type="pct"/>
            <w:vAlign w:val="center"/>
          </w:tcPr>
          <w:p w14:paraId="506D3B07">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78</w:t>
            </w:r>
          </w:p>
        </w:tc>
        <w:tc>
          <w:tcPr>
            <w:tcW w:w="346" w:type="pct"/>
            <w:vAlign w:val="center"/>
          </w:tcPr>
          <w:p w14:paraId="1163A079">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73</w:t>
            </w:r>
          </w:p>
        </w:tc>
        <w:tc>
          <w:tcPr>
            <w:tcW w:w="346" w:type="pct"/>
            <w:vAlign w:val="center"/>
          </w:tcPr>
          <w:p w14:paraId="266B4B3A">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67</w:t>
            </w:r>
          </w:p>
        </w:tc>
        <w:tc>
          <w:tcPr>
            <w:tcW w:w="346" w:type="pct"/>
            <w:vAlign w:val="center"/>
          </w:tcPr>
          <w:p w14:paraId="26B80EB5">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68</w:t>
            </w:r>
          </w:p>
        </w:tc>
        <w:tc>
          <w:tcPr>
            <w:tcW w:w="346" w:type="pct"/>
            <w:vAlign w:val="center"/>
          </w:tcPr>
          <w:p w14:paraId="7363E742">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76</w:t>
            </w:r>
          </w:p>
        </w:tc>
        <w:tc>
          <w:tcPr>
            <w:tcW w:w="346" w:type="pct"/>
            <w:vAlign w:val="center"/>
          </w:tcPr>
          <w:p w14:paraId="750EEA57">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85</w:t>
            </w:r>
          </w:p>
        </w:tc>
        <w:tc>
          <w:tcPr>
            <w:tcW w:w="298" w:type="pct"/>
            <w:vAlign w:val="center"/>
          </w:tcPr>
          <w:p w14:paraId="463D8CF8">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88</w:t>
            </w:r>
          </w:p>
        </w:tc>
        <w:tc>
          <w:tcPr>
            <w:tcW w:w="369" w:type="pct"/>
            <w:vAlign w:val="center"/>
          </w:tcPr>
          <w:p w14:paraId="28186084">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87</w:t>
            </w:r>
          </w:p>
        </w:tc>
        <w:tc>
          <w:tcPr>
            <w:tcW w:w="297" w:type="pct"/>
            <w:vAlign w:val="center"/>
          </w:tcPr>
          <w:p w14:paraId="5DB2EEA4">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86</w:t>
            </w:r>
          </w:p>
        </w:tc>
        <w:tc>
          <w:tcPr>
            <w:tcW w:w="299" w:type="pct"/>
            <w:vAlign w:val="center"/>
          </w:tcPr>
          <w:p w14:paraId="1C32CE8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84</w:t>
            </w:r>
          </w:p>
        </w:tc>
        <w:tc>
          <w:tcPr>
            <w:tcW w:w="297" w:type="pct"/>
            <w:vAlign w:val="center"/>
          </w:tcPr>
          <w:p w14:paraId="3CA2951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83</w:t>
            </w:r>
          </w:p>
        </w:tc>
        <w:tc>
          <w:tcPr>
            <w:tcW w:w="346" w:type="pct"/>
            <w:vAlign w:val="center"/>
          </w:tcPr>
          <w:p w14:paraId="6569D211">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81</w:t>
            </w:r>
          </w:p>
        </w:tc>
        <w:tc>
          <w:tcPr>
            <w:tcW w:w="363" w:type="pct"/>
            <w:vAlign w:val="center"/>
          </w:tcPr>
          <w:p w14:paraId="6E5E98BA">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80</w:t>
            </w:r>
          </w:p>
        </w:tc>
      </w:tr>
      <w:tr w14:paraId="2B72A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5B57CDFB">
            <w:pPr>
              <w:pStyle w:val="281"/>
              <w:jc w:val="center"/>
              <w:rPr>
                <w:rFonts w:ascii="Times New Roman" w:hAnsi="Times New Roman" w:eastAsia="宋体" w:cs="Times New Roman"/>
                <w:color w:val="000000" w:themeColor="text1"/>
                <w:sz w:val="18"/>
              </w:rPr>
            </w:pPr>
            <w:r>
              <w:rPr>
                <w:rFonts w:ascii="Times New Roman" w:hAnsi="Times New Roman" w:eastAsia="宋体" w:cs="Times New Roman"/>
                <w:color w:val="000000" w:themeColor="text1"/>
                <w:spacing w:val="-39"/>
                <w:sz w:val="18"/>
              </w:rPr>
              <w:t>平均风速</w:t>
            </w:r>
            <w:r>
              <w:rPr>
                <w:rFonts w:ascii="Times New Roman" w:hAnsi="Times New Roman" w:eastAsia="宋体" w:cs="Times New Roman"/>
                <w:color w:val="000000" w:themeColor="text1"/>
                <w:spacing w:val="-11"/>
                <w:sz w:val="18"/>
              </w:rPr>
              <w:t>（</w:t>
            </w:r>
            <w:r>
              <w:rPr>
                <w:rFonts w:ascii="Times New Roman" w:hAnsi="Times New Roman" w:cs="Times New Roman"/>
                <w:color w:val="000000" w:themeColor="text1"/>
                <w:spacing w:val="-11"/>
                <w:sz w:val="18"/>
              </w:rPr>
              <w:t>m/s</w:t>
            </w:r>
            <w:r>
              <w:rPr>
                <w:rFonts w:ascii="Times New Roman" w:hAnsi="Times New Roman" w:eastAsia="宋体" w:cs="Times New Roman"/>
                <w:color w:val="000000" w:themeColor="text1"/>
                <w:spacing w:val="-11"/>
                <w:sz w:val="18"/>
              </w:rPr>
              <w:t>）</w:t>
            </w:r>
          </w:p>
        </w:tc>
        <w:tc>
          <w:tcPr>
            <w:tcW w:w="317" w:type="pct"/>
            <w:vAlign w:val="center"/>
          </w:tcPr>
          <w:p w14:paraId="5D182EE6">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0.6</w:t>
            </w:r>
          </w:p>
        </w:tc>
        <w:tc>
          <w:tcPr>
            <w:tcW w:w="346" w:type="pct"/>
            <w:vAlign w:val="center"/>
          </w:tcPr>
          <w:p w14:paraId="6AB6558E">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0.9</w:t>
            </w:r>
          </w:p>
        </w:tc>
        <w:tc>
          <w:tcPr>
            <w:tcW w:w="346" w:type="pct"/>
            <w:vAlign w:val="center"/>
          </w:tcPr>
          <w:p w14:paraId="59BA8F5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1.1</w:t>
            </w:r>
          </w:p>
        </w:tc>
        <w:tc>
          <w:tcPr>
            <w:tcW w:w="346" w:type="pct"/>
            <w:vAlign w:val="center"/>
          </w:tcPr>
          <w:p w14:paraId="01CF9C3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1.2</w:t>
            </w:r>
          </w:p>
        </w:tc>
        <w:tc>
          <w:tcPr>
            <w:tcW w:w="346" w:type="pct"/>
            <w:vAlign w:val="center"/>
          </w:tcPr>
          <w:p w14:paraId="00F0A279">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1.2</w:t>
            </w:r>
          </w:p>
        </w:tc>
        <w:tc>
          <w:tcPr>
            <w:tcW w:w="346" w:type="pct"/>
            <w:vAlign w:val="center"/>
          </w:tcPr>
          <w:p w14:paraId="58A027E8">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1.0</w:t>
            </w:r>
          </w:p>
        </w:tc>
        <w:tc>
          <w:tcPr>
            <w:tcW w:w="298" w:type="pct"/>
            <w:vAlign w:val="center"/>
          </w:tcPr>
          <w:p w14:paraId="204C7B07">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0.9</w:t>
            </w:r>
          </w:p>
        </w:tc>
        <w:tc>
          <w:tcPr>
            <w:tcW w:w="369" w:type="pct"/>
            <w:vAlign w:val="center"/>
          </w:tcPr>
          <w:p w14:paraId="159E1485">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0.8</w:t>
            </w:r>
          </w:p>
        </w:tc>
        <w:tc>
          <w:tcPr>
            <w:tcW w:w="297" w:type="pct"/>
            <w:vAlign w:val="center"/>
          </w:tcPr>
          <w:p w14:paraId="0B016E7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0.8</w:t>
            </w:r>
          </w:p>
        </w:tc>
        <w:tc>
          <w:tcPr>
            <w:tcW w:w="299" w:type="pct"/>
            <w:vAlign w:val="center"/>
          </w:tcPr>
          <w:p w14:paraId="770E4FED">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0.7</w:t>
            </w:r>
          </w:p>
        </w:tc>
        <w:tc>
          <w:tcPr>
            <w:tcW w:w="297" w:type="pct"/>
            <w:vAlign w:val="center"/>
          </w:tcPr>
          <w:p w14:paraId="35D63C0D">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0.6</w:t>
            </w:r>
          </w:p>
        </w:tc>
        <w:tc>
          <w:tcPr>
            <w:tcW w:w="346" w:type="pct"/>
            <w:vAlign w:val="center"/>
          </w:tcPr>
          <w:p w14:paraId="047F9215">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0.5</w:t>
            </w:r>
          </w:p>
        </w:tc>
        <w:tc>
          <w:tcPr>
            <w:tcW w:w="363" w:type="pct"/>
            <w:vAlign w:val="center"/>
          </w:tcPr>
          <w:p w14:paraId="7025BA1D">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0.9</w:t>
            </w:r>
          </w:p>
        </w:tc>
      </w:tr>
      <w:tr w14:paraId="35883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Merge w:val="restart"/>
            <w:vAlign w:val="center"/>
          </w:tcPr>
          <w:p w14:paraId="6CD94C85">
            <w:pPr>
              <w:pStyle w:val="281"/>
              <w:jc w:val="center"/>
              <w:rPr>
                <w:rFonts w:ascii="Times New Roman" w:hAnsi="Times New Roman" w:eastAsia="宋体" w:cs="Times New Roman"/>
                <w:color w:val="000000" w:themeColor="text1"/>
                <w:sz w:val="18"/>
              </w:rPr>
            </w:pPr>
            <w:r>
              <w:rPr>
                <w:rFonts w:ascii="Times New Roman" w:hAnsi="Times New Roman" w:eastAsia="宋体" w:cs="Times New Roman"/>
                <w:color w:val="000000" w:themeColor="text1"/>
                <w:spacing w:val="-21"/>
                <w:sz w:val="18"/>
              </w:rPr>
              <w:t>最多风向及频</w:t>
            </w:r>
            <w:r>
              <w:rPr>
                <w:rFonts w:ascii="Times New Roman" w:hAnsi="Times New Roman" w:eastAsia="宋体" w:cs="Times New Roman"/>
                <w:color w:val="000000" w:themeColor="text1"/>
                <w:sz w:val="18"/>
              </w:rPr>
              <w:t>率</w:t>
            </w:r>
          </w:p>
        </w:tc>
        <w:tc>
          <w:tcPr>
            <w:tcW w:w="317" w:type="pct"/>
            <w:vAlign w:val="center"/>
          </w:tcPr>
          <w:p w14:paraId="19ED4CF8">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S</w:t>
            </w:r>
          </w:p>
        </w:tc>
        <w:tc>
          <w:tcPr>
            <w:tcW w:w="346" w:type="pct"/>
            <w:vAlign w:val="center"/>
          </w:tcPr>
          <w:p w14:paraId="2786C972">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S</w:t>
            </w:r>
          </w:p>
        </w:tc>
        <w:tc>
          <w:tcPr>
            <w:tcW w:w="346" w:type="pct"/>
            <w:vAlign w:val="center"/>
          </w:tcPr>
          <w:p w14:paraId="480B74F1">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SW</w:t>
            </w:r>
          </w:p>
        </w:tc>
        <w:tc>
          <w:tcPr>
            <w:tcW w:w="346" w:type="pct"/>
            <w:vAlign w:val="center"/>
          </w:tcPr>
          <w:p w14:paraId="5E8B0C73">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SW</w:t>
            </w:r>
          </w:p>
        </w:tc>
        <w:tc>
          <w:tcPr>
            <w:tcW w:w="346" w:type="pct"/>
            <w:vAlign w:val="center"/>
          </w:tcPr>
          <w:p w14:paraId="346E3000">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SW</w:t>
            </w:r>
          </w:p>
        </w:tc>
        <w:tc>
          <w:tcPr>
            <w:tcW w:w="346" w:type="pct"/>
            <w:vAlign w:val="center"/>
          </w:tcPr>
          <w:p w14:paraId="739C7E2F">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SW</w:t>
            </w:r>
          </w:p>
        </w:tc>
        <w:tc>
          <w:tcPr>
            <w:tcW w:w="298" w:type="pct"/>
            <w:vAlign w:val="center"/>
          </w:tcPr>
          <w:p w14:paraId="3026B67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NE</w:t>
            </w:r>
          </w:p>
        </w:tc>
        <w:tc>
          <w:tcPr>
            <w:tcW w:w="369" w:type="pct"/>
            <w:vAlign w:val="center"/>
          </w:tcPr>
          <w:p w14:paraId="73845E97">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NE</w:t>
            </w:r>
          </w:p>
        </w:tc>
        <w:tc>
          <w:tcPr>
            <w:tcW w:w="297" w:type="pct"/>
            <w:vAlign w:val="center"/>
          </w:tcPr>
          <w:p w14:paraId="5154BFF3">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SW</w:t>
            </w:r>
          </w:p>
        </w:tc>
        <w:tc>
          <w:tcPr>
            <w:tcW w:w="299" w:type="pct"/>
            <w:vAlign w:val="center"/>
          </w:tcPr>
          <w:p w14:paraId="72B34B3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SW</w:t>
            </w:r>
          </w:p>
        </w:tc>
        <w:tc>
          <w:tcPr>
            <w:tcW w:w="297" w:type="pct"/>
            <w:vAlign w:val="center"/>
          </w:tcPr>
          <w:p w14:paraId="2CFD04D2">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SW</w:t>
            </w:r>
          </w:p>
        </w:tc>
        <w:tc>
          <w:tcPr>
            <w:tcW w:w="346" w:type="pct"/>
            <w:vAlign w:val="center"/>
          </w:tcPr>
          <w:p w14:paraId="5511F9B0">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SW</w:t>
            </w:r>
          </w:p>
        </w:tc>
        <w:tc>
          <w:tcPr>
            <w:tcW w:w="363" w:type="pct"/>
            <w:vAlign w:val="center"/>
          </w:tcPr>
          <w:p w14:paraId="3EA3AFC2">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SW</w:t>
            </w:r>
          </w:p>
        </w:tc>
      </w:tr>
      <w:tr w14:paraId="7F693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Merge w:val="continue"/>
            <w:vAlign w:val="center"/>
          </w:tcPr>
          <w:p w14:paraId="2B465747">
            <w:pPr>
              <w:jc w:val="center"/>
              <w:rPr>
                <w:rFonts w:ascii="Times New Roman" w:hAnsi="Times New Roman" w:cs="Times New Roman" w:eastAsiaTheme="minorEastAsia"/>
                <w:color w:val="000000" w:themeColor="text1"/>
                <w:lang w:eastAsia="en-US"/>
              </w:rPr>
            </w:pPr>
          </w:p>
        </w:tc>
        <w:tc>
          <w:tcPr>
            <w:tcW w:w="317" w:type="pct"/>
            <w:vAlign w:val="center"/>
          </w:tcPr>
          <w:p w14:paraId="3F09273F">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6</w:t>
            </w:r>
          </w:p>
        </w:tc>
        <w:tc>
          <w:tcPr>
            <w:tcW w:w="346" w:type="pct"/>
            <w:vAlign w:val="center"/>
          </w:tcPr>
          <w:p w14:paraId="146A3EB8">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8</w:t>
            </w:r>
          </w:p>
        </w:tc>
        <w:tc>
          <w:tcPr>
            <w:tcW w:w="346" w:type="pct"/>
            <w:vAlign w:val="center"/>
          </w:tcPr>
          <w:p w14:paraId="0CB6A8A7">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11</w:t>
            </w:r>
          </w:p>
        </w:tc>
        <w:tc>
          <w:tcPr>
            <w:tcW w:w="346" w:type="pct"/>
            <w:vAlign w:val="center"/>
          </w:tcPr>
          <w:p w14:paraId="5207EAC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11</w:t>
            </w:r>
          </w:p>
        </w:tc>
        <w:tc>
          <w:tcPr>
            <w:tcW w:w="346" w:type="pct"/>
            <w:vAlign w:val="center"/>
          </w:tcPr>
          <w:p w14:paraId="66EFDE2F">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10</w:t>
            </w:r>
          </w:p>
        </w:tc>
        <w:tc>
          <w:tcPr>
            <w:tcW w:w="346" w:type="pct"/>
            <w:vAlign w:val="center"/>
          </w:tcPr>
          <w:p w14:paraId="5E7CA986">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7</w:t>
            </w:r>
          </w:p>
        </w:tc>
        <w:tc>
          <w:tcPr>
            <w:tcW w:w="298" w:type="pct"/>
            <w:vAlign w:val="center"/>
          </w:tcPr>
          <w:p w14:paraId="2883E91E">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6</w:t>
            </w:r>
          </w:p>
        </w:tc>
        <w:tc>
          <w:tcPr>
            <w:tcW w:w="369" w:type="pct"/>
            <w:vAlign w:val="center"/>
          </w:tcPr>
          <w:p w14:paraId="4711120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6</w:t>
            </w:r>
          </w:p>
        </w:tc>
        <w:tc>
          <w:tcPr>
            <w:tcW w:w="297" w:type="pct"/>
            <w:vAlign w:val="center"/>
          </w:tcPr>
          <w:p w14:paraId="5BFF3CC9">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6</w:t>
            </w:r>
          </w:p>
        </w:tc>
        <w:tc>
          <w:tcPr>
            <w:tcW w:w="299" w:type="pct"/>
            <w:vAlign w:val="center"/>
          </w:tcPr>
          <w:p w14:paraId="702B89C7">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7</w:t>
            </w:r>
          </w:p>
        </w:tc>
        <w:tc>
          <w:tcPr>
            <w:tcW w:w="297" w:type="pct"/>
            <w:vAlign w:val="center"/>
          </w:tcPr>
          <w:p w14:paraId="6DAAE553">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6</w:t>
            </w:r>
          </w:p>
        </w:tc>
        <w:tc>
          <w:tcPr>
            <w:tcW w:w="346" w:type="pct"/>
            <w:vAlign w:val="center"/>
          </w:tcPr>
          <w:p w14:paraId="35F8A714">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5</w:t>
            </w:r>
          </w:p>
        </w:tc>
        <w:tc>
          <w:tcPr>
            <w:tcW w:w="363" w:type="pct"/>
            <w:vAlign w:val="center"/>
          </w:tcPr>
          <w:p w14:paraId="03D6CEB5">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7</w:t>
            </w:r>
          </w:p>
        </w:tc>
      </w:tr>
      <w:tr w14:paraId="3BD4D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Merge w:val="continue"/>
            <w:vAlign w:val="center"/>
          </w:tcPr>
          <w:p w14:paraId="3AFE9256">
            <w:pPr>
              <w:jc w:val="center"/>
              <w:rPr>
                <w:rFonts w:ascii="Times New Roman" w:hAnsi="Times New Roman" w:cs="Times New Roman" w:eastAsiaTheme="minorEastAsia"/>
                <w:color w:val="000000" w:themeColor="text1"/>
                <w:lang w:eastAsia="en-US"/>
              </w:rPr>
            </w:pPr>
          </w:p>
        </w:tc>
        <w:tc>
          <w:tcPr>
            <w:tcW w:w="317" w:type="pct"/>
            <w:vAlign w:val="center"/>
          </w:tcPr>
          <w:p w14:paraId="2E2BA56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C</w:t>
            </w:r>
          </w:p>
        </w:tc>
        <w:tc>
          <w:tcPr>
            <w:tcW w:w="346" w:type="pct"/>
            <w:vAlign w:val="center"/>
          </w:tcPr>
          <w:p w14:paraId="5A726BEF">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C</w:t>
            </w:r>
          </w:p>
        </w:tc>
        <w:tc>
          <w:tcPr>
            <w:tcW w:w="346" w:type="pct"/>
            <w:vAlign w:val="center"/>
          </w:tcPr>
          <w:p w14:paraId="63C9ACC9">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C</w:t>
            </w:r>
          </w:p>
        </w:tc>
        <w:tc>
          <w:tcPr>
            <w:tcW w:w="346" w:type="pct"/>
            <w:vAlign w:val="center"/>
          </w:tcPr>
          <w:p w14:paraId="442D9E3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C</w:t>
            </w:r>
          </w:p>
        </w:tc>
        <w:tc>
          <w:tcPr>
            <w:tcW w:w="346" w:type="pct"/>
            <w:vAlign w:val="center"/>
          </w:tcPr>
          <w:p w14:paraId="648800FA">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C</w:t>
            </w:r>
          </w:p>
        </w:tc>
        <w:tc>
          <w:tcPr>
            <w:tcW w:w="346" w:type="pct"/>
            <w:vAlign w:val="center"/>
          </w:tcPr>
          <w:p w14:paraId="5B64C7A8">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C</w:t>
            </w:r>
          </w:p>
        </w:tc>
        <w:tc>
          <w:tcPr>
            <w:tcW w:w="298" w:type="pct"/>
            <w:vAlign w:val="center"/>
          </w:tcPr>
          <w:p w14:paraId="24902DE7">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C</w:t>
            </w:r>
          </w:p>
        </w:tc>
        <w:tc>
          <w:tcPr>
            <w:tcW w:w="369" w:type="pct"/>
            <w:vAlign w:val="center"/>
          </w:tcPr>
          <w:p w14:paraId="17D32844">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C</w:t>
            </w:r>
          </w:p>
        </w:tc>
        <w:tc>
          <w:tcPr>
            <w:tcW w:w="297" w:type="pct"/>
            <w:vAlign w:val="center"/>
          </w:tcPr>
          <w:p w14:paraId="53FCE0B7">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C</w:t>
            </w:r>
          </w:p>
        </w:tc>
        <w:tc>
          <w:tcPr>
            <w:tcW w:w="299" w:type="pct"/>
            <w:vAlign w:val="center"/>
          </w:tcPr>
          <w:p w14:paraId="24DF4EB4">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C</w:t>
            </w:r>
          </w:p>
        </w:tc>
        <w:tc>
          <w:tcPr>
            <w:tcW w:w="297" w:type="pct"/>
            <w:vAlign w:val="center"/>
          </w:tcPr>
          <w:p w14:paraId="5FC800DE">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C</w:t>
            </w:r>
          </w:p>
        </w:tc>
        <w:tc>
          <w:tcPr>
            <w:tcW w:w="346" w:type="pct"/>
            <w:vAlign w:val="center"/>
          </w:tcPr>
          <w:p w14:paraId="7498CD69">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C</w:t>
            </w:r>
          </w:p>
        </w:tc>
        <w:tc>
          <w:tcPr>
            <w:tcW w:w="363" w:type="pct"/>
            <w:vAlign w:val="center"/>
          </w:tcPr>
          <w:p w14:paraId="65919FD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C</w:t>
            </w:r>
          </w:p>
        </w:tc>
      </w:tr>
      <w:tr w14:paraId="26734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Merge w:val="continue"/>
            <w:vAlign w:val="center"/>
          </w:tcPr>
          <w:p w14:paraId="0107AD2D">
            <w:pPr>
              <w:jc w:val="center"/>
              <w:rPr>
                <w:rFonts w:ascii="Times New Roman" w:hAnsi="Times New Roman" w:cs="Times New Roman" w:eastAsiaTheme="minorEastAsia"/>
                <w:color w:val="000000" w:themeColor="text1"/>
                <w:lang w:eastAsia="en-US"/>
              </w:rPr>
            </w:pPr>
          </w:p>
        </w:tc>
        <w:tc>
          <w:tcPr>
            <w:tcW w:w="317" w:type="pct"/>
            <w:vAlign w:val="center"/>
          </w:tcPr>
          <w:p w14:paraId="2CF5934A">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55</w:t>
            </w:r>
          </w:p>
        </w:tc>
        <w:tc>
          <w:tcPr>
            <w:tcW w:w="346" w:type="pct"/>
            <w:vAlign w:val="center"/>
          </w:tcPr>
          <w:p w14:paraId="1BAB2CCA">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45</w:t>
            </w:r>
          </w:p>
        </w:tc>
        <w:tc>
          <w:tcPr>
            <w:tcW w:w="346" w:type="pct"/>
            <w:vAlign w:val="center"/>
          </w:tcPr>
          <w:p w14:paraId="767104B6">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37</w:t>
            </w:r>
          </w:p>
        </w:tc>
        <w:tc>
          <w:tcPr>
            <w:tcW w:w="346" w:type="pct"/>
            <w:vAlign w:val="center"/>
          </w:tcPr>
          <w:p w14:paraId="52CFB156">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35</w:t>
            </w:r>
          </w:p>
        </w:tc>
        <w:tc>
          <w:tcPr>
            <w:tcW w:w="346" w:type="pct"/>
            <w:vAlign w:val="center"/>
          </w:tcPr>
          <w:p w14:paraId="65A017C9">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37</w:t>
            </w:r>
          </w:p>
        </w:tc>
        <w:tc>
          <w:tcPr>
            <w:tcW w:w="346" w:type="pct"/>
            <w:vAlign w:val="center"/>
          </w:tcPr>
          <w:p w14:paraId="40F98CA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40</w:t>
            </w:r>
          </w:p>
        </w:tc>
        <w:tc>
          <w:tcPr>
            <w:tcW w:w="298" w:type="pct"/>
            <w:vAlign w:val="center"/>
          </w:tcPr>
          <w:p w14:paraId="735082A3">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45</w:t>
            </w:r>
          </w:p>
        </w:tc>
        <w:tc>
          <w:tcPr>
            <w:tcW w:w="369" w:type="pct"/>
            <w:vAlign w:val="center"/>
          </w:tcPr>
          <w:p w14:paraId="6B27DAB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46</w:t>
            </w:r>
          </w:p>
        </w:tc>
        <w:tc>
          <w:tcPr>
            <w:tcW w:w="297" w:type="pct"/>
            <w:vAlign w:val="center"/>
          </w:tcPr>
          <w:p w14:paraId="541ECBA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47</w:t>
            </w:r>
          </w:p>
        </w:tc>
        <w:tc>
          <w:tcPr>
            <w:tcW w:w="299" w:type="pct"/>
            <w:vAlign w:val="center"/>
          </w:tcPr>
          <w:p w14:paraId="7B8D5F87">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52</w:t>
            </w:r>
          </w:p>
        </w:tc>
        <w:tc>
          <w:tcPr>
            <w:tcW w:w="297" w:type="pct"/>
            <w:vAlign w:val="center"/>
          </w:tcPr>
          <w:p w14:paraId="6119FCC4">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57</w:t>
            </w:r>
          </w:p>
        </w:tc>
        <w:tc>
          <w:tcPr>
            <w:tcW w:w="346" w:type="pct"/>
            <w:vAlign w:val="center"/>
          </w:tcPr>
          <w:p w14:paraId="58EAA69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60</w:t>
            </w:r>
          </w:p>
        </w:tc>
        <w:tc>
          <w:tcPr>
            <w:tcW w:w="363" w:type="pct"/>
            <w:vAlign w:val="center"/>
          </w:tcPr>
          <w:p w14:paraId="2BC85CA5">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46</w:t>
            </w:r>
          </w:p>
        </w:tc>
      </w:tr>
      <w:tr w14:paraId="58A67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43C5AD7A">
            <w:pPr>
              <w:pStyle w:val="281"/>
              <w:jc w:val="center"/>
              <w:rPr>
                <w:rFonts w:ascii="Times New Roman" w:hAnsi="Times New Roman" w:cs="Times New Roman"/>
                <w:color w:val="000000" w:themeColor="text1"/>
                <w:sz w:val="18"/>
              </w:rPr>
            </w:pPr>
            <w:r>
              <w:rPr>
                <w:rFonts w:ascii="Times New Roman" w:hAnsi="Times New Roman" w:eastAsia="宋体" w:cs="Times New Roman"/>
                <w:color w:val="000000" w:themeColor="text1"/>
                <w:sz w:val="18"/>
              </w:rPr>
              <w:t>日照时数</w:t>
            </w:r>
            <w:r>
              <w:rPr>
                <w:rFonts w:ascii="Times New Roman" w:hAnsi="Times New Roman" w:cs="Times New Roman"/>
                <w:color w:val="000000" w:themeColor="text1"/>
                <w:sz w:val="18"/>
              </w:rPr>
              <w:t>(h)</w:t>
            </w:r>
          </w:p>
        </w:tc>
        <w:tc>
          <w:tcPr>
            <w:tcW w:w="317" w:type="pct"/>
            <w:vAlign w:val="center"/>
          </w:tcPr>
          <w:p w14:paraId="6DC6E318">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238.9</w:t>
            </w:r>
          </w:p>
        </w:tc>
        <w:tc>
          <w:tcPr>
            <w:tcW w:w="346" w:type="pct"/>
            <w:vAlign w:val="center"/>
          </w:tcPr>
          <w:p w14:paraId="1D0266A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218.9</w:t>
            </w:r>
          </w:p>
        </w:tc>
        <w:tc>
          <w:tcPr>
            <w:tcW w:w="346" w:type="pct"/>
            <w:vAlign w:val="center"/>
          </w:tcPr>
          <w:p w14:paraId="2BFE5BFA">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238.3</w:t>
            </w:r>
          </w:p>
        </w:tc>
        <w:tc>
          <w:tcPr>
            <w:tcW w:w="346" w:type="pct"/>
            <w:vAlign w:val="center"/>
          </w:tcPr>
          <w:p w14:paraId="0A92ED04">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222.4</w:t>
            </w:r>
          </w:p>
        </w:tc>
        <w:tc>
          <w:tcPr>
            <w:tcW w:w="346" w:type="pct"/>
            <w:vAlign w:val="center"/>
          </w:tcPr>
          <w:p w14:paraId="7C9C244E">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205.8</w:t>
            </w:r>
          </w:p>
        </w:tc>
        <w:tc>
          <w:tcPr>
            <w:tcW w:w="346" w:type="pct"/>
            <w:vAlign w:val="center"/>
          </w:tcPr>
          <w:p w14:paraId="04B4B499">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130.5</w:t>
            </w:r>
          </w:p>
        </w:tc>
        <w:tc>
          <w:tcPr>
            <w:tcW w:w="298" w:type="pct"/>
            <w:vAlign w:val="center"/>
          </w:tcPr>
          <w:p w14:paraId="6EC2F203">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96.2</w:t>
            </w:r>
          </w:p>
        </w:tc>
        <w:tc>
          <w:tcPr>
            <w:tcW w:w="369" w:type="pct"/>
            <w:vAlign w:val="center"/>
          </w:tcPr>
          <w:p w14:paraId="7A03F61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132.7</w:t>
            </w:r>
          </w:p>
        </w:tc>
        <w:tc>
          <w:tcPr>
            <w:tcW w:w="297" w:type="pct"/>
            <w:vAlign w:val="center"/>
          </w:tcPr>
          <w:p w14:paraId="3BAA2392">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158.6</w:t>
            </w:r>
          </w:p>
        </w:tc>
        <w:tc>
          <w:tcPr>
            <w:tcW w:w="299" w:type="pct"/>
            <w:vAlign w:val="center"/>
          </w:tcPr>
          <w:p w14:paraId="3315A41D">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190.4</w:t>
            </w:r>
          </w:p>
        </w:tc>
        <w:tc>
          <w:tcPr>
            <w:tcW w:w="297" w:type="pct"/>
            <w:vAlign w:val="center"/>
          </w:tcPr>
          <w:p w14:paraId="57115082">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195.0</w:t>
            </w:r>
          </w:p>
        </w:tc>
        <w:tc>
          <w:tcPr>
            <w:tcW w:w="346" w:type="pct"/>
            <w:vAlign w:val="center"/>
          </w:tcPr>
          <w:p w14:paraId="05AE0540">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225.2</w:t>
            </w:r>
          </w:p>
        </w:tc>
        <w:tc>
          <w:tcPr>
            <w:tcW w:w="363" w:type="pct"/>
            <w:vAlign w:val="center"/>
          </w:tcPr>
          <w:p w14:paraId="0FA75C5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2252.9</w:t>
            </w:r>
          </w:p>
        </w:tc>
      </w:tr>
      <w:tr w14:paraId="73204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22EF4BA3">
            <w:pPr>
              <w:pStyle w:val="281"/>
              <w:jc w:val="center"/>
              <w:rPr>
                <w:rFonts w:ascii="Times New Roman" w:hAnsi="Times New Roman" w:eastAsia="宋体" w:cs="Times New Roman"/>
                <w:color w:val="000000" w:themeColor="text1"/>
                <w:sz w:val="18"/>
              </w:rPr>
            </w:pPr>
            <w:r>
              <w:rPr>
                <w:rFonts w:ascii="Times New Roman" w:hAnsi="Times New Roman" w:eastAsia="宋体" w:cs="Times New Roman"/>
                <w:color w:val="000000" w:themeColor="text1"/>
                <w:spacing w:val="-22"/>
                <w:sz w:val="18"/>
              </w:rPr>
              <w:t>大风日数</w:t>
            </w:r>
            <w:r>
              <w:rPr>
                <w:rFonts w:ascii="Times New Roman" w:hAnsi="Times New Roman" w:eastAsia="宋体" w:cs="Times New Roman"/>
                <w:color w:val="000000" w:themeColor="text1"/>
                <w:spacing w:val="-21"/>
                <w:sz w:val="18"/>
              </w:rPr>
              <w:t>（</w:t>
            </w:r>
            <w:r>
              <w:rPr>
                <w:rFonts w:ascii="Times New Roman" w:hAnsi="Times New Roman" w:eastAsia="宋体" w:cs="Times New Roman"/>
                <w:color w:val="000000" w:themeColor="text1"/>
                <w:spacing w:val="-20"/>
                <w:sz w:val="18"/>
              </w:rPr>
              <w:t>天</w:t>
            </w:r>
            <w:r>
              <w:rPr>
                <w:rFonts w:ascii="Times New Roman" w:hAnsi="Times New Roman" w:eastAsia="宋体" w:cs="Times New Roman"/>
                <w:color w:val="000000" w:themeColor="text1"/>
                <w:sz w:val="18"/>
              </w:rPr>
              <w:t>）</w:t>
            </w:r>
          </w:p>
        </w:tc>
        <w:tc>
          <w:tcPr>
            <w:tcW w:w="317" w:type="pct"/>
            <w:vAlign w:val="center"/>
          </w:tcPr>
          <w:p w14:paraId="64175E52">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346" w:type="pct"/>
            <w:vAlign w:val="center"/>
          </w:tcPr>
          <w:p w14:paraId="09C28EE4">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346" w:type="pct"/>
            <w:vAlign w:val="center"/>
          </w:tcPr>
          <w:p w14:paraId="75E4D645">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0.2</w:t>
            </w:r>
          </w:p>
        </w:tc>
        <w:tc>
          <w:tcPr>
            <w:tcW w:w="346" w:type="pct"/>
            <w:vAlign w:val="center"/>
          </w:tcPr>
          <w:p w14:paraId="7AE7ADBA">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0.6</w:t>
            </w:r>
          </w:p>
        </w:tc>
        <w:tc>
          <w:tcPr>
            <w:tcW w:w="346" w:type="pct"/>
            <w:vAlign w:val="center"/>
          </w:tcPr>
          <w:p w14:paraId="3ABF60C2">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0.3</w:t>
            </w:r>
          </w:p>
        </w:tc>
        <w:tc>
          <w:tcPr>
            <w:tcW w:w="346" w:type="pct"/>
            <w:vAlign w:val="center"/>
          </w:tcPr>
          <w:p w14:paraId="35A7FD59">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0.1</w:t>
            </w:r>
          </w:p>
        </w:tc>
        <w:tc>
          <w:tcPr>
            <w:tcW w:w="298" w:type="pct"/>
            <w:vAlign w:val="center"/>
          </w:tcPr>
          <w:p w14:paraId="0E4ACCB4">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369" w:type="pct"/>
            <w:vAlign w:val="center"/>
          </w:tcPr>
          <w:p w14:paraId="7649BE74">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0.2</w:t>
            </w:r>
          </w:p>
        </w:tc>
        <w:tc>
          <w:tcPr>
            <w:tcW w:w="297" w:type="pct"/>
            <w:vAlign w:val="center"/>
          </w:tcPr>
          <w:p w14:paraId="65C7D0F0">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299" w:type="pct"/>
            <w:vAlign w:val="center"/>
          </w:tcPr>
          <w:p w14:paraId="307585C1">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297" w:type="pct"/>
            <w:vAlign w:val="center"/>
          </w:tcPr>
          <w:p w14:paraId="363AF09D">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346" w:type="pct"/>
            <w:vAlign w:val="center"/>
          </w:tcPr>
          <w:p w14:paraId="61FCDA3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363" w:type="pct"/>
            <w:vAlign w:val="center"/>
          </w:tcPr>
          <w:p w14:paraId="34FAE275">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1.4</w:t>
            </w:r>
          </w:p>
        </w:tc>
      </w:tr>
      <w:tr w14:paraId="45F23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4E3EFB00">
            <w:pPr>
              <w:pStyle w:val="281"/>
              <w:jc w:val="center"/>
              <w:rPr>
                <w:rFonts w:ascii="Times New Roman" w:hAnsi="Times New Roman" w:eastAsia="宋体" w:cs="Times New Roman"/>
                <w:color w:val="000000" w:themeColor="text1"/>
                <w:sz w:val="18"/>
              </w:rPr>
            </w:pPr>
            <w:r>
              <w:rPr>
                <w:rFonts w:ascii="Times New Roman" w:hAnsi="Times New Roman" w:eastAsia="宋体" w:cs="Times New Roman"/>
                <w:color w:val="000000" w:themeColor="text1"/>
                <w:spacing w:val="-22"/>
                <w:sz w:val="18"/>
              </w:rPr>
              <w:t>阴天日数</w:t>
            </w:r>
            <w:r>
              <w:rPr>
                <w:rFonts w:ascii="Times New Roman" w:hAnsi="Times New Roman" w:eastAsia="宋体" w:cs="Times New Roman"/>
                <w:color w:val="000000" w:themeColor="text1"/>
                <w:spacing w:val="-21"/>
                <w:sz w:val="18"/>
              </w:rPr>
              <w:t>（</w:t>
            </w:r>
            <w:r>
              <w:rPr>
                <w:rFonts w:ascii="Times New Roman" w:hAnsi="Times New Roman" w:eastAsia="宋体" w:cs="Times New Roman"/>
                <w:color w:val="000000" w:themeColor="text1"/>
                <w:spacing w:val="-20"/>
                <w:sz w:val="18"/>
              </w:rPr>
              <w:t>天</w:t>
            </w:r>
            <w:r>
              <w:rPr>
                <w:rFonts w:ascii="Times New Roman" w:hAnsi="Times New Roman" w:eastAsia="宋体" w:cs="Times New Roman"/>
                <w:color w:val="000000" w:themeColor="text1"/>
                <w:sz w:val="18"/>
              </w:rPr>
              <w:t>）</w:t>
            </w:r>
          </w:p>
        </w:tc>
        <w:tc>
          <w:tcPr>
            <w:tcW w:w="317" w:type="pct"/>
            <w:vAlign w:val="center"/>
          </w:tcPr>
          <w:p w14:paraId="5CEEDA07">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2.9</w:t>
            </w:r>
          </w:p>
        </w:tc>
        <w:tc>
          <w:tcPr>
            <w:tcW w:w="346" w:type="pct"/>
            <w:vAlign w:val="center"/>
          </w:tcPr>
          <w:p w14:paraId="215689B2">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3.9</w:t>
            </w:r>
          </w:p>
        </w:tc>
        <w:tc>
          <w:tcPr>
            <w:tcW w:w="346" w:type="pct"/>
            <w:vAlign w:val="center"/>
          </w:tcPr>
          <w:p w14:paraId="5B0D2E52">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4.9</w:t>
            </w:r>
          </w:p>
        </w:tc>
        <w:tc>
          <w:tcPr>
            <w:tcW w:w="346" w:type="pct"/>
            <w:vAlign w:val="center"/>
          </w:tcPr>
          <w:p w14:paraId="6A9AE3FF">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6.3</w:t>
            </w:r>
          </w:p>
        </w:tc>
        <w:tc>
          <w:tcPr>
            <w:tcW w:w="346" w:type="pct"/>
            <w:vAlign w:val="center"/>
          </w:tcPr>
          <w:p w14:paraId="2C9696AD">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12.9</w:t>
            </w:r>
          </w:p>
        </w:tc>
        <w:tc>
          <w:tcPr>
            <w:tcW w:w="346" w:type="pct"/>
            <w:vAlign w:val="center"/>
          </w:tcPr>
          <w:p w14:paraId="4E710F23">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24.0</w:t>
            </w:r>
          </w:p>
        </w:tc>
        <w:tc>
          <w:tcPr>
            <w:tcW w:w="298" w:type="pct"/>
            <w:vAlign w:val="center"/>
          </w:tcPr>
          <w:p w14:paraId="5F318912">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28.1</w:t>
            </w:r>
          </w:p>
        </w:tc>
        <w:tc>
          <w:tcPr>
            <w:tcW w:w="369" w:type="pct"/>
            <w:vAlign w:val="center"/>
          </w:tcPr>
          <w:p w14:paraId="3DBD5491">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24.0</w:t>
            </w:r>
          </w:p>
        </w:tc>
        <w:tc>
          <w:tcPr>
            <w:tcW w:w="297" w:type="pct"/>
            <w:vAlign w:val="center"/>
          </w:tcPr>
          <w:p w14:paraId="331C240F">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18.2</w:t>
            </w:r>
          </w:p>
        </w:tc>
        <w:tc>
          <w:tcPr>
            <w:tcW w:w="299" w:type="pct"/>
            <w:vAlign w:val="center"/>
          </w:tcPr>
          <w:p w14:paraId="79985203">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11.7</w:t>
            </w:r>
          </w:p>
        </w:tc>
        <w:tc>
          <w:tcPr>
            <w:tcW w:w="297" w:type="pct"/>
            <w:vAlign w:val="center"/>
          </w:tcPr>
          <w:p w14:paraId="3C2F18E4">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7.1</w:t>
            </w:r>
          </w:p>
        </w:tc>
        <w:tc>
          <w:tcPr>
            <w:tcW w:w="346" w:type="pct"/>
            <w:vAlign w:val="center"/>
          </w:tcPr>
          <w:p w14:paraId="64086F96">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2.7</w:t>
            </w:r>
          </w:p>
        </w:tc>
        <w:tc>
          <w:tcPr>
            <w:tcW w:w="363" w:type="pct"/>
            <w:vAlign w:val="center"/>
          </w:tcPr>
          <w:p w14:paraId="5E19349D">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146.7</w:t>
            </w:r>
          </w:p>
        </w:tc>
      </w:tr>
      <w:tr w14:paraId="5706E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7E13CF8C">
            <w:pPr>
              <w:pStyle w:val="281"/>
              <w:jc w:val="center"/>
              <w:rPr>
                <w:rFonts w:ascii="Times New Roman" w:hAnsi="Times New Roman" w:eastAsia="宋体" w:cs="Times New Roman"/>
                <w:color w:val="000000" w:themeColor="text1"/>
                <w:sz w:val="18"/>
              </w:rPr>
            </w:pPr>
            <w:r>
              <w:rPr>
                <w:rFonts w:ascii="Times New Roman" w:hAnsi="Times New Roman" w:eastAsia="宋体" w:cs="Times New Roman"/>
                <w:color w:val="000000" w:themeColor="text1"/>
                <w:sz w:val="18"/>
              </w:rPr>
              <w:t>雾日数（天）</w:t>
            </w:r>
          </w:p>
        </w:tc>
        <w:tc>
          <w:tcPr>
            <w:tcW w:w="317" w:type="pct"/>
            <w:vAlign w:val="center"/>
          </w:tcPr>
          <w:p w14:paraId="2310A330">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18.5</w:t>
            </w:r>
          </w:p>
        </w:tc>
        <w:tc>
          <w:tcPr>
            <w:tcW w:w="346" w:type="pct"/>
            <w:vAlign w:val="center"/>
          </w:tcPr>
          <w:p w14:paraId="5AC34284">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5.5</w:t>
            </w:r>
          </w:p>
        </w:tc>
        <w:tc>
          <w:tcPr>
            <w:tcW w:w="346" w:type="pct"/>
            <w:vAlign w:val="center"/>
          </w:tcPr>
          <w:p w14:paraId="5A36CB6A">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2.0</w:t>
            </w:r>
          </w:p>
        </w:tc>
        <w:tc>
          <w:tcPr>
            <w:tcW w:w="346" w:type="pct"/>
            <w:vAlign w:val="center"/>
          </w:tcPr>
          <w:p w14:paraId="78F90BB3">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2.2</w:t>
            </w:r>
          </w:p>
        </w:tc>
        <w:tc>
          <w:tcPr>
            <w:tcW w:w="346" w:type="pct"/>
            <w:vAlign w:val="center"/>
          </w:tcPr>
          <w:p w14:paraId="7B41B3C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1.3</w:t>
            </w:r>
          </w:p>
        </w:tc>
        <w:tc>
          <w:tcPr>
            <w:tcW w:w="346" w:type="pct"/>
            <w:vAlign w:val="center"/>
          </w:tcPr>
          <w:p w14:paraId="19D661A8">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0.3</w:t>
            </w:r>
          </w:p>
        </w:tc>
        <w:tc>
          <w:tcPr>
            <w:tcW w:w="298" w:type="pct"/>
            <w:vAlign w:val="center"/>
          </w:tcPr>
          <w:p w14:paraId="66BC7AF5">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0.2</w:t>
            </w:r>
          </w:p>
        </w:tc>
        <w:tc>
          <w:tcPr>
            <w:tcW w:w="369" w:type="pct"/>
            <w:vAlign w:val="center"/>
          </w:tcPr>
          <w:p w14:paraId="1DF2EE97">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1.1</w:t>
            </w:r>
          </w:p>
        </w:tc>
        <w:tc>
          <w:tcPr>
            <w:tcW w:w="297" w:type="pct"/>
            <w:vAlign w:val="center"/>
          </w:tcPr>
          <w:p w14:paraId="28B03306">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3.5</w:t>
            </w:r>
          </w:p>
        </w:tc>
        <w:tc>
          <w:tcPr>
            <w:tcW w:w="299" w:type="pct"/>
            <w:vAlign w:val="center"/>
          </w:tcPr>
          <w:p w14:paraId="24F05885">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10.0</w:t>
            </w:r>
          </w:p>
        </w:tc>
        <w:tc>
          <w:tcPr>
            <w:tcW w:w="297" w:type="pct"/>
            <w:vAlign w:val="center"/>
          </w:tcPr>
          <w:p w14:paraId="0ECC5EE4">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17.9</w:t>
            </w:r>
          </w:p>
        </w:tc>
        <w:tc>
          <w:tcPr>
            <w:tcW w:w="346" w:type="pct"/>
            <w:vAlign w:val="center"/>
          </w:tcPr>
          <w:p w14:paraId="08E6CAA6">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23.3</w:t>
            </w:r>
          </w:p>
        </w:tc>
        <w:tc>
          <w:tcPr>
            <w:tcW w:w="363" w:type="pct"/>
            <w:vAlign w:val="center"/>
          </w:tcPr>
          <w:p w14:paraId="6C090E20">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85.9</w:t>
            </w:r>
          </w:p>
        </w:tc>
      </w:tr>
      <w:tr w14:paraId="2EEF9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2" w:type="pct"/>
            <w:vAlign w:val="center"/>
          </w:tcPr>
          <w:p w14:paraId="59B7BB56">
            <w:pPr>
              <w:pStyle w:val="281"/>
              <w:jc w:val="center"/>
              <w:rPr>
                <w:rFonts w:ascii="Times New Roman" w:hAnsi="Times New Roman" w:eastAsia="宋体" w:cs="Times New Roman"/>
                <w:color w:val="000000" w:themeColor="text1"/>
                <w:sz w:val="18"/>
              </w:rPr>
            </w:pPr>
            <w:r>
              <w:rPr>
                <w:rFonts w:ascii="Times New Roman" w:hAnsi="Times New Roman" w:eastAsia="宋体" w:cs="Times New Roman"/>
                <w:color w:val="000000" w:themeColor="text1"/>
                <w:spacing w:val="-22"/>
                <w:sz w:val="18"/>
              </w:rPr>
              <w:t>雷暴日数</w:t>
            </w:r>
            <w:r>
              <w:rPr>
                <w:rFonts w:ascii="Times New Roman" w:hAnsi="Times New Roman" w:eastAsia="宋体" w:cs="Times New Roman"/>
                <w:color w:val="000000" w:themeColor="text1"/>
                <w:spacing w:val="-21"/>
                <w:sz w:val="18"/>
              </w:rPr>
              <w:t>（</w:t>
            </w:r>
            <w:r>
              <w:rPr>
                <w:rFonts w:ascii="Times New Roman" w:hAnsi="Times New Roman" w:eastAsia="宋体" w:cs="Times New Roman"/>
                <w:color w:val="000000" w:themeColor="text1"/>
                <w:spacing w:val="-20"/>
                <w:sz w:val="18"/>
              </w:rPr>
              <w:t>天</w:t>
            </w:r>
            <w:r>
              <w:rPr>
                <w:rFonts w:ascii="Times New Roman" w:hAnsi="Times New Roman" w:eastAsia="宋体" w:cs="Times New Roman"/>
                <w:color w:val="000000" w:themeColor="text1"/>
                <w:sz w:val="18"/>
              </w:rPr>
              <w:t>）</w:t>
            </w:r>
          </w:p>
        </w:tc>
        <w:tc>
          <w:tcPr>
            <w:tcW w:w="317" w:type="pct"/>
            <w:vAlign w:val="center"/>
          </w:tcPr>
          <w:p w14:paraId="6F4089D9">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1.2</w:t>
            </w:r>
          </w:p>
        </w:tc>
        <w:tc>
          <w:tcPr>
            <w:tcW w:w="346" w:type="pct"/>
            <w:vAlign w:val="center"/>
          </w:tcPr>
          <w:p w14:paraId="28C2E287">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2.2</w:t>
            </w:r>
          </w:p>
        </w:tc>
        <w:tc>
          <w:tcPr>
            <w:tcW w:w="346" w:type="pct"/>
            <w:vAlign w:val="center"/>
          </w:tcPr>
          <w:p w14:paraId="6E75BE7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4.0</w:t>
            </w:r>
          </w:p>
        </w:tc>
        <w:tc>
          <w:tcPr>
            <w:tcW w:w="346" w:type="pct"/>
            <w:vAlign w:val="center"/>
          </w:tcPr>
          <w:p w14:paraId="6F01A086">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9.5</w:t>
            </w:r>
          </w:p>
        </w:tc>
        <w:tc>
          <w:tcPr>
            <w:tcW w:w="346" w:type="pct"/>
            <w:vAlign w:val="center"/>
          </w:tcPr>
          <w:p w14:paraId="70F66D0B">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10.1</w:t>
            </w:r>
          </w:p>
        </w:tc>
        <w:tc>
          <w:tcPr>
            <w:tcW w:w="346" w:type="pct"/>
            <w:vAlign w:val="center"/>
          </w:tcPr>
          <w:p w14:paraId="59776BA0">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10.2</w:t>
            </w:r>
          </w:p>
        </w:tc>
        <w:tc>
          <w:tcPr>
            <w:tcW w:w="298" w:type="pct"/>
            <w:vAlign w:val="center"/>
          </w:tcPr>
          <w:p w14:paraId="3C727F10">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7.8</w:t>
            </w:r>
          </w:p>
        </w:tc>
        <w:tc>
          <w:tcPr>
            <w:tcW w:w="369" w:type="pct"/>
            <w:vAlign w:val="center"/>
          </w:tcPr>
          <w:p w14:paraId="70FAB798">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12.6</w:t>
            </w:r>
          </w:p>
        </w:tc>
        <w:tc>
          <w:tcPr>
            <w:tcW w:w="297" w:type="pct"/>
            <w:vAlign w:val="center"/>
          </w:tcPr>
          <w:p w14:paraId="3C7C5511">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12.4</w:t>
            </w:r>
          </w:p>
        </w:tc>
        <w:tc>
          <w:tcPr>
            <w:tcW w:w="299" w:type="pct"/>
            <w:vAlign w:val="center"/>
          </w:tcPr>
          <w:p w14:paraId="2AD552EA">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5.3</w:t>
            </w:r>
          </w:p>
        </w:tc>
        <w:tc>
          <w:tcPr>
            <w:tcW w:w="297" w:type="pct"/>
            <w:vAlign w:val="center"/>
          </w:tcPr>
          <w:p w14:paraId="7DEDB0EC">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1.1</w:t>
            </w:r>
          </w:p>
        </w:tc>
        <w:tc>
          <w:tcPr>
            <w:tcW w:w="346" w:type="pct"/>
            <w:vAlign w:val="center"/>
          </w:tcPr>
          <w:p w14:paraId="7EB07D44">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0.5</w:t>
            </w:r>
          </w:p>
        </w:tc>
        <w:tc>
          <w:tcPr>
            <w:tcW w:w="363" w:type="pct"/>
            <w:vAlign w:val="center"/>
          </w:tcPr>
          <w:p w14:paraId="3209DF23">
            <w:pPr>
              <w:pStyle w:val="281"/>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76.9</w:t>
            </w:r>
          </w:p>
        </w:tc>
      </w:tr>
    </w:tbl>
    <w:p w14:paraId="66B5711F">
      <w:pPr>
        <w:spacing w:line="360" w:lineRule="auto"/>
        <w:ind w:firstLine="480" w:firstLineChars="200"/>
        <w:jc w:val="left"/>
        <w:rPr>
          <w:color w:val="000000" w:themeColor="text1"/>
          <w:sz w:val="24"/>
        </w:rPr>
      </w:pPr>
    </w:p>
    <w:p w14:paraId="53AB54FF">
      <w:pPr>
        <w:pStyle w:val="105"/>
        <w:rPr>
          <w:rFonts w:cs="Times New Roman"/>
          <w:color w:val="000000" w:themeColor="text1"/>
        </w:rPr>
      </w:pPr>
      <w:r>
        <w:rPr>
          <w:rFonts w:cs="Times New Roman"/>
          <w:color w:val="000000" w:themeColor="text1"/>
        </w:rPr>
        <w:t>6.1.2预测方案</w:t>
      </w:r>
    </w:p>
    <w:p w14:paraId="1EC70683">
      <w:pPr>
        <w:spacing w:line="360" w:lineRule="auto"/>
        <w:ind w:firstLine="480"/>
        <w:rPr>
          <w:b/>
          <w:color w:val="000000" w:themeColor="text1"/>
          <w:sz w:val="24"/>
        </w:rPr>
      </w:pPr>
      <w:r>
        <w:rPr>
          <w:b/>
          <w:color w:val="000000" w:themeColor="text1"/>
          <w:sz w:val="24"/>
        </w:rPr>
        <w:t>1、预测方案及预测内容</w:t>
      </w:r>
    </w:p>
    <w:p w14:paraId="4CDEFE9B">
      <w:pPr>
        <w:spacing w:line="360" w:lineRule="auto"/>
        <w:ind w:firstLine="480"/>
        <w:rPr>
          <w:b/>
          <w:color w:val="000000" w:themeColor="text1"/>
          <w:sz w:val="24"/>
        </w:rPr>
      </w:pPr>
      <w:r>
        <w:rPr>
          <w:b/>
          <w:color w:val="000000" w:themeColor="text1"/>
          <w:sz w:val="24"/>
        </w:rPr>
        <w:t>预测因子：</w:t>
      </w:r>
      <w:r>
        <w:rPr>
          <w:color w:val="000000" w:themeColor="text1"/>
          <w:sz w:val="24"/>
        </w:rPr>
        <w:t>颗粒物（TSP）、非甲烷总烃。</w:t>
      </w:r>
    </w:p>
    <w:p w14:paraId="32DA04BC">
      <w:pPr>
        <w:spacing w:line="360" w:lineRule="auto"/>
        <w:ind w:firstLine="480"/>
        <w:rPr>
          <w:b/>
          <w:color w:val="000000" w:themeColor="text1"/>
          <w:sz w:val="24"/>
        </w:rPr>
      </w:pPr>
      <w:r>
        <w:rPr>
          <w:b/>
          <w:color w:val="000000" w:themeColor="text1"/>
          <w:sz w:val="24"/>
        </w:rPr>
        <w:t>预测范围：</w:t>
      </w:r>
      <w:r>
        <w:rPr>
          <w:color w:val="000000" w:themeColor="text1"/>
          <w:sz w:val="24"/>
        </w:rPr>
        <w:t>预测范围为评价区域内最大地面浓度点。</w:t>
      </w:r>
    </w:p>
    <w:p w14:paraId="20833CD5">
      <w:pPr>
        <w:spacing w:line="360" w:lineRule="auto"/>
        <w:ind w:firstLine="480"/>
        <w:rPr>
          <w:color w:val="000000" w:themeColor="text1"/>
          <w:sz w:val="24"/>
        </w:rPr>
      </w:pPr>
      <w:r>
        <w:rPr>
          <w:b/>
          <w:color w:val="000000" w:themeColor="text1"/>
          <w:sz w:val="24"/>
        </w:rPr>
        <w:t>预测内容：</w:t>
      </w:r>
      <w:r>
        <w:rPr>
          <w:color w:val="000000" w:themeColor="text1"/>
          <w:sz w:val="24"/>
        </w:rPr>
        <w:t>由于项目大气污染排放预测等级为二级，仅预测最大落地浓度及环境保护目标小时浓度的影响分析。</w:t>
      </w:r>
    </w:p>
    <w:p w14:paraId="5F54B5EE">
      <w:pPr>
        <w:spacing w:line="360" w:lineRule="auto"/>
        <w:ind w:firstLine="480"/>
        <w:rPr>
          <w:b/>
          <w:color w:val="000000" w:themeColor="text1"/>
          <w:sz w:val="24"/>
        </w:rPr>
      </w:pPr>
      <w:r>
        <w:rPr>
          <w:b/>
          <w:color w:val="000000" w:themeColor="text1"/>
          <w:sz w:val="24"/>
        </w:rPr>
        <w:t>2、预测模式</w:t>
      </w:r>
    </w:p>
    <w:p w14:paraId="3774E220">
      <w:pPr>
        <w:spacing w:line="360" w:lineRule="auto"/>
        <w:ind w:firstLine="480"/>
        <w:rPr>
          <w:color w:val="000000" w:themeColor="text1"/>
          <w:sz w:val="24"/>
        </w:rPr>
      </w:pPr>
      <w:r>
        <w:rPr>
          <w:color w:val="000000" w:themeColor="text1"/>
          <w:sz w:val="24"/>
        </w:rPr>
        <w:t>根据HJ/T2.2-2018《大气环境影响评价技术导则—大气环境》规定，推荐估算模式AERSCREEN作为预测模式，预测下风向最大落地浓度及占标率，并依此确定大气评价等级；同时根据</w:t>
      </w:r>
      <w:r>
        <w:rPr>
          <w:bCs/>
          <w:color w:val="000000" w:themeColor="text1"/>
          <w:sz w:val="24"/>
        </w:rPr>
        <w:t>环境空气质量现状</w:t>
      </w:r>
      <w:r>
        <w:rPr>
          <w:color w:val="000000" w:themeColor="text1"/>
          <w:sz w:val="24"/>
        </w:rPr>
        <w:t>大气背景值，叠加污染源贡献值，预测出保护目标污染物预测值，依此分析其污染物对环境保护目标的影响程度。</w:t>
      </w:r>
    </w:p>
    <w:p w14:paraId="0E0D929C">
      <w:pPr>
        <w:pStyle w:val="111"/>
        <w:spacing w:line="360" w:lineRule="auto"/>
        <w:ind w:firstLine="482" w:firstLineChars="200"/>
        <w:rPr>
          <w:b/>
          <w:color w:val="000000" w:themeColor="text1"/>
        </w:rPr>
      </w:pPr>
      <w:r>
        <w:rPr>
          <w:b/>
          <w:color w:val="000000" w:themeColor="text1"/>
        </w:rPr>
        <w:t>3、预测参数</w:t>
      </w:r>
    </w:p>
    <w:p w14:paraId="1E9E1573">
      <w:pPr>
        <w:adjustRightInd w:val="0"/>
        <w:snapToGrid w:val="0"/>
        <w:jc w:val="center"/>
        <w:rPr>
          <w:b/>
          <w:color w:val="000000" w:themeColor="text1"/>
          <w:sz w:val="24"/>
        </w:rPr>
      </w:pPr>
      <w:r>
        <w:rPr>
          <w:b/>
          <w:color w:val="000000" w:themeColor="text1"/>
          <w:sz w:val="24"/>
        </w:rPr>
        <w:t>表6.1-2  估算模式参数表</w:t>
      </w:r>
    </w:p>
    <w:tbl>
      <w:tblPr>
        <w:tblStyle w:val="43"/>
        <w:tblW w:w="5000" w:type="pct"/>
        <w:tblInd w:w="0" w:type="dxa"/>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47"/>
        <w:gridCol w:w="2949"/>
        <w:gridCol w:w="2950"/>
      </w:tblGrid>
      <w:tr w14:paraId="358E9407">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3" w:type="pct"/>
            <w:gridSpan w:val="2"/>
            <w:vAlign w:val="center"/>
          </w:tcPr>
          <w:p w14:paraId="0A358B4D">
            <w:pPr>
              <w:pStyle w:val="293"/>
              <w:rPr>
                <w:color w:val="000000" w:themeColor="text1"/>
              </w:rPr>
            </w:pPr>
            <w:r>
              <w:rPr>
                <w:color w:val="000000" w:themeColor="text1"/>
              </w:rPr>
              <w:t>参数</w:t>
            </w:r>
          </w:p>
        </w:tc>
        <w:tc>
          <w:tcPr>
            <w:tcW w:w="1667" w:type="pct"/>
            <w:vAlign w:val="center"/>
          </w:tcPr>
          <w:p w14:paraId="64378E0D">
            <w:pPr>
              <w:pStyle w:val="293"/>
              <w:rPr>
                <w:color w:val="000000" w:themeColor="text1"/>
              </w:rPr>
            </w:pPr>
            <w:r>
              <w:rPr>
                <w:color w:val="000000" w:themeColor="text1"/>
              </w:rPr>
              <w:t>取值</w:t>
            </w:r>
          </w:p>
        </w:tc>
      </w:tr>
      <w:tr w14:paraId="1ED05008">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6" w:type="pct"/>
            <w:vMerge w:val="restart"/>
            <w:vAlign w:val="center"/>
          </w:tcPr>
          <w:p w14:paraId="09D46522">
            <w:pPr>
              <w:pStyle w:val="293"/>
              <w:rPr>
                <w:color w:val="000000" w:themeColor="text1"/>
              </w:rPr>
            </w:pPr>
            <w:r>
              <w:rPr>
                <w:color w:val="000000" w:themeColor="text1"/>
              </w:rPr>
              <w:t>城市/农村选项</w:t>
            </w:r>
          </w:p>
        </w:tc>
        <w:tc>
          <w:tcPr>
            <w:tcW w:w="1667" w:type="pct"/>
            <w:vAlign w:val="center"/>
          </w:tcPr>
          <w:p w14:paraId="27D87DBE">
            <w:pPr>
              <w:pStyle w:val="293"/>
              <w:rPr>
                <w:color w:val="000000" w:themeColor="text1"/>
              </w:rPr>
            </w:pPr>
            <w:r>
              <w:rPr>
                <w:color w:val="000000" w:themeColor="text1"/>
              </w:rPr>
              <w:t>城市/农村</w:t>
            </w:r>
          </w:p>
        </w:tc>
        <w:tc>
          <w:tcPr>
            <w:tcW w:w="1667" w:type="pct"/>
            <w:vAlign w:val="center"/>
          </w:tcPr>
          <w:p w14:paraId="690CD6BE">
            <w:pPr>
              <w:pStyle w:val="293"/>
              <w:rPr>
                <w:color w:val="000000" w:themeColor="text1"/>
              </w:rPr>
            </w:pPr>
            <w:r>
              <w:rPr>
                <w:color w:val="000000" w:themeColor="text1"/>
              </w:rPr>
              <w:t>农村</w:t>
            </w:r>
          </w:p>
        </w:tc>
      </w:tr>
      <w:tr w14:paraId="0DE7B9A3">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6" w:type="pct"/>
            <w:vMerge w:val="continue"/>
            <w:vAlign w:val="center"/>
          </w:tcPr>
          <w:p w14:paraId="22998D02">
            <w:pPr>
              <w:pStyle w:val="293"/>
              <w:rPr>
                <w:color w:val="000000" w:themeColor="text1"/>
              </w:rPr>
            </w:pPr>
          </w:p>
        </w:tc>
        <w:tc>
          <w:tcPr>
            <w:tcW w:w="1667" w:type="pct"/>
            <w:vAlign w:val="center"/>
          </w:tcPr>
          <w:p w14:paraId="51896D72">
            <w:pPr>
              <w:pStyle w:val="293"/>
              <w:rPr>
                <w:color w:val="000000" w:themeColor="text1"/>
              </w:rPr>
            </w:pPr>
            <w:r>
              <w:rPr>
                <w:color w:val="000000" w:themeColor="text1"/>
              </w:rPr>
              <w:t>人口数（城市选项时）</w:t>
            </w:r>
          </w:p>
        </w:tc>
        <w:tc>
          <w:tcPr>
            <w:tcW w:w="1667" w:type="pct"/>
            <w:vAlign w:val="center"/>
          </w:tcPr>
          <w:p w14:paraId="2951AD18">
            <w:pPr>
              <w:pStyle w:val="293"/>
              <w:rPr>
                <w:color w:val="000000" w:themeColor="text1"/>
              </w:rPr>
            </w:pPr>
            <w:r>
              <w:rPr>
                <w:color w:val="000000" w:themeColor="text1"/>
              </w:rPr>
              <w:t>/</w:t>
            </w:r>
          </w:p>
        </w:tc>
      </w:tr>
      <w:tr w14:paraId="397C70B8">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3" w:type="pct"/>
            <w:gridSpan w:val="2"/>
            <w:vAlign w:val="center"/>
          </w:tcPr>
          <w:p w14:paraId="045A5982">
            <w:pPr>
              <w:pStyle w:val="293"/>
              <w:rPr>
                <w:color w:val="000000" w:themeColor="text1"/>
              </w:rPr>
            </w:pPr>
            <w:r>
              <w:rPr>
                <w:color w:val="000000" w:themeColor="text1"/>
              </w:rPr>
              <w:t>最高环境温度/℃</w:t>
            </w:r>
          </w:p>
        </w:tc>
        <w:tc>
          <w:tcPr>
            <w:tcW w:w="1667" w:type="pct"/>
            <w:vAlign w:val="center"/>
          </w:tcPr>
          <w:p w14:paraId="58C5E8C6">
            <w:pPr>
              <w:pStyle w:val="293"/>
              <w:rPr>
                <w:color w:val="000000" w:themeColor="text1"/>
              </w:rPr>
            </w:pPr>
            <w:r>
              <w:rPr>
                <w:color w:val="000000" w:themeColor="text1"/>
              </w:rPr>
              <w:t>40</w:t>
            </w:r>
          </w:p>
        </w:tc>
      </w:tr>
      <w:tr w14:paraId="2D7A6DA3">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3" w:type="pct"/>
            <w:gridSpan w:val="2"/>
            <w:vAlign w:val="center"/>
          </w:tcPr>
          <w:p w14:paraId="62A5EEEB">
            <w:pPr>
              <w:pStyle w:val="293"/>
              <w:rPr>
                <w:color w:val="000000" w:themeColor="text1"/>
              </w:rPr>
            </w:pPr>
            <w:r>
              <w:rPr>
                <w:color w:val="000000" w:themeColor="text1"/>
              </w:rPr>
              <w:t>最低环境温度/℃</w:t>
            </w:r>
          </w:p>
        </w:tc>
        <w:tc>
          <w:tcPr>
            <w:tcW w:w="1667" w:type="pct"/>
            <w:vAlign w:val="center"/>
          </w:tcPr>
          <w:p w14:paraId="206A4712">
            <w:pPr>
              <w:pStyle w:val="293"/>
              <w:rPr>
                <w:color w:val="000000" w:themeColor="text1"/>
              </w:rPr>
            </w:pPr>
            <w:r>
              <w:rPr>
                <w:color w:val="000000" w:themeColor="text1"/>
              </w:rPr>
              <w:t>12.3</w:t>
            </w:r>
          </w:p>
        </w:tc>
      </w:tr>
      <w:tr w14:paraId="2C866FD9">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3" w:type="pct"/>
            <w:gridSpan w:val="2"/>
            <w:vAlign w:val="center"/>
          </w:tcPr>
          <w:p w14:paraId="7E4418E6">
            <w:pPr>
              <w:pStyle w:val="293"/>
              <w:rPr>
                <w:color w:val="000000" w:themeColor="text1"/>
              </w:rPr>
            </w:pPr>
            <w:r>
              <w:rPr>
                <w:color w:val="000000" w:themeColor="text1"/>
              </w:rPr>
              <w:t>土地利用类型</w:t>
            </w:r>
          </w:p>
        </w:tc>
        <w:tc>
          <w:tcPr>
            <w:tcW w:w="1667" w:type="pct"/>
            <w:vAlign w:val="center"/>
          </w:tcPr>
          <w:p w14:paraId="29B5E20C">
            <w:pPr>
              <w:pStyle w:val="293"/>
              <w:rPr>
                <w:color w:val="000000" w:themeColor="text1"/>
              </w:rPr>
            </w:pPr>
            <w:r>
              <w:rPr>
                <w:color w:val="000000" w:themeColor="text1"/>
              </w:rPr>
              <w:t>建设用地</w:t>
            </w:r>
          </w:p>
        </w:tc>
      </w:tr>
      <w:tr w14:paraId="68B390AB">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3" w:type="pct"/>
            <w:gridSpan w:val="2"/>
            <w:vAlign w:val="center"/>
          </w:tcPr>
          <w:p w14:paraId="221FB1E1">
            <w:pPr>
              <w:pStyle w:val="293"/>
              <w:rPr>
                <w:color w:val="000000" w:themeColor="text1"/>
              </w:rPr>
            </w:pPr>
            <w:r>
              <w:rPr>
                <w:color w:val="000000" w:themeColor="text1"/>
              </w:rPr>
              <w:t>区域湿度条件</w:t>
            </w:r>
          </w:p>
        </w:tc>
        <w:tc>
          <w:tcPr>
            <w:tcW w:w="1667" w:type="pct"/>
            <w:vAlign w:val="center"/>
          </w:tcPr>
          <w:p w14:paraId="5339FEF1">
            <w:pPr>
              <w:pStyle w:val="293"/>
              <w:rPr>
                <w:color w:val="000000" w:themeColor="text1"/>
              </w:rPr>
            </w:pPr>
            <w:r>
              <w:rPr>
                <w:color w:val="000000" w:themeColor="text1"/>
              </w:rPr>
              <w:t>中度湿度区域</w:t>
            </w:r>
          </w:p>
        </w:tc>
      </w:tr>
      <w:tr w14:paraId="09713E28">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6" w:type="pct"/>
            <w:vMerge w:val="restart"/>
            <w:vAlign w:val="center"/>
          </w:tcPr>
          <w:p w14:paraId="1430D715">
            <w:pPr>
              <w:pStyle w:val="293"/>
              <w:rPr>
                <w:color w:val="000000" w:themeColor="text1"/>
              </w:rPr>
            </w:pPr>
            <w:r>
              <w:rPr>
                <w:color w:val="000000" w:themeColor="text1"/>
              </w:rPr>
              <w:t>是否考虑地形</w:t>
            </w:r>
          </w:p>
        </w:tc>
        <w:tc>
          <w:tcPr>
            <w:tcW w:w="1667" w:type="pct"/>
            <w:vAlign w:val="center"/>
          </w:tcPr>
          <w:p w14:paraId="777BB6C2">
            <w:pPr>
              <w:pStyle w:val="293"/>
              <w:rPr>
                <w:color w:val="000000" w:themeColor="text1"/>
              </w:rPr>
            </w:pPr>
            <w:r>
              <w:rPr>
                <w:color w:val="000000" w:themeColor="text1"/>
              </w:rPr>
              <w:t>考虑地形</w:t>
            </w:r>
          </w:p>
        </w:tc>
        <w:tc>
          <w:tcPr>
            <w:tcW w:w="1667" w:type="pct"/>
            <w:vAlign w:val="center"/>
          </w:tcPr>
          <w:p w14:paraId="591DAB9A">
            <w:pPr>
              <w:pStyle w:val="293"/>
              <w:rPr>
                <w:color w:val="000000" w:themeColor="text1"/>
              </w:rPr>
            </w:pPr>
            <w:r>
              <w:rPr>
                <w:color w:val="000000" w:themeColor="text1"/>
              </w:rPr>
              <w:t>是</w:t>
            </w:r>
          </w:p>
        </w:tc>
      </w:tr>
      <w:tr w14:paraId="09C70D01">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6" w:type="pct"/>
            <w:vMerge w:val="continue"/>
            <w:vAlign w:val="center"/>
          </w:tcPr>
          <w:p w14:paraId="571C40C9">
            <w:pPr>
              <w:pStyle w:val="293"/>
              <w:rPr>
                <w:color w:val="000000" w:themeColor="text1"/>
              </w:rPr>
            </w:pPr>
          </w:p>
        </w:tc>
        <w:tc>
          <w:tcPr>
            <w:tcW w:w="1667" w:type="pct"/>
            <w:vAlign w:val="center"/>
          </w:tcPr>
          <w:p w14:paraId="718DE408">
            <w:pPr>
              <w:pStyle w:val="293"/>
              <w:rPr>
                <w:color w:val="000000" w:themeColor="text1"/>
              </w:rPr>
            </w:pPr>
            <w:r>
              <w:rPr>
                <w:color w:val="000000" w:themeColor="text1"/>
              </w:rPr>
              <w:t>地形数据分辨率/m</w:t>
            </w:r>
          </w:p>
        </w:tc>
        <w:tc>
          <w:tcPr>
            <w:tcW w:w="1667" w:type="pct"/>
            <w:vAlign w:val="center"/>
          </w:tcPr>
          <w:p w14:paraId="4F5CDE0F">
            <w:pPr>
              <w:pStyle w:val="293"/>
              <w:rPr>
                <w:color w:val="000000" w:themeColor="text1"/>
              </w:rPr>
            </w:pPr>
            <w:r>
              <w:rPr>
                <w:color w:val="000000" w:themeColor="text1"/>
              </w:rPr>
              <w:t>90</w:t>
            </w:r>
          </w:p>
        </w:tc>
      </w:tr>
      <w:tr w14:paraId="4043F1BC">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6" w:type="pct"/>
            <w:vMerge w:val="restart"/>
            <w:vAlign w:val="center"/>
          </w:tcPr>
          <w:p w14:paraId="1C2655BD">
            <w:pPr>
              <w:pStyle w:val="293"/>
              <w:rPr>
                <w:color w:val="000000" w:themeColor="text1"/>
              </w:rPr>
            </w:pPr>
            <w:r>
              <w:rPr>
                <w:color w:val="000000" w:themeColor="text1"/>
              </w:rPr>
              <w:t>是否考虑岸线熏烟</w:t>
            </w:r>
          </w:p>
        </w:tc>
        <w:tc>
          <w:tcPr>
            <w:tcW w:w="1667" w:type="pct"/>
            <w:vAlign w:val="center"/>
          </w:tcPr>
          <w:p w14:paraId="07AAE183">
            <w:pPr>
              <w:pStyle w:val="293"/>
              <w:rPr>
                <w:color w:val="000000" w:themeColor="text1"/>
              </w:rPr>
            </w:pPr>
            <w:r>
              <w:rPr>
                <w:color w:val="000000" w:themeColor="text1"/>
              </w:rPr>
              <w:t>考虑岸线熏烟</w:t>
            </w:r>
          </w:p>
        </w:tc>
        <w:tc>
          <w:tcPr>
            <w:tcW w:w="1667" w:type="pct"/>
            <w:vAlign w:val="center"/>
          </w:tcPr>
          <w:p w14:paraId="52DA8B26">
            <w:pPr>
              <w:pStyle w:val="293"/>
              <w:rPr>
                <w:color w:val="000000" w:themeColor="text1"/>
              </w:rPr>
            </w:pPr>
            <w:r>
              <w:rPr>
                <w:color w:val="000000" w:themeColor="text1"/>
              </w:rPr>
              <w:t>否</w:t>
            </w:r>
          </w:p>
        </w:tc>
      </w:tr>
      <w:tr w14:paraId="5553BAEF">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6" w:type="pct"/>
            <w:vMerge w:val="continue"/>
            <w:vAlign w:val="center"/>
          </w:tcPr>
          <w:p w14:paraId="27AC7D67">
            <w:pPr>
              <w:pStyle w:val="293"/>
              <w:rPr>
                <w:color w:val="000000" w:themeColor="text1"/>
              </w:rPr>
            </w:pPr>
          </w:p>
        </w:tc>
        <w:tc>
          <w:tcPr>
            <w:tcW w:w="1667" w:type="pct"/>
            <w:vAlign w:val="center"/>
          </w:tcPr>
          <w:p w14:paraId="6C4111A1">
            <w:pPr>
              <w:pStyle w:val="293"/>
              <w:rPr>
                <w:color w:val="000000" w:themeColor="text1"/>
              </w:rPr>
            </w:pPr>
            <w:r>
              <w:rPr>
                <w:color w:val="000000" w:themeColor="text1"/>
              </w:rPr>
              <w:t>岸线距离/km</w:t>
            </w:r>
          </w:p>
        </w:tc>
        <w:tc>
          <w:tcPr>
            <w:tcW w:w="1667" w:type="pct"/>
            <w:vAlign w:val="center"/>
          </w:tcPr>
          <w:p w14:paraId="7FEEACC1">
            <w:pPr>
              <w:pStyle w:val="293"/>
              <w:rPr>
                <w:color w:val="000000" w:themeColor="text1"/>
              </w:rPr>
            </w:pPr>
            <w:r>
              <w:rPr>
                <w:color w:val="000000" w:themeColor="text1"/>
              </w:rPr>
              <w:t>/</w:t>
            </w:r>
          </w:p>
        </w:tc>
      </w:tr>
      <w:tr w14:paraId="6F08A3E2">
        <w:tblPrEx>
          <w:tblBorders>
            <w:top w:val="single" w:color="000000" w:themeColor="text1" w:sz="18" w:space="0"/>
            <w:left w:val="none" w:color="auto" w:sz="0" w:space="0"/>
            <w:bottom w:val="single" w:color="000000" w:themeColor="text1" w:sz="1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6" w:type="pct"/>
            <w:vMerge w:val="continue"/>
            <w:vAlign w:val="center"/>
          </w:tcPr>
          <w:p w14:paraId="6BC5619D">
            <w:pPr>
              <w:pStyle w:val="293"/>
              <w:rPr>
                <w:color w:val="000000" w:themeColor="text1"/>
              </w:rPr>
            </w:pPr>
          </w:p>
        </w:tc>
        <w:tc>
          <w:tcPr>
            <w:tcW w:w="1667" w:type="pct"/>
            <w:vAlign w:val="center"/>
          </w:tcPr>
          <w:p w14:paraId="1D6C414D">
            <w:pPr>
              <w:pStyle w:val="293"/>
              <w:rPr>
                <w:color w:val="000000" w:themeColor="text1"/>
              </w:rPr>
            </w:pPr>
            <w:r>
              <w:rPr>
                <w:color w:val="000000" w:themeColor="text1"/>
              </w:rPr>
              <w:t>岸线方向</w:t>
            </w:r>
          </w:p>
        </w:tc>
        <w:tc>
          <w:tcPr>
            <w:tcW w:w="1667" w:type="pct"/>
            <w:vAlign w:val="center"/>
          </w:tcPr>
          <w:p w14:paraId="541BDA01">
            <w:pPr>
              <w:pStyle w:val="293"/>
              <w:rPr>
                <w:color w:val="000000" w:themeColor="text1"/>
              </w:rPr>
            </w:pPr>
            <w:r>
              <w:rPr>
                <w:color w:val="000000" w:themeColor="text1"/>
              </w:rPr>
              <w:t>/</w:t>
            </w:r>
          </w:p>
        </w:tc>
      </w:tr>
    </w:tbl>
    <w:p w14:paraId="5E55C664">
      <w:pPr>
        <w:adjustRightInd w:val="0"/>
        <w:snapToGrid w:val="0"/>
        <w:jc w:val="center"/>
        <w:rPr>
          <w:b/>
          <w:color w:val="000000" w:themeColor="text1"/>
          <w:sz w:val="24"/>
        </w:rPr>
      </w:pPr>
    </w:p>
    <w:p w14:paraId="36E15C69">
      <w:pPr>
        <w:adjustRightInd w:val="0"/>
        <w:snapToGrid w:val="0"/>
        <w:jc w:val="center"/>
        <w:rPr>
          <w:b/>
          <w:color w:val="000000" w:themeColor="text1"/>
          <w:sz w:val="24"/>
        </w:rPr>
      </w:pPr>
      <w:r>
        <w:rPr>
          <w:b/>
          <w:color w:val="000000" w:themeColor="text1"/>
          <w:sz w:val="24"/>
        </w:rPr>
        <w:t>表6.1-3  正常工况拟建项目污染物排放情况汇总表</w:t>
      </w:r>
    </w:p>
    <w:tbl>
      <w:tblPr>
        <w:tblStyle w:val="42"/>
        <w:tblW w:w="5269" w:type="pct"/>
        <w:tblInd w:w="-459"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556"/>
        <w:gridCol w:w="1055"/>
        <w:gridCol w:w="1057"/>
        <w:gridCol w:w="1055"/>
        <w:gridCol w:w="673"/>
        <w:gridCol w:w="830"/>
        <w:gridCol w:w="893"/>
        <w:gridCol w:w="763"/>
        <w:gridCol w:w="793"/>
        <w:gridCol w:w="662"/>
      </w:tblGrid>
      <w:tr w14:paraId="6C8C58A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28" w:type="pct"/>
            <w:vMerge w:val="restart"/>
            <w:vAlign w:val="center"/>
          </w:tcPr>
          <w:p w14:paraId="6835985D">
            <w:pPr>
              <w:jc w:val="center"/>
              <w:rPr>
                <w:b/>
                <w:color w:val="000000" w:themeColor="text1"/>
                <w:szCs w:val="21"/>
              </w:rPr>
            </w:pPr>
          </w:p>
          <w:p w14:paraId="15F43137">
            <w:pPr>
              <w:jc w:val="center"/>
              <w:rPr>
                <w:b/>
                <w:color w:val="000000" w:themeColor="text1"/>
                <w:szCs w:val="21"/>
              </w:rPr>
            </w:pPr>
            <w:r>
              <w:rPr>
                <w:b/>
                <w:color w:val="000000" w:themeColor="text1"/>
                <w:szCs w:val="21"/>
              </w:rPr>
              <w:t>工序</w:t>
            </w:r>
          </w:p>
        </w:tc>
        <w:tc>
          <w:tcPr>
            <w:tcW w:w="298" w:type="pct"/>
            <w:vMerge w:val="restart"/>
            <w:vAlign w:val="center"/>
          </w:tcPr>
          <w:p w14:paraId="4C0AEA31">
            <w:pPr>
              <w:jc w:val="center"/>
              <w:rPr>
                <w:b/>
                <w:color w:val="000000" w:themeColor="text1"/>
                <w:szCs w:val="21"/>
              </w:rPr>
            </w:pPr>
            <w:r>
              <w:rPr>
                <w:b/>
                <w:color w:val="000000" w:themeColor="text1"/>
                <w:szCs w:val="21"/>
              </w:rPr>
              <w:t>编号</w:t>
            </w:r>
          </w:p>
        </w:tc>
        <w:tc>
          <w:tcPr>
            <w:tcW w:w="1133" w:type="pct"/>
            <w:gridSpan w:val="2"/>
          </w:tcPr>
          <w:p w14:paraId="0D050E29">
            <w:pPr>
              <w:jc w:val="center"/>
              <w:rPr>
                <w:b/>
                <w:color w:val="000000" w:themeColor="text1"/>
                <w:szCs w:val="21"/>
              </w:rPr>
            </w:pPr>
            <w:r>
              <w:rPr>
                <w:b/>
                <w:color w:val="000000" w:themeColor="text1"/>
                <w:szCs w:val="21"/>
              </w:rPr>
              <w:t>排气筒底部中心坐标(°)</w:t>
            </w:r>
          </w:p>
        </w:tc>
        <w:tc>
          <w:tcPr>
            <w:tcW w:w="566" w:type="pct"/>
            <w:vMerge w:val="restart"/>
            <w:vAlign w:val="center"/>
          </w:tcPr>
          <w:p w14:paraId="39F90F48">
            <w:pPr>
              <w:jc w:val="center"/>
              <w:rPr>
                <w:b/>
                <w:color w:val="000000" w:themeColor="text1"/>
                <w:szCs w:val="21"/>
              </w:rPr>
            </w:pPr>
            <w:r>
              <w:rPr>
                <w:b/>
                <w:color w:val="000000" w:themeColor="text1"/>
                <w:szCs w:val="21"/>
              </w:rPr>
              <w:t>排气量</w:t>
            </w:r>
          </w:p>
          <w:p w14:paraId="2FC4ADCA">
            <w:pPr>
              <w:jc w:val="center"/>
              <w:rPr>
                <w:b/>
                <w:color w:val="000000" w:themeColor="text1"/>
                <w:szCs w:val="21"/>
              </w:rPr>
            </w:pPr>
            <w:r>
              <w:rPr>
                <w:b/>
                <w:color w:val="000000" w:themeColor="text1"/>
                <w:szCs w:val="21"/>
              </w:rPr>
              <w:t>(Nm</w:t>
            </w:r>
            <w:r>
              <w:rPr>
                <w:b/>
                <w:color w:val="000000" w:themeColor="text1"/>
                <w:szCs w:val="21"/>
                <w:vertAlign w:val="superscript"/>
              </w:rPr>
              <w:t>3</w:t>
            </w:r>
            <w:r>
              <w:rPr>
                <w:b/>
                <w:color w:val="000000" w:themeColor="text1"/>
                <w:szCs w:val="21"/>
              </w:rPr>
              <w:t>/h)</w:t>
            </w:r>
          </w:p>
        </w:tc>
        <w:tc>
          <w:tcPr>
            <w:tcW w:w="361" w:type="pct"/>
            <w:vMerge w:val="restart"/>
            <w:vAlign w:val="center"/>
          </w:tcPr>
          <w:p w14:paraId="76D0FC51">
            <w:pPr>
              <w:jc w:val="center"/>
              <w:rPr>
                <w:b/>
                <w:color w:val="000000" w:themeColor="text1"/>
                <w:szCs w:val="21"/>
              </w:rPr>
            </w:pPr>
            <w:r>
              <w:rPr>
                <w:b/>
                <w:color w:val="000000" w:themeColor="text1"/>
                <w:szCs w:val="21"/>
              </w:rPr>
              <w:t>污染物名称</w:t>
            </w:r>
          </w:p>
        </w:tc>
        <w:tc>
          <w:tcPr>
            <w:tcW w:w="445" w:type="pct"/>
            <w:vMerge w:val="restart"/>
            <w:vAlign w:val="center"/>
          </w:tcPr>
          <w:p w14:paraId="67B57B74">
            <w:pPr>
              <w:jc w:val="center"/>
              <w:rPr>
                <w:b/>
                <w:color w:val="000000" w:themeColor="text1"/>
                <w:szCs w:val="21"/>
              </w:rPr>
            </w:pPr>
            <w:r>
              <w:rPr>
                <w:b/>
                <w:color w:val="000000" w:themeColor="text1"/>
                <w:szCs w:val="21"/>
              </w:rPr>
              <w:t>质量标准mg/m</w:t>
            </w:r>
            <w:r>
              <w:rPr>
                <w:b/>
                <w:color w:val="000000" w:themeColor="text1"/>
                <w:szCs w:val="21"/>
                <w:vertAlign w:val="superscript"/>
              </w:rPr>
              <w:t>3</w:t>
            </w:r>
          </w:p>
        </w:tc>
        <w:tc>
          <w:tcPr>
            <w:tcW w:w="479" w:type="pct"/>
            <w:vMerge w:val="restart"/>
            <w:vAlign w:val="center"/>
          </w:tcPr>
          <w:p w14:paraId="46BF5BCE">
            <w:pPr>
              <w:jc w:val="center"/>
              <w:rPr>
                <w:b/>
                <w:color w:val="000000" w:themeColor="text1"/>
                <w:szCs w:val="21"/>
              </w:rPr>
            </w:pPr>
            <w:r>
              <w:rPr>
                <w:b/>
                <w:color w:val="000000" w:themeColor="text1"/>
                <w:szCs w:val="21"/>
              </w:rPr>
              <w:t>排放速率(kg/h)</w:t>
            </w:r>
          </w:p>
        </w:tc>
        <w:tc>
          <w:tcPr>
            <w:tcW w:w="834" w:type="pct"/>
            <w:gridSpan w:val="2"/>
            <w:vAlign w:val="center"/>
          </w:tcPr>
          <w:p w14:paraId="651A8A21">
            <w:pPr>
              <w:jc w:val="center"/>
              <w:rPr>
                <w:b/>
                <w:color w:val="000000" w:themeColor="text1"/>
                <w:szCs w:val="21"/>
              </w:rPr>
            </w:pPr>
            <w:r>
              <w:rPr>
                <w:b/>
                <w:color w:val="000000" w:themeColor="text1"/>
                <w:szCs w:val="21"/>
              </w:rPr>
              <w:t>排气筒参数</w:t>
            </w:r>
          </w:p>
        </w:tc>
        <w:tc>
          <w:tcPr>
            <w:tcW w:w="355" w:type="pct"/>
            <w:vMerge w:val="restart"/>
            <w:vAlign w:val="center"/>
          </w:tcPr>
          <w:p w14:paraId="1ADEE465">
            <w:pPr>
              <w:jc w:val="center"/>
              <w:rPr>
                <w:b/>
                <w:color w:val="000000" w:themeColor="text1"/>
                <w:szCs w:val="21"/>
              </w:rPr>
            </w:pPr>
            <w:r>
              <w:rPr>
                <w:b/>
                <w:color w:val="000000" w:themeColor="text1"/>
                <w:szCs w:val="21"/>
              </w:rPr>
              <w:t>烟气温度℃</w:t>
            </w:r>
          </w:p>
        </w:tc>
      </w:tr>
      <w:tr w14:paraId="44AA968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28" w:type="pct"/>
            <w:vMerge w:val="continue"/>
            <w:vAlign w:val="center"/>
          </w:tcPr>
          <w:p w14:paraId="67A38209">
            <w:pPr>
              <w:jc w:val="center"/>
              <w:rPr>
                <w:color w:val="000000" w:themeColor="text1"/>
                <w:szCs w:val="21"/>
              </w:rPr>
            </w:pPr>
          </w:p>
        </w:tc>
        <w:tc>
          <w:tcPr>
            <w:tcW w:w="298" w:type="pct"/>
            <w:vMerge w:val="continue"/>
            <w:vAlign w:val="center"/>
          </w:tcPr>
          <w:p w14:paraId="0B52A7D5">
            <w:pPr>
              <w:jc w:val="center"/>
              <w:rPr>
                <w:color w:val="000000" w:themeColor="text1"/>
                <w:szCs w:val="21"/>
              </w:rPr>
            </w:pPr>
          </w:p>
        </w:tc>
        <w:tc>
          <w:tcPr>
            <w:tcW w:w="566" w:type="pct"/>
            <w:vAlign w:val="center"/>
          </w:tcPr>
          <w:p w14:paraId="7280098A">
            <w:pPr>
              <w:jc w:val="center"/>
              <w:rPr>
                <w:szCs w:val="21"/>
              </w:rPr>
            </w:pPr>
            <w:r>
              <w:rPr>
                <w:szCs w:val="21"/>
              </w:rPr>
              <w:t>经度</w:t>
            </w:r>
          </w:p>
        </w:tc>
        <w:tc>
          <w:tcPr>
            <w:tcW w:w="567" w:type="pct"/>
            <w:vAlign w:val="center"/>
          </w:tcPr>
          <w:p w14:paraId="1BAC2EC5">
            <w:pPr>
              <w:jc w:val="center"/>
              <w:rPr>
                <w:szCs w:val="21"/>
              </w:rPr>
            </w:pPr>
            <w:r>
              <w:rPr>
                <w:szCs w:val="21"/>
              </w:rPr>
              <w:t>纬度</w:t>
            </w:r>
          </w:p>
        </w:tc>
        <w:tc>
          <w:tcPr>
            <w:tcW w:w="566" w:type="pct"/>
            <w:vMerge w:val="continue"/>
            <w:vAlign w:val="center"/>
          </w:tcPr>
          <w:p w14:paraId="314788CF">
            <w:pPr>
              <w:jc w:val="center"/>
              <w:rPr>
                <w:color w:val="000000" w:themeColor="text1"/>
                <w:szCs w:val="21"/>
              </w:rPr>
            </w:pPr>
          </w:p>
        </w:tc>
        <w:tc>
          <w:tcPr>
            <w:tcW w:w="361" w:type="pct"/>
            <w:vMerge w:val="continue"/>
            <w:vAlign w:val="center"/>
          </w:tcPr>
          <w:p w14:paraId="36BE9A28">
            <w:pPr>
              <w:jc w:val="center"/>
              <w:rPr>
                <w:color w:val="000000" w:themeColor="text1"/>
                <w:szCs w:val="21"/>
              </w:rPr>
            </w:pPr>
          </w:p>
        </w:tc>
        <w:tc>
          <w:tcPr>
            <w:tcW w:w="445" w:type="pct"/>
            <w:vMerge w:val="continue"/>
            <w:vAlign w:val="center"/>
          </w:tcPr>
          <w:p w14:paraId="3E3B05CA">
            <w:pPr>
              <w:jc w:val="center"/>
              <w:rPr>
                <w:b/>
                <w:color w:val="000000" w:themeColor="text1"/>
                <w:szCs w:val="21"/>
              </w:rPr>
            </w:pPr>
          </w:p>
        </w:tc>
        <w:tc>
          <w:tcPr>
            <w:tcW w:w="479" w:type="pct"/>
            <w:vMerge w:val="continue"/>
            <w:vAlign w:val="center"/>
          </w:tcPr>
          <w:p w14:paraId="7F34B069">
            <w:pPr>
              <w:jc w:val="center"/>
              <w:rPr>
                <w:b/>
                <w:color w:val="000000" w:themeColor="text1"/>
                <w:szCs w:val="21"/>
              </w:rPr>
            </w:pPr>
          </w:p>
        </w:tc>
        <w:tc>
          <w:tcPr>
            <w:tcW w:w="409" w:type="pct"/>
            <w:vAlign w:val="center"/>
          </w:tcPr>
          <w:p w14:paraId="1607D5E4">
            <w:pPr>
              <w:jc w:val="center"/>
              <w:rPr>
                <w:b/>
                <w:color w:val="000000" w:themeColor="text1"/>
                <w:szCs w:val="21"/>
              </w:rPr>
            </w:pPr>
            <w:r>
              <w:rPr>
                <w:b/>
                <w:color w:val="000000" w:themeColor="text1"/>
                <w:szCs w:val="21"/>
              </w:rPr>
              <w:t>高 度</w:t>
            </w:r>
          </w:p>
          <w:p w14:paraId="1BA2B626">
            <w:pPr>
              <w:jc w:val="center"/>
              <w:rPr>
                <w:b/>
                <w:color w:val="000000" w:themeColor="text1"/>
                <w:szCs w:val="21"/>
              </w:rPr>
            </w:pPr>
            <w:r>
              <w:rPr>
                <w:b/>
                <w:color w:val="000000" w:themeColor="text1"/>
                <w:szCs w:val="21"/>
              </w:rPr>
              <w:t>(m)</w:t>
            </w:r>
          </w:p>
        </w:tc>
        <w:tc>
          <w:tcPr>
            <w:tcW w:w="425" w:type="pct"/>
            <w:vAlign w:val="center"/>
          </w:tcPr>
          <w:p w14:paraId="4BEB2B2E">
            <w:pPr>
              <w:jc w:val="center"/>
              <w:rPr>
                <w:b/>
                <w:color w:val="000000" w:themeColor="text1"/>
                <w:szCs w:val="21"/>
              </w:rPr>
            </w:pPr>
            <w:r>
              <w:rPr>
                <w:b/>
                <w:color w:val="000000" w:themeColor="text1"/>
                <w:szCs w:val="21"/>
              </w:rPr>
              <w:t>内 径</w:t>
            </w:r>
          </w:p>
          <w:p w14:paraId="0D0CA26E">
            <w:pPr>
              <w:jc w:val="center"/>
              <w:rPr>
                <w:b/>
                <w:color w:val="000000" w:themeColor="text1"/>
                <w:szCs w:val="21"/>
              </w:rPr>
            </w:pPr>
            <w:r>
              <w:rPr>
                <w:b/>
                <w:color w:val="000000" w:themeColor="text1"/>
                <w:szCs w:val="21"/>
              </w:rPr>
              <w:t>(m)</w:t>
            </w:r>
          </w:p>
        </w:tc>
        <w:tc>
          <w:tcPr>
            <w:tcW w:w="355" w:type="pct"/>
            <w:vMerge w:val="continue"/>
            <w:vAlign w:val="center"/>
          </w:tcPr>
          <w:p w14:paraId="39470FA0">
            <w:pPr>
              <w:jc w:val="center"/>
              <w:rPr>
                <w:color w:val="000000" w:themeColor="text1"/>
                <w:szCs w:val="21"/>
              </w:rPr>
            </w:pPr>
          </w:p>
        </w:tc>
      </w:tr>
      <w:tr w14:paraId="4657F0E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28" w:type="pct"/>
            <w:vMerge w:val="restart"/>
            <w:vAlign w:val="center"/>
          </w:tcPr>
          <w:p w14:paraId="0EDA3436">
            <w:pPr>
              <w:jc w:val="center"/>
              <w:rPr>
                <w:color w:val="000000" w:themeColor="text1"/>
                <w:szCs w:val="21"/>
              </w:rPr>
            </w:pPr>
            <w:r>
              <w:rPr>
                <w:color w:val="000000" w:themeColor="text1"/>
                <w:szCs w:val="21"/>
              </w:rPr>
              <w:t>造粒工序</w:t>
            </w:r>
          </w:p>
        </w:tc>
        <w:tc>
          <w:tcPr>
            <w:tcW w:w="298" w:type="pct"/>
            <w:vMerge w:val="restart"/>
            <w:vAlign w:val="center"/>
          </w:tcPr>
          <w:p w14:paraId="72CFD4B4">
            <w:pPr>
              <w:jc w:val="center"/>
              <w:rPr>
                <w:color w:val="000000" w:themeColor="text1"/>
                <w:szCs w:val="21"/>
              </w:rPr>
            </w:pPr>
            <w:r>
              <w:rPr>
                <w:color w:val="000000" w:themeColor="text1"/>
                <w:szCs w:val="21"/>
              </w:rPr>
              <w:t>G1</w:t>
            </w:r>
          </w:p>
        </w:tc>
        <w:tc>
          <w:tcPr>
            <w:tcW w:w="566" w:type="pct"/>
            <w:vMerge w:val="restart"/>
            <w:vAlign w:val="center"/>
          </w:tcPr>
          <w:p w14:paraId="2202A58C">
            <w:pPr>
              <w:jc w:val="center"/>
              <w:rPr>
                <w:szCs w:val="21"/>
              </w:rPr>
            </w:pPr>
            <w:r>
              <w:rPr>
                <w:szCs w:val="21"/>
              </w:rPr>
              <w:t>98.182</w:t>
            </w:r>
          </w:p>
          <w:p w14:paraId="7572BDF7">
            <w:pPr>
              <w:jc w:val="center"/>
              <w:rPr>
                <w:szCs w:val="21"/>
              </w:rPr>
            </w:pPr>
            <w:r>
              <w:rPr>
                <w:szCs w:val="21"/>
              </w:rPr>
              <w:t>812</w:t>
            </w:r>
          </w:p>
          <w:p w14:paraId="318BA9AE">
            <w:pPr>
              <w:jc w:val="center"/>
              <w:rPr>
                <w:szCs w:val="21"/>
              </w:rPr>
            </w:pPr>
          </w:p>
        </w:tc>
        <w:tc>
          <w:tcPr>
            <w:tcW w:w="567" w:type="pct"/>
            <w:vMerge w:val="restart"/>
            <w:vAlign w:val="center"/>
          </w:tcPr>
          <w:p w14:paraId="0708E3A9">
            <w:pPr>
              <w:jc w:val="center"/>
              <w:rPr>
                <w:szCs w:val="21"/>
              </w:rPr>
            </w:pPr>
            <w:r>
              <w:rPr>
                <w:szCs w:val="21"/>
              </w:rPr>
              <w:t>24.180</w:t>
            </w:r>
          </w:p>
          <w:p w14:paraId="74523C92">
            <w:pPr>
              <w:jc w:val="center"/>
              <w:rPr>
                <w:szCs w:val="21"/>
              </w:rPr>
            </w:pPr>
            <w:r>
              <w:rPr>
                <w:szCs w:val="21"/>
              </w:rPr>
              <w:t>257</w:t>
            </w:r>
          </w:p>
          <w:p w14:paraId="07F5E09F">
            <w:pPr>
              <w:jc w:val="center"/>
              <w:rPr>
                <w:szCs w:val="21"/>
              </w:rPr>
            </w:pPr>
          </w:p>
        </w:tc>
        <w:tc>
          <w:tcPr>
            <w:tcW w:w="566" w:type="pct"/>
            <w:vMerge w:val="restart"/>
            <w:vAlign w:val="center"/>
          </w:tcPr>
          <w:p w14:paraId="1819FB3A">
            <w:pPr>
              <w:jc w:val="center"/>
              <w:rPr>
                <w:color w:val="000000" w:themeColor="text1"/>
                <w:szCs w:val="21"/>
              </w:rPr>
            </w:pPr>
            <w:r>
              <w:rPr>
                <w:color w:val="000000" w:themeColor="text1"/>
                <w:szCs w:val="21"/>
              </w:rPr>
              <w:t>8000</w:t>
            </w:r>
          </w:p>
        </w:tc>
        <w:tc>
          <w:tcPr>
            <w:tcW w:w="361" w:type="pct"/>
            <w:vAlign w:val="center"/>
          </w:tcPr>
          <w:p w14:paraId="039C74D1">
            <w:pPr>
              <w:jc w:val="center"/>
              <w:rPr>
                <w:color w:val="000000" w:themeColor="text1"/>
                <w:szCs w:val="21"/>
              </w:rPr>
            </w:pPr>
            <w:r>
              <w:rPr>
                <w:color w:val="000000" w:themeColor="text1"/>
                <w:szCs w:val="21"/>
              </w:rPr>
              <w:t>颗粒物</w:t>
            </w:r>
          </w:p>
        </w:tc>
        <w:tc>
          <w:tcPr>
            <w:tcW w:w="445" w:type="pct"/>
            <w:vAlign w:val="center"/>
          </w:tcPr>
          <w:p w14:paraId="19DC8606">
            <w:pPr>
              <w:jc w:val="center"/>
              <w:rPr>
                <w:color w:val="000000" w:themeColor="text1"/>
                <w:szCs w:val="21"/>
              </w:rPr>
            </w:pPr>
            <w:r>
              <w:rPr>
                <w:color w:val="000000" w:themeColor="text1"/>
                <w:szCs w:val="21"/>
              </w:rPr>
              <w:t>0.9</w:t>
            </w:r>
          </w:p>
        </w:tc>
        <w:tc>
          <w:tcPr>
            <w:tcW w:w="479" w:type="pct"/>
            <w:vAlign w:val="center"/>
          </w:tcPr>
          <w:p w14:paraId="4A37CA3B">
            <w:pPr>
              <w:jc w:val="center"/>
              <w:rPr>
                <w:rFonts w:eastAsia="等线"/>
                <w:color w:val="000000"/>
                <w:szCs w:val="21"/>
              </w:rPr>
            </w:pPr>
            <w:r>
              <w:rPr>
                <w:rFonts w:eastAsia="等线"/>
                <w:color w:val="000000"/>
                <w:szCs w:val="21"/>
              </w:rPr>
              <w:t xml:space="preserve">0.0049 </w:t>
            </w:r>
          </w:p>
        </w:tc>
        <w:tc>
          <w:tcPr>
            <w:tcW w:w="409" w:type="pct"/>
            <w:vMerge w:val="restart"/>
            <w:vAlign w:val="center"/>
          </w:tcPr>
          <w:p w14:paraId="1EC6EC3A">
            <w:pPr>
              <w:jc w:val="center"/>
              <w:rPr>
                <w:color w:val="000000" w:themeColor="text1"/>
                <w:szCs w:val="21"/>
              </w:rPr>
            </w:pPr>
            <w:r>
              <w:rPr>
                <w:color w:val="000000" w:themeColor="text1"/>
                <w:szCs w:val="21"/>
              </w:rPr>
              <w:t>15</w:t>
            </w:r>
          </w:p>
        </w:tc>
        <w:tc>
          <w:tcPr>
            <w:tcW w:w="425" w:type="pct"/>
            <w:vMerge w:val="restart"/>
            <w:vAlign w:val="center"/>
          </w:tcPr>
          <w:p w14:paraId="41442280">
            <w:pPr>
              <w:jc w:val="center"/>
              <w:rPr>
                <w:color w:val="000000" w:themeColor="text1"/>
                <w:szCs w:val="21"/>
              </w:rPr>
            </w:pPr>
            <w:r>
              <w:rPr>
                <w:color w:val="000000" w:themeColor="text1"/>
                <w:szCs w:val="21"/>
              </w:rPr>
              <w:t>0.1</w:t>
            </w:r>
          </w:p>
        </w:tc>
        <w:tc>
          <w:tcPr>
            <w:tcW w:w="355" w:type="pct"/>
            <w:vMerge w:val="restart"/>
            <w:vAlign w:val="center"/>
          </w:tcPr>
          <w:p w14:paraId="14644112">
            <w:pPr>
              <w:jc w:val="center"/>
              <w:rPr>
                <w:color w:val="000000" w:themeColor="text1"/>
                <w:szCs w:val="21"/>
              </w:rPr>
            </w:pPr>
            <w:r>
              <w:rPr>
                <w:color w:val="000000" w:themeColor="text1"/>
                <w:szCs w:val="21"/>
              </w:rPr>
              <w:t>50</w:t>
            </w:r>
          </w:p>
        </w:tc>
      </w:tr>
      <w:tr w14:paraId="346D1E0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28" w:type="pct"/>
            <w:vMerge w:val="continue"/>
            <w:vAlign w:val="center"/>
          </w:tcPr>
          <w:p w14:paraId="63E9221B">
            <w:pPr>
              <w:jc w:val="center"/>
              <w:rPr>
                <w:color w:val="000000" w:themeColor="text1"/>
                <w:szCs w:val="21"/>
              </w:rPr>
            </w:pPr>
          </w:p>
        </w:tc>
        <w:tc>
          <w:tcPr>
            <w:tcW w:w="298" w:type="pct"/>
            <w:vMerge w:val="continue"/>
            <w:vAlign w:val="center"/>
          </w:tcPr>
          <w:p w14:paraId="17CCEC04">
            <w:pPr>
              <w:jc w:val="center"/>
              <w:rPr>
                <w:color w:val="000000" w:themeColor="text1"/>
                <w:szCs w:val="21"/>
              </w:rPr>
            </w:pPr>
          </w:p>
        </w:tc>
        <w:tc>
          <w:tcPr>
            <w:tcW w:w="566" w:type="pct"/>
            <w:vMerge w:val="continue"/>
            <w:vAlign w:val="center"/>
          </w:tcPr>
          <w:p w14:paraId="71CCE5C1">
            <w:pPr>
              <w:jc w:val="center"/>
              <w:rPr>
                <w:color w:val="000000" w:themeColor="text1"/>
                <w:szCs w:val="21"/>
              </w:rPr>
            </w:pPr>
          </w:p>
        </w:tc>
        <w:tc>
          <w:tcPr>
            <w:tcW w:w="567" w:type="pct"/>
            <w:vMerge w:val="continue"/>
            <w:vAlign w:val="center"/>
          </w:tcPr>
          <w:p w14:paraId="668A1909">
            <w:pPr>
              <w:jc w:val="center"/>
              <w:rPr>
                <w:color w:val="000000" w:themeColor="text1"/>
                <w:szCs w:val="21"/>
              </w:rPr>
            </w:pPr>
          </w:p>
        </w:tc>
        <w:tc>
          <w:tcPr>
            <w:tcW w:w="566" w:type="pct"/>
            <w:vMerge w:val="continue"/>
            <w:vAlign w:val="center"/>
          </w:tcPr>
          <w:p w14:paraId="0D58FDF0">
            <w:pPr>
              <w:jc w:val="center"/>
              <w:rPr>
                <w:color w:val="000000" w:themeColor="text1"/>
                <w:szCs w:val="21"/>
              </w:rPr>
            </w:pPr>
          </w:p>
        </w:tc>
        <w:tc>
          <w:tcPr>
            <w:tcW w:w="361" w:type="pct"/>
            <w:vAlign w:val="center"/>
          </w:tcPr>
          <w:p w14:paraId="7987ED89">
            <w:pPr>
              <w:jc w:val="center"/>
              <w:rPr>
                <w:color w:val="000000" w:themeColor="text1"/>
                <w:szCs w:val="21"/>
              </w:rPr>
            </w:pPr>
            <w:r>
              <w:rPr>
                <w:color w:val="000000" w:themeColor="text1"/>
                <w:szCs w:val="21"/>
              </w:rPr>
              <w:t>非甲烷总烃</w:t>
            </w:r>
          </w:p>
        </w:tc>
        <w:tc>
          <w:tcPr>
            <w:tcW w:w="445" w:type="pct"/>
            <w:vAlign w:val="center"/>
          </w:tcPr>
          <w:p w14:paraId="034ABE56">
            <w:pPr>
              <w:jc w:val="center"/>
              <w:rPr>
                <w:color w:val="000000" w:themeColor="text1"/>
                <w:szCs w:val="21"/>
              </w:rPr>
            </w:pPr>
            <w:r>
              <w:rPr>
                <w:color w:val="000000" w:themeColor="text1"/>
                <w:szCs w:val="21"/>
              </w:rPr>
              <w:t>2</w:t>
            </w:r>
          </w:p>
        </w:tc>
        <w:tc>
          <w:tcPr>
            <w:tcW w:w="479" w:type="pct"/>
            <w:vAlign w:val="center"/>
          </w:tcPr>
          <w:p w14:paraId="19DE3BFD">
            <w:pPr>
              <w:jc w:val="center"/>
              <w:rPr>
                <w:rFonts w:eastAsia="等线"/>
                <w:color w:val="000000"/>
                <w:szCs w:val="21"/>
              </w:rPr>
            </w:pPr>
            <w:r>
              <w:rPr>
                <w:rFonts w:eastAsia="等线"/>
                <w:color w:val="000000"/>
                <w:szCs w:val="21"/>
              </w:rPr>
              <w:t xml:space="preserve">0.0329 </w:t>
            </w:r>
          </w:p>
        </w:tc>
        <w:tc>
          <w:tcPr>
            <w:tcW w:w="409" w:type="pct"/>
            <w:vMerge w:val="continue"/>
            <w:vAlign w:val="center"/>
          </w:tcPr>
          <w:p w14:paraId="44905D20">
            <w:pPr>
              <w:jc w:val="center"/>
              <w:rPr>
                <w:b/>
                <w:color w:val="000000" w:themeColor="text1"/>
                <w:szCs w:val="21"/>
              </w:rPr>
            </w:pPr>
          </w:p>
        </w:tc>
        <w:tc>
          <w:tcPr>
            <w:tcW w:w="425" w:type="pct"/>
            <w:vMerge w:val="continue"/>
            <w:vAlign w:val="center"/>
          </w:tcPr>
          <w:p w14:paraId="3267BAAA">
            <w:pPr>
              <w:jc w:val="center"/>
              <w:rPr>
                <w:b/>
                <w:color w:val="000000" w:themeColor="text1"/>
                <w:szCs w:val="21"/>
              </w:rPr>
            </w:pPr>
          </w:p>
        </w:tc>
        <w:tc>
          <w:tcPr>
            <w:tcW w:w="355" w:type="pct"/>
            <w:vMerge w:val="continue"/>
            <w:vAlign w:val="center"/>
          </w:tcPr>
          <w:p w14:paraId="3E56A2B2">
            <w:pPr>
              <w:jc w:val="center"/>
              <w:rPr>
                <w:color w:val="000000" w:themeColor="text1"/>
                <w:szCs w:val="21"/>
              </w:rPr>
            </w:pPr>
          </w:p>
        </w:tc>
      </w:tr>
      <w:tr w14:paraId="5FD71A98">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28" w:type="pct"/>
            <w:vMerge w:val="restart"/>
            <w:vAlign w:val="center"/>
          </w:tcPr>
          <w:p w14:paraId="019173D2">
            <w:pPr>
              <w:jc w:val="center"/>
              <w:rPr>
                <w:color w:val="000000" w:themeColor="text1"/>
                <w:szCs w:val="21"/>
              </w:rPr>
            </w:pPr>
            <w:r>
              <w:rPr>
                <w:color w:val="000000" w:themeColor="text1"/>
                <w:szCs w:val="21"/>
              </w:rPr>
              <w:t>编织袋生产</w:t>
            </w:r>
          </w:p>
        </w:tc>
        <w:tc>
          <w:tcPr>
            <w:tcW w:w="298" w:type="pct"/>
            <w:vMerge w:val="restart"/>
            <w:vAlign w:val="center"/>
          </w:tcPr>
          <w:p w14:paraId="2F57144E">
            <w:pPr>
              <w:jc w:val="center"/>
              <w:rPr>
                <w:color w:val="000000" w:themeColor="text1"/>
                <w:szCs w:val="21"/>
              </w:rPr>
            </w:pPr>
            <w:r>
              <w:rPr>
                <w:color w:val="000000" w:themeColor="text1"/>
                <w:szCs w:val="21"/>
              </w:rPr>
              <w:t>G2</w:t>
            </w:r>
          </w:p>
        </w:tc>
        <w:tc>
          <w:tcPr>
            <w:tcW w:w="566" w:type="pct"/>
            <w:vMerge w:val="restart"/>
            <w:vAlign w:val="center"/>
          </w:tcPr>
          <w:p w14:paraId="19D37234">
            <w:pPr>
              <w:jc w:val="center"/>
              <w:rPr>
                <w:szCs w:val="21"/>
              </w:rPr>
            </w:pPr>
            <w:r>
              <w:rPr>
                <w:szCs w:val="21"/>
              </w:rPr>
              <w:t>98.182</w:t>
            </w:r>
          </w:p>
          <w:p w14:paraId="48E80E68">
            <w:pPr>
              <w:jc w:val="center"/>
              <w:rPr>
                <w:szCs w:val="21"/>
              </w:rPr>
            </w:pPr>
            <w:r>
              <w:rPr>
                <w:szCs w:val="21"/>
              </w:rPr>
              <w:t>319</w:t>
            </w:r>
          </w:p>
        </w:tc>
        <w:tc>
          <w:tcPr>
            <w:tcW w:w="567" w:type="pct"/>
            <w:vMerge w:val="restart"/>
            <w:vAlign w:val="center"/>
          </w:tcPr>
          <w:p w14:paraId="49A1FD6D">
            <w:pPr>
              <w:jc w:val="center"/>
              <w:rPr>
                <w:szCs w:val="21"/>
              </w:rPr>
            </w:pPr>
            <w:r>
              <w:rPr>
                <w:szCs w:val="21"/>
              </w:rPr>
              <w:t>24.179</w:t>
            </w:r>
          </w:p>
          <w:p w14:paraId="19D523B0">
            <w:pPr>
              <w:jc w:val="center"/>
              <w:rPr>
                <w:szCs w:val="21"/>
              </w:rPr>
            </w:pPr>
            <w:r>
              <w:rPr>
                <w:szCs w:val="21"/>
              </w:rPr>
              <w:t>954</w:t>
            </w:r>
          </w:p>
        </w:tc>
        <w:tc>
          <w:tcPr>
            <w:tcW w:w="566" w:type="pct"/>
            <w:vMerge w:val="restart"/>
            <w:vAlign w:val="center"/>
          </w:tcPr>
          <w:p w14:paraId="4A7A41D2">
            <w:pPr>
              <w:jc w:val="center"/>
              <w:rPr>
                <w:color w:val="000000" w:themeColor="text1"/>
                <w:szCs w:val="21"/>
              </w:rPr>
            </w:pPr>
            <w:r>
              <w:rPr>
                <w:color w:val="000000" w:themeColor="text1"/>
                <w:szCs w:val="21"/>
              </w:rPr>
              <w:t>5000</w:t>
            </w:r>
          </w:p>
        </w:tc>
        <w:tc>
          <w:tcPr>
            <w:tcW w:w="361" w:type="pct"/>
            <w:vAlign w:val="center"/>
          </w:tcPr>
          <w:p w14:paraId="541D1D66">
            <w:pPr>
              <w:jc w:val="center"/>
              <w:rPr>
                <w:color w:val="000000" w:themeColor="text1"/>
                <w:szCs w:val="21"/>
              </w:rPr>
            </w:pPr>
            <w:r>
              <w:rPr>
                <w:color w:val="000000" w:themeColor="text1"/>
                <w:szCs w:val="21"/>
              </w:rPr>
              <w:t>颗粒物</w:t>
            </w:r>
          </w:p>
        </w:tc>
        <w:tc>
          <w:tcPr>
            <w:tcW w:w="445" w:type="pct"/>
            <w:vAlign w:val="center"/>
          </w:tcPr>
          <w:p w14:paraId="09B3A18A">
            <w:pPr>
              <w:jc w:val="center"/>
              <w:rPr>
                <w:color w:val="000000" w:themeColor="text1"/>
                <w:szCs w:val="21"/>
              </w:rPr>
            </w:pPr>
            <w:r>
              <w:rPr>
                <w:color w:val="000000" w:themeColor="text1"/>
                <w:szCs w:val="21"/>
              </w:rPr>
              <w:t>0.9</w:t>
            </w:r>
          </w:p>
        </w:tc>
        <w:tc>
          <w:tcPr>
            <w:tcW w:w="479" w:type="pct"/>
            <w:vAlign w:val="center"/>
          </w:tcPr>
          <w:p w14:paraId="4A6CA8E4">
            <w:pPr>
              <w:jc w:val="center"/>
              <w:rPr>
                <w:rFonts w:eastAsia="等线"/>
                <w:color w:val="000000"/>
                <w:szCs w:val="21"/>
              </w:rPr>
            </w:pPr>
            <w:r>
              <w:rPr>
                <w:rFonts w:eastAsia="等线"/>
                <w:color w:val="000000"/>
                <w:szCs w:val="21"/>
              </w:rPr>
              <w:t xml:space="preserve">0.0028 </w:t>
            </w:r>
          </w:p>
        </w:tc>
        <w:tc>
          <w:tcPr>
            <w:tcW w:w="409" w:type="pct"/>
            <w:vMerge w:val="restart"/>
            <w:vAlign w:val="center"/>
          </w:tcPr>
          <w:p w14:paraId="3429B20E">
            <w:pPr>
              <w:jc w:val="center"/>
              <w:rPr>
                <w:color w:val="000000" w:themeColor="text1"/>
                <w:szCs w:val="21"/>
              </w:rPr>
            </w:pPr>
            <w:r>
              <w:rPr>
                <w:color w:val="000000" w:themeColor="text1"/>
                <w:szCs w:val="21"/>
              </w:rPr>
              <w:t>15</w:t>
            </w:r>
          </w:p>
        </w:tc>
        <w:tc>
          <w:tcPr>
            <w:tcW w:w="425" w:type="pct"/>
            <w:vMerge w:val="restart"/>
            <w:vAlign w:val="center"/>
          </w:tcPr>
          <w:p w14:paraId="26CD74DA">
            <w:pPr>
              <w:jc w:val="center"/>
              <w:rPr>
                <w:color w:val="000000" w:themeColor="text1"/>
                <w:szCs w:val="21"/>
              </w:rPr>
            </w:pPr>
            <w:r>
              <w:rPr>
                <w:color w:val="000000" w:themeColor="text1"/>
                <w:szCs w:val="21"/>
              </w:rPr>
              <w:t>0.1</w:t>
            </w:r>
          </w:p>
        </w:tc>
        <w:tc>
          <w:tcPr>
            <w:tcW w:w="355" w:type="pct"/>
            <w:vMerge w:val="restart"/>
            <w:vAlign w:val="center"/>
          </w:tcPr>
          <w:p w14:paraId="093D2015">
            <w:pPr>
              <w:jc w:val="center"/>
              <w:rPr>
                <w:color w:val="000000" w:themeColor="text1"/>
                <w:szCs w:val="21"/>
              </w:rPr>
            </w:pPr>
            <w:r>
              <w:rPr>
                <w:color w:val="000000" w:themeColor="text1"/>
                <w:szCs w:val="21"/>
              </w:rPr>
              <w:t>50</w:t>
            </w:r>
          </w:p>
        </w:tc>
      </w:tr>
      <w:tr w14:paraId="0F51369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28" w:type="pct"/>
            <w:vMerge w:val="continue"/>
            <w:vAlign w:val="center"/>
          </w:tcPr>
          <w:p w14:paraId="407AF406">
            <w:pPr>
              <w:jc w:val="center"/>
              <w:rPr>
                <w:color w:val="000000" w:themeColor="text1"/>
                <w:szCs w:val="21"/>
              </w:rPr>
            </w:pPr>
          </w:p>
        </w:tc>
        <w:tc>
          <w:tcPr>
            <w:tcW w:w="298" w:type="pct"/>
            <w:vMerge w:val="continue"/>
            <w:vAlign w:val="center"/>
          </w:tcPr>
          <w:p w14:paraId="7D8DE04B">
            <w:pPr>
              <w:jc w:val="center"/>
              <w:rPr>
                <w:color w:val="000000" w:themeColor="text1"/>
                <w:szCs w:val="21"/>
              </w:rPr>
            </w:pPr>
          </w:p>
        </w:tc>
        <w:tc>
          <w:tcPr>
            <w:tcW w:w="566" w:type="pct"/>
            <w:vMerge w:val="continue"/>
          </w:tcPr>
          <w:p w14:paraId="1AC21E0D">
            <w:pPr>
              <w:jc w:val="center"/>
              <w:rPr>
                <w:color w:val="000000" w:themeColor="text1"/>
                <w:szCs w:val="21"/>
              </w:rPr>
            </w:pPr>
          </w:p>
        </w:tc>
        <w:tc>
          <w:tcPr>
            <w:tcW w:w="567" w:type="pct"/>
            <w:vMerge w:val="continue"/>
          </w:tcPr>
          <w:p w14:paraId="2DA61C30">
            <w:pPr>
              <w:jc w:val="center"/>
              <w:rPr>
                <w:color w:val="000000" w:themeColor="text1"/>
                <w:szCs w:val="21"/>
              </w:rPr>
            </w:pPr>
          </w:p>
        </w:tc>
        <w:tc>
          <w:tcPr>
            <w:tcW w:w="566" w:type="pct"/>
            <w:vMerge w:val="continue"/>
            <w:vAlign w:val="center"/>
          </w:tcPr>
          <w:p w14:paraId="7BE93605">
            <w:pPr>
              <w:jc w:val="center"/>
              <w:rPr>
                <w:color w:val="000000" w:themeColor="text1"/>
                <w:szCs w:val="21"/>
              </w:rPr>
            </w:pPr>
          </w:p>
        </w:tc>
        <w:tc>
          <w:tcPr>
            <w:tcW w:w="361" w:type="pct"/>
            <w:vAlign w:val="center"/>
          </w:tcPr>
          <w:p w14:paraId="55F0045E">
            <w:pPr>
              <w:jc w:val="center"/>
              <w:rPr>
                <w:color w:val="000000" w:themeColor="text1"/>
                <w:szCs w:val="21"/>
              </w:rPr>
            </w:pPr>
            <w:r>
              <w:rPr>
                <w:color w:val="000000" w:themeColor="text1"/>
                <w:szCs w:val="21"/>
              </w:rPr>
              <w:t>非甲烷总烃</w:t>
            </w:r>
          </w:p>
        </w:tc>
        <w:tc>
          <w:tcPr>
            <w:tcW w:w="445" w:type="pct"/>
            <w:vAlign w:val="center"/>
          </w:tcPr>
          <w:p w14:paraId="12CF4042">
            <w:pPr>
              <w:jc w:val="center"/>
              <w:rPr>
                <w:color w:val="000000" w:themeColor="text1"/>
                <w:szCs w:val="21"/>
              </w:rPr>
            </w:pPr>
            <w:r>
              <w:rPr>
                <w:color w:val="000000" w:themeColor="text1"/>
                <w:szCs w:val="21"/>
              </w:rPr>
              <w:t>2</w:t>
            </w:r>
          </w:p>
        </w:tc>
        <w:tc>
          <w:tcPr>
            <w:tcW w:w="479" w:type="pct"/>
            <w:vAlign w:val="center"/>
          </w:tcPr>
          <w:p w14:paraId="104705C7">
            <w:pPr>
              <w:jc w:val="center"/>
              <w:rPr>
                <w:rFonts w:eastAsia="等线"/>
                <w:color w:val="000000"/>
                <w:szCs w:val="21"/>
              </w:rPr>
            </w:pPr>
            <w:r>
              <w:rPr>
                <w:rFonts w:eastAsia="等线"/>
                <w:color w:val="000000"/>
                <w:szCs w:val="21"/>
              </w:rPr>
              <w:t xml:space="preserve">0.0197 </w:t>
            </w:r>
          </w:p>
        </w:tc>
        <w:tc>
          <w:tcPr>
            <w:tcW w:w="409" w:type="pct"/>
            <w:vMerge w:val="continue"/>
            <w:vAlign w:val="center"/>
          </w:tcPr>
          <w:p w14:paraId="1E973E14">
            <w:pPr>
              <w:jc w:val="center"/>
              <w:rPr>
                <w:b/>
                <w:color w:val="000000" w:themeColor="text1"/>
                <w:szCs w:val="21"/>
              </w:rPr>
            </w:pPr>
          </w:p>
        </w:tc>
        <w:tc>
          <w:tcPr>
            <w:tcW w:w="425" w:type="pct"/>
            <w:vMerge w:val="continue"/>
            <w:vAlign w:val="center"/>
          </w:tcPr>
          <w:p w14:paraId="398C5149">
            <w:pPr>
              <w:jc w:val="center"/>
              <w:rPr>
                <w:b/>
                <w:color w:val="000000" w:themeColor="text1"/>
                <w:szCs w:val="21"/>
              </w:rPr>
            </w:pPr>
          </w:p>
        </w:tc>
        <w:tc>
          <w:tcPr>
            <w:tcW w:w="355" w:type="pct"/>
            <w:vMerge w:val="continue"/>
            <w:vAlign w:val="center"/>
          </w:tcPr>
          <w:p w14:paraId="1CD878CC">
            <w:pPr>
              <w:jc w:val="center"/>
              <w:rPr>
                <w:color w:val="000000" w:themeColor="text1"/>
                <w:szCs w:val="21"/>
              </w:rPr>
            </w:pPr>
          </w:p>
        </w:tc>
      </w:tr>
      <w:tr w14:paraId="19AE4B5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28" w:type="pct"/>
            <w:vMerge w:val="restart"/>
            <w:vAlign w:val="center"/>
          </w:tcPr>
          <w:p w14:paraId="79B5F8EF">
            <w:pPr>
              <w:jc w:val="center"/>
              <w:rPr>
                <w:b/>
                <w:color w:val="000000" w:themeColor="text1"/>
                <w:szCs w:val="21"/>
              </w:rPr>
            </w:pPr>
            <w:r>
              <w:rPr>
                <w:b/>
                <w:color w:val="000000" w:themeColor="text1"/>
                <w:szCs w:val="21"/>
              </w:rPr>
              <w:t>工序</w:t>
            </w:r>
          </w:p>
        </w:tc>
        <w:tc>
          <w:tcPr>
            <w:tcW w:w="298" w:type="pct"/>
            <w:vMerge w:val="restart"/>
            <w:vAlign w:val="center"/>
          </w:tcPr>
          <w:p w14:paraId="14A8D4F8">
            <w:pPr>
              <w:jc w:val="center"/>
              <w:rPr>
                <w:b/>
                <w:color w:val="000000" w:themeColor="text1"/>
                <w:szCs w:val="21"/>
              </w:rPr>
            </w:pPr>
            <w:r>
              <w:rPr>
                <w:b/>
                <w:color w:val="000000" w:themeColor="text1"/>
                <w:szCs w:val="21"/>
              </w:rPr>
              <w:t>编号</w:t>
            </w:r>
          </w:p>
        </w:tc>
        <w:tc>
          <w:tcPr>
            <w:tcW w:w="1133" w:type="pct"/>
            <w:gridSpan w:val="2"/>
          </w:tcPr>
          <w:p w14:paraId="1F907705">
            <w:pPr>
              <w:jc w:val="center"/>
              <w:rPr>
                <w:b/>
                <w:color w:val="000000" w:themeColor="text1"/>
                <w:szCs w:val="21"/>
              </w:rPr>
            </w:pPr>
            <w:r>
              <w:rPr>
                <w:b/>
                <w:color w:val="000000" w:themeColor="text1"/>
                <w:szCs w:val="21"/>
              </w:rPr>
              <w:t>生产区中心坐标(°)</w:t>
            </w:r>
          </w:p>
        </w:tc>
        <w:tc>
          <w:tcPr>
            <w:tcW w:w="566" w:type="pct"/>
            <w:vMerge w:val="restart"/>
            <w:vAlign w:val="center"/>
          </w:tcPr>
          <w:p w14:paraId="6B6D72FB">
            <w:pPr>
              <w:jc w:val="center"/>
              <w:rPr>
                <w:b/>
                <w:color w:val="000000" w:themeColor="text1"/>
                <w:szCs w:val="21"/>
              </w:rPr>
            </w:pPr>
            <w:r>
              <w:rPr>
                <w:b/>
                <w:color w:val="000000" w:themeColor="text1"/>
                <w:szCs w:val="21"/>
              </w:rPr>
              <w:t>排放方式</w:t>
            </w:r>
          </w:p>
        </w:tc>
        <w:tc>
          <w:tcPr>
            <w:tcW w:w="361" w:type="pct"/>
            <w:vMerge w:val="restart"/>
            <w:vAlign w:val="center"/>
          </w:tcPr>
          <w:p w14:paraId="5817FCFD">
            <w:pPr>
              <w:jc w:val="center"/>
              <w:rPr>
                <w:b/>
                <w:color w:val="000000" w:themeColor="text1"/>
                <w:szCs w:val="21"/>
              </w:rPr>
            </w:pPr>
            <w:r>
              <w:rPr>
                <w:b/>
                <w:color w:val="000000" w:themeColor="text1"/>
                <w:szCs w:val="21"/>
              </w:rPr>
              <w:t>污染物名称</w:t>
            </w:r>
          </w:p>
        </w:tc>
        <w:tc>
          <w:tcPr>
            <w:tcW w:w="445" w:type="pct"/>
            <w:vMerge w:val="restart"/>
            <w:vAlign w:val="center"/>
          </w:tcPr>
          <w:p w14:paraId="6547AE1A">
            <w:pPr>
              <w:jc w:val="center"/>
              <w:rPr>
                <w:b/>
                <w:color w:val="000000" w:themeColor="text1"/>
                <w:szCs w:val="21"/>
              </w:rPr>
            </w:pPr>
            <w:r>
              <w:rPr>
                <w:b/>
                <w:color w:val="000000" w:themeColor="text1"/>
                <w:szCs w:val="21"/>
              </w:rPr>
              <w:t>质量标准mg/m</w:t>
            </w:r>
            <w:r>
              <w:rPr>
                <w:b/>
                <w:color w:val="000000" w:themeColor="text1"/>
                <w:szCs w:val="21"/>
                <w:vertAlign w:val="superscript"/>
              </w:rPr>
              <w:t>3</w:t>
            </w:r>
          </w:p>
        </w:tc>
        <w:tc>
          <w:tcPr>
            <w:tcW w:w="479" w:type="pct"/>
            <w:vMerge w:val="restart"/>
            <w:vAlign w:val="center"/>
          </w:tcPr>
          <w:p w14:paraId="05489546">
            <w:pPr>
              <w:jc w:val="center"/>
              <w:rPr>
                <w:b/>
                <w:color w:val="000000" w:themeColor="text1"/>
                <w:szCs w:val="21"/>
              </w:rPr>
            </w:pPr>
            <w:r>
              <w:rPr>
                <w:b/>
                <w:color w:val="000000" w:themeColor="text1"/>
                <w:szCs w:val="21"/>
              </w:rPr>
              <w:t>排放速 率</w:t>
            </w:r>
          </w:p>
          <w:p w14:paraId="6058BE8B">
            <w:pPr>
              <w:jc w:val="center"/>
              <w:rPr>
                <w:b/>
                <w:color w:val="000000" w:themeColor="text1"/>
                <w:szCs w:val="21"/>
              </w:rPr>
            </w:pPr>
            <w:r>
              <w:rPr>
                <w:b/>
                <w:color w:val="000000" w:themeColor="text1"/>
                <w:szCs w:val="21"/>
              </w:rPr>
              <w:t>(kg/h)</w:t>
            </w:r>
          </w:p>
        </w:tc>
        <w:tc>
          <w:tcPr>
            <w:tcW w:w="1189" w:type="pct"/>
            <w:gridSpan w:val="3"/>
            <w:vAlign w:val="center"/>
          </w:tcPr>
          <w:p w14:paraId="3D3BAA10">
            <w:pPr>
              <w:jc w:val="center"/>
              <w:rPr>
                <w:b/>
                <w:color w:val="000000" w:themeColor="text1"/>
                <w:szCs w:val="21"/>
              </w:rPr>
            </w:pPr>
            <w:r>
              <w:rPr>
                <w:b/>
                <w:color w:val="000000" w:themeColor="text1"/>
                <w:szCs w:val="21"/>
              </w:rPr>
              <w:t>面源参数</w:t>
            </w:r>
          </w:p>
        </w:tc>
      </w:tr>
      <w:tr w14:paraId="68A8ABB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28" w:type="pct"/>
            <w:vMerge w:val="continue"/>
            <w:vAlign w:val="center"/>
          </w:tcPr>
          <w:p w14:paraId="4EFD6155">
            <w:pPr>
              <w:jc w:val="center"/>
              <w:rPr>
                <w:color w:val="000000" w:themeColor="text1"/>
                <w:szCs w:val="21"/>
              </w:rPr>
            </w:pPr>
          </w:p>
        </w:tc>
        <w:tc>
          <w:tcPr>
            <w:tcW w:w="298" w:type="pct"/>
            <w:vMerge w:val="continue"/>
            <w:vAlign w:val="center"/>
          </w:tcPr>
          <w:p w14:paraId="6962FC08">
            <w:pPr>
              <w:jc w:val="center"/>
              <w:rPr>
                <w:color w:val="000000" w:themeColor="text1"/>
                <w:szCs w:val="21"/>
              </w:rPr>
            </w:pPr>
          </w:p>
        </w:tc>
        <w:tc>
          <w:tcPr>
            <w:tcW w:w="566" w:type="pct"/>
            <w:vAlign w:val="center"/>
          </w:tcPr>
          <w:p w14:paraId="7ADEB6B4">
            <w:pPr>
              <w:jc w:val="center"/>
              <w:rPr>
                <w:szCs w:val="21"/>
              </w:rPr>
            </w:pPr>
            <w:r>
              <w:rPr>
                <w:szCs w:val="21"/>
              </w:rPr>
              <w:t>经度</w:t>
            </w:r>
          </w:p>
        </w:tc>
        <w:tc>
          <w:tcPr>
            <w:tcW w:w="567" w:type="pct"/>
            <w:vAlign w:val="center"/>
          </w:tcPr>
          <w:p w14:paraId="50E7D282">
            <w:pPr>
              <w:jc w:val="center"/>
              <w:rPr>
                <w:szCs w:val="21"/>
              </w:rPr>
            </w:pPr>
            <w:r>
              <w:rPr>
                <w:szCs w:val="21"/>
              </w:rPr>
              <w:t>纬度</w:t>
            </w:r>
          </w:p>
        </w:tc>
        <w:tc>
          <w:tcPr>
            <w:tcW w:w="566" w:type="pct"/>
            <w:vMerge w:val="continue"/>
            <w:vAlign w:val="center"/>
          </w:tcPr>
          <w:p w14:paraId="6AA8BB57">
            <w:pPr>
              <w:jc w:val="center"/>
              <w:rPr>
                <w:color w:val="000000" w:themeColor="text1"/>
                <w:szCs w:val="21"/>
              </w:rPr>
            </w:pPr>
          </w:p>
        </w:tc>
        <w:tc>
          <w:tcPr>
            <w:tcW w:w="361" w:type="pct"/>
            <w:vMerge w:val="continue"/>
            <w:vAlign w:val="center"/>
          </w:tcPr>
          <w:p w14:paraId="69726DC4">
            <w:pPr>
              <w:jc w:val="center"/>
              <w:rPr>
                <w:color w:val="000000" w:themeColor="text1"/>
                <w:szCs w:val="21"/>
              </w:rPr>
            </w:pPr>
          </w:p>
        </w:tc>
        <w:tc>
          <w:tcPr>
            <w:tcW w:w="445" w:type="pct"/>
            <w:vMerge w:val="continue"/>
            <w:vAlign w:val="center"/>
          </w:tcPr>
          <w:p w14:paraId="3056B541">
            <w:pPr>
              <w:jc w:val="center"/>
              <w:rPr>
                <w:b/>
                <w:color w:val="000000" w:themeColor="text1"/>
                <w:szCs w:val="21"/>
              </w:rPr>
            </w:pPr>
          </w:p>
        </w:tc>
        <w:tc>
          <w:tcPr>
            <w:tcW w:w="479" w:type="pct"/>
            <w:vMerge w:val="continue"/>
            <w:vAlign w:val="center"/>
          </w:tcPr>
          <w:p w14:paraId="5240CC8F">
            <w:pPr>
              <w:jc w:val="center"/>
              <w:rPr>
                <w:b/>
                <w:color w:val="000000" w:themeColor="text1"/>
                <w:szCs w:val="21"/>
              </w:rPr>
            </w:pPr>
          </w:p>
        </w:tc>
        <w:tc>
          <w:tcPr>
            <w:tcW w:w="409" w:type="pct"/>
            <w:vAlign w:val="center"/>
          </w:tcPr>
          <w:p w14:paraId="6E3D0028">
            <w:pPr>
              <w:jc w:val="center"/>
              <w:rPr>
                <w:b/>
                <w:color w:val="000000" w:themeColor="text1"/>
                <w:szCs w:val="21"/>
              </w:rPr>
            </w:pPr>
            <w:r>
              <w:rPr>
                <w:b/>
                <w:color w:val="000000" w:themeColor="text1"/>
                <w:szCs w:val="21"/>
              </w:rPr>
              <w:t>长(m)</w:t>
            </w:r>
          </w:p>
        </w:tc>
        <w:tc>
          <w:tcPr>
            <w:tcW w:w="425" w:type="pct"/>
            <w:vAlign w:val="center"/>
          </w:tcPr>
          <w:p w14:paraId="4B0AC7F8">
            <w:pPr>
              <w:jc w:val="center"/>
              <w:rPr>
                <w:b/>
                <w:color w:val="000000" w:themeColor="text1"/>
                <w:szCs w:val="21"/>
              </w:rPr>
            </w:pPr>
            <w:r>
              <w:rPr>
                <w:b/>
                <w:color w:val="000000" w:themeColor="text1"/>
                <w:szCs w:val="21"/>
              </w:rPr>
              <w:t>宽(m)</w:t>
            </w:r>
          </w:p>
        </w:tc>
        <w:tc>
          <w:tcPr>
            <w:tcW w:w="355" w:type="pct"/>
            <w:vAlign w:val="center"/>
          </w:tcPr>
          <w:p w14:paraId="727F56C3">
            <w:pPr>
              <w:jc w:val="center"/>
              <w:rPr>
                <w:b/>
                <w:color w:val="000000" w:themeColor="text1"/>
                <w:szCs w:val="21"/>
              </w:rPr>
            </w:pPr>
            <w:r>
              <w:rPr>
                <w:b/>
                <w:color w:val="000000" w:themeColor="text1"/>
                <w:szCs w:val="21"/>
              </w:rPr>
              <w:t>高 (m)</w:t>
            </w:r>
          </w:p>
        </w:tc>
      </w:tr>
      <w:tr w14:paraId="25EE8F5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528" w:type="pct"/>
            <w:vMerge w:val="restart"/>
            <w:vAlign w:val="center"/>
          </w:tcPr>
          <w:p w14:paraId="0162A1D0">
            <w:pPr>
              <w:jc w:val="center"/>
              <w:rPr>
                <w:color w:val="000000" w:themeColor="text1"/>
                <w:szCs w:val="21"/>
              </w:rPr>
            </w:pPr>
            <w:r>
              <w:rPr>
                <w:color w:val="000000" w:themeColor="text1"/>
                <w:szCs w:val="21"/>
              </w:rPr>
              <w:t>造粒工序</w:t>
            </w:r>
          </w:p>
        </w:tc>
        <w:tc>
          <w:tcPr>
            <w:tcW w:w="298" w:type="pct"/>
            <w:vAlign w:val="center"/>
          </w:tcPr>
          <w:p w14:paraId="0B031976">
            <w:pPr>
              <w:jc w:val="center"/>
              <w:rPr>
                <w:color w:val="000000" w:themeColor="text1"/>
                <w:szCs w:val="21"/>
              </w:rPr>
            </w:pPr>
            <w:r>
              <w:rPr>
                <w:color w:val="000000" w:themeColor="text1"/>
                <w:szCs w:val="21"/>
              </w:rPr>
              <w:t>/</w:t>
            </w:r>
          </w:p>
        </w:tc>
        <w:tc>
          <w:tcPr>
            <w:tcW w:w="566" w:type="pct"/>
            <w:vMerge w:val="restart"/>
            <w:vAlign w:val="center"/>
          </w:tcPr>
          <w:p w14:paraId="73FF1DAD">
            <w:pPr>
              <w:jc w:val="center"/>
              <w:rPr>
                <w:szCs w:val="21"/>
              </w:rPr>
            </w:pPr>
            <w:r>
              <w:rPr>
                <w:szCs w:val="21"/>
              </w:rPr>
              <w:t>98.182</w:t>
            </w:r>
          </w:p>
          <w:p w14:paraId="105C3657">
            <w:pPr>
              <w:jc w:val="center"/>
              <w:rPr>
                <w:szCs w:val="21"/>
              </w:rPr>
            </w:pPr>
            <w:r>
              <w:rPr>
                <w:szCs w:val="21"/>
              </w:rPr>
              <w:t>278</w:t>
            </w:r>
          </w:p>
        </w:tc>
        <w:tc>
          <w:tcPr>
            <w:tcW w:w="567" w:type="pct"/>
            <w:vMerge w:val="restart"/>
            <w:vAlign w:val="center"/>
          </w:tcPr>
          <w:p w14:paraId="69D44C83">
            <w:pPr>
              <w:jc w:val="center"/>
              <w:rPr>
                <w:szCs w:val="21"/>
              </w:rPr>
            </w:pPr>
            <w:r>
              <w:rPr>
                <w:szCs w:val="21"/>
              </w:rPr>
              <w:t>24.180</w:t>
            </w:r>
          </w:p>
          <w:p w14:paraId="75B1B8FE">
            <w:pPr>
              <w:jc w:val="center"/>
              <w:rPr>
                <w:szCs w:val="21"/>
              </w:rPr>
            </w:pPr>
            <w:r>
              <w:rPr>
                <w:szCs w:val="21"/>
              </w:rPr>
              <w:t>105</w:t>
            </w:r>
          </w:p>
        </w:tc>
        <w:tc>
          <w:tcPr>
            <w:tcW w:w="566" w:type="pct"/>
            <w:vMerge w:val="restart"/>
            <w:vAlign w:val="center"/>
          </w:tcPr>
          <w:p w14:paraId="20B45A03">
            <w:pPr>
              <w:jc w:val="center"/>
              <w:rPr>
                <w:color w:val="000000" w:themeColor="text1"/>
                <w:szCs w:val="21"/>
              </w:rPr>
            </w:pPr>
            <w:r>
              <w:rPr>
                <w:color w:val="000000" w:themeColor="text1"/>
                <w:szCs w:val="21"/>
              </w:rPr>
              <w:t>无组织</w:t>
            </w:r>
          </w:p>
        </w:tc>
        <w:tc>
          <w:tcPr>
            <w:tcW w:w="361" w:type="pct"/>
            <w:vAlign w:val="center"/>
          </w:tcPr>
          <w:p w14:paraId="5D45F68A">
            <w:pPr>
              <w:pStyle w:val="59"/>
              <w:spacing w:line="240" w:lineRule="auto"/>
              <w:rPr>
                <w:color w:val="000000" w:themeColor="text1"/>
                <w:sz w:val="21"/>
                <w:szCs w:val="21"/>
              </w:rPr>
            </w:pPr>
            <w:r>
              <w:rPr>
                <w:color w:val="000000" w:themeColor="text1"/>
                <w:sz w:val="21"/>
                <w:szCs w:val="21"/>
              </w:rPr>
              <w:t>颗粒物</w:t>
            </w:r>
          </w:p>
        </w:tc>
        <w:tc>
          <w:tcPr>
            <w:tcW w:w="445" w:type="pct"/>
            <w:vAlign w:val="center"/>
          </w:tcPr>
          <w:p w14:paraId="6912CEA1">
            <w:pPr>
              <w:jc w:val="center"/>
              <w:rPr>
                <w:color w:val="000000" w:themeColor="text1"/>
                <w:szCs w:val="21"/>
              </w:rPr>
            </w:pPr>
            <w:r>
              <w:rPr>
                <w:color w:val="000000" w:themeColor="text1"/>
                <w:szCs w:val="21"/>
              </w:rPr>
              <w:t>0.9</w:t>
            </w:r>
          </w:p>
        </w:tc>
        <w:tc>
          <w:tcPr>
            <w:tcW w:w="479" w:type="pct"/>
            <w:vAlign w:val="center"/>
          </w:tcPr>
          <w:p w14:paraId="21836D06">
            <w:pPr>
              <w:jc w:val="center"/>
              <w:rPr>
                <w:rFonts w:eastAsia="等线"/>
                <w:color w:val="000000"/>
                <w:szCs w:val="21"/>
              </w:rPr>
            </w:pPr>
            <w:r>
              <w:rPr>
                <w:rFonts w:eastAsia="等线"/>
                <w:color w:val="000000"/>
                <w:szCs w:val="21"/>
              </w:rPr>
              <w:t xml:space="preserve">0.0011 </w:t>
            </w:r>
          </w:p>
        </w:tc>
        <w:tc>
          <w:tcPr>
            <w:tcW w:w="409" w:type="pct"/>
            <w:vAlign w:val="center"/>
          </w:tcPr>
          <w:p w14:paraId="229D1110">
            <w:pPr>
              <w:jc w:val="center"/>
              <w:rPr>
                <w:rFonts w:eastAsia="等线"/>
                <w:color w:val="000000"/>
                <w:szCs w:val="21"/>
              </w:rPr>
            </w:pPr>
            <w:r>
              <w:rPr>
                <w:rFonts w:eastAsia="等线"/>
                <w:color w:val="000000"/>
                <w:szCs w:val="21"/>
              </w:rPr>
              <w:t>70</w:t>
            </w:r>
          </w:p>
        </w:tc>
        <w:tc>
          <w:tcPr>
            <w:tcW w:w="425" w:type="pct"/>
            <w:vAlign w:val="center"/>
          </w:tcPr>
          <w:p w14:paraId="1C68672B">
            <w:pPr>
              <w:jc w:val="center"/>
              <w:rPr>
                <w:rFonts w:eastAsia="等线"/>
                <w:color w:val="000000"/>
                <w:szCs w:val="21"/>
              </w:rPr>
            </w:pPr>
            <w:r>
              <w:rPr>
                <w:rFonts w:eastAsia="等线"/>
                <w:color w:val="000000"/>
                <w:szCs w:val="21"/>
              </w:rPr>
              <w:t>53.5</w:t>
            </w:r>
          </w:p>
        </w:tc>
        <w:tc>
          <w:tcPr>
            <w:tcW w:w="355" w:type="pct"/>
            <w:vAlign w:val="center"/>
          </w:tcPr>
          <w:p w14:paraId="5EDBB7D1">
            <w:pPr>
              <w:jc w:val="center"/>
              <w:rPr>
                <w:rFonts w:eastAsia="等线"/>
                <w:color w:val="000000"/>
                <w:szCs w:val="21"/>
              </w:rPr>
            </w:pPr>
            <w:r>
              <w:rPr>
                <w:rFonts w:eastAsia="等线"/>
                <w:color w:val="000000"/>
                <w:szCs w:val="21"/>
              </w:rPr>
              <w:t>8</w:t>
            </w:r>
          </w:p>
        </w:tc>
      </w:tr>
      <w:tr w14:paraId="61B2BEB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28" w:type="pct"/>
            <w:vMerge w:val="continue"/>
            <w:vAlign w:val="center"/>
          </w:tcPr>
          <w:p w14:paraId="4889863C">
            <w:pPr>
              <w:jc w:val="center"/>
              <w:rPr>
                <w:color w:val="000000" w:themeColor="text1"/>
                <w:szCs w:val="21"/>
              </w:rPr>
            </w:pPr>
          </w:p>
        </w:tc>
        <w:tc>
          <w:tcPr>
            <w:tcW w:w="298" w:type="pct"/>
            <w:vAlign w:val="center"/>
          </w:tcPr>
          <w:p w14:paraId="5CFB6767">
            <w:pPr>
              <w:jc w:val="center"/>
              <w:rPr>
                <w:color w:val="000000" w:themeColor="text1"/>
                <w:szCs w:val="21"/>
              </w:rPr>
            </w:pPr>
            <w:r>
              <w:rPr>
                <w:color w:val="000000" w:themeColor="text1"/>
                <w:szCs w:val="21"/>
              </w:rPr>
              <w:t>/</w:t>
            </w:r>
          </w:p>
        </w:tc>
        <w:tc>
          <w:tcPr>
            <w:tcW w:w="566" w:type="pct"/>
            <w:vMerge w:val="continue"/>
          </w:tcPr>
          <w:p w14:paraId="62153510">
            <w:pPr>
              <w:jc w:val="center"/>
              <w:rPr>
                <w:color w:val="000000" w:themeColor="text1"/>
                <w:szCs w:val="21"/>
              </w:rPr>
            </w:pPr>
          </w:p>
        </w:tc>
        <w:tc>
          <w:tcPr>
            <w:tcW w:w="567" w:type="pct"/>
            <w:vMerge w:val="continue"/>
          </w:tcPr>
          <w:p w14:paraId="5185F513">
            <w:pPr>
              <w:jc w:val="center"/>
              <w:rPr>
                <w:color w:val="000000" w:themeColor="text1"/>
                <w:szCs w:val="21"/>
              </w:rPr>
            </w:pPr>
          </w:p>
        </w:tc>
        <w:tc>
          <w:tcPr>
            <w:tcW w:w="566" w:type="pct"/>
            <w:vMerge w:val="continue"/>
            <w:vAlign w:val="center"/>
          </w:tcPr>
          <w:p w14:paraId="34955B2F">
            <w:pPr>
              <w:jc w:val="center"/>
              <w:rPr>
                <w:color w:val="000000" w:themeColor="text1"/>
                <w:szCs w:val="21"/>
              </w:rPr>
            </w:pPr>
          </w:p>
        </w:tc>
        <w:tc>
          <w:tcPr>
            <w:tcW w:w="361" w:type="pct"/>
            <w:vAlign w:val="center"/>
          </w:tcPr>
          <w:p w14:paraId="440D36DD">
            <w:pPr>
              <w:pStyle w:val="59"/>
              <w:spacing w:line="240" w:lineRule="auto"/>
              <w:rPr>
                <w:color w:val="000000" w:themeColor="text1"/>
                <w:sz w:val="21"/>
                <w:szCs w:val="21"/>
              </w:rPr>
            </w:pPr>
            <w:r>
              <w:rPr>
                <w:color w:val="000000" w:themeColor="text1"/>
                <w:sz w:val="21"/>
                <w:szCs w:val="21"/>
              </w:rPr>
              <w:t>非甲烷总烃</w:t>
            </w:r>
          </w:p>
        </w:tc>
        <w:tc>
          <w:tcPr>
            <w:tcW w:w="445" w:type="pct"/>
            <w:vAlign w:val="center"/>
          </w:tcPr>
          <w:p w14:paraId="1DB114C1">
            <w:pPr>
              <w:jc w:val="center"/>
              <w:rPr>
                <w:color w:val="000000" w:themeColor="text1"/>
                <w:szCs w:val="21"/>
              </w:rPr>
            </w:pPr>
            <w:r>
              <w:rPr>
                <w:color w:val="000000" w:themeColor="text1"/>
                <w:szCs w:val="21"/>
              </w:rPr>
              <w:t>2</w:t>
            </w:r>
          </w:p>
        </w:tc>
        <w:tc>
          <w:tcPr>
            <w:tcW w:w="479" w:type="pct"/>
            <w:vAlign w:val="center"/>
          </w:tcPr>
          <w:p w14:paraId="259C3F2D">
            <w:pPr>
              <w:jc w:val="center"/>
              <w:rPr>
                <w:rFonts w:eastAsia="等线"/>
                <w:color w:val="000000"/>
                <w:szCs w:val="21"/>
              </w:rPr>
            </w:pPr>
            <w:r>
              <w:rPr>
                <w:rFonts w:eastAsia="等线"/>
                <w:color w:val="000000"/>
                <w:szCs w:val="21"/>
              </w:rPr>
              <w:t xml:space="preserve">0.0073 </w:t>
            </w:r>
          </w:p>
        </w:tc>
        <w:tc>
          <w:tcPr>
            <w:tcW w:w="409" w:type="pct"/>
            <w:vAlign w:val="center"/>
          </w:tcPr>
          <w:p w14:paraId="29030F27">
            <w:pPr>
              <w:jc w:val="center"/>
              <w:rPr>
                <w:rFonts w:eastAsia="等线"/>
                <w:color w:val="000000"/>
                <w:szCs w:val="21"/>
              </w:rPr>
            </w:pPr>
            <w:r>
              <w:rPr>
                <w:rFonts w:eastAsia="等线"/>
                <w:color w:val="000000"/>
                <w:szCs w:val="21"/>
              </w:rPr>
              <w:t>70</w:t>
            </w:r>
          </w:p>
        </w:tc>
        <w:tc>
          <w:tcPr>
            <w:tcW w:w="425" w:type="pct"/>
            <w:vAlign w:val="center"/>
          </w:tcPr>
          <w:p w14:paraId="093EB292">
            <w:pPr>
              <w:jc w:val="center"/>
              <w:rPr>
                <w:rFonts w:eastAsia="等线"/>
                <w:color w:val="000000"/>
                <w:szCs w:val="21"/>
              </w:rPr>
            </w:pPr>
            <w:r>
              <w:rPr>
                <w:rFonts w:eastAsia="等线"/>
                <w:color w:val="000000"/>
                <w:szCs w:val="21"/>
              </w:rPr>
              <w:t>53.5</w:t>
            </w:r>
          </w:p>
        </w:tc>
        <w:tc>
          <w:tcPr>
            <w:tcW w:w="355" w:type="pct"/>
            <w:vAlign w:val="center"/>
          </w:tcPr>
          <w:p w14:paraId="69F1F58A">
            <w:pPr>
              <w:jc w:val="center"/>
              <w:rPr>
                <w:rFonts w:eastAsia="等线"/>
                <w:color w:val="000000"/>
                <w:szCs w:val="21"/>
              </w:rPr>
            </w:pPr>
            <w:r>
              <w:rPr>
                <w:rFonts w:eastAsia="等线"/>
                <w:color w:val="000000"/>
                <w:szCs w:val="21"/>
              </w:rPr>
              <w:t>8</w:t>
            </w:r>
          </w:p>
        </w:tc>
      </w:tr>
      <w:tr w14:paraId="305059B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28" w:type="pct"/>
            <w:vMerge w:val="restart"/>
            <w:vAlign w:val="center"/>
          </w:tcPr>
          <w:p w14:paraId="020BF899">
            <w:pPr>
              <w:jc w:val="center"/>
              <w:rPr>
                <w:color w:val="000000" w:themeColor="text1"/>
                <w:szCs w:val="21"/>
              </w:rPr>
            </w:pPr>
            <w:r>
              <w:rPr>
                <w:color w:val="000000" w:themeColor="text1"/>
                <w:szCs w:val="21"/>
              </w:rPr>
              <w:t>编织袋生产</w:t>
            </w:r>
          </w:p>
        </w:tc>
        <w:tc>
          <w:tcPr>
            <w:tcW w:w="298" w:type="pct"/>
            <w:vAlign w:val="center"/>
          </w:tcPr>
          <w:p w14:paraId="43184222">
            <w:pPr>
              <w:jc w:val="center"/>
              <w:rPr>
                <w:color w:val="000000" w:themeColor="text1"/>
                <w:szCs w:val="21"/>
              </w:rPr>
            </w:pPr>
            <w:r>
              <w:rPr>
                <w:color w:val="000000" w:themeColor="text1"/>
                <w:szCs w:val="21"/>
              </w:rPr>
              <w:t>/</w:t>
            </w:r>
          </w:p>
        </w:tc>
        <w:tc>
          <w:tcPr>
            <w:tcW w:w="566" w:type="pct"/>
            <w:vMerge w:val="continue"/>
          </w:tcPr>
          <w:p w14:paraId="5AC76F89">
            <w:pPr>
              <w:jc w:val="center"/>
              <w:rPr>
                <w:color w:val="000000" w:themeColor="text1"/>
                <w:szCs w:val="21"/>
              </w:rPr>
            </w:pPr>
          </w:p>
        </w:tc>
        <w:tc>
          <w:tcPr>
            <w:tcW w:w="567" w:type="pct"/>
            <w:vMerge w:val="continue"/>
          </w:tcPr>
          <w:p w14:paraId="1C457A0A">
            <w:pPr>
              <w:jc w:val="center"/>
              <w:rPr>
                <w:color w:val="000000" w:themeColor="text1"/>
                <w:szCs w:val="21"/>
              </w:rPr>
            </w:pPr>
          </w:p>
        </w:tc>
        <w:tc>
          <w:tcPr>
            <w:tcW w:w="566" w:type="pct"/>
            <w:vMerge w:val="continue"/>
            <w:vAlign w:val="center"/>
          </w:tcPr>
          <w:p w14:paraId="040B2907">
            <w:pPr>
              <w:jc w:val="center"/>
              <w:rPr>
                <w:color w:val="000000" w:themeColor="text1"/>
                <w:szCs w:val="21"/>
              </w:rPr>
            </w:pPr>
          </w:p>
        </w:tc>
        <w:tc>
          <w:tcPr>
            <w:tcW w:w="361" w:type="pct"/>
            <w:vAlign w:val="center"/>
          </w:tcPr>
          <w:p w14:paraId="12A1D5FA">
            <w:pPr>
              <w:jc w:val="center"/>
              <w:rPr>
                <w:color w:val="000000" w:themeColor="text1"/>
                <w:szCs w:val="21"/>
              </w:rPr>
            </w:pPr>
            <w:r>
              <w:rPr>
                <w:color w:val="000000" w:themeColor="text1"/>
                <w:szCs w:val="21"/>
              </w:rPr>
              <w:t>颗粒物</w:t>
            </w:r>
          </w:p>
        </w:tc>
        <w:tc>
          <w:tcPr>
            <w:tcW w:w="445" w:type="pct"/>
            <w:vAlign w:val="center"/>
          </w:tcPr>
          <w:p w14:paraId="4EED46DB">
            <w:pPr>
              <w:jc w:val="center"/>
              <w:rPr>
                <w:color w:val="000000" w:themeColor="text1"/>
                <w:szCs w:val="21"/>
              </w:rPr>
            </w:pPr>
            <w:r>
              <w:rPr>
                <w:color w:val="000000" w:themeColor="text1"/>
                <w:szCs w:val="21"/>
              </w:rPr>
              <w:t>0.9</w:t>
            </w:r>
          </w:p>
        </w:tc>
        <w:tc>
          <w:tcPr>
            <w:tcW w:w="479" w:type="pct"/>
            <w:vAlign w:val="center"/>
          </w:tcPr>
          <w:p w14:paraId="7EB82FFB">
            <w:pPr>
              <w:jc w:val="center"/>
              <w:rPr>
                <w:rFonts w:eastAsia="等线"/>
                <w:color w:val="000000"/>
                <w:szCs w:val="21"/>
              </w:rPr>
            </w:pPr>
            <w:r>
              <w:rPr>
                <w:rFonts w:eastAsia="等线"/>
                <w:color w:val="000000"/>
                <w:szCs w:val="21"/>
              </w:rPr>
              <w:t xml:space="preserve">0.0006 </w:t>
            </w:r>
          </w:p>
        </w:tc>
        <w:tc>
          <w:tcPr>
            <w:tcW w:w="409" w:type="pct"/>
            <w:vAlign w:val="center"/>
          </w:tcPr>
          <w:p w14:paraId="3C3D974D">
            <w:pPr>
              <w:jc w:val="center"/>
              <w:rPr>
                <w:rFonts w:eastAsia="等线"/>
                <w:color w:val="000000"/>
                <w:szCs w:val="21"/>
              </w:rPr>
            </w:pPr>
            <w:r>
              <w:rPr>
                <w:rFonts w:eastAsia="等线"/>
                <w:color w:val="000000"/>
                <w:szCs w:val="21"/>
              </w:rPr>
              <w:t>70</w:t>
            </w:r>
          </w:p>
        </w:tc>
        <w:tc>
          <w:tcPr>
            <w:tcW w:w="425" w:type="pct"/>
            <w:vAlign w:val="center"/>
          </w:tcPr>
          <w:p w14:paraId="6B258D51">
            <w:pPr>
              <w:jc w:val="center"/>
              <w:rPr>
                <w:rFonts w:eastAsia="等线"/>
                <w:color w:val="000000"/>
                <w:szCs w:val="21"/>
              </w:rPr>
            </w:pPr>
            <w:r>
              <w:rPr>
                <w:rFonts w:eastAsia="等线"/>
                <w:color w:val="000000"/>
                <w:szCs w:val="21"/>
              </w:rPr>
              <w:t>53.5</w:t>
            </w:r>
          </w:p>
        </w:tc>
        <w:tc>
          <w:tcPr>
            <w:tcW w:w="355" w:type="pct"/>
            <w:vAlign w:val="center"/>
          </w:tcPr>
          <w:p w14:paraId="0489FE4B">
            <w:pPr>
              <w:jc w:val="center"/>
              <w:rPr>
                <w:rFonts w:eastAsia="等线"/>
                <w:color w:val="000000"/>
                <w:szCs w:val="21"/>
              </w:rPr>
            </w:pPr>
            <w:r>
              <w:rPr>
                <w:rFonts w:eastAsia="等线"/>
                <w:color w:val="000000"/>
                <w:szCs w:val="21"/>
              </w:rPr>
              <w:t>8</w:t>
            </w:r>
          </w:p>
        </w:tc>
      </w:tr>
      <w:tr w14:paraId="657AF38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28" w:type="pct"/>
            <w:vMerge w:val="continue"/>
            <w:vAlign w:val="center"/>
          </w:tcPr>
          <w:p w14:paraId="583817C5">
            <w:pPr>
              <w:jc w:val="center"/>
              <w:rPr>
                <w:color w:val="000000" w:themeColor="text1"/>
                <w:szCs w:val="21"/>
              </w:rPr>
            </w:pPr>
          </w:p>
        </w:tc>
        <w:tc>
          <w:tcPr>
            <w:tcW w:w="298" w:type="pct"/>
            <w:vAlign w:val="center"/>
          </w:tcPr>
          <w:p w14:paraId="158A1BEA">
            <w:pPr>
              <w:jc w:val="center"/>
              <w:rPr>
                <w:color w:val="000000" w:themeColor="text1"/>
                <w:szCs w:val="21"/>
              </w:rPr>
            </w:pPr>
            <w:r>
              <w:rPr>
                <w:color w:val="000000" w:themeColor="text1"/>
                <w:szCs w:val="21"/>
              </w:rPr>
              <w:t>/</w:t>
            </w:r>
          </w:p>
        </w:tc>
        <w:tc>
          <w:tcPr>
            <w:tcW w:w="566" w:type="pct"/>
            <w:vMerge w:val="continue"/>
          </w:tcPr>
          <w:p w14:paraId="2AA17232">
            <w:pPr>
              <w:jc w:val="center"/>
              <w:rPr>
                <w:color w:val="000000" w:themeColor="text1"/>
                <w:szCs w:val="21"/>
              </w:rPr>
            </w:pPr>
          </w:p>
        </w:tc>
        <w:tc>
          <w:tcPr>
            <w:tcW w:w="567" w:type="pct"/>
            <w:vMerge w:val="continue"/>
          </w:tcPr>
          <w:p w14:paraId="3048ED2D">
            <w:pPr>
              <w:jc w:val="center"/>
              <w:rPr>
                <w:color w:val="000000" w:themeColor="text1"/>
                <w:szCs w:val="21"/>
              </w:rPr>
            </w:pPr>
          </w:p>
        </w:tc>
        <w:tc>
          <w:tcPr>
            <w:tcW w:w="566" w:type="pct"/>
            <w:vMerge w:val="continue"/>
            <w:vAlign w:val="center"/>
          </w:tcPr>
          <w:p w14:paraId="5582BAB6">
            <w:pPr>
              <w:jc w:val="center"/>
              <w:rPr>
                <w:color w:val="000000" w:themeColor="text1"/>
                <w:szCs w:val="21"/>
              </w:rPr>
            </w:pPr>
          </w:p>
        </w:tc>
        <w:tc>
          <w:tcPr>
            <w:tcW w:w="361" w:type="pct"/>
            <w:vAlign w:val="center"/>
          </w:tcPr>
          <w:p w14:paraId="1B631546">
            <w:pPr>
              <w:jc w:val="center"/>
              <w:rPr>
                <w:color w:val="000000" w:themeColor="text1"/>
                <w:szCs w:val="21"/>
              </w:rPr>
            </w:pPr>
            <w:r>
              <w:rPr>
                <w:color w:val="000000" w:themeColor="text1"/>
                <w:szCs w:val="21"/>
              </w:rPr>
              <w:t>非甲烷总烃</w:t>
            </w:r>
          </w:p>
        </w:tc>
        <w:tc>
          <w:tcPr>
            <w:tcW w:w="445" w:type="pct"/>
            <w:vAlign w:val="center"/>
          </w:tcPr>
          <w:p w14:paraId="0D1D48EE">
            <w:pPr>
              <w:jc w:val="center"/>
              <w:rPr>
                <w:color w:val="000000" w:themeColor="text1"/>
                <w:szCs w:val="21"/>
              </w:rPr>
            </w:pPr>
            <w:r>
              <w:rPr>
                <w:color w:val="000000" w:themeColor="text1"/>
                <w:szCs w:val="21"/>
              </w:rPr>
              <w:t>2</w:t>
            </w:r>
          </w:p>
        </w:tc>
        <w:tc>
          <w:tcPr>
            <w:tcW w:w="479" w:type="pct"/>
            <w:vAlign w:val="center"/>
          </w:tcPr>
          <w:p w14:paraId="77908C0D">
            <w:pPr>
              <w:jc w:val="center"/>
              <w:rPr>
                <w:rFonts w:eastAsia="等线"/>
                <w:color w:val="000000"/>
                <w:szCs w:val="21"/>
              </w:rPr>
            </w:pPr>
            <w:r>
              <w:rPr>
                <w:rFonts w:eastAsia="等线"/>
                <w:color w:val="000000"/>
                <w:szCs w:val="21"/>
              </w:rPr>
              <w:t xml:space="preserve">0.0044 </w:t>
            </w:r>
          </w:p>
        </w:tc>
        <w:tc>
          <w:tcPr>
            <w:tcW w:w="409" w:type="pct"/>
            <w:vAlign w:val="center"/>
          </w:tcPr>
          <w:p w14:paraId="143671EC">
            <w:pPr>
              <w:jc w:val="center"/>
              <w:rPr>
                <w:rFonts w:eastAsia="等线"/>
                <w:color w:val="000000"/>
                <w:szCs w:val="21"/>
              </w:rPr>
            </w:pPr>
            <w:r>
              <w:rPr>
                <w:rFonts w:eastAsia="等线"/>
                <w:color w:val="000000"/>
                <w:szCs w:val="21"/>
              </w:rPr>
              <w:t>70</w:t>
            </w:r>
          </w:p>
        </w:tc>
        <w:tc>
          <w:tcPr>
            <w:tcW w:w="425" w:type="pct"/>
            <w:vAlign w:val="center"/>
          </w:tcPr>
          <w:p w14:paraId="2964886B">
            <w:pPr>
              <w:jc w:val="center"/>
              <w:rPr>
                <w:rFonts w:eastAsia="等线"/>
                <w:color w:val="000000"/>
                <w:szCs w:val="21"/>
              </w:rPr>
            </w:pPr>
            <w:r>
              <w:rPr>
                <w:rFonts w:eastAsia="等线"/>
                <w:color w:val="000000"/>
                <w:szCs w:val="21"/>
              </w:rPr>
              <w:t>53.5</w:t>
            </w:r>
          </w:p>
        </w:tc>
        <w:tc>
          <w:tcPr>
            <w:tcW w:w="355" w:type="pct"/>
            <w:vAlign w:val="center"/>
          </w:tcPr>
          <w:p w14:paraId="0DF1BC86">
            <w:pPr>
              <w:jc w:val="center"/>
              <w:rPr>
                <w:rFonts w:eastAsia="等线"/>
                <w:color w:val="000000"/>
                <w:szCs w:val="21"/>
              </w:rPr>
            </w:pPr>
            <w:r>
              <w:rPr>
                <w:rFonts w:eastAsia="等线"/>
                <w:color w:val="000000"/>
                <w:szCs w:val="21"/>
              </w:rPr>
              <w:t>8</w:t>
            </w:r>
          </w:p>
        </w:tc>
      </w:tr>
    </w:tbl>
    <w:p w14:paraId="34EB6AD5">
      <w:pPr>
        <w:pStyle w:val="105"/>
        <w:rPr>
          <w:rFonts w:cs="Times New Roman"/>
          <w:color w:val="000000" w:themeColor="text1"/>
        </w:rPr>
      </w:pPr>
      <w:r>
        <w:rPr>
          <w:rFonts w:cs="Times New Roman"/>
          <w:color w:val="000000" w:themeColor="text1"/>
        </w:rPr>
        <w:t>6.1.3正常工况废气环境影响分析</w:t>
      </w:r>
    </w:p>
    <w:p w14:paraId="65E15F6E">
      <w:pPr>
        <w:spacing w:line="360" w:lineRule="auto"/>
        <w:ind w:firstLine="482" w:firstLineChars="200"/>
        <w:rPr>
          <w:b/>
          <w:color w:val="000000" w:themeColor="text1"/>
          <w:sz w:val="24"/>
        </w:rPr>
      </w:pPr>
      <w:r>
        <w:rPr>
          <w:b/>
          <w:color w:val="000000" w:themeColor="text1"/>
          <w:sz w:val="24"/>
        </w:rPr>
        <w:t>1、有组织废气环境影响分析</w:t>
      </w:r>
    </w:p>
    <w:p w14:paraId="6380FFA3">
      <w:pPr>
        <w:spacing w:line="360" w:lineRule="auto"/>
        <w:ind w:firstLine="482" w:firstLineChars="200"/>
        <w:rPr>
          <w:b/>
          <w:color w:val="000000" w:themeColor="text1"/>
          <w:sz w:val="24"/>
        </w:rPr>
      </w:pPr>
      <w:r>
        <w:rPr>
          <w:b/>
          <w:color w:val="000000" w:themeColor="text1"/>
          <w:sz w:val="24"/>
        </w:rPr>
        <w:t>（1）造粒热熔挤出有组织废气环境影响分析</w:t>
      </w:r>
    </w:p>
    <w:p w14:paraId="485D56FE">
      <w:pPr>
        <w:pStyle w:val="11"/>
        <w:spacing w:line="360" w:lineRule="auto"/>
        <w:ind w:firstLine="480"/>
        <w:rPr>
          <w:color w:val="000000" w:themeColor="text1"/>
          <w:sz w:val="24"/>
        </w:rPr>
      </w:pPr>
      <w:r>
        <w:rPr>
          <w:color w:val="000000" w:themeColor="text1"/>
          <w:sz w:val="24"/>
        </w:rPr>
        <w:t>本项目造粒热熔挤出产生的废气主要为颗粒物、非甲烷总烃。</w:t>
      </w:r>
    </w:p>
    <w:p w14:paraId="2F73ADF8">
      <w:pPr>
        <w:spacing w:line="360" w:lineRule="auto"/>
        <w:ind w:firstLine="480" w:firstLineChars="200"/>
        <w:rPr>
          <w:color w:val="000000" w:themeColor="text1"/>
          <w:sz w:val="24"/>
        </w:rPr>
      </w:pPr>
      <w:r>
        <w:rPr>
          <w:color w:val="000000" w:themeColor="text1"/>
          <w:sz w:val="24"/>
        </w:rPr>
        <w:t>本次评价采用HJ/T2.2-2018推介的AERSCREEN模式分别对颗粒物、非甲烷总烃下风向的轴线浓度进行计算，并计算相应浓度</w:t>
      </w:r>
      <w:r>
        <w:rPr>
          <w:rFonts w:hint="eastAsia"/>
          <w:color w:val="000000" w:themeColor="text1"/>
          <w:sz w:val="24"/>
          <w:lang w:eastAsia="zh-CN"/>
        </w:rPr>
        <w:t>的</w:t>
      </w:r>
      <w:r>
        <w:rPr>
          <w:color w:val="000000" w:themeColor="text1"/>
          <w:sz w:val="24"/>
        </w:rPr>
        <w:t>占标率，结果见表6.1-4。</w:t>
      </w:r>
    </w:p>
    <w:p w14:paraId="651FFE5C">
      <w:pPr>
        <w:jc w:val="center"/>
        <w:rPr>
          <w:b/>
          <w:color w:val="000000" w:themeColor="text1"/>
          <w:sz w:val="24"/>
        </w:rPr>
      </w:pPr>
      <w:r>
        <w:rPr>
          <w:b/>
          <w:color w:val="000000" w:themeColor="text1"/>
          <w:sz w:val="24"/>
        </w:rPr>
        <w:t>表6.1-4  造粒热熔挤出有组织废气采用估算模式计算结果表</w:t>
      </w:r>
    </w:p>
    <w:tbl>
      <w:tblPr>
        <w:tblStyle w:val="42"/>
        <w:tblW w:w="8527" w:type="dxa"/>
        <w:tblInd w:w="0" w:type="dxa"/>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706"/>
        <w:gridCol w:w="1898"/>
        <w:gridCol w:w="1513"/>
        <w:gridCol w:w="1897"/>
        <w:gridCol w:w="1513"/>
      </w:tblGrid>
      <w:tr w14:paraId="397BD7A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Merge w:val="restart"/>
            <w:vAlign w:val="center"/>
          </w:tcPr>
          <w:p w14:paraId="633F9E10">
            <w:pPr>
              <w:jc w:val="center"/>
              <w:rPr>
                <w:color w:val="000000" w:themeColor="text1"/>
                <w:szCs w:val="21"/>
              </w:rPr>
            </w:pPr>
            <w:r>
              <w:rPr>
                <w:color w:val="000000" w:themeColor="text1"/>
                <w:szCs w:val="21"/>
              </w:rPr>
              <w:t>下风向距离</w:t>
            </w:r>
          </w:p>
          <w:p w14:paraId="3AD4DA9E">
            <w:pPr>
              <w:jc w:val="center"/>
              <w:rPr>
                <w:color w:val="000000" w:themeColor="text1"/>
                <w:szCs w:val="21"/>
              </w:rPr>
            </w:pPr>
            <w:r>
              <w:rPr>
                <w:color w:val="000000" w:themeColor="text1"/>
                <w:szCs w:val="21"/>
              </w:rPr>
              <w:t>m</w:t>
            </w:r>
          </w:p>
        </w:tc>
        <w:tc>
          <w:tcPr>
            <w:tcW w:w="6821" w:type="dxa"/>
            <w:gridSpan w:val="4"/>
            <w:vAlign w:val="center"/>
          </w:tcPr>
          <w:p w14:paraId="64F41411">
            <w:pPr>
              <w:jc w:val="center"/>
              <w:rPr>
                <w:color w:val="000000" w:themeColor="text1"/>
                <w:szCs w:val="21"/>
              </w:rPr>
            </w:pPr>
            <w:r>
              <w:rPr>
                <w:b/>
                <w:color w:val="000000" w:themeColor="text1"/>
                <w:sz w:val="24"/>
              </w:rPr>
              <w:t>造粒热熔挤出有组织废气</w:t>
            </w:r>
          </w:p>
        </w:tc>
      </w:tr>
      <w:tr w14:paraId="1AA1CD73">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Merge w:val="continue"/>
            <w:vAlign w:val="center"/>
          </w:tcPr>
          <w:p w14:paraId="7EC90CE0">
            <w:pPr>
              <w:jc w:val="center"/>
              <w:rPr>
                <w:color w:val="000000" w:themeColor="text1"/>
                <w:szCs w:val="21"/>
              </w:rPr>
            </w:pPr>
          </w:p>
        </w:tc>
        <w:tc>
          <w:tcPr>
            <w:tcW w:w="1898" w:type="dxa"/>
            <w:vAlign w:val="center"/>
          </w:tcPr>
          <w:p w14:paraId="233B70E9">
            <w:pPr>
              <w:jc w:val="center"/>
              <w:rPr>
                <w:color w:val="000000" w:themeColor="text1"/>
                <w:szCs w:val="21"/>
              </w:rPr>
            </w:pPr>
            <w:r>
              <w:rPr>
                <w:color w:val="000000" w:themeColor="text1"/>
                <w:szCs w:val="21"/>
              </w:rPr>
              <w:t>TSP浓度(μg/m³)</w:t>
            </w:r>
          </w:p>
        </w:tc>
        <w:tc>
          <w:tcPr>
            <w:tcW w:w="1513" w:type="dxa"/>
            <w:vAlign w:val="center"/>
          </w:tcPr>
          <w:p w14:paraId="559A7EA1">
            <w:pPr>
              <w:jc w:val="center"/>
              <w:rPr>
                <w:color w:val="000000" w:themeColor="text1"/>
                <w:szCs w:val="21"/>
              </w:rPr>
            </w:pPr>
            <w:r>
              <w:rPr>
                <w:color w:val="000000" w:themeColor="text1"/>
                <w:szCs w:val="21"/>
              </w:rPr>
              <w:t>TSP占标率(%)</w:t>
            </w:r>
          </w:p>
        </w:tc>
        <w:tc>
          <w:tcPr>
            <w:tcW w:w="1897" w:type="dxa"/>
            <w:vAlign w:val="center"/>
          </w:tcPr>
          <w:p w14:paraId="3B257AB9">
            <w:pPr>
              <w:jc w:val="center"/>
              <w:rPr>
                <w:color w:val="000000" w:themeColor="text1"/>
                <w:szCs w:val="21"/>
              </w:rPr>
            </w:pPr>
            <w:r>
              <w:rPr>
                <w:color w:val="000000" w:themeColor="text1"/>
                <w:szCs w:val="21"/>
              </w:rPr>
              <w:t>非甲烷总烃浓度(μg/m³)</w:t>
            </w:r>
          </w:p>
        </w:tc>
        <w:tc>
          <w:tcPr>
            <w:tcW w:w="1513" w:type="dxa"/>
            <w:vAlign w:val="center"/>
          </w:tcPr>
          <w:p w14:paraId="0810BFB7">
            <w:pPr>
              <w:jc w:val="center"/>
              <w:rPr>
                <w:color w:val="000000" w:themeColor="text1"/>
                <w:szCs w:val="21"/>
              </w:rPr>
            </w:pPr>
            <w:r>
              <w:rPr>
                <w:color w:val="000000" w:themeColor="text1"/>
                <w:szCs w:val="21"/>
              </w:rPr>
              <w:t>非甲烷总烃占标率(%)</w:t>
            </w:r>
          </w:p>
        </w:tc>
      </w:tr>
      <w:tr w14:paraId="1A7D3144">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29C6D78A">
            <w:pPr>
              <w:jc w:val="center"/>
              <w:rPr>
                <w:color w:val="000000" w:themeColor="text1"/>
                <w:szCs w:val="21"/>
              </w:rPr>
            </w:pPr>
            <w:r>
              <w:rPr>
                <w:color w:val="000000" w:themeColor="text1"/>
                <w:szCs w:val="21"/>
              </w:rPr>
              <w:t>50.0</w:t>
            </w:r>
          </w:p>
        </w:tc>
        <w:tc>
          <w:tcPr>
            <w:tcW w:w="1898" w:type="dxa"/>
            <w:vAlign w:val="center"/>
          </w:tcPr>
          <w:p w14:paraId="6ACB01A6">
            <w:pPr>
              <w:jc w:val="center"/>
              <w:rPr>
                <w:color w:val="000000" w:themeColor="text1"/>
                <w:szCs w:val="21"/>
              </w:rPr>
            </w:pPr>
            <w:r>
              <w:rPr>
                <w:color w:val="000000" w:themeColor="text1"/>
                <w:szCs w:val="21"/>
              </w:rPr>
              <w:t>0.1421</w:t>
            </w:r>
          </w:p>
        </w:tc>
        <w:tc>
          <w:tcPr>
            <w:tcW w:w="1513" w:type="dxa"/>
            <w:vAlign w:val="center"/>
          </w:tcPr>
          <w:p w14:paraId="4D05CC3F">
            <w:pPr>
              <w:jc w:val="center"/>
              <w:rPr>
                <w:color w:val="000000" w:themeColor="text1"/>
                <w:szCs w:val="21"/>
              </w:rPr>
            </w:pPr>
            <w:r>
              <w:rPr>
                <w:color w:val="000000" w:themeColor="text1"/>
                <w:szCs w:val="21"/>
              </w:rPr>
              <w:t>0.0158</w:t>
            </w:r>
          </w:p>
        </w:tc>
        <w:tc>
          <w:tcPr>
            <w:tcW w:w="1897" w:type="dxa"/>
            <w:vAlign w:val="center"/>
          </w:tcPr>
          <w:p w14:paraId="36B7CEC6">
            <w:pPr>
              <w:jc w:val="center"/>
              <w:rPr>
                <w:color w:val="000000" w:themeColor="text1"/>
                <w:szCs w:val="21"/>
              </w:rPr>
            </w:pPr>
            <w:r>
              <w:rPr>
                <w:color w:val="000000" w:themeColor="text1"/>
                <w:szCs w:val="21"/>
              </w:rPr>
              <w:t>0.9542</w:t>
            </w:r>
          </w:p>
        </w:tc>
        <w:tc>
          <w:tcPr>
            <w:tcW w:w="1513" w:type="dxa"/>
            <w:vAlign w:val="center"/>
          </w:tcPr>
          <w:p w14:paraId="55B621A1">
            <w:pPr>
              <w:jc w:val="center"/>
              <w:rPr>
                <w:color w:val="000000" w:themeColor="text1"/>
                <w:szCs w:val="21"/>
              </w:rPr>
            </w:pPr>
            <w:r>
              <w:rPr>
                <w:color w:val="000000" w:themeColor="text1"/>
                <w:szCs w:val="21"/>
              </w:rPr>
              <w:t>0.0477</w:t>
            </w:r>
          </w:p>
        </w:tc>
      </w:tr>
      <w:tr w14:paraId="16D590E7">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53272CE9">
            <w:pPr>
              <w:jc w:val="center"/>
              <w:rPr>
                <w:color w:val="000000" w:themeColor="text1"/>
                <w:szCs w:val="21"/>
              </w:rPr>
            </w:pPr>
            <w:r>
              <w:rPr>
                <w:color w:val="000000" w:themeColor="text1"/>
                <w:szCs w:val="21"/>
              </w:rPr>
              <w:t>100.0</w:t>
            </w:r>
          </w:p>
        </w:tc>
        <w:tc>
          <w:tcPr>
            <w:tcW w:w="1898" w:type="dxa"/>
            <w:vAlign w:val="center"/>
          </w:tcPr>
          <w:p w14:paraId="03F2C9B5">
            <w:pPr>
              <w:jc w:val="center"/>
              <w:rPr>
                <w:color w:val="000000" w:themeColor="text1"/>
                <w:szCs w:val="21"/>
              </w:rPr>
            </w:pPr>
            <w:r>
              <w:rPr>
                <w:color w:val="000000" w:themeColor="text1"/>
                <w:szCs w:val="21"/>
              </w:rPr>
              <w:t>0.2852</w:t>
            </w:r>
          </w:p>
        </w:tc>
        <w:tc>
          <w:tcPr>
            <w:tcW w:w="1513" w:type="dxa"/>
            <w:vAlign w:val="center"/>
          </w:tcPr>
          <w:p w14:paraId="7B791D42">
            <w:pPr>
              <w:jc w:val="center"/>
              <w:rPr>
                <w:color w:val="000000" w:themeColor="text1"/>
                <w:szCs w:val="21"/>
              </w:rPr>
            </w:pPr>
            <w:r>
              <w:rPr>
                <w:color w:val="000000" w:themeColor="text1"/>
                <w:szCs w:val="21"/>
              </w:rPr>
              <w:t>0.0317</w:t>
            </w:r>
          </w:p>
        </w:tc>
        <w:tc>
          <w:tcPr>
            <w:tcW w:w="1897" w:type="dxa"/>
            <w:vAlign w:val="center"/>
          </w:tcPr>
          <w:p w14:paraId="30EC0D4B">
            <w:pPr>
              <w:jc w:val="center"/>
              <w:rPr>
                <w:color w:val="000000" w:themeColor="text1"/>
                <w:szCs w:val="21"/>
              </w:rPr>
            </w:pPr>
            <w:r>
              <w:rPr>
                <w:color w:val="000000" w:themeColor="text1"/>
                <w:szCs w:val="21"/>
              </w:rPr>
              <w:t>1.9152</w:t>
            </w:r>
          </w:p>
        </w:tc>
        <w:tc>
          <w:tcPr>
            <w:tcW w:w="1513" w:type="dxa"/>
            <w:vAlign w:val="center"/>
          </w:tcPr>
          <w:p w14:paraId="42C2935B">
            <w:pPr>
              <w:jc w:val="center"/>
              <w:rPr>
                <w:color w:val="000000" w:themeColor="text1"/>
                <w:szCs w:val="21"/>
              </w:rPr>
            </w:pPr>
            <w:r>
              <w:rPr>
                <w:color w:val="000000" w:themeColor="text1"/>
                <w:szCs w:val="21"/>
              </w:rPr>
              <w:t>0.0958</w:t>
            </w:r>
          </w:p>
        </w:tc>
      </w:tr>
      <w:tr w14:paraId="0D36CAC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152A7134">
            <w:pPr>
              <w:jc w:val="center"/>
              <w:rPr>
                <w:color w:val="000000" w:themeColor="text1"/>
                <w:szCs w:val="21"/>
              </w:rPr>
            </w:pPr>
            <w:r>
              <w:rPr>
                <w:color w:val="000000" w:themeColor="text1"/>
                <w:szCs w:val="21"/>
              </w:rPr>
              <w:t>200.0</w:t>
            </w:r>
          </w:p>
        </w:tc>
        <w:tc>
          <w:tcPr>
            <w:tcW w:w="1898" w:type="dxa"/>
            <w:vAlign w:val="center"/>
          </w:tcPr>
          <w:p w14:paraId="554DBFAD">
            <w:pPr>
              <w:jc w:val="center"/>
              <w:rPr>
                <w:color w:val="000000" w:themeColor="text1"/>
                <w:szCs w:val="21"/>
              </w:rPr>
            </w:pPr>
            <w:r>
              <w:rPr>
                <w:color w:val="000000" w:themeColor="text1"/>
                <w:szCs w:val="21"/>
              </w:rPr>
              <w:t>4.1300</w:t>
            </w:r>
          </w:p>
        </w:tc>
        <w:tc>
          <w:tcPr>
            <w:tcW w:w="1513" w:type="dxa"/>
            <w:vAlign w:val="center"/>
          </w:tcPr>
          <w:p w14:paraId="09410696">
            <w:pPr>
              <w:jc w:val="center"/>
              <w:rPr>
                <w:color w:val="000000" w:themeColor="text1"/>
                <w:szCs w:val="21"/>
              </w:rPr>
            </w:pPr>
            <w:r>
              <w:rPr>
                <w:color w:val="000000" w:themeColor="text1"/>
                <w:szCs w:val="21"/>
              </w:rPr>
              <w:t>0.4589</w:t>
            </w:r>
          </w:p>
        </w:tc>
        <w:tc>
          <w:tcPr>
            <w:tcW w:w="1897" w:type="dxa"/>
            <w:vAlign w:val="center"/>
          </w:tcPr>
          <w:p w14:paraId="0A5154D6">
            <w:pPr>
              <w:jc w:val="center"/>
              <w:rPr>
                <w:color w:val="000000" w:themeColor="text1"/>
                <w:szCs w:val="21"/>
              </w:rPr>
            </w:pPr>
            <w:r>
              <w:rPr>
                <w:color w:val="000000" w:themeColor="text1"/>
                <w:szCs w:val="21"/>
              </w:rPr>
              <w:t>27.7300</w:t>
            </w:r>
          </w:p>
        </w:tc>
        <w:tc>
          <w:tcPr>
            <w:tcW w:w="1513" w:type="dxa"/>
            <w:vAlign w:val="center"/>
          </w:tcPr>
          <w:p w14:paraId="1DEC248A">
            <w:pPr>
              <w:jc w:val="center"/>
              <w:rPr>
                <w:color w:val="000000" w:themeColor="text1"/>
                <w:szCs w:val="21"/>
              </w:rPr>
            </w:pPr>
            <w:r>
              <w:rPr>
                <w:color w:val="000000" w:themeColor="text1"/>
                <w:szCs w:val="21"/>
              </w:rPr>
              <w:t>1.3865</w:t>
            </w:r>
          </w:p>
        </w:tc>
      </w:tr>
      <w:tr w14:paraId="54ABAF3E">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57F3B51C">
            <w:pPr>
              <w:jc w:val="center"/>
              <w:rPr>
                <w:color w:val="000000" w:themeColor="text1"/>
                <w:szCs w:val="21"/>
              </w:rPr>
            </w:pPr>
            <w:r>
              <w:rPr>
                <w:color w:val="000000" w:themeColor="text1"/>
                <w:szCs w:val="21"/>
              </w:rPr>
              <w:t>300.0</w:t>
            </w:r>
          </w:p>
        </w:tc>
        <w:tc>
          <w:tcPr>
            <w:tcW w:w="1898" w:type="dxa"/>
            <w:vAlign w:val="center"/>
          </w:tcPr>
          <w:p w14:paraId="6C67711B">
            <w:pPr>
              <w:jc w:val="center"/>
              <w:rPr>
                <w:color w:val="000000" w:themeColor="text1"/>
                <w:szCs w:val="21"/>
              </w:rPr>
            </w:pPr>
            <w:r>
              <w:rPr>
                <w:color w:val="000000" w:themeColor="text1"/>
                <w:szCs w:val="21"/>
              </w:rPr>
              <w:t>3.6210</w:t>
            </w:r>
          </w:p>
        </w:tc>
        <w:tc>
          <w:tcPr>
            <w:tcW w:w="1513" w:type="dxa"/>
            <w:vAlign w:val="center"/>
          </w:tcPr>
          <w:p w14:paraId="01B32009">
            <w:pPr>
              <w:jc w:val="center"/>
              <w:rPr>
                <w:color w:val="000000" w:themeColor="text1"/>
                <w:szCs w:val="21"/>
              </w:rPr>
            </w:pPr>
            <w:r>
              <w:rPr>
                <w:color w:val="000000" w:themeColor="text1"/>
                <w:szCs w:val="21"/>
              </w:rPr>
              <w:t>0.4023</w:t>
            </w:r>
          </w:p>
        </w:tc>
        <w:tc>
          <w:tcPr>
            <w:tcW w:w="1897" w:type="dxa"/>
            <w:vAlign w:val="center"/>
          </w:tcPr>
          <w:p w14:paraId="0175B42A">
            <w:pPr>
              <w:jc w:val="center"/>
              <w:rPr>
                <w:color w:val="000000" w:themeColor="text1"/>
                <w:szCs w:val="21"/>
              </w:rPr>
            </w:pPr>
            <w:r>
              <w:rPr>
                <w:color w:val="000000" w:themeColor="text1"/>
                <w:szCs w:val="21"/>
              </w:rPr>
              <w:t>24.3124</w:t>
            </w:r>
          </w:p>
        </w:tc>
        <w:tc>
          <w:tcPr>
            <w:tcW w:w="1513" w:type="dxa"/>
            <w:vAlign w:val="center"/>
          </w:tcPr>
          <w:p w14:paraId="525E3DC4">
            <w:pPr>
              <w:jc w:val="center"/>
              <w:rPr>
                <w:color w:val="000000" w:themeColor="text1"/>
                <w:szCs w:val="21"/>
              </w:rPr>
            </w:pPr>
            <w:r>
              <w:rPr>
                <w:color w:val="000000" w:themeColor="text1"/>
                <w:szCs w:val="21"/>
              </w:rPr>
              <w:t>1.2156</w:t>
            </w:r>
          </w:p>
        </w:tc>
      </w:tr>
      <w:tr w14:paraId="5AAB04D7">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70B47AC1">
            <w:pPr>
              <w:jc w:val="center"/>
              <w:rPr>
                <w:color w:val="000000" w:themeColor="text1"/>
                <w:szCs w:val="21"/>
              </w:rPr>
            </w:pPr>
            <w:r>
              <w:rPr>
                <w:color w:val="000000" w:themeColor="text1"/>
                <w:szCs w:val="21"/>
              </w:rPr>
              <w:t>400.0</w:t>
            </w:r>
          </w:p>
        </w:tc>
        <w:tc>
          <w:tcPr>
            <w:tcW w:w="1898" w:type="dxa"/>
            <w:vAlign w:val="center"/>
          </w:tcPr>
          <w:p w14:paraId="25FE9461">
            <w:pPr>
              <w:jc w:val="center"/>
              <w:rPr>
                <w:color w:val="000000" w:themeColor="text1"/>
                <w:szCs w:val="21"/>
              </w:rPr>
            </w:pPr>
            <w:r>
              <w:rPr>
                <w:color w:val="000000" w:themeColor="text1"/>
                <w:szCs w:val="21"/>
              </w:rPr>
              <w:t>2.8141</w:t>
            </w:r>
          </w:p>
        </w:tc>
        <w:tc>
          <w:tcPr>
            <w:tcW w:w="1513" w:type="dxa"/>
            <w:vAlign w:val="center"/>
          </w:tcPr>
          <w:p w14:paraId="10ABA66F">
            <w:pPr>
              <w:jc w:val="center"/>
              <w:rPr>
                <w:color w:val="000000" w:themeColor="text1"/>
                <w:szCs w:val="21"/>
              </w:rPr>
            </w:pPr>
            <w:r>
              <w:rPr>
                <w:color w:val="000000" w:themeColor="text1"/>
                <w:szCs w:val="21"/>
              </w:rPr>
              <w:t>0.3127</w:t>
            </w:r>
          </w:p>
        </w:tc>
        <w:tc>
          <w:tcPr>
            <w:tcW w:w="1897" w:type="dxa"/>
            <w:vAlign w:val="center"/>
          </w:tcPr>
          <w:p w14:paraId="4910D006">
            <w:pPr>
              <w:jc w:val="center"/>
              <w:rPr>
                <w:color w:val="000000" w:themeColor="text1"/>
                <w:szCs w:val="21"/>
              </w:rPr>
            </w:pPr>
            <w:r>
              <w:rPr>
                <w:color w:val="000000" w:themeColor="text1"/>
                <w:szCs w:val="21"/>
              </w:rPr>
              <w:t>18.8947</w:t>
            </w:r>
          </w:p>
        </w:tc>
        <w:tc>
          <w:tcPr>
            <w:tcW w:w="1513" w:type="dxa"/>
            <w:vAlign w:val="center"/>
          </w:tcPr>
          <w:p w14:paraId="03B29D26">
            <w:pPr>
              <w:jc w:val="center"/>
              <w:rPr>
                <w:color w:val="000000" w:themeColor="text1"/>
                <w:szCs w:val="21"/>
              </w:rPr>
            </w:pPr>
            <w:r>
              <w:rPr>
                <w:color w:val="000000" w:themeColor="text1"/>
                <w:szCs w:val="21"/>
              </w:rPr>
              <w:t>0.9447</w:t>
            </w:r>
          </w:p>
        </w:tc>
      </w:tr>
      <w:tr w14:paraId="4F0A998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40F7C3A2">
            <w:pPr>
              <w:jc w:val="center"/>
              <w:rPr>
                <w:color w:val="000000" w:themeColor="text1"/>
                <w:szCs w:val="21"/>
              </w:rPr>
            </w:pPr>
            <w:r>
              <w:rPr>
                <w:color w:val="000000" w:themeColor="text1"/>
                <w:szCs w:val="21"/>
              </w:rPr>
              <w:t>500.0</w:t>
            </w:r>
          </w:p>
        </w:tc>
        <w:tc>
          <w:tcPr>
            <w:tcW w:w="1898" w:type="dxa"/>
            <w:vAlign w:val="center"/>
          </w:tcPr>
          <w:p w14:paraId="3A7D8FB4">
            <w:pPr>
              <w:jc w:val="center"/>
              <w:rPr>
                <w:color w:val="000000" w:themeColor="text1"/>
                <w:szCs w:val="21"/>
              </w:rPr>
            </w:pPr>
            <w:r>
              <w:rPr>
                <w:color w:val="000000" w:themeColor="text1"/>
                <w:szCs w:val="21"/>
              </w:rPr>
              <w:t>1.6600</w:t>
            </w:r>
          </w:p>
        </w:tc>
        <w:tc>
          <w:tcPr>
            <w:tcW w:w="1513" w:type="dxa"/>
            <w:vAlign w:val="center"/>
          </w:tcPr>
          <w:p w14:paraId="26DF8B4B">
            <w:pPr>
              <w:jc w:val="center"/>
              <w:rPr>
                <w:color w:val="000000" w:themeColor="text1"/>
                <w:szCs w:val="21"/>
              </w:rPr>
            </w:pPr>
            <w:r>
              <w:rPr>
                <w:color w:val="000000" w:themeColor="text1"/>
                <w:szCs w:val="21"/>
              </w:rPr>
              <w:t>0.1844</w:t>
            </w:r>
          </w:p>
        </w:tc>
        <w:tc>
          <w:tcPr>
            <w:tcW w:w="1897" w:type="dxa"/>
            <w:vAlign w:val="center"/>
          </w:tcPr>
          <w:p w14:paraId="7A6F9905">
            <w:pPr>
              <w:jc w:val="center"/>
              <w:rPr>
                <w:color w:val="000000" w:themeColor="text1"/>
                <w:szCs w:val="21"/>
              </w:rPr>
            </w:pPr>
            <w:r>
              <w:rPr>
                <w:color w:val="000000" w:themeColor="text1"/>
                <w:szCs w:val="21"/>
              </w:rPr>
              <w:t>11.1457</w:t>
            </w:r>
          </w:p>
        </w:tc>
        <w:tc>
          <w:tcPr>
            <w:tcW w:w="1513" w:type="dxa"/>
            <w:vAlign w:val="center"/>
          </w:tcPr>
          <w:p w14:paraId="0F37EE5C">
            <w:pPr>
              <w:jc w:val="center"/>
              <w:rPr>
                <w:color w:val="000000" w:themeColor="text1"/>
                <w:szCs w:val="21"/>
              </w:rPr>
            </w:pPr>
            <w:r>
              <w:rPr>
                <w:color w:val="000000" w:themeColor="text1"/>
                <w:szCs w:val="21"/>
              </w:rPr>
              <w:t>0.5573</w:t>
            </w:r>
          </w:p>
        </w:tc>
      </w:tr>
      <w:tr w14:paraId="3DCE2D7A">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3213EFAA">
            <w:pPr>
              <w:jc w:val="center"/>
              <w:rPr>
                <w:color w:val="000000" w:themeColor="text1"/>
                <w:szCs w:val="21"/>
              </w:rPr>
            </w:pPr>
            <w:r>
              <w:rPr>
                <w:color w:val="000000" w:themeColor="text1"/>
                <w:szCs w:val="21"/>
              </w:rPr>
              <w:t>600.0</w:t>
            </w:r>
          </w:p>
        </w:tc>
        <w:tc>
          <w:tcPr>
            <w:tcW w:w="1898" w:type="dxa"/>
            <w:vAlign w:val="center"/>
          </w:tcPr>
          <w:p w14:paraId="2656E4D6">
            <w:pPr>
              <w:jc w:val="center"/>
              <w:rPr>
                <w:color w:val="000000" w:themeColor="text1"/>
                <w:szCs w:val="21"/>
              </w:rPr>
            </w:pPr>
            <w:r>
              <w:rPr>
                <w:color w:val="000000" w:themeColor="text1"/>
                <w:szCs w:val="21"/>
              </w:rPr>
              <w:t>1.6871</w:t>
            </w:r>
          </w:p>
        </w:tc>
        <w:tc>
          <w:tcPr>
            <w:tcW w:w="1513" w:type="dxa"/>
            <w:vAlign w:val="center"/>
          </w:tcPr>
          <w:p w14:paraId="17319843">
            <w:pPr>
              <w:jc w:val="center"/>
              <w:rPr>
                <w:color w:val="000000" w:themeColor="text1"/>
                <w:szCs w:val="21"/>
              </w:rPr>
            </w:pPr>
            <w:r>
              <w:rPr>
                <w:color w:val="000000" w:themeColor="text1"/>
                <w:szCs w:val="21"/>
              </w:rPr>
              <w:t>0.1875</w:t>
            </w:r>
          </w:p>
        </w:tc>
        <w:tc>
          <w:tcPr>
            <w:tcW w:w="1897" w:type="dxa"/>
            <w:vAlign w:val="center"/>
          </w:tcPr>
          <w:p w14:paraId="5D135DCF">
            <w:pPr>
              <w:jc w:val="center"/>
              <w:rPr>
                <w:color w:val="000000" w:themeColor="text1"/>
                <w:szCs w:val="21"/>
              </w:rPr>
            </w:pPr>
            <w:r>
              <w:rPr>
                <w:color w:val="000000" w:themeColor="text1"/>
                <w:szCs w:val="21"/>
              </w:rPr>
              <w:t>11.3277</w:t>
            </w:r>
          </w:p>
        </w:tc>
        <w:tc>
          <w:tcPr>
            <w:tcW w:w="1513" w:type="dxa"/>
            <w:vAlign w:val="center"/>
          </w:tcPr>
          <w:p w14:paraId="7AAB1183">
            <w:pPr>
              <w:jc w:val="center"/>
              <w:rPr>
                <w:color w:val="000000" w:themeColor="text1"/>
                <w:szCs w:val="21"/>
              </w:rPr>
            </w:pPr>
            <w:r>
              <w:rPr>
                <w:color w:val="000000" w:themeColor="text1"/>
                <w:szCs w:val="21"/>
              </w:rPr>
              <w:t>0.5664</w:t>
            </w:r>
          </w:p>
        </w:tc>
      </w:tr>
      <w:tr w14:paraId="30A967A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12F80AAB">
            <w:pPr>
              <w:jc w:val="center"/>
              <w:rPr>
                <w:color w:val="000000" w:themeColor="text1"/>
                <w:szCs w:val="21"/>
              </w:rPr>
            </w:pPr>
            <w:r>
              <w:rPr>
                <w:color w:val="000000" w:themeColor="text1"/>
                <w:szCs w:val="21"/>
              </w:rPr>
              <w:t>700.0</w:t>
            </w:r>
          </w:p>
        </w:tc>
        <w:tc>
          <w:tcPr>
            <w:tcW w:w="1898" w:type="dxa"/>
            <w:vAlign w:val="center"/>
          </w:tcPr>
          <w:p w14:paraId="7779C72E">
            <w:pPr>
              <w:jc w:val="center"/>
              <w:rPr>
                <w:color w:val="000000" w:themeColor="text1"/>
                <w:szCs w:val="21"/>
              </w:rPr>
            </w:pPr>
            <w:r>
              <w:rPr>
                <w:color w:val="000000" w:themeColor="text1"/>
                <w:szCs w:val="21"/>
              </w:rPr>
              <w:t>0.8110</w:t>
            </w:r>
          </w:p>
        </w:tc>
        <w:tc>
          <w:tcPr>
            <w:tcW w:w="1513" w:type="dxa"/>
            <w:vAlign w:val="center"/>
          </w:tcPr>
          <w:p w14:paraId="20F249C2">
            <w:pPr>
              <w:jc w:val="center"/>
              <w:rPr>
                <w:color w:val="000000" w:themeColor="text1"/>
                <w:szCs w:val="21"/>
              </w:rPr>
            </w:pPr>
            <w:r>
              <w:rPr>
                <w:color w:val="000000" w:themeColor="text1"/>
                <w:szCs w:val="21"/>
              </w:rPr>
              <w:t>0.0901</w:t>
            </w:r>
          </w:p>
        </w:tc>
        <w:tc>
          <w:tcPr>
            <w:tcW w:w="1897" w:type="dxa"/>
            <w:vAlign w:val="center"/>
          </w:tcPr>
          <w:p w14:paraId="49DB6BEB">
            <w:pPr>
              <w:jc w:val="center"/>
              <w:rPr>
                <w:color w:val="000000" w:themeColor="text1"/>
                <w:szCs w:val="21"/>
              </w:rPr>
            </w:pPr>
            <w:r>
              <w:rPr>
                <w:color w:val="000000" w:themeColor="text1"/>
                <w:szCs w:val="21"/>
              </w:rPr>
              <w:t>5.4453</w:t>
            </w:r>
          </w:p>
        </w:tc>
        <w:tc>
          <w:tcPr>
            <w:tcW w:w="1513" w:type="dxa"/>
            <w:vAlign w:val="center"/>
          </w:tcPr>
          <w:p w14:paraId="7D6796F2">
            <w:pPr>
              <w:jc w:val="center"/>
              <w:rPr>
                <w:color w:val="000000" w:themeColor="text1"/>
                <w:szCs w:val="21"/>
              </w:rPr>
            </w:pPr>
            <w:r>
              <w:rPr>
                <w:color w:val="000000" w:themeColor="text1"/>
                <w:szCs w:val="21"/>
              </w:rPr>
              <w:t>0.2723</w:t>
            </w:r>
          </w:p>
        </w:tc>
      </w:tr>
      <w:tr w14:paraId="02755F4A">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0C9C148F">
            <w:pPr>
              <w:jc w:val="center"/>
              <w:rPr>
                <w:color w:val="000000" w:themeColor="text1"/>
                <w:szCs w:val="21"/>
              </w:rPr>
            </w:pPr>
            <w:r>
              <w:rPr>
                <w:color w:val="000000" w:themeColor="text1"/>
                <w:szCs w:val="21"/>
              </w:rPr>
              <w:t>800.0</w:t>
            </w:r>
          </w:p>
        </w:tc>
        <w:tc>
          <w:tcPr>
            <w:tcW w:w="1898" w:type="dxa"/>
            <w:vAlign w:val="center"/>
          </w:tcPr>
          <w:p w14:paraId="4486C960">
            <w:pPr>
              <w:jc w:val="center"/>
              <w:rPr>
                <w:color w:val="000000" w:themeColor="text1"/>
                <w:szCs w:val="21"/>
              </w:rPr>
            </w:pPr>
            <w:r>
              <w:rPr>
                <w:color w:val="000000" w:themeColor="text1"/>
                <w:szCs w:val="21"/>
              </w:rPr>
              <w:t>0.4442</w:t>
            </w:r>
          </w:p>
        </w:tc>
        <w:tc>
          <w:tcPr>
            <w:tcW w:w="1513" w:type="dxa"/>
            <w:vAlign w:val="center"/>
          </w:tcPr>
          <w:p w14:paraId="4E9B0B13">
            <w:pPr>
              <w:jc w:val="center"/>
              <w:rPr>
                <w:color w:val="000000" w:themeColor="text1"/>
                <w:szCs w:val="21"/>
              </w:rPr>
            </w:pPr>
            <w:r>
              <w:rPr>
                <w:color w:val="000000" w:themeColor="text1"/>
                <w:szCs w:val="21"/>
              </w:rPr>
              <w:t>0.0494</w:t>
            </w:r>
          </w:p>
        </w:tc>
        <w:tc>
          <w:tcPr>
            <w:tcW w:w="1897" w:type="dxa"/>
            <w:vAlign w:val="center"/>
          </w:tcPr>
          <w:p w14:paraId="559B3133">
            <w:pPr>
              <w:jc w:val="center"/>
              <w:rPr>
                <w:color w:val="000000" w:themeColor="text1"/>
                <w:szCs w:val="21"/>
              </w:rPr>
            </w:pPr>
            <w:r>
              <w:rPr>
                <w:color w:val="000000" w:themeColor="text1"/>
                <w:szCs w:val="21"/>
              </w:rPr>
              <w:t>2.9824</w:t>
            </w:r>
          </w:p>
        </w:tc>
        <w:tc>
          <w:tcPr>
            <w:tcW w:w="1513" w:type="dxa"/>
            <w:vAlign w:val="center"/>
          </w:tcPr>
          <w:p w14:paraId="16FBD546">
            <w:pPr>
              <w:jc w:val="center"/>
              <w:rPr>
                <w:color w:val="000000" w:themeColor="text1"/>
                <w:szCs w:val="21"/>
              </w:rPr>
            </w:pPr>
            <w:r>
              <w:rPr>
                <w:color w:val="000000" w:themeColor="text1"/>
                <w:szCs w:val="21"/>
              </w:rPr>
              <w:t>0.1491</w:t>
            </w:r>
          </w:p>
        </w:tc>
      </w:tr>
      <w:tr w14:paraId="34BE857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35E718E8">
            <w:pPr>
              <w:jc w:val="center"/>
              <w:rPr>
                <w:color w:val="000000" w:themeColor="text1"/>
                <w:szCs w:val="21"/>
              </w:rPr>
            </w:pPr>
            <w:r>
              <w:rPr>
                <w:color w:val="000000" w:themeColor="text1"/>
                <w:szCs w:val="21"/>
              </w:rPr>
              <w:t>900.0</w:t>
            </w:r>
          </w:p>
        </w:tc>
        <w:tc>
          <w:tcPr>
            <w:tcW w:w="1898" w:type="dxa"/>
            <w:vAlign w:val="center"/>
          </w:tcPr>
          <w:p w14:paraId="3E09A4FE">
            <w:pPr>
              <w:jc w:val="center"/>
              <w:rPr>
                <w:color w:val="000000" w:themeColor="text1"/>
                <w:szCs w:val="21"/>
              </w:rPr>
            </w:pPr>
            <w:r>
              <w:rPr>
                <w:color w:val="000000" w:themeColor="text1"/>
                <w:szCs w:val="21"/>
              </w:rPr>
              <w:t>1.0965</w:t>
            </w:r>
          </w:p>
        </w:tc>
        <w:tc>
          <w:tcPr>
            <w:tcW w:w="1513" w:type="dxa"/>
            <w:vAlign w:val="center"/>
          </w:tcPr>
          <w:p w14:paraId="283B5692">
            <w:pPr>
              <w:jc w:val="center"/>
              <w:rPr>
                <w:color w:val="000000" w:themeColor="text1"/>
                <w:szCs w:val="21"/>
              </w:rPr>
            </w:pPr>
            <w:r>
              <w:rPr>
                <w:color w:val="000000" w:themeColor="text1"/>
                <w:szCs w:val="21"/>
              </w:rPr>
              <w:t>0.1218</w:t>
            </w:r>
          </w:p>
        </w:tc>
        <w:tc>
          <w:tcPr>
            <w:tcW w:w="1897" w:type="dxa"/>
            <w:vAlign w:val="center"/>
          </w:tcPr>
          <w:p w14:paraId="713F31D7">
            <w:pPr>
              <w:jc w:val="center"/>
              <w:rPr>
                <w:color w:val="000000" w:themeColor="text1"/>
                <w:szCs w:val="21"/>
              </w:rPr>
            </w:pPr>
            <w:r>
              <w:rPr>
                <w:color w:val="000000" w:themeColor="text1"/>
                <w:szCs w:val="21"/>
              </w:rPr>
              <w:t>7.3622</w:t>
            </w:r>
          </w:p>
        </w:tc>
        <w:tc>
          <w:tcPr>
            <w:tcW w:w="1513" w:type="dxa"/>
            <w:vAlign w:val="center"/>
          </w:tcPr>
          <w:p w14:paraId="7E17618C">
            <w:pPr>
              <w:jc w:val="center"/>
              <w:rPr>
                <w:color w:val="000000" w:themeColor="text1"/>
                <w:szCs w:val="21"/>
              </w:rPr>
            </w:pPr>
            <w:r>
              <w:rPr>
                <w:color w:val="000000" w:themeColor="text1"/>
                <w:szCs w:val="21"/>
              </w:rPr>
              <w:t>0.3681</w:t>
            </w:r>
          </w:p>
        </w:tc>
      </w:tr>
      <w:tr w14:paraId="74042B03">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4436E550">
            <w:pPr>
              <w:jc w:val="center"/>
              <w:rPr>
                <w:color w:val="000000" w:themeColor="text1"/>
                <w:szCs w:val="21"/>
              </w:rPr>
            </w:pPr>
            <w:r>
              <w:rPr>
                <w:color w:val="000000" w:themeColor="text1"/>
                <w:szCs w:val="21"/>
              </w:rPr>
              <w:t>1000.0</w:t>
            </w:r>
          </w:p>
        </w:tc>
        <w:tc>
          <w:tcPr>
            <w:tcW w:w="1898" w:type="dxa"/>
            <w:vAlign w:val="center"/>
          </w:tcPr>
          <w:p w14:paraId="2A95A455">
            <w:pPr>
              <w:jc w:val="center"/>
              <w:rPr>
                <w:color w:val="000000" w:themeColor="text1"/>
                <w:szCs w:val="21"/>
              </w:rPr>
            </w:pPr>
            <w:r>
              <w:rPr>
                <w:color w:val="000000" w:themeColor="text1"/>
                <w:szCs w:val="21"/>
              </w:rPr>
              <w:t>1.1115</w:t>
            </w:r>
          </w:p>
        </w:tc>
        <w:tc>
          <w:tcPr>
            <w:tcW w:w="1513" w:type="dxa"/>
            <w:vAlign w:val="center"/>
          </w:tcPr>
          <w:p w14:paraId="526D6188">
            <w:pPr>
              <w:jc w:val="center"/>
              <w:rPr>
                <w:color w:val="000000" w:themeColor="text1"/>
                <w:szCs w:val="21"/>
              </w:rPr>
            </w:pPr>
            <w:r>
              <w:rPr>
                <w:color w:val="000000" w:themeColor="text1"/>
                <w:szCs w:val="21"/>
              </w:rPr>
              <w:t>0.1235</w:t>
            </w:r>
          </w:p>
        </w:tc>
        <w:tc>
          <w:tcPr>
            <w:tcW w:w="1897" w:type="dxa"/>
            <w:vAlign w:val="center"/>
          </w:tcPr>
          <w:p w14:paraId="2E2A5EC8">
            <w:pPr>
              <w:jc w:val="center"/>
              <w:rPr>
                <w:color w:val="000000" w:themeColor="text1"/>
                <w:szCs w:val="21"/>
              </w:rPr>
            </w:pPr>
            <w:r>
              <w:rPr>
                <w:color w:val="000000" w:themeColor="text1"/>
                <w:szCs w:val="21"/>
              </w:rPr>
              <w:t>7.4629</w:t>
            </w:r>
          </w:p>
        </w:tc>
        <w:tc>
          <w:tcPr>
            <w:tcW w:w="1513" w:type="dxa"/>
            <w:vAlign w:val="center"/>
          </w:tcPr>
          <w:p w14:paraId="5366AA02">
            <w:pPr>
              <w:jc w:val="center"/>
              <w:rPr>
                <w:color w:val="000000" w:themeColor="text1"/>
                <w:szCs w:val="21"/>
              </w:rPr>
            </w:pPr>
            <w:r>
              <w:rPr>
                <w:color w:val="000000" w:themeColor="text1"/>
                <w:szCs w:val="21"/>
              </w:rPr>
              <w:t>0.3731</w:t>
            </w:r>
          </w:p>
        </w:tc>
      </w:tr>
      <w:tr w14:paraId="6B74615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5E9FDBC7">
            <w:pPr>
              <w:jc w:val="center"/>
              <w:rPr>
                <w:color w:val="000000" w:themeColor="text1"/>
                <w:szCs w:val="21"/>
              </w:rPr>
            </w:pPr>
            <w:r>
              <w:rPr>
                <w:color w:val="000000" w:themeColor="text1"/>
                <w:szCs w:val="21"/>
              </w:rPr>
              <w:t>1200.0</w:t>
            </w:r>
          </w:p>
        </w:tc>
        <w:tc>
          <w:tcPr>
            <w:tcW w:w="1898" w:type="dxa"/>
            <w:vAlign w:val="center"/>
          </w:tcPr>
          <w:p w14:paraId="3AC6625E">
            <w:pPr>
              <w:jc w:val="center"/>
              <w:rPr>
                <w:color w:val="000000" w:themeColor="text1"/>
                <w:szCs w:val="21"/>
              </w:rPr>
            </w:pPr>
            <w:r>
              <w:rPr>
                <w:color w:val="000000" w:themeColor="text1"/>
                <w:szCs w:val="21"/>
              </w:rPr>
              <w:t>0.5839</w:t>
            </w:r>
          </w:p>
        </w:tc>
        <w:tc>
          <w:tcPr>
            <w:tcW w:w="1513" w:type="dxa"/>
            <w:vAlign w:val="center"/>
          </w:tcPr>
          <w:p w14:paraId="04A9E720">
            <w:pPr>
              <w:jc w:val="center"/>
              <w:rPr>
                <w:color w:val="000000" w:themeColor="text1"/>
                <w:szCs w:val="21"/>
              </w:rPr>
            </w:pPr>
            <w:r>
              <w:rPr>
                <w:color w:val="000000" w:themeColor="text1"/>
                <w:szCs w:val="21"/>
              </w:rPr>
              <w:t>0.0649</w:t>
            </w:r>
          </w:p>
        </w:tc>
        <w:tc>
          <w:tcPr>
            <w:tcW w:w="1897" w:type="dxa"/>
            <w:vAlign w:val="center"/>
          </w:tcPr>
          <w:p w14:paraId="7CF470DB">
            <w:pPr>
              <w:jc w:val="center"/>
              <w:rPr>
                <w:color w:val="000000" w:themeColor="text1"/>
                <w:szCs w:val="21"/>
              </w:rPr>
            </w:pPr>
            <w:r>
              <w:rPr>
                <w:color w:val="000000" w:themeColor="text1"/>
                <w:szCs w:val="21"/>
              </w:rPr>
              <w:t>3.9207</w:t>
            </w:r>
          </w:p>
        </w:tc>
        <w:tc>
          <w:tcPr>
            <w:tcW w:w="1513" w:type="dxa"/>
            <w:vAlign w:val="center"/>
          </w:tcPr>
          <w:p w14:paraId="1B73D58B">
            <w:pPr>
              <w:jc w:val="center"/>
              <w:rPr>
                <w:color w:val="000000" w:themeColor="text1"/>
                <w:szCs w:val="21"/>
              </w:rPr>
            </w:pPr>
            <w:r>
              <w:rPr>
                <w:color w:val="000000" w:themeColor="text1"/>
                <w:szCs w:val="21"/>
              </w:rPr>
              <w:t>0.1960</w:t>
            </w:r>
          </w:p>
        </w:tc>
      </w:tr>
      <w:tr w14:paraId="6F18F55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044C6D8B">
            <w:pPr>
              <w:jc w:val="center"/>
              <w:rPr>
                <w:color w:val="000000" w:themeColor="text1"/>
                <w:szCs w:val="21"/>
              </w:rPr>
            </w:pPr>
            <w:r>
              <w:rPr>
                <w:color w:val="000000" w:themeColor="text1"/>
                <w:szCs w:val="21"/>
              </w:rPr>
              <w:t>1400.0</w:t>
            </w:r>
          </w:p>
        </w:tc>
        <w:tc>
          <w:tcPr>
            <w:tcW w:w="1898" w:type="dxa"/>
            <w:vAlign w:val="center"/>
          </w:tcPr>
          <w:p w14:paraId="1D155F83">
            <w:pPr>
              <w:jc w:val="center"/>
              <w:rPr>
                <w:color w:val="000000" w:themeColor="text1"/>
                <w:szCs w:val="21"/>
              </w:rPr>
            </w:pPr>
            <w:r>
              <w:rPr>
                <w:color w:val="000000" w:themeColor="text1"/>
                <w:szCs w:val="21"/>
              </w:rPr>
              <w:t>0.7656</w:t>
            </w:r>
          </w:p>
        </w:tc>
        <w:tc>
          <w:tcPr>
            <w:tcW w:w="1513" w:type="dxa"/>
            <w:vAlign w:val="center"/>
          </w:tcPr>
          <w:p w14:paraId="7DC6FF40">
            <w:pPr>
              <w:jc w:val="center"/>
              <w:rPr>
                <w:color w:val="000000" w:themeColor="text1"/>
                <w:szCs w:val="21"/>
              </w:rPr>
            </w:pPr>
            <w:r>
              <w:rPr>
                <w:color w:val="000000" w:themeColor="text1"/>
                <w:szCs w:val="21"/>
              </w:rPr>
              <w:t>0.0851</w:t>
            </w:r>
          </w:p>
        </w:tc>
        <w:tc>
          <w:tcPr>
            <w:tcW w:w="1897" w:type="dxa"/>
            <w:vAlign w:val="center"/>
          </w:tcPr>
          <w:p w14:paraId="79A449F8">
            <w:pPr>
              <w:jc w:val="center"/>
              <w:rPr>
                <w:color w:val="000000" w:themeColor="text1"/>
                <w:szCs w:val="21"/>
              </w:rPr>
            </w:pPr>
            <w:r>
              <w:rPr>
                <w:color w:val="000000" w:themeColor="text1"/>
                <w:szCs w:val="21"/>
              </w:rPr>
              <w:t>5.1403</w:t>
            </w:r>
          </w:p>
        </w:tc>
        <w:tc>
          <w:tcPr>
            <w:tcW w:w="1513" w:type="dxa"/>
            <w:vAlign w:val="center"/>
          </w:tcPr>
          <w:p w14:paraId="38DF57AC">
            <w:pPr>
              <w:jc w:val="center"/>
              <w:rPr>
                <w:color w:val="000000" w:themeColor="text1"/>
                <w:szCs w:val="21"/>
              </w:rPr>
            </w:pPr>
            <w:r>
              <w:rPr>
                <w:color w:val="000000" w:themeColor="text1"/>
                <w:szCs w:val="21"/>
              </w:rPr>
              <w:t>0.2570</w:t>
            </w:r>
          </w:p>
        </w:tc>
      </w:tr>
      <w:tr w14:paraId="1DE4C3DA">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7D1A4CD3">
            <w:pPr>
              <w:jc w:val="center"/>
              <w:rPr>
                <w:color w:val="000000" w:themeColor="text1"/>
                <w:szCs w:val="21"/>
              </w:rPr>
            </w:pPr>
            <w:r>
              <w:rPr>
                <w:color w:val="000000" w:themeColor="text1"/>
                <w:szCs w:val="21"/>
              </w:rPr>
              <w:t>1600.0</w:t>
            </w:r>
          </w:p>
        </w:tc>
        <w:tc>
          <w:tcPr>
            <w:tcW w:w="1898" w:type="dxa"/>
            <w:vAlign w:val="center"/>
          </w:tcPr>
          <w:p w14:paraId="768F4EDE">
            <w:pPr>
              <w:jc w:val="center"/>
              <w:rPr>
                <w:color w:val="000000" w:themeColor="text1"/>
                <w:szCs w:val="21"/>
              </w:rPr>
            </w:pPr>
            <w:r>
              <w:rPr>
                <w:color w:val="000000" w:themeColor="text1"/>
                <w:szCs w:val="21"/>
              </w:rPr>
              <w:t>0.6946</w:t>
            </w:r>
          </w:p>
        </w:tc>
        <w:tc>
          <w:tcPr>
            <w:tcW w:w="1513" w:type="dxa"/>
            <w:vAlign w:val="center"/>
          </w:tcPr>
          <w:p w14:paraId="5CB60B48">
            <w:pPr>
              <w:jc w:val="center"/>
              <w:rPr>
                <w:color w:val="000000" w:themeColor="text1"/>
                <w:szCs w:val="21"/>
              </w:rPr>
            </w:pPr>
            <w:r>
              <w:rPr>
                <w:color w:val="000000" w:themeColor="text1"/>
                <w:szCs w:val="21"/>
              </w:rPr>
              <w:t>0.0772</w:t>
            </w:r>
          </w:p>
        </w:tc>
        <w:tc>
          <w:tcPr>
            <w:tcW w:w="1897" w:type="dxa"/>
            <w:vAlign w:val="center"/>
          </w:tcPr>
          <w:p w14:paraId="719AEA35">
            <w:pPr>
              <w:jc w:val="center"/>
              <w:rPr>
                <w:color w:val="000000" w:themeColor="text1"/>
                <w:szCs w:val="21"/>
              </w:rPr>
            </w:pPr>
            <w:r>
              <w:rPr>
                <w:color w:val="000000" w:themeColor="text1"/>
                <w:szCs w:val="21"/>
              </w:rPr>
              <w:t>4.6640</w:t>
            </w:r>
          </w:p>
        </w:tc>
        <w:tc>
          <w:tcPr>
            <w:tcW w:w="1513" w:type="dxa"/>
            <w:vAlign w:val="center"/>
          </w:tcPr>
          <w:p w14:paraId="311E7263">
            <w:pPr>
              <w:jc w:val="center"/>
              <w:rPr>
                <w:color w:val="000000" w:themeColor="text1"/>
                <w:szCs w:val="21"/>
              </w:rPr>
            </w:pPr>
            <w:r>
              <w:rPr>
                <w:color w:val="000000" w:themeColor="text1"/>
                <w:szCs w:val="21"/>
              </w:rPr>
              <w:t>0.2332</w:t>
            </w:r>
          </w:p>
        </w:tc>
      </w:tr>
      <w:tr w14:paraId="2C6C4DEA">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3CC80664">
            <w:pPr>
              <w:jc w:val="center"/>
              <w:rPr>
                <w:color w:val="000000" w:themeColor="text1"/>
                <w:szCs w:val="21"/>
              </w:rPr>
            </w:pPr>
            <w:r>
              <w:rPr>
                <w:color w:val="000000" w:themeColor="text1"/>
                <w:szCs w:val="21"/>
              </w:rPr>
              <w:t>1800.0</w:t>
            </w:r>
          </w:p>
        </w:tc>
        <w:tc>
          <w:tcPr>
            <w:tcW w:w="1898" w:type="dxa"/>
            <w:vAlign w:val="center"/>
          </w:tcPr>
          <w:p w14:paraId="00E25569">
            <w:pPr>
              <w:jc w:val="center"/>
              <w:rPr>
                <w:color w:val="000000" w:themeColor="text1"/>
                <w:szCs w:val="21"/>
              </w:rPr>
            </w:pPr>
            <w:r>
              <w:rPr>
                <w:color w:val="000000" w:themeColor="text1"/>
                <w:szCs w:val="21"/>
              </w:rPr>
              <w:t>0.5398</w:t>
            </w:r>
          </w:p>
        </w:tc>
        <w:tc>
          <w:tcPr>
            <w:tcW w:w="1513" w:type="dxa"/>
            <w:vAlign w:val="center"/>
          </w:tcPr>
          <w:p w14:paraId="095368FF">
            <w:pPr>
              <w:jc w:val="center"/>
              <w:rPr>
                <w:color w:val="000000" w:themeColor="text1"/>
                <w:szCs w:val="21"/>
              </w:rPr>
            </w:pPr>
            <w:r>
              <w:rPr>
                <w:color w:val="000000" w:themeColor="text1"/>
                <w:szCs w:val="21"/>
              </w:rPr>
              <w:t>0.0600</w:t>
            </w:r>
          </w:p>
        </w:tc>
        <w:tc>
          <w:tcPr>
            <w:tcW w:w="1897" w:type="dxa"/>
            <w:vAlign w:val="center"/>
          </w:tcPr>
          <w:p w14:paraId="5378CF5F">
            <w:pPr>
              <w:jc w:val="center"/>
              <w:rPr>
                <w:color w:val="000000" w:themeColor="text1"/>
                <w:szCs w:val="21"/>
              </w:rPr>
            </w:pPr>
            <w:r>
              <w:rPr>
                <w:color w:val="000000" w:themeColor="text1"/>
                <w:szCs w:val="21"/>
              </w:rPr>
              <w:t>3.6242</w:t>
            </w:r>
          </w:p>
        </w:tc>
        <w:tc>
          <w:tcPr>
            <w:tcW w:w="1513" w:type="dxa"/>
            <w:vAlign w:val="center"/>
          </w:tcPr>
          <w:p w14:paraId="157353B6">
            <w:pPr>
              <w:jc w:val="center"/>
              <w:rPr>
                <w:color w:val="000000" w:themeColor="text1"/>
                <w:szCs w:val="21"/>
              </w:rPr>
            </w:pPr>
            <w:r>
              <w:rPr>
                <w:color w:val="000000" w:themeColor="text1"/>
                <w:szCs w:val="21"/>
              </w:rPr>
              <w:t>0.1812</w:t>
            </w:r>
          </w:p>
        </w:tc>
      </w:tr>
      <w:tr w14:paraId="66FEAE9C">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59AABC1E">
            <w:pPr>
              <w:jc w:val="center"/>
              <w:rPr>
                <w:color w:val="000000" w:themeColor="text1"/>
                <w:szCs w:val="21"/>
              </w:rPr>
            </w:pPr>
            <w:r>
              <w:rPr>
                <w:color w:val="000000" w:themeColor="text1"/>
                <w:szCs w:val="21"/>
              </w:rPr>
              <w:t>2000.0</w:t>
            </w:r>
          </w:p>
        </w:tc>
        <w:tc>
          <w:tcPr>
            <w:tcW w:w="1898" w:type="dxa"/>
            <w:vAlign w:val="center"/>
          </w:tcPr>
          <w:p w14:paraId="3B5ABCCF">
            <w:pPr>
              <w:jc w:val="center"/>
              <w:rPr>
                <w:color w:val="000000" w:themeColor="text1"/>
                <w:szCs w:val="21"/>
              </w:rPr>
            </w:pPr>
            <w:r>
              <w:rPr>
                <w:color w:val="000000" w:themeColor="text1"/>
                <w:szCs w:val="21"/>
              </w:rPr>
              <w:t>0.5720</w:t>
            </w:r>
          </w:p>
        </w:tc>
        <w:tc>
          <w:tcPr>
            <w:tcW w:w="1513" w:type="dxa"/>
            <w:vAlign w:val="center"/>
          </w:tcPr>
          <w:p w14:paraId="75C05556">
            <w:pPr>
              <w:jc w:val="center"/>
              <w:rPr>
                <w:color w:val="000000" w:themeColor="text1"/>
                <w:szCs w:val="21"/>
              </w:rPr>
            </w:pPr>
            <w:r>
              <w:rPr>
                <w:color w:val="000000" w:themeColor="text1"/>
                <w:szCs w:val="21"/>
              </w:rPr>
              <w:t>0.0636</w:t>
            </w:r>
          </w:p>
        </w:tc>
        <w:tc>
          <w:tcPr>
            <w:tcW w:w="1897" w:type="dxa"/>
            <w:vAlign w:val="center"/>
          </w:tcPr>
          <w:p w14:paraId="73F470A8">
            <w:pPr>
              <w:jc w:val="center"/>
              <w:rPr>
                <w:color w:val="000000" w:themeColor="text1"/>
                <w:szCs w:val="21"/>
              </w:rPr>
            </w:pPr>
            <w:r>
              <w:rPr>
                <w:color w:val="000000" w:themeColor="text1"/>
                <w:szCs w:val="21"/>
              </w:rPr>
              <w:t>3.8406</w:t>
            </w:r>
          </w:p>
        </w:tc>
        <w:tc>
          <w:tcPr>
            <w:tcW w:w="1513" w:type="dxa"/>
            <w:vAlign w:val="center"/>
          </w:tcPr>
          <w:p w14:paraId="7A3BEBBC">
            <w:pPr>
              <w:jc w:val="center"/>
              <w:rPr>
                <w:color w:val="000000" w:themeColor="text1"/>
                <w:szCs w:val="21"/>
              </w:rPr>
            </w:pPr>
            <w:r>
              <w:rPr>
                <w:color w:val="000000" w:themeColor="text1"/>
                <w:szCs w:val="21"/>
              </w:rPr>
              <w:t>0.1920</w:t>
            </w:r>
          </w:p>
        </w:tc>
      </w:tr>
      <w:tr w14:paraId="3D4B2FFE">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7A344C21">
            <w:pPr>
              <w:jc w:val="center"/>
              <w:rPr>
                <w:color w:val="000000" w:themeColor="text1"/>
                <w:szCs w:val="21"/>
              </w:rPr>
            </w:pPr>
            <w:r>
              <w:rPr>
                <w:color w:val="000000" w:themeColor="text1"/>
                <w:szCs w:val="21"/>
              </w:rPr>
              <w:t>2500.0</w:t>
            </w:r>
          </w:p>
        </w:tc>
        <w:tc>
          <w:tcPr>
            <w:tcW w:w="1898" w:type="dxa"/>
            <w:vAlign w:val="center"/>
          </w:tcPr>
          <w:p w14:paraId="62BCB89F">
            <w:pPr>
              <w:jc w:val="center"/>
              <w:rPr>
                <w:color w:val="000000" w:themeColor="text1"/>
                <w:szCs w:val="21"/>
              </w:rPr>
            </w:pPr>
            <w:r>
              <w:rPr>
                <w:color w:val="000000" w:themeColor="text1"/>
                <w:szCs w:val="21"/>
              </w:rPr>
              <w:t>0.2592</w:t>
            </w:r>
          </w:p>
        </w:tc>
        <w:tc>
          <w:tcPr>
            <w:tcW w:w="1513" w:type="dxa"/>
            <w:vAlign w:val="center"/>
          </w:tcPr>
          <w:p w14:paraId="4C28BF51">
            <w:pPr>
              <w:jc w:val="center"/>
              <w:rPr>
                <w:color w:val="000000" w:themeColor="text1"/>
                <w:szCs w:val="21"/>
              </w:rPr>
            </w:pPr>
            <w:r>
              <w:rPr>
                <w:color w:val="000000" w:themeColor="text1"/>
                <w:szCs w:val="21"/>
              </w:rPr>
              <w:t>0.0288</w:t>
            </w:r>
          </w:p>
        </w:tc>
        <w:tc>
          <w:tcPr>
            <w:tcW w:w="1897" w:type="dxa"/>
            <w:vAlign w:val="center"/>
          </w:tcPr>
          <w:p w14:paraId="4A069AB4">
            <w:pPr>
              <w:jc w:val="center"/>
              <w:rPr>
                <w:color w:val="000000" w:themeColor="text1"/>
                <w:szCs w:val="21"/>
              </w:rPr>
            </w:pPr>
            <w:r>
              <w:rPr>
                <w:color w:val="000000" w:themeColor="text1"/>
                <w:szCs w:val="21"/>
              </w:rPr>
              <w:t>1.7401</w:t>
            </w:r>
          </w:p>
        </w:tc>
        <w:tc>
          <w:tcPr>
            <w:tcW w:w="1513" w:type="dxa"/>
            <w:vAlign w:val="center"/>
          </w:tcPr>
          <w:p w14:paraId="0B13F546">
            <w:pPr>
              <w:jc w:val="center"/>
              <w:rPr>
                <w:color w:val="000000" w:themeColor="text1"/>
                <w:szCs w:val="21"/>
              </w:rPr>
            </w:pPr>
            <w:r>
              <w:rPr>
                <w:color w:val="000000" w:themeColor="text1"/>
                <w:szCs w:val="21"/>
              </w:rPr>
              <w:t>0.0870</w:t>
            </w:r>
          </w:p>
        </w:tc>
      </w:tr>
      <w:tr w14:paraId="6FECE27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3B8882EA">
            <w:pPr>
              <w:jc w:val="center"/>
              <w:rPr>
                <w:color w:val="000000" w:themeColor="text1"/>
                <w:szCs w:val="21"/>
              </w:rPr>
            </w:pPr>
            <w:r>
              <w:rPr>
                <w:color w:val="000000" w:themeColor="text1"/>
                <w:szCs w:val="21"/>
              </w:rPr>
              <w:t>下风向最大浓度</w:t>
            </w:r>
          </w:p>
        </w:tc>
        <w:tc>
          <w:tcPr>
            <w:tcW w:w="1898" w:type="dxa"/>
            <w:vAlign w:val="center"/>
          </w:tcPr>
          <w:p w14:paraId="4D48121A">
            <w:pPr>
              <w:jc w:val="center"/>
              <w:rPr>
                <w:color w:val="000000" w:themeColor="text1"/>
                <w:szCs w:val="21"/>
              </w:rPr>
            </w:pPr>
            <w:r>
              <w:rPr>
                <w:color w:val="000000" w:themeColor="text1"/>
                <w:szCs w:val="21"/>
              </w:rPr>
              <w:t>6.6551</w:t>
            </w:r>
          </w:p>
        </w:tc>
        <w:tc>
          <w:tcPr>
            <w:tcW w:w="1513" w:type="dxa"/>
            <w:vAlign w:val="center"/>
          </w:tcPr>
          <w:p w14:paraId="4E7F58A4">
            <w:pPr>
              <w:jc w:val="center"/>
              <w:rPr>
                <w:color w:val="000000" w:themeColor="text1"/>
                <w:szCs w:val="21"/>
              </w:rPr>
            </w:pPr>
            <w:r>
              <w:rPr>
                <w:color w:val="000000" w:themeColor="text1"/>
                <w:szCs w:val="21"/>
              </w:rPr>
              <w:t>0.7395</w:t>
            </w:r>
          </w:p>
        </w:tc>
        <w:tc>
          <w:tcPr>
            <w:tcW w:w="1897" w:type="dxa"/>
            <w:vAlign w:val="center"/>
          </w:tcPr>
          <w:p w14:paraId="287DBD99">
            <w:pPr>
              <w:jc w:val="center"/>
              <w:rPr>
                <w:color w:val="000000" w:themeColor="text1"/>
                <w:szCs w:val="21"/>
              </w:rPr>
            </w:pPr>
            <w:r>
              <w:rPr>
                <w:color w:val="000000" w:themeColor="text1"/>
                <w:szCs w:val="21"/>
              </w:rPr>
              <w:t>44.6842</w:t>
            </w:r>
          </w:p>
        </w:tc>
        <w:tc>
          <w:tcPr>
            <w:tcW w:w="1513" w:type="dxa"/>
            <w:vAlign w:val="center"/>
          </w:tcPr>
          <w:p w14:paraId="6553882F">
            <w:pPr>
              <w:jc w:val="center"/>
              <w:rPr>
                <w:color w:val="000000" w:themeColor="text1"/>
                <w:szCs w:val="21"/>
              </w:rPr>
            </w:pPr>
            <w:r>
              <w:rPr>
                <w:color w:val="000000" w:themeColor="text1"/>
                <w:szCs w:val="21"/>
              </w:rPr>
              <w:t>2.2342</w:t>
            </w:r>
          </w:p>
        </w:tc>
      </w:tr>
      <w:tr w14:paraId="062D96C9">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43DFD38D">
            <w:pPr>
              <w:jc w:val="center"/>
              <w:rPr>
                <w:color w:val="000000" w:themeColor="text1"/>
                <w:szCs w:val="21"/>
              </w:rPr>
            </w:pPr>
            <w:r>
              <w:rPr>
                <w:color w:val="000000" w:themeColor="text1"/>
                <w:szCs w:val="21"/>
              </w:rPr>
              <w:t>下风向最大浓度出现距离m</w:t>
            </w:r>
          </w:p>
        </w:tc>
        <w:tc>
          <w:tcPr>
            <w:tcW w:w="1898" w:type="dxa"/>
            <w:vAlign w:val="center"/>
          </w:tcPr>
          <w:p w14:paraId="26A8AE43">
            <w:pPr>
              <w:jc w:val="center"/>
              <w:rPr>
                <w:color w:val="000000" w:themeColor="text1"/>
                <w:szCs w:val="21"/>
              </w:rPr>
            </w:pPr>
            <w:r>
              <w:rPr>
                <w:color w:val="000000" w:themeColor="text1"/>
                <w:szCs w:val="21"/>
              </w:rPr>
              <w:t>152.0</w:t>
            </w:r>
          </w:p>
        </w:tc>
        <w:tc>
          <w:tcPr>
            <w:tcW w:w="1513" w:type="dxa"/>
            <w:vAlign w:val="center"/>
          </w:tcPr>
          <w:p w14:paraId="2A225E56">
            <w:pPr>
              <w:jc w:val="center"/>
              <w:rPr>
                <w:color w:val="000000" w:themeColor="text1"/>
                <w:szCs w:val="21"/>
              </w:rPr>
            </w:pPr>
            <w:r>
              <w:rPr>
                <w:color w:val="000000" w:themeColor="text1"/>
                <w:szCs w:val="21"/>
              </w:rPr>
              <w:t>152.0</w:t>
            </w:r>
          </w:p>
        </w:tc>
        <w:tc>
          <w:tcPr>
            <w:tcW w:w="1897" w:type="dxa"/>
            <w:vAlign w:val="center"/>
          </w:tcPr>
          <w:p w14:paraId="7F065BCE">
            <w:pPr>
              <w:jc w:val="center"/>
              <w:rPr>
                <w:color w:val="000000" w:themeColor="text1"/>
                <w:szCs w:val="21"/>
              </w:rPr>
            </w:pPr>
            <w:r>
              <w:rPr>
                <w:color w:val="000000" w:themeColor="text1"/>
                <w:szCs w:val="21"/>
              </w:rPr>
              <w:t>152.0</w:t>
            </w:r>
          </w:p>
        </w:tc>
        <w:tc>
          <w:tcPr>
            <w:tcW w:w="1513" w:type="dxa"/>
            <w:vAlign w:val="center"/>
          </w:tcPr>
          <w:p w14:paraId="6C9E01C3">
            <w:pPr>
              <w:jc w:val="center"/>
              <w:rPr>
                <w:color w:val="000000" w:themeColor="text1"/>
                <w:szCs w:val="21"/>
              </w:rPr>
            </w:pPr>
            <w:r>
              <w:rPr>
                <w:color w:val="000000" w:themeColor="text1"/>
                <w:szCs w:val="21"/>
              </w:rPr>
              <w:t>152.0</w:t>
            </w:r>
          </w:p>
        </w:tc>
      </w:tr>
      <w:tr w14:paraId="303DD891">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2753660D">
            <w:pPr>
              <w:jc w:val="center"/>
              <w:rPr>
                <w:color w:val="000000" w:themeColor="text1"/>
                <w:szCs w:val="21"/>
              </w:rPr>
            </w:pPr>
            <w:r>
              <w:rPr>
                <w:color w:val="000000" w:themeColor="text1"/>
                <w:szCs w:val="21"/>
              </w:rPr>
              <w:t>D10%最远距离</w:t>
            </w:r>
          </w:p>
        </w:tc>
        <w:tc>
          <w:tcPr>
            <w:tcW w:w="1898" w:type="dxa"/>
            <w:vAlign w:val="center"/>
          </w:tcPr>
          <w:p w14:paraId="72AB33A4">
            <w:pPr>
              <w:jc w:val="center"/>
              <w:rPr>
                <w:color w:val="000000" w:themeColor="text1"/>
                <w:szCs w:val="21"/>
              </w:rPr>
            </w:pPr>
            <w:r>
              <w:rPr>
                <w:color w:val="000000" w:themeColor="text1"/>
                <w:szCs w:val="21"/>
              </w:rPr>
              <w:t>/</w:t>
            </w:r>
          </w:p>
        </w:tc>
        <w:tc>
          <w:tcPr>
            <w:tcW w:w="1513" w:type="dxa"/>
            <w:vAlign w:val="center"/>
          </w:tcPr>
          <w:p w14:paraId="3BF209D9">
            <w:pPr>
              <w:jc w:val="center"/>
              <w:rPr>
                <w:color w:val="000000" w:themeColor="text1"/>
                <w:szCs w:val="21"/>
              </w:rPr>
            </w:pPr>
            <w:r>
              <w:rPr>
                <w:color w:val="000000" w:themeColor="text1"/>
                <w:szCs w:val="21"/>
              </w:rPr>
              <w:t>/</w:t>
            </w:r>
          </w:p>
        </w:tc>
        <w:tc>
          <w:tcPr>
            <w:tcW w:w="1897" w:type="dxa"/>
            <w:vAlign w:val="center"/>
          </w:tcPr>
          <w:p w14:paraId="04A0AC08">
            <w:pPr>
              <w:jc w:val="center"/>
              <w:rPr>
                <w:color w:val="000000" w:themeColor="text1"/>
                <w:szCs w:val="21"/>
              </w:rPr>
            </w:pPr>
            <w:r>
              <w:rPr>
                <w:color w:val="000000" w:themeColor="text1"/>
                <w:szCs w:val="21"/>
              </w:rPr>
              <w:t>/</w:t>
            </w:r>
          </w:p>
        </w:tc>
        <w:tc>
          <w:tcPr>
            <w:tcW w:w="1513" w:type="dxa"/>
            <w:vAlign w:val="center"/>
          </w:tcPr>
          <w:p w14:paraId="78B1BF3C">
            <w:pPr>
              <w:jc w:val="center"/>
              <w:rPr>
                <w:color w:val="000000" w:themeColor="text1"/>
                <w:szCs w:val="21"/>
              </w:rPr>
            </w:pPr>
            <w:r>
              <w:rPr>
                <w:color w:val="000000" w:themeColor="text1"/>
                <w:szCs w:val="21"/>
              </w:rPr>
              <w:t>/</w:t>
            </w:r>
          </w:p>
        </w:tc>
      </w:tr>
    </w:tbl>
    <w:p w14:paraId="72EBA7EE">
      <w:pPr>
        <w:spacing w:line="360" w:lineRule="auto"/>
        <w:ind w:firstLine="482" w:firstLineChars="200"/>
        <w:rPr>
          <w:b/>
          <w:color w:val="000000" w:themeColor="text1"/>
          <w:sz w:val="24"/>
        </w:rPr>
      </w:pPr>
      <w:r>
        <w:rPr>
          <w:b/>
          <w:color w:val="000000" w:themeColor="text1"/>
          <w:sz w:val="24"/>
        </w:rPr>
        <w:t>（2）编织袋生产有组织废气环境影响分析</w:t>
      </w:r>
    </w:p>
    <w:p w14:paraId="01D19E1E">
      <w:pPr>
        <w:pStyle w:val="11"/>
        <w:spacing w:line="360" w:lineRule="auto"/>
        <w:ind w:firstLine="480"/>
        <w:rPr>
          <w:color w:val="000000" w:themeColor="text1"/>
          <w:sz w:val="24"/>
        </w:rPr>
      </w:pPr>
      <w:r>
        <w:rPr>
          <w:color w:val="000000" w:themeColor="text1"/>
          <w:sz w:val="24"/>
        </w:rPr>
        <w:t>本项目编织袋生产产生的废气主要为颗粒物、非甲烷总烃。</w:t>
      </w:r>
    </w:p>
    <w:p w14:paraId="06909BA4">
      <w:pPr>
        <w:spacing w:line="360" w:lineRule="auto"/>
        <w:ind w:firstLine="480" w:firstLineChars="200"/>
        <w:rPr>
          <w:color w:val="000000" w:themeColor="text1"/>
          <w:sz w:val="24"/>
        </w:rPr>
      </w:pPr>
      <w:r>
        <w:rPr>
          <w:color w:val="000000" w:themeColor="text1"/>
          <w:sz w:val="24"/>
        </w:rPr>
        <w:t>本次评价采用HJ/T2.2-2018推介的AERSCREEN模式分别对颗粒物、非甲烷总烃下风向的轴线浓度进行计算，并计算相应浓度</w:t>
      </w:r>
      <w:r>
        <w:rPr>
          <w:rFonts w:hint="eastAsia"/>
          <w:color w:val="000000" w:themeColor="text1"/>
          <w:sz w:val="24"/>
          <w:lang w:eastAsia="zh-CN"/>
        </w:rPr>
        <w:t>的</w:t>
      </w:r>
      <w:r>
        <w:rPr>
          <w:color w:val="000000" w:themeColor="text1"/>
          <w:sz w:val="24"/>
        </w:rPr>
        <w:t>占标率，结果见表6.1-5。</w:t>
      </w:r>
    </w:p>
    <w:p w14:paraId="679CABEA">
      <w:pPr>
        <w:jc w:val="center"/>
        <w:rPr>
          <w:b/>
          <w:color w:val="000000" w:themeColor="text1"/>
          <w:sz w:val="24"/>
        </w:rPr>
      </w:pPr>
      <w:r>
        <w:rPr>
          <w:b/>
          <w:color w:val="000000" w:themeColor="text1"/>
          <w:sz w:val="24"/>
        </w:rPr>
        <w:t>表6.1-5  编织袋生产有组织废气采用估算模式计算结果表</w:t>
      </w:r>
    </w:p>
    <w:tbl>
      <w:tblPr>
        <w:tblStyle w:val="42"/>
        <w:tblW w:w="8527" w:type="dxa"/>
        <w:tblInd w:w="0" w:type="dxa"/>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706"/>
        <w:gridCol w:w="1898"/>
        <w:gridCol w:w="1513"/>
        <w:gridCol w:w="1897"/>
        <w:gridCol w:w="1513"/>
      </w:tblGrid>
      <w:tr w14:paraId="748C210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Merge w:val="restart"/>
            <w:vAlign w:val="center"/>
          </w:tcPr>
          <w:p w14:paraId="3E7684C2">
            <w:pPr>
              <w:jc w:val="center"/>
              <w:rPr>
                <w:color w:val="000000" w:themeColor="text1"/>
                <w:szCs w:val="21"/>
              </w:rPr>
            </w:pPr>
            <w:r>
              <w:rPr>
                <w:color w:val="000000" w:themeColor="text1"/>
                <w:szCs w:val="21"/>
              </w:rPr>
              <w:t>下风向距离</w:t>
            </w:r>
          </w:p>
          <w:p w14:paraId="299FEC10">
            <w:pPr>
              <w:jc w:val="center"/>
              <w:rPr>
                <w:color w:val="000000" w:themeColor="text1"/>
                <w:szCs w:val="21"/>
              </w:rPr>
            </w:pPr>
            <w:r>
              <w:rPr>
                <w:color w:val="000000" w:themeColor="text1"/>
                <w:szCs w:val="21"/>
              </w:rPr>
              <w:t>m</w:t>
            </w:r>
          </w:p>
        </w:tc>
        <w:tc>
          <w:tcPr>
            <w:tcW w:w="6821" w:type="dxa"/>
            <w:gridSpan w:val="4"/>
            <w:vAlign w:val="center"/>
          </w:tcPr>
          <w:p w14:paraId="69E2E6D3">
            <w:pPr>
              <w:jc w:val="center"/>
              <w:rPr>
                <w:color w:val="000000" w:themeColor="text1"/>
                <w:szCs w:val="21"/>
              </w:rPr>
            </w:pPr>
            <w:r>
              <w:rPr>
                <w:b/>
                <w:color w:val="000000" w:themeColor="text1"/>
                <w:sz w:val="24"/>
              </w:rPr>
              <w:t>编织袋生产</w:t>
            </w:r>
          </w:p>
        </w:tc>
      </w:tr>
      <w:tr w14:paraId="18FD8ED0">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Merge w:val="continue"/>
            <w:vAlign w:val="center"/>
          </w:tcPr>
          <w:p w14:paraId="791170D0">
            <w:pPr>
              <w:jc w:val="center"/>
              <w:rPr>
                <w:color w:val="000000" w:themeColor="text1"/>
                <w:szCs w:val="21"/>
              </w:rPr>
            </w:pPr>
          </w:p>
        </w:tc>
        <w:tc>
          <w:tcPr>
            <w:tcW w:w="1898" w:type="dxa"/>
            <w:vAlign w:val="center"/>
          </w:tcPr>
          <w:p w14:paraId="741C0578">
            <w:pPr>
              <w:jc w:val="center"/>
              <w:rPr>
                <w:color w:val="000000" w:themeColor="text1"/>
                <w:szCs w:val="21"/>
              </w:rPr>
            </w:pPr>
            <w:r>
              <w:rPr>
                <w:color w:val="000000" w:themeColor="text1"/>
                <w:szCs w:val="21"/>
              </w:rPr>
              <w:t>TSP浓度(μg/m³)</w:t>
            </w:r>
          </w:p>
        </w:tc>
        <w:tc>
          <w:tcPr>
            <w:tcW w:w="1513" w:type="dxa"/>
            <w:vAlign w:val="center"/>
          </w:tcPr>
          <w:p w14:paraId="2971FA82">
            <w:pPr>
              <w:jc w:val="center"/>
              <w:rPr>
                <w:color w:val="000000" w:themeColor="text1"/>
                <w:szCs w:val="21"/>
              </w:rPr>
            </w:pPr>
            <w:r>
              <w:rPr>
                <w:color w:val="000000" w:themeColor="text1"/>
                <w:szCs w:val="21"/>
              </w:rPr>
              <w:t>TSP占标率(%)</w:t>
            </w:r>
          </w:p>
        </w:tc>
        <w:tc>
          <w:tcPr>
            <w:tcW w:w="1897" w:type="dxa"/>
            <w:vAlign w:val="center"/>
          </w:tcPr>
          <w:p w14:paraId="277CC8AE">
            <w:pPr>
              <w:jc w:val="center"/>
              <w:rPr>
                <w:color w:val="000000" w:themeColor="text1"/>
                <w:szCs w:val="21"/>
              </w:rPr>
            </w:pPr>
            <w:r>
              <w:rPr>
                <w:color w:val="000000" w:themeColor="text1"/>
                <w:szCs w:val="21"/>
              </w:rPr>
              <w:t>非甲烷总烃浓度(μg/m³)</w:t>
            </w:r>
          </w:p>
        </w:tc>
        <w:tc>
          <w:tcPr>
            <w:tcW w:w="1513" w:type="dxa"/>
            <w:vAlign w:val="center"/>
          </w:tcPr>
          <w:p w14:paraId="26959C09">
            <w:pPr>
              <w:jc w:val="center"/>
              <w:rPr>
                <w:color w:val="000000" w:themeColor="text1"/>
                <w:szCs w:val="21"/>
              </w:rPr>
            </w:pPr>
            <w:r>
              <w:rPr>
                <w:color w:val="000000" w:themeColor="text1"/>
                <w:szCs w:val="21"/>
              </w:rPr>
              <w:t>非甲烷总烃占标率(%)</w:t>
            </w:r>
          </w:p>
        </w:tc>
      </w:tr>
      <w:tr w14:paraId="0D9CA1D2">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01CBEE6E">
            <w:pPr>
              <w:jc w:val="center"/>
            </w:pPr>
            <w:r>
              <w:rPr>
                <w:sz w:val="23"/>
                <w:szCs w:val="23"/>
              </w:rPr>
              <w:t>50.0</w:t>
            </w:r>
          </w:p>
        </w:tc>
        <w:tc>
          <w:tcPr>
            <w:tcW w:w="1898" w:type="dxa"/>
            <w:vAlign w:val="center"/>
          </w:tcPr>
          <w:p w14:paraId="33975DEE">
            <w:pPr>
              <w:jc w:val="center"/>
            </w:pPr>
            <w:r>
              <w:rPr>
                <w:sz w:val="23"/>
                <w:szCs w:val="23"/>
              </w:rPr>
              <w:t>0.1724</w:t>
            </w:r>
          </w:p>
        </w:tc>
        <w:tc>
          <w:tcPr>
            <w:tcW w:w="1513" w:type="dxa"/>
            <w:vAlign w:val="center"/>
          </w:tcPr>
          <w:p w14:paraId="31411DD1">
            <w:pPr>
              <w:jc w:val="center"/>
            </w:pPr>
            <w:r>
              <w:rPr>
                <w:sz w:val="23"/>
                <w:szCs w:val="23"/>
              </w:rPr>
              <w:t>0.0192</w:t>
            </w:r>
          </w:p>
        </w:tc>
        <w:tc>
          <w:tcPr>
            <w:tcW w:w="1897" w:type="dxa"/>
            <w:vAlign w:val="center"/>
          </w:tcPr>
          <w:p w14:paraId="79D19AB2">
            <w:pPr>
              <w:jc w:val="center"/>
            </w:pPr>
            <w:r>
              <w:rPr>
                <w:sz w:val="23"/>
                <w:szCs w:val="23"/>
              </w:rPr>
              <w:t>1.2132</w:t>
            </w:r>
          </w:p>
        </w:tc>
        <w:tc>
          <w:tcPr>
            <w:tcW w:w="1513" w:type="dxa"/>
            <w:vAlign w:val="center"/>
          </w:tcPr>
          <w:p w14:paraId="0F9E0EDA">
            <w:pPr>
              <w:jc w:val="center"/>
            </w:pPr>
            <w:r>
              <w:rPr>
                <w:sz w:val="23"/>
                <w:szCs w:val="23"/>
              </w:rPr>
              <w:t>0.0607</w:t>
            </w:r>
          </w:p>
        </w:tc>
      </w:tr>
      <w:tr w14:paraId="76DFC4A1">
        <w:tblPrEx>
          <w:tblCellMar>
            <w:top w:w="0" w:type="dxa"/>
            <w:left w:w="108" w:type="dxa"/>
            <w:bottom w:w="0" w:type="dxa"/>
            <w:right w:w="108" w:type="dxa"/>
          </w:tblCellMar>
        </w:tblPrEx>
        <w:trPr>
          <w:trHeight w:val="20" w:hRule="atLeast"/>
        </w:trPr>
        <w:tc>
          <w:tcPr>
            <w:tcW w:w="1706" w:type="dxa"/>
            <w:vAlign w:val="center"/>
          </w:tcPr>
          <w:p w14:paraId="5D2D8D75">
            <w:pPr>
              <w:jc w:val="center"/>
            </w:pPr>
            <w:r>
              <w:rPr>
                <w:sz w:val="23"/>
                <w:szCs w:val="23"/>
              </w:rPr>
              <w:t>100.0</w:t>
            </w:r>
          </w:p>
        </w:tc>
        <w:tc>
          <w:tcPr>
            <w:tcW w:w="1898" w:type="dxa"/>
            <w:vAlign w:val="center"/>
          </w:tcPr>
          <w:p w14:paraId="5984539D">
            <w:pPr>
              <w:jc w:val="center"/>
            </w:pPr>
            <w:r>
              <w:rPr>
                <w:sz w:val="23"/>
                <w:szCs w:val="23"/>
              </w:rPr>
              <w:t>6.2544</w:t>
            </w:r>
          </w:p>
        </w:tc>
        <w:tc>
          <w:tcPr>
            <w:tcW w:w="1513" w:type="dxa"/>
            <w:vAlign w:val="center"/>
          </w:tcPr>
          <w:p w14:paraId="65673CF5">
            <w:pPr>
              <w:jc w:val="center"/>
            </w:pPr>
            <w:r>
              <w:rPr>
                <w:sz w:val="23"/>
                <w:szCs w:val="23"/>
              </w:rPr>
              <w:t>0.6949</w:t>
            </w:r>
          </w:p>
        </w:tc>
        <w:tc>
          <w:tcPr>
            <w:tcW w:w="1897" w:type="dxa"/>
            <w:vAlign w:val="center"/>
          </w:tcPr>
          <w:p w14:paraId="563E9556">
            <w:pPr>
              <w:jc w:val="center"/>
            </w:pPr>
            <w:r>
              <w:rPr>
                <w:sz w:val="23"/>
                <w:szCs w:val="23"/>
              </w:rPr>
              <w:t>44.0042</w:t>
            </w:r>
          </w:p>
        </w:tc>
        <w:tc>
          <w:tcPr>
            <w:tcW w:w="1513" w:type="dxa"/>
            <w:vAlign w:val="center"/>
          </w:tcPr>
          <w:p w14:paraId="1FEEB3E7">
            <w:pPr>
              <w:jc w:val="center"/>
            </w:pPr>
            <w:r>
              <w:rPr>
                <w:sz w:val="23"/>
                <w:szCs w:val="23"/>
              </w:rPr>
              <w:t>2.2002</w:t>
            </w:r>
          </w:p>
        </w:tc>
      </w:tr>
      <w:tr w14:paraId="4CC8F821">
        <w:tblPrEx>
          <w:tblCellMar>
            <w:top w:w="0" w:type="dxa"/>
            <w:left w:w="108" w:type="dxa"/>
            <w:bottom w:w="0" w:type="dxa"/>
            <w:right w:w="108" w:type="dxa"/>
          </w:tblCellMar>
        </w:tblPrEx>
        <w:trPr>
          <w:trHeight w:val="20" w:hRule="atLeast"/>
        </w:trPr>
        <w:tc>
          <w:tcPr>
            <w:tcW w:w="1706" w:type="dxa"/>
            <w:vAlign w:val="center"/>
          </w:tcPr>
          <w:p w14:paraId="7CC33935">
            <w:pPr>
              <w:jc w:val="center"/>
            </w:pPr>
            <w:r>
              <w:rPr>
                <w:sz w:val="23"/>
                <w:szCs w:val="23"/>
              </w:rPr>
              <w:t>200.0</w:t>
            </w:r>
          </w:p>
        </w:tc>
        <w:tc>
          <w:tcPr>
            <w:tcW w:w="1898" w:type="dxa"/>
            <w:vAlign w:val="center"/>
          </w:tcPr>
          <w:p w14:paraId="3FA2BF17">
            <w:pPr>
              <w:jc w:val="center"/>
            </w:pPr>
            <w:r>
              <w:rPr>
                <w:sz w:val="23"/>
                <w:szCs w:val="23"/>
              </w:rPr>
              <w:t>3.0782</w:t>
            </w:r>
          </w:p>
        </w:tc>
        <w:tc>
          <w:tcPr>
            <w:tcW w:w="1513" w:type="dxa"/>
            <w:vAlign w:val="center"/>
          </w:tcPr>
          <w:p w14:paraId="007BE621">
            <w:pPr>
              <w:jc w:val="center"/>
            </w:pPr>
            <w:r>
              <w:rPr>
                <w:sz w:val="23"/>
                <w:szCs w:val="23"/>
              </w:rPr>
              <w:t>0.3420</w:t>
            </w:r>
          </w:p>
        </w:tc>
        <w:tc>
          <w:tcPr>
            <w:tcW w:w="1897" w:type="dxa"/>
            <w:vAlign w:val="center"/>
          </w:tcPr>
          <w:p w14:paraId="768C0058">
            <w:pPr>
              <w:jc w:val="center"/>
            </w:pPr>
            <w:r>
              <w:rPr>
                <w:sz w:val="23"/>
                <w:szCs w:val="23"/>
              </w:rPr>
              <w:t>21.6573</w:t>
            </w:r>
          </w:p>
        </w:tc>
        <w:tc>
          <w:tcPr>
            <w:tcW w:w="1513" w:type="dxa"/>
            <w:vAlign w:val="center"/>
          </w:tcPr>
          <w:p w14:paraId="51FBE30B">
            <w:pPr>
              <w:jc w:val="center"/>
            </w:pPr>
            <w:r>
              <w:rPr>
                <w:sz w:val="23"/>
                <w:szCs w:val="23"/>
              </w:rPr>
              <w:t>1.0829</w:t>
            </w:r>
          </w:p>
        </w:tc>
      </w:tr>
      <w:tr w14:paraId="23B80C6A">
        <w:tblPrEx>
          <w:tblCellMar>
            <w:top w:w="0" w:type="dxa"/>
            <w:left w:w="108" w:type="dxa"/>
            <w:bottom w:w="0" w:type="dxa"/>
            <w:right w:w="108" w:type="dxa"/>
          </w:tblCellMar>
        </w:tblPrEx>
        <w:trPr>
          <w:trHeight w:val="20" w:hRule="atLeast"/>
        </w:trPr>
        <w:tc>
          <w:tcPr>
            <w:tcW w:w="1706" w:type="dxa"/>
            <w:vAlign w:val="center"/>
          </w:tcPr>
          <w:p w14:paraId="5A90ACF8">
            <w:pPr>
              <w:jc w:val="center"/>
            </w:pPr>
            <w:r>
              <w:rPr>
                <w:sz w:val="23"/>
                <w:szCs w:val="23"/>
              </w:rPr>
              <w:t>300.0</w:t>
            </w:r>
          </w:p>
        </w:tc>
        <w:tc>
          <w:tcPr>
            <w:tcW w:w="1898" w:type="dxa"/>
            <w:vAlign w:val="center"/>
          </w:tcPr>
          <w:p w14:paraId="2551D62E">
            <w:pPr>
              <w:jc w:val="center"/>
            </w:pPr>
            <w:r>
              <w:rPr>
                <w:sz w:val="23"/>
                <w:szCs w:val="23"/>
              </w:rPr>
              <w:t>2.0017</w:t>
            </w:r>
          </w:p>
        </w:tc>
        <w:tc>
          <w:tcPr>
            <w:tcW w:w="1513" w:type="dxa"/>
            <w:vAlign w:val="center"/>
          </w:tcPr>
          <w:p w14:paraId="3ECCE21D">
            <w:pPr>
              <w:jc w:val="center"/>
            </w:pPr>
            <w:r>
              <w:rPr>
                <w:sz w:val="23"/>
                <w:szCs w:val="23"/>
              </w:rPr>
              <w:t>0.2224</w:t>
            </w:r>
          </w:p>
        </w:tc>
        <w:tc>
          <w:tcPr>
            <w:tcW w:w="1897" w:type="dxa"/>
            <w:vAlign w:val="center"/>
          </w:tcPr>
          <w:p w14:paraId="0AA920C9">
            <w:pPr>
              <w:jc w:val="center"/>
            </w:pPr>
            <w:r>
              <w:rPr>
                <w:sz w:val="23"/>
                <w:szCs w:val="23"/>
              </w:rPr>
              <w:t>14.0834</w:t>
            </w:r>
          </w:p>
        </w:tc>
        <w:tc>
          <w:tcPr>
            <w:tcW w:w="1513" w:type="dxa"/>
            <w:vAlign w:val="center"/>
          </w:tcPr>
          <w:p w14:paraId="549653A4">
            <w:pPr>
              <w:jc w:val="center"/>
            </w:pPr>
            <w:r>
              <w:rPr>
                <w:sz w:val="23"/>
                <w:szCs w:val="23"/>
              </w:rPr>
              <w:t>0.7042</w:t>
            </w:r>
          </w:p>
        </w:tc>
      </w:tr>
      <w:tr w14:paraId="4463B4A7">
        <w:tblPrEx>
          <w:tblCellMar>
            <w:top w:w="0" w:type="dxa"/>
            <w:left w:w="108" w:type="dxa"/>
            <w:bottom w:w="0" w:type="dxa"/>
            <w:right w:w="108" w:type="dxa"/>
          </w:tblCellMar>
        </w:tblPrEx>
        <w:trPr>
          <w:trHeight w:val="20" w:hRule="atLeast"/>
        </w:trPr>
        <w:tc>
          <w:tcPr>
            <w:tcW w:w="1706" w:type="dxa"/>
            <w:vAlign w:val="center"/>
          </w:tcPr>
          <w:p w14:paraId="0DE48991">
            <w:pPr>
              <w:jc w:val="center"/>
            </w:pPr>
            <w:r>
              <w:rPr>
                <w:sz w:val="23"/>
                <w:szCs w:val="23"/>
              </w:rPr>
              <w:t>400.0</w:t>
            </w:r>
          </w:p>
        </w:tc>
        <w:tc>
          <w:tcPr>
            <w:tcW w:w="1898" w:type="dxa"/>
            <w:vAlign w:val="center"/>
          </w:tcPr>
          <w:p w14:paraId="1A6D3A90">
            <w:pPr>
              <w:jc w:val="center"/>
            </w:pPr>
            <w:r>
              <w:rPr>
                <w:sz w:val="23"/>
                <w:szCs w:val="23"/>
              </w:rPr>
              <w:t>1.8533</w:t>
            </w:r>
          </w:p>
        </w:tc>
        <w:tc>
          <w:tcPr>
            <w:tcW w:w="1513" w:type="dxa"/>
            <w:vAlign w:val="center"/>
          </w:tcPr>
          <w:p w14:paraId="2E98BA7F">
            <w:pPr>
              <w:jc w:val="center"/>
            </w:pPr>
            <w:r>
              <w:rPr>
                <w:sz w:val="23"/>
                <w:szCs w:val="23"/>
              </w:rPr>
              <w:t>0.2059</w:t>
            </w:r>
          </w:p>
        </w:tc>
        <w:tc>
          <w:tcPr>
            <w:tcW w:w="1897" w:type="dxa"/>
            <w:vAlign w:val="center"/>
          </w:tcPr>
          <w:p w14:paraId="2D8B005B">
            <w:pPr>
              <w:jc w:val="center"/>
            </w:pPr>
            <w:r>
              <w:rPr>
                <w:sz w:val="23"/>
                <w:szCs w:val="23"/>
              </w:rPr>
              <w:t>13.0393</w:t>
            </w:r>
          </w:p>
        </w:tc>
        <w:tc>
          <w:tcPr>
            <w:tcW w:w="1513" w:type="dxa"/>
            <w:vAlign w:val="center"/>
          </w:tcPr>
          <w:p w14:paraId="6B2EF67F">
            <w:pPr>
              <w:jc w:val="center"/>
            </w:pPr>
            <w:r>
              <w:rPr>
                <w:sz w:val="23"/>
                <w:szCs w:val="23"/>
              </w:rPr>
              <w:t>0.6520</w:t>
            </w:r>
          </w:p>
        </w:tc>
      </w:tr>
      <w:tr w14:paraId="5B43A53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53818BBB">
            <w:pPr>
              <w:jc w:val="center"/>
            </w:pPr>
            <w:r>
              <w:rPr>
                <w:sz w:val="23"/>
                <w:szCs w:val="23"/>
              </w:rPr>
              <w:t>500.0</w:t>
            </w:r>
          </w:p>
        </w:tc>
        <w:tc>
          <w:tcPr>
            <w:tcW w:w="1898" w:type="dxa"/>
            <w:vAlign w:val="center"/>
          </w:tcPr>
          <w:p w14:paraId="20E56CC9">
            <w:pPr>
              <w:jc w:val="center"/>
            </w:pPr>
            <w:r>
              <w:rPr>
                <w:sz w:val="23"/>
                <w:szCs w:val="23"/>
              </w:rPr>
              <w:t>1.3358</w:t>
            </w:r>
          </w:p>
        </w:tc>
        <w:tc>
          <w:tcPr>
            <w:tcW w:w="1513" w:type="dxa"/>
            <w:vAlign w:val="center"/>
          </w:tcPr>
          <w:p w14:paraId="437ADDBB">
            <w:pPr>
              <w:jc w:val="center"/>
            </w:pPr>
            <w:r>
              <w:rPr>
                <w:sz w:val="23"/>
                <w:szCs w:val="23"/>
              </w:rPr>
              <w:t>0.1484</w:t>
            </w:r>
          </w:p>
        </w:tc>
        <w:tc>
          <w:tcPr>
            <w:tcW w:w="1897" w:type="dxa"/>
            <w:vAlign w:val="center"/>
          </w:tcPr>
          <w:p w14:paraId="421D36B3">
            <w:pPr>
              <w:jc w:val="center"/>
            </w:pPr>
            <w:r>
              <w:rPr>
                <w:sz w:val="23"/>
                <w:szCs w:val="23"/>
              </w:rPr>
              <w:t>9.3983</w:t>
            </w:r>
          </w:p>
        </w:tc>
        <w:tc>
          <w:tcPr>
            <w:tcW w:w="1513" w:type="dxa"/>
            <w:vAlign w:val="center"/>
          </w:tcPr>
          <w:p w14:paraId="7FC2CC81">
            <w:pPr>
              <w:jc w:val="center"/>
            </w:pPr>
            <w:r>
              <w:rPr>
                <w:sz w:val="23"/>
                <w:szCs w:val="23"/>
              </w:rPr>
              <w:t>0.4699</w:t>
            </w:r>
          </w:p>
        </w:tc>
      </w:tr>
      <w:tr w14:paraId="26B5A631">
        <w:tblPrEx>
          <w:tblCellMar>
            <w:top w:w="0" w:type="dxa"/>
            <w:left w:w="108" w:type="dxa"/>
            <w:bottom w:w="0" w:type="dxa"/>
            <w:right w:w="108" w:type="dxa"/>
          </w:tblCellMar>
        </w:tblPrEx>
        <w:trPr>
          <w:trHeight w:val="20" w:hRule="atLeast"/>
        </w:trPr>
        <w:tc>
          <w:tcPr>
            <w:tcW w:w="1706" w:type="dxa"/>
            <w:vAlign w:val="center"/>
          </w:tcPr>
          <w:p w14:paraId="5581C49B">
            <w:pPr>
              <w:jc w:val="center"/>
            </w:pPr>
            <w:r>
              <w:rPr>
                <w:sz w:val="23"/>
                <w:szCs w:val="23"/>
              </w:rPr>
              <w:t>600.0</w:t>
            </w:r>
          </w:p>
        </w:tc>
        <w:tc>
          <w:tcPr>
            <w:tcW w:w="1898" w:type="dxa"/>
            <w:vAlign w:val="center"/>
          </w:tcPr>
          <w:p w14:paraId="06E90167">
            <w:pPr>
              <w:jc w:val="center"/>
            </w:pPr>
            <w:r>
              <w:rPr>
                <w:sz w:val="23"/>
                <w:szCs w:val="23"/>
              </w:rPr>
              <w:t>1.0564</w:t>
            </w:r>
          </w:p>
        </w:tc>
        <w:tc>
          <w:tcPr>
            <w:tcW w:w="1513" w:type="dxa"/>
            <w:vAlign w:val="center"/>
          </w:tcPr>
          <w:p w14:paraId="1082A6E2">
            <w:pPr>
              <w:jc w:val="center"/>
            </w:pPr>
            <w:r>
              <w:rPr>
                <w:sz w:val="23"/>
                <w:szCs w:val="23"/>
              </w:rPr>
              <w:t>0.1174</w:t>
            </w:r>
          </w:p>
        </w:tc>
        <w:tc>
          <w:tcPr>
            <w:tcW w:w="1897" w:type="dxa"/>
            <w:vAlign w:val="center"/>
          </w:tcPr>
          <w:p w14:paraId="4EE94808">
            <w:pPr>
              <w:jc w:val="center"/>
            </w:pPr>
            <w:r>
              <w:rPr>
                <w:sz w:val="23"/>
                <w:szCs w:val="23"/>
              </w:rPr>
              <w:t>7.4325</w:t>
            </w:r>
          </w:p>
        </w:tc>
        <w:tc>
          <w:tcPr>
            <w:tcW w:w="1513" w:type="dxa"/>
            <w:vAlign w:val="center"/>
          </w:tcPr>
          <w:p w14:paraId="1D236949">
            <w:pPr>
              <w:jc w:val="center"/>
            </w:pPr>
            <w:r>
              <w:rPr>
                <w:sz w:val="23"/>
                <w:szCs w:val="23"/>
              </w:rPr>
              <w:t>0.3716</w:t>
            </w:r>
          </w:p>
        </w:tc>
      </w:tr>
      <w:tr w14:paraId="460B4824">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27F26A53">
            <w:pPr>
              <w:jc w:val="center"/>
            </w:pPr>
            <w:r>
              <w:rPr>
                <w:sz w:val="23"/>
                <w:szCs w:val="23"/>
              </w:rPr>
              <w:t>700.0</w:t>
            </w:r>
          </w:p>
        </w:tc>
        <w:tc>
          <w:tcPr>
            <w:tcW w:w="1898" w:type="dxa"/>
            <w:vAlign w:val="center"/>
          </w:tcPr>
          <w:p w14:paraId="5A3A3EC1">
            <w:pPr>
              <w:jc w:val="center"/>
            </w:pPr>
            <w:r>
              <w:rPr>
                <w:sz w:val="23"/>
                <w:szCs w:val="23"/>
              </w:rPr>
              <w:t>0.5547</w:t>
            </w:r>
          </w:p>
        </w:tc>
        <w:tc>
          <w:tcPr>
            <w:tcW w:w="1513" w:type="dxa"/>
            <w:vAlign w:val="center"/>
          </w:tcPr>
          <w:p w14:paraId="59220DA9">
            <w:pPr>
              <w:jc w:val="center"/>
            </w:pPr>
            <w:r>
              <w:rPr>
                <w:sz w:val="23"/>
                <w:szCs w:val="23"/>
              </w:rPr>
              <w:t>0.0616</w:t>
            </w:r>
          </w:p>
        </w:tc>
        <w:tc>
          <w:tcPr>
            <w:tcW w:w="1897" w:type="dxa"/>
            <w:vAlign w:val="center"/>
          </w:tcPr>
          <w:p w14:paraId="2DE57C15">
            <w:pPr>
              <w:jc w:val="center"/>
            </w:pPr>
            <w:r>
              <w:rPr>
                <w:sz w:val="23"/>
                <w:szCs w:val="23"/>
              </w:rPr>
              <w:t>3.9029</w:t>
            </w:r>
          </w:p>
        </w:tc>
        <w:tc>
          <w:tcPr>
            <w:tcW w:w="1513" w:type="dxa"/>
            <w:vAlign w:val="center"/>
          </w:tcPr>
          <w:p w14:paraId="599837FD">
            <w:pPr>
              <w:jc w:val="center"/>
            </w:pPr>
            <w:r>
              <w:rPr>
                <w:sz w:val="23"/>
                <w:szCs w:val="23"/>
              </w:rPr>
              <w:t>0.1951</w:t>
            </w:r>
          </w:p>
        </w:tc>
      </w:tr>
      <w:tr w14:paraId="2ED33B28">
        <w:tblPrEx>
          <w:tblCellMar>
            <w:top w:w="0" w:type="dxa"/>
            <w:left w:w="108" w:type="dxa"/>
            <w:bottom w:w="0" w:type="dxa"/>
            <w:right w:w="108" w:type="dxa"/>
          </w:tblCellMar>
        </w:tblPrEx>
        <w:trPr>
          <w:trHeight w:val="20" w:hRule="atLeast"/>
        </w:trPr>
        <w:tc>
          <w:tcPr>
            <w:tcW w:w="1706" w:type="dxa"/>
            <w:vAlign w:val="center"/>
          </w:tcPr>
          <w:p w14:paraId="3400CB73">
            <w:pPr>
              <w:jc w:val="center"/>
            </w:pPr>
            <w:r>
              <w:rPr>
                <w:sz w:val="23"/>
                <w:szCs w:val="23"/>
              </w:rPr>
              <w:t>800.0</w:t>
            </w:r>
          </w:p>
        </w:tc>
        <w:tc>
          <w:tcPr>
            <w:tcW w:w="1898" w:type="dxa"/>
            <w:vAlign w:val="center"/>
          </w:tcPr>
          <w:p w14:paraId="6F262861">
            <w:pPr>
              <w:jc w:val="center"/>
            </w:pPr>
            <w:r>
              <w:rPr>
                <w:sz w:val="23"/>
                <w:szCs w:val="23"/>
              </w:rPr>
              <w:t>0.6137</w:t>
            </w:r>
          </w:p>
        </w:tc>
        <w:tc>
          <w:tcPr>
            <w:tcW w:w="1513" w:type="dxa"/>
            <w:vAlign w:val="center"/>
          </w:tcPr>
          <w:p w14:paraId="4A813C24">
            <w:pPr>
              <w:jc w:val="center"/>
            </w:pPr>
            <w:r>
              <w:rPr>
                <w:sz w:val="23"/>
                <w:szCs w:val="23"/>
              </w:rPr>
              <w:t>0.0682</w:t>
            </w:r>
          </w:p>
        </w:tc>
        <w:tc>
          <w:tcPr>
            <w:tcW w:w="1897" w:type="dxa"/>
            <w:vAlign w:val="center"/>
          </w:tcPr>
          <w:p w14:paraId="384B8D53">
            <w:pPr>
              <w:jc w:val="center"/>
            </w:pPr>
            <w:r>
              <w:rPr>
                <w:sz w:val="23"/>
                <w:szCs w:val="23"/>
              </w:rPr>
              <w:t>4.3178</w:t>
            </w:r>
          </w:p>
        </w:tc>
        <w:tc>
          <w:tcPr>
            <w:tcW w:w="1513" w:type="dxa"/>
            <w:vAlign w:val="center"/>
          </w:tcPr>
          <w:p w14:paraId="1D97D840">
            <w:pPr>
              <w:jc w:val="center"/>
            </w:pPr>
            <w:r>
              <w:rPr>
                <w:sz w:val="23"/>
                <w:szCs w:val="23"/>
              </w:rPr>
              <w:t>0.2159</w:t>
            </w:r>
          </w:p>
        </w:tc>
      </w:tr>
      <w:tr w14:paraId="47015709">
        <w:tblPrEx>
          <w:tblCellMar>
            <w:top w:w="0" w:type="dxa"/>
            <w:left w:w="108" w:type="dxa"/>
            <w:bottom w:w="0" w:type="dxa"/>
            <w:right w:w="108" w:type="dxa"/>
          </w:tblCellMar>
        </w:tblPrEx>
        <w:trPr>
          <w:trHeight w:val="20" w:hRule="atLeast"/>
        </w:trPr>
        <w:tc>
          <w:tcPr>
            <w:tcW w:w="1706" w:type="dxa"/>
            <w:vAlign w:val="center"/>
          </w:tcPr>
          <w:p w14:paraId="28C1D3D0">
            <w:pPr>
              <w:jc w:val="center"/>
            </w:pPr>
            <w:r>
              <w:rPr>
                <w:sz w:val="23"/>
                <w:szCs w:val="23"/>
              </w:rPr>
              <w:t>900.0</w:t>
            </w:r>
          </w:p>
        </w:tc>
        <w:tc>
          <w:tcPr>
            <w:tcW w:w="1898" w:type="dxa"/>
            <w:vAlign w:val="center"/>
          </w:tcPr>
          <w:p w14:paraId="38476972">
            <w:pPr>
              <w:jc w:val="center"/>
            </w:pPr>
            <w:r>
              <w:rPr>
                <w:sz w:val="23"/>
                <w:szCs w:val="23"/>
              </w:rPr>
              <w:t>0.8270</w:t>
            </w:r>
          </w:p>
        </w:tc>
        <w:tc>
          <w:tcPr>
            <w:tcW w:w="1513" w:type="dxa"/>
            <w:vAlign w:val="center"/>
          </w:tcPr>
          <w:p w14:paraId="4F25BE25">
            <w:pPr>
              <w:jc w:val="center"/>
            </w:pPr>
            <w:r>
              <w:rPr>
                <w:sz w:val="23"/>
                <w:szCs w:val="23"/>
              </w:rPr>
              <w:t>0.0919</w:t>
            </w:r>
          </w:p>
        </w:tc>
        <w:tc>
          <w:tcPr>
            <w:tcW w:w="1897" w:type="dxa"/>
            <w:vAlign w:val="center"/>
          </w:tcPr>
          <w:p w14:paraId="2FCC42FE">
            <w:pPr>
              <w:jc w:val="center"/>
            </w:pPr>
            <w:r>
              <w:rPr>
                <w:sz w:val="23"/>
                <w:szCs w:val="23"/>
              </w:rPr>
              <w:t>5.8185</w:t>
            </w:r>
          </w:p>
        </w:tc>
        <w:tc>
          <w:tcPr>
            <w:tcW w:w="1513" w:type="dxa"/>
            <w:vAlign w:val="center"/>
          </w:tcPr>
          <w:p w14:paraId="05AB49E5">
            <w:pPr>
              <w:jc w:val="center"/>
            </w:pPr>
            <w:r>
              <w:rPr>
                <w:sz w:val="23"/>
                <w:szCs w:val="23"/>
              </w:rPr>
              <w:t>0.2909</w:t>
            </w:r>
          </w:p>
        </w:tc>
      </w:tr>
      <w:tr w14:paraId="3605B0A4">
        <w:tblPrEx>
          <w:tblCellMar>
            <w:top w:w="0" w:type="dxa"/>
            <w:left w:w="108" w:type="dxa"/>
            <w:bottom w:w="0" w:type="dxa"/>
            <w:right w:w="108" w:type="dxa"/>
          </w:tblCellMar>
        </w:tblPrEx>
        <w:trPr>
          <w:trHeight w:val="20" w:hRule="atLeast"/>
        </w:trPr>
        <w:tc>
          <w:tcPr>
            <w:tcW w:w="1706" w:type="dxa"/>
            <w:vAlign w:val="center"/>
          </w:tcPr>
          <w:p w14:paraId="45EC0603">
            <w:pPr>
              <w:jc w:val="center"/>
            </w:pPr>
            <w:r>
              <w:rPr>
                <w:sz w:val="23"/>
                <w:szCs w:val="23"/>
              </w:rPr>
              <w:t>1000.0</w:t>
            </w:r>
          </w:p>
        </w:tc>
        <w:tc>
          <w:tcPr>
            <w:tcW w:w="1898" w:type="dxa"/>
            <w:vAlign w:val="center"/>
          </w:tcPr>
          <w:p w14:paraId="5489096F">
            <w:pPr>
              <w:jc w:val="center"/>
            </w:pPr>
            <w:r>
              <w:rPr>
                <w:sz w:val="23"/>
                <w:szCs w:val="23"/>
              </w:rPr>
              <w:t>0.6001</w:t>
            </w:r>
          </w:p>
        </w:tc>
        <w:tc>
          <w:tcPr>
            <w:tcW w:w="1513" w:type="dxa"/>
            <w:vAlign w:val="center"/>
          </w:tcPr>
          <w:p w14:paraId="3427AFD9">
            <w:pPr>
              <w:jc w:val="center"/>
            </w:pPr>
            <w:r>
              <w:rPr>
                <w:sz w:val="23"/>
                <w:szCs w:val="23"/>
              </w:rPr>
              <w:t>0.0667</w:t>
            </w:r>
          </w:p>
        </w:tc>
        <w:tc>
          <w:tcPr>
            <w:tcW w:w="1897" w:type="dxa"/>
            <w:vAlign w:val="center"/>
          </w:tcPr>
          <w:p w14:paraId="45BA3BE5">
            <w:pPr>
              <w:jc w:val="center"/>
            </w:pPr>
            <w:r>
              <w:rPr>
                <w:sz w:val="23"/>
                <w:szCs w:val="23"/>
              </w:rPr>
              <w:t>4.2219</w:t>
            </w:r>
          </w:p>
        </w:tc>
        <w:tc>
          <w:tcPr>
            <w:tcW w:w="1513" w:type="dxa"/>
            <w:vAlign w:val="center"/>
          </w:tcPr>
          <w:p w14:paraId="41D02510">
            <w:pPr>
              <w:jc w:val="center"/>
            </w:pPr>
            <w:r>
              <w:rPr>
                <w:sz w:val="23"/>
                <w:szCs w:val="23"/>
              </w:rPr>
              <w:t>0.2111</w:t>
            </w:r>
          </w:p>
        </w:tc>
      </w:tr>
      <w:tr w14:paraId="4BFD6EAF">
        <w:tblPrEx>
          <w:tblCellMar>
            <w:top w:w="0" w:type="dxa"/>
            <w:left w:w="108" w:type="dxa"/>
            <w:bottom w:w="0" w:type="dxa"/>
            <w:right w:w="108" w:type="dxa"/>
          </w:tblCellMar>
        </w:tblPrEx>
        <w:trPr>
          <w:trHeight w:val="20" w:hRule="atLeast"/>
        </w:trPr>
        <w:tc>
          <w:tcPr>
            <w:tcW w:w="1706" w:type="dxa"/>
            <w:vAlign w:val="center"/>
          </w:tcPr>
          <w:p w14:paraId="0AF61615">
            <w:pPr>
              <w:jc w:val="center"/>
            </w:pPr>
            <w:r>
              <w:rPr>
                <w:sz w:val="23"/>
                <w:szCs w:val="23"/>
              </w:rPr>
              <w:t>1200.0</w:t>
            </w:r>
          </w:p>
        </w:tc>
        <w:tc>
          <w:tcPr>
            <w:tcW w:w="1898" w:type="dxa"/>
            <w:vAlign w:val="center"/>
          </w:tcPr>
          <w:p w14:paraId="47EA61EB">
            <w:pPr>
              <w:jc w:val="center"/>
            </w:pPr>
            <w:r>
              <w:rPr>
                <w:sz w:val="23"/>
                <w:szCs w:val="23"/>
              </w:rPr>
              <w:t>0.5028</w:t>
            </w:r>
          </w:p>
        </w:tc>
        <w:tc>
          <w:tcPr>
            <w:tcW w:w="1513" w:type="dxa"/>
            <w:vAlign w:val="center"/>
          </w:tcPr>
          <w:p w14:paraId="3A4488C3">
            <w:pPr>
              <w:jc w:val="center"/>
            </w:pPr>
            <w:r>
              <w:rPr>
                <w:sz w:val="23"/>
                <w:szCs w:val="23"/>
              </w:rPr>
              <w:t>0.0559</w:t>
            </w:r>
          </w:p>
        </w:tc>
        <w:tc>
          <w:tcPr>
            <w:tcW w:w="1897" w:type="dxa"/>
            <w:vAlign w:val="center"/>
          </w:tcPr>
          <w:p w14:paraId="2D5F37D9">
            <w:pPr>
              <w:jc w:val="center"/>
            </w:pPr>
            <w:r>
              <w:rPr>
                <w:sz w:val="23"/>
                <w:szCs w:val="23"/>
              </w:rPr>
              <w:t>3.5378</w:t>
            </w:r>
          </w:p>
        </w:tc>
        <w:tc>
          <w:tcPr>
            <w:tcW w:w="1513" w:type="dxa"/>
            <w:vAlign w:val="center"/>
          </w:tcPr>
          <w:p w14:paraId="1A603357">
            <w:pPr>
              <w:jc w:val="center"/>
            </w:pPr>
            <w:r>
              <w:rPr>
                <w:sz w:val="23"/>
                <w:szCs w:val="23"/>
              </w:rPr>
              <w:t>0.1769</w:t>
            </w:r>
          </w:p>
        </w:tc>
      </w:tr>
      <w:tr w14:paraId="115AA6A6">
        <w:tblPrEx>
          <w:tblCellMar>
            <w:top w:w="0" w:type="dxa"/>
            <w:left w:w="108" w:type="dxa"/>
            <w:bottom w:w="0" w:type="dxa"/>
            <w:right w:w="108" w:type="dxa"/>
          </w:tblCellMar>
        </w:tblPrEx>
        <w:trPr>
          <w:trHeight w:val="20" w:hRule="atLeast"/>
        </w:trPr>
        <w:tc>
          <w:tcPr>
            <w:tcW w:w="1706" w:type="dxa"/>
            <w:vAlign w:val="center"/>
          </w:tcPr>
          <w:p w14:paraId="54B21D95">
            <w:pPr>
              <w:jc w:val="center"/>
            </w:pPr>
            <w:r>
              <w:rPr>
                <w:sz w:val="23"/>
                <w:szCs w:val="23"/>
              </w:rPr>
              <w:t>1400.0</w:t>
            </w:r>
          </w:p>
        </w:tc>
        <w:tc>
          <w:tcPr>
            <w:tcW w:w="1898" w:type="dxa"/>
            <w:vAlign w:val="center"/>
          </w:tcPr>
          <w:p w14:paraId="349F9ECE">
            <w:pPr>
              <w:jc w:val="center"/>
            </w:pPr>
            <w:r>
              <w:rPr>
                <w:sz w:val="23"/>
                <w:szCs w:val="23"/>
              </w:rPr>
              <w:t>0.2429</w:t>
            </w:r>
          </w:p>
        </w:tc>
        <w:tc>
          <w:tcPr>
            <w:tcW w:w="1513" w:type="dxa"/>
            <w:vAlign w:val="center"/>
          </w:tcPr>
          <w:p w14:paraId="018A9D4E">
            <w:pPr>
              <w:jc w:val="center"/>
            </w:pPr>
            <w:r>
              <w:rPr>
                <w:sz w:val="23"/>
                <w:szCs w:val="23"/>
              </w:rPr>
              <w:t>0.0270</w:t>
            </w:r>
          </w:p>
        </w:tc>
        <w:tc>
          <w:tcPr>
            <w:tcW w:w="1897" w:type="dxa"/>
            <w:vAlign w:val="center"/>
          </w:tcPr>
          <w:p w14:paraId="0825BC4C">
            <w:pPr>
              <w:jc w:val="center"/>
            </w:pPr>
            <w:r>
              <w:rPr>
                <w:sz w:val="23"/>
                <w:szCs w:val="23"/>
              </w:rPr>
              <w:t>1.7086</w:t>
            </w:r>
          </w:p>
        </w:tc>
        <w:tc>
          <w:tcPr>
            <w:tcW w:w="1513" w:type="dxa"/>
            <w:vAlign w:val="center"/>
          </w:tcPr>
          <w:p w14:paraId="6A7F2C31">
            <w:pPr>
              <w:jc w:val="center"/>
            </w:pPr>
            <w:r>
              <w:rPr>
                <w:sz w:val="23"/>
                <w:szCs w:val="23"/>
              </w:rPr>
              <w:t>0.0854</w:t>
            </w:r>
          </w:p>
        </w:tc>
      </w:tr>
      <w:tr w14:paraId="765890CA">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425CA86A">
            <w:pPr>
              <w:jc w:val="center"/>
            </w:pPr>
            <w:r>
              <w:rPr>
                <w:sz w:val="23"/>
                <w:szCs w:val="23"/>
              </w:rPr>
              <w:t>1600.0</w:t>
            </w:r>
          </w:p>
        </w:tc>
        <w:tc>
          <w:tcPr>
            <w:tcW w:w="1898" w:type="dxa"/>
            <w:vAlign w:val="center"/>
          </w:tcPr>
          <w:p w14:paraId="7DE2A52E">
            <w:pPr>
              <w:jc w:val="center"/>
            </w:pPr>
            <w:r>
              <w:rPr>
                <w:sz w:val="23"/>
                <w:szCs w:val="23"/>
              </w:rPr>
              <w:t>0.3313</w:t>
            </w:r>
          </w:p>
        </w:tc>
        <w:tc>
          <w:tcPr>
            <w:tcW w:w="1513" w:type="dxa"/>
            <w:vAlign w:val="center"/>
          </w:tcPr>
          <w:p w14:paraId="53960E73">
            <w:pPr>
              <w:jc w:val="center"/>
            </w:pPr>
            <w:r>
              <w:rPr>
                <w:sz w:val="23"/>
                <w:szCs w:val="23"/>
              </w:rPr>
              <w:t>0.0368</w:t>
            </w:r>
          </w:p>
        </w:tc>
        <w:tc>
          <w:tcPr>
            <w:tcW w:w="1897" w:type="dxa"/>
            <w:vAlign w:val="center"/>
          </w:tcPr>
          <w:p w14:paraId="0F1764B3">
            <w:pPr>
              <w:jc w:val="center"/>
            </w:pPr>
            <w:r>
              <w:rPr>
                <w:sz w:val="23"/>
                <w:szCs w:val="23"/>
              </w:rPr>
              <w:t>2.3309</w:t>
            </w:r>
          </w:p>
        </w:tc>
        <w:tc>
          <w:tcPr>
            <w:tcW w:w="1513" w:type="dxa"/>
            <w:vAlign w:val="center"/>
          </w:tcPr>
          <w:p w14:paraId="5F1D738B">
            <w:pPr>
              <w:jc w:val="center"/>
            </w:pPr>
            <w:r>
              <w:rPr>
                <w:sz w:val="23"/>
                <w:szCs w:val="23"/>
              </w:rPr>
              <w:t>0.1165</w:t>
            </w:r>
          </w:p>
        </w:tc>
      </w:tr>
      <w:tr w14:paraId="1A20CDB4">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1161173D">
            <w:pPr>
              <w:jc w:val="center"/>
            </w:pPr>
            <w:r>
              <w:rPr>
                <w:sz w:val="23"/>
                <w:szCs w:val="23"/>
              </w:rPr>
              <w:t>1800.0</w:t>
            </w:r>
          </w:p>
        </w:tc>
        <w:tc>
          <w:tcPr>
            <w:tcW w:w="1898" w:type="dxa"/>
            <w:vAlign w:val="center"/>
          </w:tcPr>
          <w:p w14:paraId="67BA5BA4">
            <w:pPr>
              <w:jc w:val="center"/>
            </w:pPr>
            <w:r>
              <w:rPr>
                <w:sz w:val="23"/>
                <w:szCs w:val="23"/>
              </w:rPr>
              <w:t>0.2754</w:t>
            </w:r>
          </w:p>
        </w:tc>
        <w:tc>
          <w:tcPr>
            <w:tcW w:w="1513" w:type="dxa"/>
            <w:vAlign w:val="center"/>
          </w:tcPr>
          <w:p w14:paraId="4AC95316">
            <w:pPr>
              <w:jc w:val="center"/>
            </w:pPr>
            <w:r>
              <w:rPr>
                <w:sz w:val="23"/>
                <w:szCs w:val="23"/>
              </w:rPr>
              <w:t>0.0306</w:t>
            </w:r>
          </w:p>
        </w:tc>
        <w:tc>
          <w:tcPr>
            <w:tcW w:w="1897" w:type="dxa"/>
            <w:vAlign w:val="center"/>
          </w:tcPr>
          <w:p w14:paraId="5F235EB7">
            <w:pPr>
              <w:jc w:val="center"/>
            </w:pPr>
            <w:r>
              <w:rPr>
                <w:sz w:val="23"/>
                <w:szCs w:val="23"/>
              </w:rPr>
              <w:t>1.9374</w:t>
            </w:r>
          </w:p>
        </w:tc>
        <w:tc>
          <w:tcPr>
            <w:tcW w:w="1513" w:type="dxa"/>
            <w:vAlign w:val="center"/>
          </w:tcPr>
          <w:p w14:paraId="2DF9CD8B">
            <w:pPr>
              <w:jc w:val="center"/>
            </w:pPr>
            <w:r>
              <w:rPr>
                <w:sz w:val="23"/>
                <w:szCs w:val="23"/>
              </w:rPr>
              <w:t>0.0969</w:t>
            </w:r>
          </w:p>
        </w:tc>
      </w:tr>
      <w:tr w14:paraId="2B662ECF">
        <w:tblPrEx>
          <w:tblCellMar>
            <w:top w:w="0" w:type="dxa"/>
            <w:left w:w="108" w:type="dxa"/>
            <w:bottom w:w="0" w:type="dxa"/>
            <w:right w:w="108" w:type="dxa"/>
          </w:tblCellMar>
        </w:tblPrEx>
        <w:trPr>
          <w:trHeight w:val="20" w:hRule="atLeast"/>
        </w:trPr>
        <w:tc>
          <w:tcPr>
            <w:tcW w:w="1706" w:type="dxa"/>
            <w:vAlign w:val="center"/>
          </w:tcPr>
          <w:p w14:paraId="1FE7B618">
            <w:pPr>
              <w:jc w:val="center"/>
            </w:pPr>
            <w:r>
              <w:rPr>
                <w:sz w:val="23"/>
                <w:szCs w:val="23"/>
              </w:rPr>
              <w:t>2000.0</w:t>
            </w:r>
          </w:p>
        </w:tc>
        <w:tc>
          <w:tcPr>
            <w:tcW w:w="1898" w:type="dxa"/>
            <w:vAlign w:val="center"/>
          </w:tcPr>
          <w:p w14:paraId="4CFC3A1B">
            <w:pPr>
              <w:jc w:val="center"/>
            </w:pPr>
            <w:r>
              <w:rPr>
                <w:sz w:val="23"/>
                <w:szCs w:val="23"/>
              </w:rPr>
              <w:t>0.2478</w:t>
            </w:r>
          </w:p>
        </w:tc>
        <w:tc>
          <w:tcPr>
            <w:tcW w:w="1513" w:type="dxa"/>
            <w:vAlign w:val="center"/>
          </w:tcPr>
          <w:p w14:paraId="430DC782">
            <w:pPr>
              <w:jc w:val="center"/>
            </w:pPr>
            <w:r>
              <w:rPr>
                <w:sz w:val="23"/>
                <w:szCs w:val="23"/>
              </w:rPr>
              <w:t>0.0275</w:t>
            </w:r>
          </w:p>
        </w:tc>
        <w:tc>
          <w:tcPr>
            <w:tcW w:w="1897" w:type="dxa"/>
            <w:vAlign w:val="center"/>
          </w:tcPr>
          <w:p w14:paraId="7BA5D34B">
            <w:pPr>
              <w:jc w:val="center"/>
            </w:pPr>
            <w:r>
              <w:rPr>
                <w:sz w:val="23"/>
                <w:szCs w:val="23"/>
              </w:rPr>
              <w:t>1.7434</w:t>
            </w:r>
          </w:p>
        </w:tc>
        <w:tc>
          <w:tcPr>
            <w:tcW w:w="1513" w:type="dxa"/>
            <w:vAlign w:val="center"/>
          </w:tcPr>
          <w:p w14:paraId="2741F001">
            <w:pPr>
              <w:jc w:val="center"/>
            </w:pPr>
            <w:r>
              <w:rPr>
                <w:sz w:val="23"/>
                <w:szCs w:val="23"/>
              </w:rPr>
              <w:t>0.0872</w:t>
            </w:r>
          </w:p>
        </w:tc>
      </w:tr>
      <w:tr w14:paraId="12CA905A">
        <w:tblPrEx>
          <w:tblCellMar>
            <w:top w:w="0" w:type="dxa"/>
            <w:left w:w="108" w:type="dxa"/>
            <w:bottom w:w="0" w:type="dxa"/>
            <w:right w:w="108" w:type="dxa"/>
          </w:tblCellMar>
        </w:tblPrEx>
        <w:trPr>
          <w:trHeight w:val="20" w:hRule="atLeast"/>
        </w:trPr>
        <w:tc>
          <w:tcPr>
            <w:tcW w:w="1706" w:type="dxa"/>
            <w:vAlign w:val="center"/>
          </w:tcPr>
          <w:p w14:paraId="67598DAD">
            <w:pPr>
              <w:jc w:val="center"/>
            </w:pPr>
            <w:r>
              <w:rPr>
                <w:sz w:val="23"/>
                <w:szCs w:val="23"/>
              </w:rPr>
              <w:t>2500.0</w:t>
            </w:r>
          </w:p>
        </w:tc>
        <w:tc>
          <w:tcPr>
            <w:tcW w:w="1898" w:type="dxa"/>
            <w:vAlign w:val="center"/>
          </w:tcPr>
          <w:p w14:paraId="3667BACC">
            <w:pPr>
              <w:jc w:val="center"/>
            </w:pPr>
            <w:r>
              <w:rPr>
                <w:sz w:val="23"/>
                <w:szCs w:val="23"/>
              </w:rPr>
              <w:t>0.2229</w:t>
            </w:r>
          </w:p>
        </w:tc>
        <w:tc>
          <w:tcPr>
            <w:tcW w:w="1513" w:type="dxa"/>
            <w:vAlign w:val="center"/>
          </w:tcPr>
          <w:p w14:paraId="5CE8488C">
            <w:pPr>
              <w:jc w:val="center"/>
            </w:pPr>
            <w:r>
              <w:rPr>
                <w:sz w:val="23"/>
                <w:szCs w:val="23"/>
              </w:rPr>
              <w:t>0.0248</w:t>
            </w:r>
          </w:p>
        </w:tc>
        <w:tc>
          <w:tcPr>
            <w:tcW w:w="1897" w:type="dxa"/>
            <w:vAlign w:val="center"/>
          </w:tcPr>
          <w:p w14:paraId="3E7B7812">
            <w:pPr>
              <w:jc w:val="center"/>
            </w:pPr>
            <w:r>
              <w:rPr>
                <w:sz w:val="23"/>
                <w:szCs w:val="23"/>
              </w:rPr>
              <w:t>1.5685</w:t>
            </w:r>
          </w:p>
        </w:tc>
        <w:tc>
          <w:tcPr>
            <w:tcW w:w="1513" w:type="dxa"/>
            <w:vAlign w:val="center"/>
          </w:tcPr>
          <w:p w14:paraId="10F7689B">
            <w:pPr>
              <w:jc w:val="center"/>
            </w:pPr>
            <w:r>
              <w:rPr>
                <w:sz w:val="23"/>
                <w:szCs w:val="23"/>
              </w:rPr>
              <w:t>0.0784</w:t>
            </w:r>
          </w:p>
        </w:tc>
      </w:tr>
      <w:tr w14:paraId="0E5EB7C3">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72FFA920">
            <w:pPr>
              <w:jc w:val="center"/>
              <w:rPr>
                <w:color w:val="000000" w:themeColor="text1"/>
                <w:szCs w:val="21"/>
              </w:rPr>
            </w:pPr>
            <w:r>
              <w:rPr>
                <w:color w:val="000000" w:themeColor="text1"/>
                <w:szCs w:val="21"/>
              </w:rPr>
              <w:t>下风向最大浓度</w:t>
            </w:r>
          </w:p>
        </w:tc>
        <w:tc>
          <w:tcPr>
            <w:tcW w:w="1898" w:type="dxa"/>
            <w:vAlign w:val="center"/>
          </w:tcPr>
          <w:p w14:paraId="2901C5D9">
            <w:pPr>
              <w:jc w:val="center"/>
            </w:pPr>
            <w:r>
              <w:rPr>
                <w:sz w:val="23"/>
                <w:szCs w:val="23"/>
              </w:rPr>
              <w:t>6.2544</w:t>
            </w:r>
          </w:p>
        </w:tc>
        <w:tc>
          <w:tcPr>
            <w:tcW w:w="1513" w:type="dxa"/>
            <w:vAlign w:val="center"/>
          </w:tcPr>
          <w:p w14:paraId="705CF7A0">
            <w:pPr>
              <w:jc w:val="center"/>
            </w:pPr>
            <w:r>
              <w:rPr>
                <w:sz w:val="23"/>
                <w:szCs w:val="23"/>
              </w:rPr>
              <w:t>0.6949</w:t>
            </w:r>
          </w:p>
        </w:tc>
        <w:tc>
          <w:tcPr>
            <w:tcW w:w="1897" w:type="dxa"/>
            <w:vAlign w:val="center"/>
          </w:tcPr>
          <w:p w14:paraId="6891C569">
            <w:pPr>
              <w:jc w:val="center"/>
            </w:pPr>
            <w:r>
              <w:rPr>
                <w:sz w:val="23"/>
                <w:szCs w:val="23"/>
              </w:rPr>
              <w:t>44.0042</w:t>
            </w:r>
          </w:p>
        </w:tc>
        <w:tc>
          <w:tcPr>
            <w:tcW w:w="1513" w:type="dxa"/>
            <w:vAlign w:val="center"/>
          </w:tcPr>
          <w:p w14:paraId="0FCF5DDE">
            <w:pPr>
              <w:jc w:val="center"/>
            </w:pPr>
            <w:r>
              <w:rPr>
                <w:sz w:val="23"/>
                <w:szCs w:val="23"/>
              </w:rPr>
              <w:t>2.2002</w:t>
            </w:r>
          </w:p>
        </w:tc>
      </w:tr>
      <w:tr w14:paraId="3ADD86FB">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1E358BC6">
            <w:pPr>
              <w:jc w:val="center"/>
              <w:rPr>
                <w:color w:val="000000" w:themeColor="text1"/>
                <w:szCs w:val="21"/>
              </w:rPr>
            </w:pPr>
            <w:r>
              <w:rPr>
                <w:color w:val="000000" w:themeColor="text1"/>
                <w:szCs w:val="21"/>
              </w:rPr>
              <w:t>下风向最大浓度出现距离m</w:t>
            </w:r>
          </w:p>
        </w:tc>
        <w:tc>
          <w:tcPr>
            <w:tcW w:w="1898" w:type="dxa"/>
            <w:vAlign w:val="center"/>
          </w:tcPr>
          <w:p w14:paraId="18233178">
            <w:pPr>
              <w:jc w:val="center"/>
            </w:pPr>
            <w:r>
              <w:rPr>
                <w:sz w:val="23"/>
                <w:szCs w:val="23"/>
              </w:rPr>
              <w:t>100.0</w:t>
            </w:r>
          </w:p>
        </w:tc>
        <w:tc>
          <w:tcPr>
            <w:tcW w:w="1513" w:type="dxa"/>
            <w:vAlign w:val="center"/>
          </w:tcPr>
          <w:p w14:paraId="3F024CD7">
            <w:pPr>
              <w:jc w:val="center"/>
            </w:pPr>
            <w:r>
              <w:rPr>
                <w:sz w:val="23"/>
                <w:szCs w:val="23"/>
              </w:rPr>
              <w:t>100.0</w:t>
            </w:r>
          </w:p>
        </w:tc>
        <w:tc>
          <w:tcPr>
            <w:tcW w:w="1897" w:type="dxa"/>
            <w:vAlign w:val="center"/>
          </w:tcPr>
          <w:p w14:paraId="0F873CF9">
            <w:pPr>
              <w:jc w:val="center"/>
            </w:pPr>
            <w:r>
              <w:rPr>
                <w:sz w:val="23"/>
                <w:szCs w:val="23"/>
              </w:rPr>
              <w:t>100.0</w:t>
            </w:r>
          </w:p>
        </w:tc>
        <w:tc>
          <w:tcPr>
            <w:tcW w:w="1513" w:type="dxa"/>
            <w:vAlign w:val="center"/>
          </w:tcPr>
          <w:p w14:paraId="448992A2">
            <w:pPr>
              <w:jc w:val="center"/>
            </w:pPr>
            <w:r>
              <w:rPr>
                <w:sz w:val="23"/>
                <w:szCs w:val="23"/>
              </w:rPr>
              <w:t>100.0</w:t>
            </w:r>
          </w:p>
        </w:tc>
      </w:tr>
      <w:tr w14:paraId="401357ED">
        <w:tblPrEx>
          <w:tblBorders>
            <w:top w:val="single" w:color="auto" w:sz="18" w:space="0"/>
            <w:left w:val="none" w:color="auto" w:sz="0" w:space="0"/>
            <w:bottom w:val="single" w:color="auto" w:sz="1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706" w:type="dxa"/>
            <w:vAlign w:val="center"/>
          </w:tcPr>
          <w:p w14:paraId="3D9C2B25">
            <w:pPr>
              <w:jc w:val="center"/>
              <w:rPr>
                <w:color w:val="000000" w:themeColor="text1"/>
                <w:szCs w:val="21"/>
              </w:rPr>
            </w:pPr>
            <w:r>
              <w:rPr>
                <w:color w:val="000000" w:themeColor="text1"/>
                <w:szCs w:val="21"/>
              </w:rPr>
              <w:t>D10%最远距离</w:t>
            </w:r>
          </w:p>
        </w:tc>
        <w:tc>
          <w:tcPr>
            <w:tcW w:w="1898" w:type="dxa"/>
            <w:vAlign w:val="center"/>
          </w:tcPr>
          <w:p w14:paraId="4B8BDB9A">
            <w:pPr>
              <w:jc w:val="center"/>
            </w:pPr>
            <w:r>
              <w:rPr>
                <w:sz w:val="23"/>
                <w:szCs w:val="23"/>
              </w:rPr>
              <w:t>/</w:t>
            </w:r>
          </w:p>
        </w:tc>
        <w:tc>
          <w:tcPr>
            <w:tcW w:w="1513" w:type="dxa"/>
            <w:vAlign w:val="center"/>
          </w:tcPr>
          <w:p w14:paraId="43311C9B">
            <w:pPr>
              <w:jc w:val="center"/>
            </w:pPr>
            <w:r>
              <w:rPr>
                <w:sz w:val="23"/>
                <w:szCs w:val="23"/>
              </w:rPr>
              <w:t>/</w:t>
            </w:r>
          </w:p>
        </w:tc>
        <w:tc>
          <w:tcPr>
            <w:tcW w:w="1897" w:type="dxa"/>
            <w:vAlign w:val="center"/>
          </w:tcPr>
          <w:p w14:paraId="6E92DA06">
            <w:pPr>
              <w:jc w:val="center"/>
            </w:pPr>
            <w:r>
              <w:rPr>
                <w:sz w:val="23"/>
                <w:szCs w:val="23"/>
              </w:rPr>
              <w:t>/</w:t>
            </w:r>
          </w:p>
        </w:tc>
        <w:tc>
          <w:tcPr>
            <w:tcW w:w="1513" w:type="dxa"/>
            <w:vAlign w:val="center"/>
          </w:tcPr>
          <w:p w14:paraId="4D3931A4">
            <w:pPr>
              <w:jc w:val="center"/>
            </w:pPr>
            <w:r>
              <w:rPr>
                <w:sz w:val="23"/>
                <w:szCs w:val="23"/>
              </w:rPr>
              <w:t>/</w:t>
            </w:r>
          </w:p>
        </w:tc>
      </w:tr>
    </w:tbl>
    <w:p w14:paraId="465A83F5">
      <w:pPr>
        <w:pStyle w:val="11"/>
        <w:spacing w:line="360" w:lineRule="auto"/>
        <w:ind w:firstLine="482"/>
        <w:rPr>
          <w:b/>
          <w:color w:val="000000" w:themeColor="text1"/>
          <w:sz w:val="24"/>
        </w:rPr>
      </w:pPr>
    </w:p>
    <w:p w14:paraId="1DDB256A">
      <w:pPr>
        <w:pStyle w:val="11"/>
        <w:spacing w:line="360" w:lineRule="auto"/>
        <w:ind w:firstLine="482"/>
        <w:rPr>
          <w:b/>
          <w:color w:val="000000" w:themeColor="text1"/>
          <w:sz w:val="24"/>
        </w:rPr>
      </w:pPr>
      <w:r>
        <w:rPr>
          <w:b/>
          <w:color w:val="000000" w:themeColor="text1"/>
          <w:sz w:val="24"/>
        </w:rPr>
        <w:t>（3）生活废气环境影响分析</w:t>
      </w:r>
    </w:p>
    <w:p w14:paraId="223ADB1D">
      <w:pPr>
        <w:pStyle w:val="111"/>
        <w:spacing w:line="360" w:lineRule="auto"/>
        <w:ind w:firstLine="480" w:firstLineChars="200"/>
        <w:rPr>
          <w:color w:val="000000" w:themeColor="text1"/>
          <w:szCs w:val="24"/>
        </w:rPr>
      </w:pPr>
      <w:r>
        <w:rPr>
          <w:color w:val="000000" w:themeColor="text1"/>
          <w:szCs w:val="24"/>
        </w:rPr>
        <w:t>本项目生活废气主要为食堂油烟。</w:t>
      </w:r>
    </w:p>
    <w:p w14:paraId="23625FAF">
      <w:pPr>
        <w:spacing w:line="360" w:lineRule="auto"/>
        <w:ind w:firstLine="480" w:firstLineChars="200"/>
        <w:rPr>
          <w:color w:val="000000" w:themeColor="text1"/>
          <w:sz w:val="24"/>
        </w:rPr>
      </w:pPr>
      <w:r>
        <w:rPr>
          <w:color w:val="000000" w:themeColor="text1"/>
          <w:sz w:val="24"/>
        </w:rPr>
        <w:t>通过第3章工程分析可得，本项目共15人就餐，本环评要求建设小型油烟净化装置，总引风量为2000m</w:t>
      </w:r>
      <w:r>
        <w:rPr>
          <w:color w:val="000000" w:themeColor="text1"/>
          <w:sz w:val="24"/>
          <w:vertAlign w:val="superscript"/>
        </w:rPr>
        <w:t>3</w:t>
      </w:r>
      <w:r>
        <w:rPr>
          <w:color w:val="000000" w:themeColor="text1"/>
          <w:sz w:val="24"/>
        </w:rPr>
        <w:t>/h，净化效率60%的油烟净化设施处理后，排放量为0.00132t/a，排放浓度为0.55mg/m</w:t>
      </w:r>
      <w:r>
        <w:rPr>
          <w:color w:val="000000" w:themeColor="text1"/>
          <w:sz w:val="24"/>
          <w:vertAlign w:val="superscript"/>
        </w:rPr>
        <w:t>3</w:t>
      </w:r>
      <w:r>
        <w:rPr>
          <w:color w:val="000000" w:themeColor="text1"/>
          <w:sz w:val="24"/>
        </w:rPr>
        <w:t>，满足GB18483—2001《饮食业油烟排放标准》油烟最高允许排放浓度2mg/m</w:t>
      </w:r>
      <w:r>
        <w:rPr>
          <w:color w:val="000000" w:themeColor="text1"/>
          <w:sz w:val="24"/>
          <w:vertAlign w:val="superscript"/>
        </w:rPr>
        <w:t>3</w:t>
      </w:r>
      <w:r>
        <w:rPr>
          <w:color w:val="000000" w:themeColor="text1"/>
          <w:sz w:val="24"/>
        </w:rPr>
        <w:t>。项目区烟道出口周围150m范围内无其他建筑物，对周围环境影响可接受。</w:t>
      </w:r>
    </w:p>
    <w:p w14:paraId="07F486D2">
      <w:pPr>
        <w:spacing w:line="360" w:lineRule="auto"/>
        <w:ind w:firstLine="482" w:firstLineChars="200"/>
        <w:rPr>
          <w:b/>
          <w:color w:val="000000" w:themeColor="text1"/>
          <w:sz w:val="24"/>
        </w:rPr>
      </w:pPr>
      <w:r>
        <w:rPr>
          <w:b/>
          <w:color w:val="000000" w:themeColor="text1"/>
          <w:sz w:val="24"/>
        </w:rPr>
        <w:t>2、无组织废气（造粒热熔挤出及编织袋生产废气）环境影响分析</w:t>
      </w:r>
    </w:p>
    <w:p w14:paraId="29B46C4E">
      <w:pPr>
        <w:spacing w:line="360" w:lineRule="auto"/>
        <w:ind w:firstLine="482" w:firstLineChars="200"/>
        <w:rPr>
          <w:b/>
          <w:color w:val="000000" w:themeColor="text1"/>
          <w:sz w:val="24"/>
        </w:rPr>
      </w:pPr>
      <w:r>
        <w:rPr>
          <w:b/>
          <w:color w:val="000000" w:themeColor="text1"/>
          <w:sz w:val="24"/>
        </w:rPr>
        <w:t>（1）造粒热熔挤出及编织袋生产无组织废气环境影响分析</w:t>
      </w:r>
    </w:p>
    <w:p w14:paraId="5A20152A">
      <w:pPr>
        <w:spacing w:line="360" w:lineRule="auto"/>
        <w:ind w:firstLine="480" w:firstLineChars="200"/>
        <w:rPr>
          <w:color w:val="000000" w:themeColor="text1"/>
          <w:sz w:val="24"/>
        </w:rPr>
      </w:pPr>
      <w:r>
        <w:rPr>
          <w:color w:val="000000" w:themeColor="text1"/>
          <w:sz w:val="24"/>
        </w:rPr>
        <w:t>本次评价采用HJ/T2.2-2018推介的AERSCREEN模式分别对颗粒物、非甲烷总烃下风向的轴线浓度进行计算，并计算相应浓度</w:t>
      </w:r>
      <w:r>
        <w:rPr>
          <w:rFonts w:hint="eastAsia"/>
          <w:color w:val="000000" w:themeColor="text1"/>
          <w:sz w:val="24"/>
          <w:lang w:eastAsia="zh-CN"/>
        </w:rPr>
        <w:t>的</w:t>
      </w:r>
      <w:r>
        <w:rPr>
          <w:color w:val="000000" w:themeColor="text1"/>
          <w:sz w:val="24"/>
        </w:rPr>
        <w:t>占标率，结果见表6.1-6。</w:t>
      </w:r>
    </w:p>
    <w:p w14:paraId="16FD258F">
      <w:pPr>
        <w:jc w:val="center"/>
        <w:rPr>
          <w:b/>
          <w:color w:val="000000" w:themeColor="text1"/>
          <w:sz w:val="24"/>
        </w:rPr>
      </w:pPr>
      <w:r>
        <w:rPr>
          <w:b/>
          <w:color w:val="000000" w:themeColor="text1"/>
          <w:sz w:val="24"/>
        </w:rPr>
        <w:t>表6.1-6  采用估算模式计算结果表</w:t>
      </w:r>
    </w:p>
    <w:tbl>
      <w:tblPr>
        <w:tblStyle w:val="42"/>
        <w:tblW w:w="5000" w:type="pct"/>
        <w:tblInd w:w="0" w:type="dxa"/>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Layout w:type="fixed"/>
        <w:tblCellMar>
          <w:top w:w="0" w:type="dxa"/>
          <w:left w:w="108" w:type="dxa"/>
          <w:bottom w:w="0" w:type="dxa"/>
          <w:right w:w="108" w:type="dxa"/>
        </w:tblCellMar>
      </w:tblPr>
      <w:tblGrid>
        <w:gridCol w:w="2025"/>
        <w:gridCol w:w="1764"/>
        <w:gridCol w:w="1619"/>
        <w:gridCol w:w="1895"/>
        <w:gridCol w:w="1543"/>
      </w:tblGrid>
      <w:tr w14:paraId="279C368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vMerge w:val="restart"/>
            <w:shd w:val="clear" w:color="auto" w:fill="auto"/>
            <w:noWrap/>
            <w:vAlign w:val="center"/>
          </w:tcPr>
          <w:p w14:paraId="7CA271B6">
            <w:pPr>
              <w:widowControl/>
              <w:jc w:val="center"/>
              <w:rPr>
                <w:color w:val="000000" w:themeColor="text1"/>
                <w:kern w:val="0"/>
                <w:sz w:val="22"/>
                <w:szCs w:val="22"/>
              </w:rPr>
            </w:pPr>
            <w:r>
              <w:rPr>
                <w:b/>
                <w:color w:val="000000" w:themeColor="text1"/>
                <w:szCs w:val="21"/>
              </w:rPr>
              <w:t>距源中心下风向距离D/m</w:t>
            </w:r>
          </w:p>
        </w:tc>
        <w:tc>
          <w:tcPr>
            <w:tcW w:w="997" w:type="pct"/>
            <w:shd w:val="clear" w:color="auto" w:fill="auto"/>
            <w:noWrap/>
            <w:vAlign w:val="center"/>
          </w:tcPr>
          <w:p w14:paraId="4F8C3866">
            <w:pPr>
              <w:widowControl/>
              <w:jc w:val="center"/>
              <w:rPr>
                <w:color w:val="000000" w:themeColor="text1"/>
                <w:kern w:val="0"/>
                <w:sz w:val="22"/>
                <w:szCs w:val="22"/>
              </w:rPr>
            </w:pPr>
            <w:r>
              <w:rPr>
                <w:color w:val="000000" w:themeColor="text1"/>
                <w:kern w:val="0"/>
                <w:sz w:val="22"/>
                <w:szCs w:val="22"/>
              </w:rPr>
              <w:t>TSP</w:t>
            </w:r>
          </w:p>
        </w:tc>
        <w:tc>
          <w:tcPr>
            <w:tcW w:w="915" w:type="pct"/>
            <w:shd w:val="clear" w:color="auto" w:fill="auto"/>
            <w:noWrap/>
            <w:vAlign w:val="center"/>
          </w:tcPr>
          <w:p w14:paraId="6725D25B">
            <w:pPr>
              <w:widowControl/>
              <w:jc w:val="center"/>
              <w:rPr>
                <w:color w:val="000000" w:themeColor="text1"/>
                <w:kern w:val="0"/>
                <w:sz w:val="22"/>
                <w:szCs w:val="22"/>
              </w:rPr>
            </w:pPr>
          </w:p>
        </w:tc>
        <w:tc>
          <w:tcPr>
            <w:tcW w:w="1943" w:type="pct"/>
            <w:gridSpan w:val="2"/>
            <w:shd w:val="clear" w:color="auto" w:fill="auto"/>
            <w:noWrap/>
            <w:vAlign w:val="center"/>
          </w:tcPr>
          <w:p w14:paraId="08AEDD9C">
            <w:pPr>
              <w:widowControl/>
              <w:jc w:val="center"/>
              <w:rPr>
                <w:color w:val="000000" w:themeColor="text1"/>
                <w:kern w:val="0"/>
                <w:sz w:val="22"/>
                <w:szCs w:val="22"/>
              </w:rPr>
            </w:pPr>
            <w:r>
              <w:rPr>
                <w:color w:val="000000" w:themeColor="text1"/>
                <w:kern w:val="0"/>
                <w:sz w:val="22"/>
                <w:szCs w:val="22"/>
              </w:rPr>
              <w:t>非甲烷总烃</w:t>
            </w:r>
          </w:p>
        </w:tc>
      </w:tr>
      <w:tr w14:paraId="1A2AAD0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vMerge w:val="continue"/>
            <w:shd w:val="clear" w:color="auto" w:fill="auto"/>
            <w:noWrap/>
            <w:vAlign w:val="center"/>
          </w:tcPr>
          <w:p w14:paraId="6CF40AD4">
            <w:pPr>
              <w:widowControl/>
              <w:jc w:val="center"/>
              <w:rPr>
                <w:color w:val="000000" w:themeColor="text1"/>
                <w:kern w:val="0"/>
                <w:sz w:val="22"/>
                <w:szCs w:val="22"/>
              </w:rPr>
            </w:pPr>
          </w:p>
        </w:tc>
        <w:tc>
          <w:tcPr>
            <w:tcW w:w="997" w:type="pct"/>
            <w:shd w:val="clear" w:color="auto" w:fill="auto"/>
            <w:noWrap/>
            <w:vAlign w:val="center"/>
          </w:tcPr>
          <w:p w14:paraId="2B56FFC0">
            <w:pPr>
              <w:jc w:val="center"/>
              <w:rPr>
                <w:b/>
                <w:color w:val="000000" w:themeColor="text1"/>
                <w:szCs w:val="21"/>
              </w:rPr>
            </w:pPr>
            <w:r>
              <w:rPr>
                <w:b/>
                <w:color w:val="000000" w:themeColor="text1"/>
                <w:szCs w:val="21"/>
              </w:rPr>
              <w:t>下风向预测浓度C</w:t>
            </w:r>
            <w:r>
              <w:rPr>
                <w:b/>
                <w:color w:val="000000" w:themeColor="text1"/>
                <w:szCs w:val="21"/>
                <w:vertAlign w:val="subscript"/>
              </w:rPr>
              <w:t>il</w:t>
            </w:r>
            <w:r>
              <w:rPr>
                <w:b/>
                <w:color w:val="000000" w:themeColor="text1"/>
                <w:szCs w:val="21"/>
              </w:rPr>
              <w:t>/（ug/m</w:t>
            </w:r>
            <w:r>
              <w:rPr>
                <w:b/>
                <w:color w:val="000000" w:themeColor="text1"/>
                <w:szCs w:val="21"/>
                <w:vertAlign w:val="superscript"/>
              </w:rPr>
              <w:t>3</w:t>
            </w:r>
            <w:r>
              <w:rPr>
                <w:b/>
                <w:color w:val="000000" w:themeColor="text1"/>
                <w:szCs w:val="21"/>
              </w:rPr>
              <w:t>）</w:t>
            </w:r>
          </w:p>
        </w:tc>
        <w:tc>
          <w:tcPr>
            <w:tcW w:w="915" w:type="pct"/>
            <w:shd w:val="clear" w:color="auto" w:fill="auto"/>
            <w:noWrap/>
            <w:vAlign w:val="center"/>
          </w:tcPr>
          <w:p w14:paraId="482A13C1">
            <w:pPr>
              <w:jc w:val="center"/>
              <w:rPr>
                <w:b/>
                <w:color w:val="000000" w:themeColor="text1"/>
                <w:szCs w:val="21"/>
              </w:rPr>
            </w:pPr>
            <w:r>
              <w:rPr>
                <w:b/>
                <w:color w:val="000000" w:themeColor="text1"/>
                <w:szCs w:val="21"/>
              </w:rPr>
              <w:t>浓度占标率P</w:t>
            </w:r>
            <w:r>
              <w:rPr>
                <w:b/>
                <w:color w:val="000000" w:themeColor="text1"/>
                <w:szCs w:val="21"/>
                <w:vertAlign w:val="subscript"/>
              </w:rPr>
              <w:t>il</w:t>
            </w:r>
            <w:r>
              <w:rPr>
                <w:b/>
                <w:color w:val="000000" w:themeColor="text1"/>
                <w:szCs w:val="21"/>
              </w:rPr>
              <w:t>/%</w:t>
            </w:r>
          </w:p>
        </w:tc>
        <w:tc>
          <w:tcPr>
            <w:tcW w:w="1071" w:type="pct"/>
            <w:shd w:val="clear" w:color="auto" w:fill="auto"/>
            <w:noWrap/>
            <w:vAlign w:val="center"/>
          </w:tcPr>
          <w:p w14:paraId="4C3F7285">
            <w:pPr>
              <w:jc w:val="center"/>
              <w:rPr>
                <w:b/>
                <w:color w:val="000000" w:themeColor="text1"/>
                <w:szCs w:val="21"/>
              </w:rPr>
            </w:pPr>
            <w:r>
              <w:rPr>
                <w:b/>
                <w:color w:val="000000" w:themeColor="text1"/>
                <w:szCs w:val="21"/>
              </w:rPr>
              <w:t>下风向预测浓度C</w:t>
            </w:r>
            <w:r>
              <w:rPr>
                <w:b/>
                <w:color w:val="000000" w:themeColor="text1"/>
                <w:szCs w:val="21"/>
                <w:vertAlign w:val="subscript"/>
              </w:rPr>
              <w:t>il</w:t>
            </w:r>
            <w:r>
              <w:rPr>
                <w:b/>
                <w:color w:val="000000" w:themeColor="text1"/>
                <w:szCs w:val="21"/>
              </w:rPr>
              <w:t>/（ug/m</w:t>
            </w:r>
            <w:r>
              <w:rPr>
                <w:b/>
                <w:color w:val="000000" w:themeColor="text1"/>
                <w:szCs w:val="21"/>
                <w:vertAlign w:val="superscript"/>
              </w:rPr>
              <w:t>3</w:t>
            </w:r>
            <w:r>
              <w:rPr>
                <w:b/>
                <w:color w:val="000000" w:themeColor="text1"/>
                <w:szCs w:val="21"/>
              </w:rPr>
              <w:t>）</w:t>
            </w:r>
          </w:p>
        </w:tc>
        <w:tc>
          <w:tcPr>
            <w:tcW w:w="872" w:type="pct"/>
            <w:shd w:val="clear" w:color="auto" w:fill="auto"/>
            <w:noWrap/>
            <w:vAlign w:val="center"/>
          </w:tcPr>
          <w:p w14:paraId="4B806F6F">
            <w:pPr>
              <w:jc w:val="center"/>
              <w:rPr>
                <w:b/>
                <w:color w:val="000000" w:themeColor="text1"/>
                <w:szCs w:val="21"/>
              </w:rPr>
            </w:pPr>
            <w:r>
              <w:rPr>
                <w:b/>
                <w:color w:val="000000" w:themeColor="text1"/>
                <w:szCs w:val="21"/>
              </w:rPr>
              <w:t>浓度占标率P</w:t>
            </w:r>
            <w:r>
              <w:rPr>
                <w:b/>
                <w:color w:val="000000" w:themeColor="text1"/>
                <w:szCs w:val="21"/>
                <w:vertAlign w:val="subscript"/>
              </w:rPr>
              <w:t>il</w:t>
            </w:r>
            <w:r>
              <w:rPr>
                <w:b/>
                <w:color w:val="000000" w:themeColor="text1"/>
                <w:szCs w:val="21"/>
              </w:rPr>
              <w:t>/%</w:t>
            </w:r>
          </w:p>
        </w:tc>
      </w:tr>
      <w:tr w14:paraId="53752D7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2E83FDC5">
            <w:pPr>
              <w:jc w:val="center"/>
              <w:rPr>
                <w:sz w:val="23"/>
                <w:szCs w:val="23"/>
              </w:rPr>
            </w:pPr>
            <w:r>
              <w:rPr>
                <w:sz w:val="23"/>
                <w:szCs w:val="23"/>
              </w:rPr>
              <w:t>50.0</w:t>
            </w:r>
          </w:p>
        </w:tc>
        <w:tc>
          <w:tcPr>
            <w:tcW w:w="997" w:type="pct"/>
            <w:shd w:val="clear" w:color="auto" w:fill="auto"/>
            <w:noWrap/>
            <w:vAlign w:val="center"/>
          </w:tcPr>
          <w:p w14:paraId="688B48C7">
            <w:pPr>
              <w:jc w:val="center"/>
              <w:rPr>
                <w:sz w:val="23"/>
                <w:szCs w:val="23"/>
              </w:rPr>
            </w:pPr>
            <w:r>
              <w:rPr>
                <w:sz w:val="23"/>
                <w:szCs w:val="23"/>
              </w:rPr>
              <w:t>0.9111</w:t>
            </w:r>
          </w:p>
        </w:tc>
        <w:tc>
          <w:tcPr>
            <w:tcW w:w="915" w:type="pct"/>
            <w:shd w:val="clear" w:color="auto" w:fill="auto"/>
            <w:noWrap/>
            <w:vAlign w:val="center"/>
          </w:tcPr>
          <w:p w14:paraId="1E20E7FD">
            <w:pPr>
              <w:jc w:val="center"/>
              <w:rPr>
                <w:sz w:val="23"/>
                <w:szCs w:val="23"/>
              </w:rPr>
            </w:pPr>
            <w:r>
              <w:rPr>
                <w:sz w:val="23"/>
                <w:szCs w:val="23"/>
              </w:rPr>
              <w:t>0.1012</w:t>
            </w:r>
          </w:p>
        </w:tc>
        <w:tc>
          <w:tcPr>
            <w:tcW w:w="1071" w:type="pct"/>
            <w:shd w:val="clear" w:color="auto" w:fill="auto"/>
            <w:noWrap/>
            <w:vAlign w:val="center"/>
          </w:tcPr>
          <w:p w14:paraId="03477CD1">
            <w:pPr>
              <w:jc w:val="center"/>
              <w:rPr>
                <w:sz w:val="23"/>
                <w:szCs w:val="23"/>
              </w:rPr>
            </w:pPr>
            <w:r>
              <w:rPr>
                <w:sz w:val="23"/>
                <w:szCs w:val="23"/>
              </w:rPr>
              <w:t>6.2706</w:t>
            </w:r>
          </w:p>
        </w:tc>
        <w:tc>
          <w:tcPr>
            <w:tcW w:w="872" w:type="pct"/>
            <w:shd w:val="clear" w:color="auto" w:fill="auto"/>
            <w:noWrap/>
            <w:vAlign w:val="center"/>
          </w:tcPr>
          <w:p w14:paraId="490AF992">
            <w:pPr>
              <w:jc w:val="center"/>
              <w:rPr>
                <w:sz w:val="23"/>
                <w:szCs w:val="23"/>
              </w:rPr>
            </w:pPr>
            <w:r>
              <w:rPr>
                <w:sz w:val="23"/>
                <w:szCs w:val="23"/>
              </w:rPr>
              <w:t>0.3135</w:t>
            </w:r>
          </w:p>
        </w:tc>
      </w:tr>
      <w:tr w14:paraId="6D6C54C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64A6834B">
            <w:pPr>
              <w:jc w:val="center"/>
              <w:rPr>
                <w:sz w:val="23"/>
                <w:szCs w:val="23"/>
              </w:rPr>
            </w:pPr>
            <w:r>
              <w:rPr>
                <w:sz w:val="23"/>
                <w:szCs w:val="23"/>
              </w:rPr>
              <w:t>100.0</w:t>
            </w:r>
          </w:p>
        </w:tc>
        <w:tc>
          <w:tcPr>
            <w:tcW w:w="997" w:type="pct"/>
            <w:shd w:val="clear" w:color="auto" w:fill="auto"/>
            <w:noWrap/>
            <w:vAlign w:val="center"/>
          </w:tcPr>
          <w:p w14:paraId="2D3FC75E">
            <w:pPr>
              <w:jc w:val="center"/>
              <w:rPr>
                <w:sz w:val="23"/>
                <w:szCs w:val="23"/>
              </w:rPr>
            </w:pPr>
            <w:r>
              <w:rPr>
                <w:sz w:val="23"/>
                <w:szCs w:val="23"/>
              </w:rPr>
              <w:t>0.8499</w:t>
            </w:r>
          </w:p>
        </w:tc>
        <w:tc>
          <w:tcPr>
            <w:tcW w:w="915" w:type="pct"/>
            <w:shd w:val="clear" w:color="auto" w:fill="auto"/>
            <w:noWrap/>
            <w:vAlign w:val="center"/>
          </w:tcPr>
          <w:p w14:paraId="4F10552E">
            <w:pPr>
              <w:jc w:val="center"/>
              <w:rPr>
                <w:sz w:val="23"/>
                <w:szCs w:val="23"/>
              </w:rPr>
            </w:pPr>
            <w:r>
              <w:rPr>
                <w:sz w:val="23"/>
                <w:szCs w:val="23"/>
              </w:rPr>
              <w:t>0.0944</w:t>
            </w:r>
          </w:p>
        </w:tc>
        <w:tc>
          <w:tcPr>
            <w:tcW w:w="1071" w:type="pct"/>
            <w:shd w:val="clear" w:color="auto" w:fill="auto"/>
            <w:noWrap/>
            <w:vAlign w:val="center"/>
          </w:tcPr>
          <w:p w14:paraId="7ED5974E">
            <w:pPr>
              <w:jc w:val="center"/>
              <w:rPr>
                <w:sz w:val="23"/>
                <w:szCs w:val="23"/>
              </w:rPr>
            </w:pPr>
            <w:r>
              <w:rPr>
                <w:sz w:val="23"/>
                <w:szCs w:val="23"/>
              </w:rPr>
              <w:t>5.8492</w:t>
            </w:r>
          </w:p>
        </w:tc>
        <w:tc>
          <w:tcPr>
            <w:tcW w:w="872" w:type="pct"/>
            <w:shd w:val="clear" w:color="auto" w:fill="auto"/>
            <w:noWrap/>
            <w:vAlign w:val="center"/>
          </w:tcPr>
          <w:p w14:paraId="65592B37">
            <w:pPr>
              <w:jc w:val="center"/>
              <w:rPr>
                <w:sz w:val="23"/>
                <w:szCs w:val="23"/>
              </w:rPr>
            </w:pPr>
            <w:r>
              <w:rPr>
                <w:sz w:val="23"/>
                <w:szCs w:val="23"/>
              </w:rPr>
              <w:t>0.2925</w:t>
            </w:r>
          </w:p>
        </w:tc>
      </w:tr>
      <w:tr w14:paraId="37F870A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77A565A6">
            <w:pPr>
              <w:jc w:val="center"/>
              <w:rPr>
                <w:sz w:val="23"/>
                <w:szCs w:val="23"/>
              </w:rPr>
            </w:pPr>
            <w:r>
              <w:rPr>
                <w:sz w:val="23"/>
                <w:szCs w:val="23"/>
              </w:rPr>
              <w:t>200.0</w:t>
            </w:r>
          </w:p>
        </w:tc>
        <w:tc>
          <w:tcPr>
            <w:tcW w:w="997" w:type="pct"/>
            <w:shd w:val="clear" w:color="auto" w:fill="auto"/>
            <w:noWrap/>
            <w:vAlign w:val="center"/>
          </w:tcPr>
          <w:p w14:paraId="02886B16">
            <w:pPr>
              <w:jc w:val="center"/>
              <w:rPr>
                <w:sz w:val="23"/>
                <w:szCs w:val="23"/>
              </w:rPr>
            </w:pPr>
            <w:r>
              <w:rPr>
                <w:sz w:val="23"/>
                <w:szCs w:val="23"/>
              </w:rPr>
              <w:t>0.5439</w:t>
            </w:r>
          </w:p>
        </w:tc>
        <w:tc>
          <w:tcPr>
            <w:tcW w:w="915" w:type="pct"/>
            <w:shd w:val="clear" w:color="auto" w:fill="auto"/>
            <w:noWrap/>
            <w:vAlign w:val="center"/>
          </w:tcPr>
          <w:p w14:paraId="22770F1A">
            <w:pPr>
              <w:jc w:val="center"/>
              <w:rPr>
                <w:sz w:val="23"/>
                <w:szCs w:val="23"/>
              </w:rPr>
            </w:pPr>
            <w:r>
              <w:rPr>
                <w:sz w:val="23"/>
                <w:szCs w:val="23"/>
              </w:rPr>
              <w:t>0.0604</w:t>
            </w:r>
          </w:p>
        </w:tc>
        <w:tc>
          <w:tcPr>
            <w:tcW w:w="1071" w:type="pct"/>
            <w:shd w:val="clear" w:color="auto" w:fill="auto"/>
            <w:noWrap/>
            <w:vAlign w:val="center"/>
          </w:tcPr>
          <w:p w14:paraId="63C4055D">
            <w:pPr>
              <w:jc w:val="center"/>
              <w:rPr>
                <w:sz w:val="23"/>
                <w:szCs w:val="23"/>
              </w:rPr>
            </w:pPr>
            <w:r>
              <w:rPr>
                <w:sz w:val="23"/>
                <w:szCs w:val="23"/>
              </w:rPr>
              <w:t>3.7433</w:t>
            </w:r>
          </w:p>
        </w:tc>
        <w:tc>
          <w:tcPr>
            <w:tcW w:w="872" w:type="pct"/>
            <w:shd w:val="clear" w:color="auto" w:fill="auto"/>
            <w:noWrap/>
            <w:vAlign w:val="center"/>
          </w:tcPr>
          <w:p w14:paraId="72A4CB04">
            <w:pPr>
              <w:jc w:val="center"/>
              <w:rPr>
                <w:sz w:val="23"/>
                <w:szCs w:val="23"/>
              </w:rPr>
            </w:pPr>
            <w:r>
              <w:rPr>
                <w:sz w:val="23"/>
                <w:szCs w:val="23"/>
              </w:rPr>
              <w:t>0.1872</w:t>
            </w:r>
          </w:p>
        </w:tc>
      </w:tr>
      <w:tr w14:paraId="33DD3410">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4BFD18FD">
            <w:pPr>
              <w:jc w:val="center"/>
              <w:rPr>
                <w:sz w:val="23"/>
                <w:szCs w:val="23"/>
              </w:rPr>
            </w:pPr>
            <w:r>
              <w:rPr>
                <w:sz w:val="23"/>
                <w:szCs w:val="23"/>
              </w:rPr>
              <w:t>300.0</w:t>
            </w:r>
          </w:p>
        </w:tc>
        <w:tc>
          <w:tcPr>
            <w:tcW w:w="997" w:type="pct"/>
            <w:shd w:val="clear" w:color="auto" w:fill="auto"/>
            <w:noWrap/>
            <w:vAlign w:val="center"/>
          </w:tcPr>
          <w:p w14:paraId="28CF5849">
            <w:pPr>
              <w:jc w:val="center"/>
              <w:rPr>
                <w:sz w:val="23"/>
                <w:szCs w:val="23"/>
              </w:rPr>
            </w:pPr>
            <w:r>
              <w:rPr>
                <w:sz w:val="23"/>
                <w:szCs w:val="23"/>
              </w:rPr>
              <w:t>0.4375</w:t>
            </w:r>
          </w:p>
        </w:tc>
        <w:tc>
          <w:tcPr>
            <w:tcW w:w="915" w:type="pct"/>
            <w:shd w:val="clear" w:color="auto" w:fill="auto"/>
            <w:noWrap/>
            <w:vAlign w:val="center"/>
          </w:tcPr>
          <w:p w14:paraId="3103137B">
            <w:pPr>
              <w:jc w:val="center"/>
              <w:rPr>
                <w:sz w:val="23"/>
                <w:szCs w:val="23"/>
              </w:rPr>
            </w:pPr>
            <w:r>
              <w:rPr>
                <w:sz w:val="23"/>
                <w:szCs w:val="23"/>
              </w:rPr>
              <w:t>0.0486</w:t>
            </w:r>
          </w:p>
        </w:tc>
        <w:tc>
          <w:tcPr>
            <w:tcW w:w="1071" w:type="pct"/>
            <w:shd w:val="clear" w:color="auto" w:fill="auto"/>
            <w:noWrap/>
            <w:vAlign w:val="center"/>
          </w:tcPr>
          <w:p w14:paraId="29AFFCD8">
            <w:pPr>
              <w:jc w:val="center"/>
              <w:rPr>
                <w:sz w:val="23"/>
                <w:szCs w:val="23"/>
              </w:rPr>
            </w:pPr>
            <w:r>
              <w:rPr>
                <w:sz w:val="23"/>
                <w:szCs w:val="23"/>
              </w:rPr>
              <w:t>3.0107</w:t>
            </w:r>
          </w:p>
        </w:tc>
        <w:tc>
          <w:tcPr>
            <w:tcW w:w="872" w:type="pct"/>
            <w:shd w:val="clear" w:color="auto" w:fill="auto"/>
            <w:noWrap/>
            <w:vAlign w:val="center"/>
          </w:tcPr>
          <w:p w14:paraId="784F7099">
            <w:pPr>
              <w:jc w:val="center"/>
              <w:rPr>
                <w:sz w:val="23"/>
                <w:szCs w:val="23"/>
              </w:rPr>
            </w:pPr>
            <w:r>
              <w:rPr>
                <w:sz w:val="23"/>
                <w:szCs w:val="23"/>
              </w:rPr>
              <w:t>0.1505</w:t>
            </w:r>
          </w:p>
        </w:tc>
      </w:tr>
      <w:tr w14:paraId="0B031D22">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564B48C3">
            <w:pPr>
              <w:jc w:val="center"/>
              <w:rPr>
                <w:sz w:val="23"/>
                <w:szCs w:val="23"/>
              </w:rPr>
            </w:pPr>
            <w:r>
              <w:rPr>
                <w:sz w:val="23"/>
                <w:szCs w:val="23"/>
              </w:rPr>
              <w:t>400.0</w:t>
            </w:r>
          </w:p>
        </w:tc>
        <w:tc>
          <w:tcPr>
            <w:tcW w:w="997" w:type="pct"/>
            <w:shd w:val="clear" w:color="auto" w:fill="auto"/>
            <w:noWrap/>
            <w:vAlign w:val="center"/>
          </w:tcPr>
          <w:p w14:paraId="4C979F79">
            <w:pPr>
              <w:jc w:val="center"/>
              <w:rPr>
                <w:sz w:val="23"/>
                <w:szCs w:val="23"/>
              </w:rPr>
            </w:pPr>
            <w:r>
              <w:rPr>
                <w:sz w:val="23"/>
                <w:szCs w:val="23"/>
              </w:rPr>
              <w:t>0.3624</w:t>
            </w:r>
          </w:p>
        </w:tc>
        <w:tc>
          <w:tcPr>
            <w:tcW w:w="915" w:type="pct"/>
            <w:shd w:val="clear" w:color="auto" w:fill="auto"/>
            <w:noWrap/>
            <w:vAlign w:val="center"/>
          </w:tcPr>
          <w:p w14:paraId="17C1B2F7">
            <w:pPr>
              <w:jc w:val="center"/>
              <w:rPr>
                <w:sz w:val="23"/>
                <w:szCs w:val="23"/>
              </w:rPr>
            </w:pPr>
            <w:r>
              <w:rPr>
                <w:sz w:val="23"/>
                <w:szCs w:val="23"/>
              </w:rPr>
              <w:t>0.0403</w:t>
            </w:r>
          </w:p>
        </w:tc>
        <w:tc>
          <w:tcPr>
            <w:tcW w:w="1071" w:type="pct"/>
            <w:shd w:val="clear" w:color="auto" w:fill="auto"/>
            <w:noWrap/>
            <w:vAlign w:val="center"/>
          </w:tcPr>
          <w:p w14:paraId="0E767C71">
            <w:pPr>
              <w:jc w:val="center"/>
              <w:rPr>
                <w:sz w:val="23"/>
                <w:szCs w:val="23"/>
              </w:rPr>
            </w:pPr>
            <w:r>
              <w:rPr>
                <w:sz w:val="23"/>
                <w:szCs w:val="23"/>
              </w:rPr>
              <w:t>2.4941</w:t>
            </w:r>
          </w:p>
        </w:tc>
        <w:tc>
          <w:tcPr>
            <w:tcW w:w="872" w:type="pct"/>
            <w:shd w:val="clear" w:color="auto" w:fill="auto"/>
            <w:noWrap/>
            <w:vAlign w:val="center"/>
          </w:tcPr>
          <w:p w14:paraId="2B1A9A1F">
            <w:pPr>
              <w:jc w:val="center"/>
              <w:rPr>
                <w:sz w:val="23"/>
                <w:szCs w:val="23"/>
              </w:rPr>
            </w:pPr>
            <w:r>
              <w:rPr>
                <w:sz w:val="23"/>
                <w:szCs w:val="23"/>
              </w:rPr>
              <w:t>0.1247</w:t>
            </w:r>
          </w:p>
        </w:tc>
      </w:tr>
      <w:tr w14:paraId="7A74155E">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21D71864">
            <w:pPr>
              <w:jc w:val="center"/>
              <w:rPr>
                <w:sz w:val="23"/>
                <w:szCs w:val="23"/>
              </w:rPr>
            </w:pPr>
            <w:r>
              <w:rPr>
                <w:sz w:val="23"/>
                <w:szCs w:val="23"/>
              </w:rPr>
              <w:t>500.0</w:t>
            </w:r>
          </w:p>
        </w:tc>
        <w:tc>
          <w:tcPr>
            <w:tcW w:w="997" w:type="pct"/>
            <w:shd w:val="clear" w:color="auto" w:fill="auto"/>
            <w:noWrap/>
            <w:vAlign w:val="center"/>
          </w:tcPr>
          <w:p w14:paraId="75BFD577">
            <w:pPr>
              <w:jc w:val="center"/>
              <w:rPr>
                <w:sz w:val="23"/>
                <w:szCs w:val="23"/>
              </w:rPr>
            </w:pPr>
            <w:r>
              <w:rPr>
                <w:sz w:val="23"/>
                <w:szCs w:val="23"/>
              </w:rPr>
              <w:t>0.3349</w:t>
            </w:r>
          </w:p>
        </w:tc>
        <w:tc>
          <w:tcPr>
            <w:tcW w:w="915" w:type="pct"/>
            <w:shd w:val="clear" w:color="auto" w:fill="auto"/>
            <w:noWrap/>
            <w:vAlign w:val="center"/>
          </w:tcPr>
          <w:p w14:paraId="1D4A5D86">
            <w:pPr>
              <w:jc w:val="center"/>
              <w:rPr>
                <w:sz w:val="23"/>
                <w:szCs w:val="23"/>
              </w:rPr>
            </w:pPr>
            <w:r>
              <w:rPr>
                <w:sz w:val="23"/>
                <w:szCs w:val="23"/>
              </w:rPr>
              <w:t>0.0372</w:t>
            </w:r>
          </w:p>
        </w:tc>
        <w:tc>
          <w:tcPr>
            <w:tcW w:w="1071" w:type="pct"/>
            <w:shd w:val="clear" w:color="auto" w:fill="auto"/>
            <w:noWrap/>
            <w:vAlign w:val="center"/>
          </w:tcPr>
          <w:p w14:paraId="7439406E">
            <w:pPr>
              <w:jc w:val="center"/>
              <w:rPr>
                <w:sz w:val="23"/>
                <w:szCs w:val="23"/>
              </w:rPr>
            </w:pPr>
            <w:r>
              <w:rPr>
                <w:sz w:val="23"/>
                <w:szCs w:val="23"/>
              </w:rPr>
              <w:t>2.3050</w:t>
            </w:r>
          </w:p>
        </w:tc>
        <w:tc>
          <w:tcPr>
            <w:tcW w:w="872" w:type="pct"/>
            <w:shd w:val="clear" w:color="auto" w:fill="auto"/>
            <w:noWrap/>
            <w:vAlign w:val="center"/>
          </w:tcPr>
          <w:p w14:paraId="49374C93">
            <w:pPr>
              <w:jc w:val="center"/>
              <w:rPr>
                <w:sz w:val="23"/>
                <w:szCs w:val="23"/>
              </w:rPr>
            </w:pPr>
            <w:r>
              <w:rPr>
                <w:sz w:val="23"/>
                <w:szCs w:val="23"/>
              </w:rPr>
              <w:t>0.1153</w:t>
            </w:r>
          </w:p>
        </w:tc>
      </w:tr>
      <w:tr w14:paraId="4EE4F9F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34AF811F">
            <w:pPr>
              <w:jc w:val="center"/>
              <w:rPr>
                <w:sz w:val="23"/>
                <w:szCs w:val="23"/>
              </w:rPr>
            </w:pPr>
            <w:r>
              <w:rPr>
                <w:sz w:val="23"/>
                <w:szCs w:val="23"/>
              </w:rPr>
              <w:t>600.0</w:t>
            </w:r>
          </w:p>
        </w:tc>
        <w:tc>
          <w:tcPr>
            <w:tcW w:w="997" w:type="pct"/>
            <w:shd w:val="clear" w:color="auto" w:fill="auto"/>
            <w:noWrap/>
            <w:vAlign w:val="center"/>
          </w:tcPr>
          <w:p w14:paraId="0B381796">
            <w:pPr>
              <w:jc w:val="center"/>
              <w:rPr>
                <w:sz w:val="23"/>
                <w:szCs w:val="23"/>
              </w:rPr>
            </w:pPr>
            <w:r>
              <w:rPr>
                <w:sz w:val="23"/>
                <w:szCs w:val="23"/>
              </w:rPr>
              <w:t>0.3131</w:t>
            </w:r>
          </w:p>
        </w:tc>
        <w:tc>
          <w:tcPr>
            <w:tcW w:w="915" w:type="pct"/>
            <w:shd w:val="clear" w:color="auto" w:fill="auto"/>
            <w:noWrap/>
            <w:vAlign w:val="center"/>
          </w:tcPr>
          <w:p w14:paraId="4149F10B">
            <w:pPr>
              <w:jc w:val="center"/>
              <w:rPr>
                <w:sz w:val="23"/>
                <w:szCs w:val="23"/>
              </w:rPr>
            </w:pPr>
            <w:r>
              <w:rPr>
                <w:sz w:val="23"/>
                <w:szCs w:val="23"/>
              </w:rPr>
              <w:t>0.0348</w:t>
            </w:r>
          </w:p>
        </w:tc>
        <w:tc>
          <w:tcPr>
            <w:tcW w:w="1071" w:type="pct"/>
            <w:shd w:val="clear" w:color="auto" w:fill="auto"/>
            <w:noWrap/>
            <w:vAlign w:val="center"/>
          </w:tcPr>
          <w:p w14:paraId="35D91485">
            <w:pPr>
              <w:jc w:val="center"/>
              <w:rPr>
                <w:sz w:val="23"/>
                <w:szCs w:val="23"/>
              </w:rPr>
            </w:pPr>
            <w:r>
              <w:rPr>
                <w:sz w:val="23"/>
                <w:szCs w:val="23"/>
              </w:rPr>
              <w:t>2.1552</w:t>
            </w:r>
          </w:p>
        </w:tc>
        <w:tc>
          <w:tcPr>
            <w:tcW w:w="872" w:type="pct"/>
            <w:shd w:val="clear" w:color="auto" w:fill="auto"/>
            <w:noWrap/>
            <w:vAlign w:val="center"/>
          </w:tcPr>
          <w:p w14:paraId="1C586616">
            <w:pPr>
              <w:jc w:val="center"/>
              <w:rPr>
                <w:sz w:val="23"/>
                <w:szCs w:val="23"/>
              </w:rPr>
            </w:pPr>
            <w:r>
              <w:rPr>
                <w:sz w:val="23"/>
                <w:szCs w:val="23"/>
              </w:rPr>
              <w:t>0.1078</w:t>
            </w:r>
          </w:p>
        </w:tc>
      </w:tr>
      <w:tr w14:paraId="7490837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0FCDEAFD">
            <w:pPr>
              <w:jc w:val="center"/>
              <w:rPr>
                <w:sz w:val="23"/>
                <w:szCs w:val="23"/>
              </w:rPr>
            </w:pPr>
            <w:r>
              <w:rPr>
                <w:sz w:val="23"/>
                <w:szCs w:val="23"/>
              </w:rPr>
              <w:t>700.0</w:t>
            </w:r>
          </w:p>
        </w:tc>
        <w:tc>
          <w:tcPr>
            <w:tcW w:w="997" w:type="pct"/>
            <w:shd w:val="clear" w:color="auto" w:fill="auto"/>
            <w:noWrap/>
            <w:vAlign w:val="center"/>
          </w:tcPr>
          <w:p w14:paraId="047CDBDF">
            <w:pPr>
              <w:jc w:val="center"/>
              <w:rPr>
                <w:sz w:val="23"/>
                <w:szCs w:val="23"/>
              </w:rPr>
            </w:pPr>
            <w:r>
              <w:rPr>
                <w:sz w:val="23"/>
                <w:szCs w:val="23"/>
              </w:rPr>
              <w:t>0.2954</w:t>
            </w:r>
          </w:p>
        </w:tc>
        <w:tc>
          <w:tcPr>
            <w:tcW w:w="915" w:type="pct"/>
            <w:shd w:val="clear" w:color="auto" w:fill="auto"/>
            <w:noWrap/>
            <w:vAlign w:val="center"/>
          </w:tcPr>
          <w:p w14:paraId="465E1054">
            <w:pPr>
              <w:jc w:val="center"/>
              <w:rPr>
                <w:sz w:val="23"/>
                <w:szCs w:val="23"/>
              </w:rPr>
            </w:pPr>
            <w:r>
              <w:rPr>
                <w:sz w:val="23"/>
                <w:szCs w:val="23"/>
              </w:rPr>
              <w:t>0.0328</w:t>
            </w:r>
          </w:p>
        </w:tc>
        <w:tc>
          <w:tcPr>
            <w:tcW w:w="1071" w:type="pct"/>
            <w:shd w:val="clear" w:color="auto" w:fill="auto"/>
            <w:noWrap/>
            <w:vAlign w:val="center"/>
          </w:tcPr>
          <w:p w14:paraId="1FC69A7E">
            <w:pPr>
              <w:jc w:val="center"/>
              <w:rPr>
                <w:sz w:val="23"/>
                <w:szCs w:val="23"/>
              </w:rPr>
            </w:pPr>
            <w:r>
              <w:rPr>
                <w:sz w:val="23"/>
                <w:szCs w:val="23"/>
              </w:rPr>
              <w:t>2.0330</w:t>
            </w:r>
          </w:p>
        </w:tc>
        <w:tc>
          <w:tcPr>
            <w:tcW w:w="872" w:type="pct"/>
            <w:shd w:val="clear" w:color="auto" w:fill="auto"/>
            <w:noWrap/>
            <w:vAlign w:val="center"/>
          </w:tcPr>
          <w:p w14:paraId="24588127">
            <w:pPr>
              <w:jc w:val="center"/>
              <w:rPr>
                <w:sz w:val="23"/>
                <w:szCs w:val="23"/>
              </w:rPr>
            </w:pPr>
            <w:r>
              <w:rPr>
                <w:sz w:val="23"/>
                <w:szCs w:val="23"/>
              </w:rPr>
              <w:t>0.1017</w:t>
            </w:r>
          </w:p>
        </w:tc>
      </w:tr>
      <w:tr w14:paraId="2D0B7D1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2533C88A">
            <w:pPr>
              <w:jc w:val="center"/>
              <w:rPr>
                <w:sz w:val="23"/>
                <w:szCs w:val="23"/>
              </w:rPr>
            </w:pPr>
            <w:r>
              <w:rPr>
                <w:sz w:val="23"/>
                <w:szCs w:val="23"/>
              </w:rPr>
              <w:t>800.0</w:t>
            </w:r>
          </w:p>
        </w:tc>
        <w:tc>
          <w:tcPr>
            <w:tcW w:w="997" w:type="pct"/>
            <w:shd w:val="clear" w:color="auto" w:fill="auto"/>
            <w:noWrap/>
            <w:vAlign w:val="center"/>
          </w:tcPr>
          <w:p w14:paraId="75990553">
            <w:pPr>
              <w:jc w:val="center"/>
              <w:rPr>
                <w:sz w:val="23"/>
                <w:szCs w:val="23"/>
              </w:rPr>
            </w:pPr>
            <w:r>
              <w:rPr>
                <w:sz w:val="23"/>
                <w:szCs w:val="23"/>
              </w:rPr>
              <w:t>0.2798</w:t>
            </w:r>
          </w:p>
        </w:tc>
        <w:tc>
          <w:tcPr>
            <w:tcW w:w="915" w:type="pct"/>
            <w:shd w:val="clear" w:color="auto" w:fill="auto"/>
            <w:noWrap/>
            <w:vAlign w:val="center"/>
          </w:tcPr>
          <w:p w14:paraId="354B9D82">
            <w:pPr>
              <w:jc w:val="center"/>
              <w:rPr>
                <w:sz w:val="23"/>
                <w:szCs w:val="23"/>
              </w:rPr>
            </w:pPr>
            <w:r>
              <w:rPr>
                <w:sz w:val="23"/>
                <w:szCs w:val="23"/>
              </w:rPr>
              <w:t>0.0311</w:t>
            </w:r>
          </w:p>
        </w:tc>
        <w:tc>
          <w:tcPr>
            <w:tcW w:w="1071" w:type="pct"/>
            <w:shd w:val="clear" w:color="auto" w:fill="auto"/>
            <w:noWrap/>
            <w:vAlign w:val="center"/>
          </w:tcPr>
          <w:p w14:paraId="6B8BE82A">
            <w:pPr>
              <w:jc w:val="center"/>
              <w:rPr>
                <w:sz w:val="23"/>
                <w:szCs w:val="23"/>
              </w:rPr>
            </w:pPr>
            <w:r>
              <w:rPr>
                <w:sz w:val="23"/>
                <w:szCs w:val="23"/>
              </w:rPr>
              <w:t>1.9256</w:t>
            </w:r>
          </w:p>
        </w:tc>
        <w:tc>
          <w:tcPr>
            <w:tcW w:w="872" w:type="pct"/>
            <w:shd w:val="clear" w:color="auto" w:fill="auto"/>
            <w:noWrap/>
            <w:vAlign w:val="center"/>
          </w:tcPr>
          <w:p w14:paraId="4D56EDA1">
            <w:pPr>
              <w:jc w:val="center"/>
              <w:rPr>
                <w:sz w:val="23"/>
                <w:szCs w:val="23"/>
              </w:rPr>
            </w:pPr>
            <w:r>
              <w:rPr>
                <w:sz w:val="23"/>
                <w:szCs w:val="23"/>
              </w:rPr>
              <w:t>0.0963</w:t>
            </w:r>
          </w:p>
        </w:tc>
      </w:tr>
      <w:tr w14:paraId="6ED431EA">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409AEAAA">
            <w:pPr>
              <w:jc w:val="center"/>
              <w:rPr>
                <w:sz w:val="23"/>
                <w:szCs w:val="23"/>
              </w:rPr>
            </w:pPr>
            <w:r>
              <w:rPr>
                <w:sz w:val="23"/>
                <w:szCs w:val="23"/>
              </w:rPr>
              <w:t>900.0</w:t>
            </w:r>
          </w:p>
        </w:tc>
        <w:tc>
          <w:tcPr>
            <w:tcW w:w="997" w:type="pct"/>
            <w:shd w:val="clear" w:color="auto" w:fill="auto"/>
            <w:noWrap/>
            <w:vAlign w:val="center"/>
          </w:tcPr>
          <w:p w14:paraId="50229D95">
            <w:pPr>
              <w:jc w:val="center"/>
              <w:rPr>
                <w:sz w:val="23"/>
                <w:szCs w:val="23"/>
              </w:rPr>
            </w:pPr>
            <w:r>
              <w:rPr>
                <w:sz w:val="23"/>
                <w:szCs w:val="23"/>
              </w:rPr>
              <w:t>0.2662</w:t>
            </w:r>
          </w:p>
        </w:tc>
        <w:tc>
          <w:tcPr>
            <w:tcW w:w="915" w:type="pct"/>
            <w:shd w:val="clear" w:color="auto" w:fill="auto"/>
            <w:noWrap/>
            <w:vAlign w:val="center"/>
          </w:tcPr>
          <w:p w14:paraId="5109075C">
            <w:pPr>
              <w:jc w:val="center"/>
              <w:rPr>
                <w:sz w:val="23"/>
                <w:szCs w:val="23"/>
              </w:rPr>
            </w:pPr>
            <w:r>
              <w:rPr>
                <w:sz w:val="23"/>
                <w:szCs w:val="23"/>
              </w:rPr>
              <w:t>0.0296</w:t>
            </w:r>
          </w:p>
        </w:tc>
        <w:tc>
          <w:tcPr>
            <w:tcW w:w="1071" w:type="pct"/>
            <w:shd w:val="clear" w:color="auto" w:fill="auto"/>
            <w:noWrap/>
            <w:vAlign w:val="center"/>
          </w:tcPr>
          <w:p w14:paraId="66845D05">
            <w:pPr>
              <w:jc w:val="center"/>
              <w:rPr>
                <w:sz w:val="23"/>
                <w:szCs w:val="23"/>
              </w:rPr>
            </w:pPr>
            <w:r>
              <w:rPr>
                <w:sz w:val="23"/>
                <w:szCs w:val="23"/>
              </w:rPr>
              <w:t>1.8324</w:t>
            </w:r>
          </w:p>
        </w:tc>
        <w:tc>
          <w:tcPr>
            <w:tcW w:w="872" w:type="pct"/>
            <w:shd w:val="clear" w:color="auto" w:fill="auto"/>
            <w:noWrap/>
            <w:vAlign w:val="center"/>
          </w:tcPr>
          <w:p w14:paraId="7E79CECF">
            <w:pPr>
              <w:jc w:val="center"/>
              <w:rPr>
                <w:sz w:val="23"/>
                <w:szCs w:val="23"/>
              </w:rPr>
            </w:pPr>
            <w:r>
              <w:rPr>
                <w:sz w:val="23"/>
                <w:szCs w:val="23"/>
              </w:rPr>
              <w:t>0.0916</w:t>
            </w:r>
          </w:p>
        </w:tc>
      </w:tr>
      <w:tr w14:paraId="7B41AC7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13E39BE2">
            <w:pPr>
              <w:jc w:val="center"/>
              <w:rPr>
                <w:sz w:val="23"/>
                <w:szCs w:val="23"/>
              </w:rPr>
            </w:pPr>
            <w:r>
              <w:rPr>
                <w:sz w:val="23"/>
                <w:szCs w:val="23"/>
              </w:rPr>
              <w:t>1000.0</w:t>
            </w:r>
          </w:p>
        </w:tc>
        <w:tc>
          <w:tcPr>
            <w:tcW w:w="997" w:type="pct"/>
            <w:shd w:val="clear" w:color="auto" w:fill="auto"/>
            <w:noWrap/>
            <w:vAlign w:val="center"/>
          </w:tcPr>
          <w:p w14:paraId="747EEDF9">
            <w:pPr>
              <w:jc w:val="center"/>
              <w:rPr>
                <w:sz w:val="23"/>
                <w:szCs w:val="23"/>
              </w:rPr>
            </w:pPr>
            <w:r>
              <w:rPr>
                <w:sz w:val="23"/>
                <w:szCs w:val="23"/>
              </w:rPr>
              <w:t>0.2543</w:t>
            </w:r>
          </w:p>
        </w:tc>
        <w:tc>
          <w:tcPr>
            <w:tcW w:w="915" w:type="pct"/>
            <w:shd w:val="clear" w:color="auto" w:fill="auto"/>
            <w:noWrap/>
            <w:vAlign w:val="center"/>
          </w:tcPr>
          <w:p w14:paraId="287FBB25">
            <w:pPr>
              <w:jc w:val="center"/>
              <w:rPr>
                <w:sz w:val="23"/>
                <w:szCs w:val="23"/>
              </w:rPr>
            </w:pPr>
            <w:r>
              <w:rPr>
                <w:sz w:val="23"/>
                <w:szCs w:val="23"/>
              </w:rPr>
              <w:t>0.0283</w:t>
            </w:r>
          </w:p>
        </w:tc>
        <w:tc>
          <w:tcPr>
            <w:tcW w:w="1071" w:type="pct"/>
            <w:shd w:val="clear" w:color="auto" w:fill="auto"/>
            <w:noWrap/>
            <w:vAlign w:val="center"/>
          </w:tcPr>
          <w:p w14:paraId="62E1E9F8">
            <w:pPr>
              <w:jc w:val="center"/>
              <w:rPr>
                <w:sz w:val="23"/>
                <w:szCs w:val="23"/>
              </w:rPr>
            </w:pPr>
            <w:r>
              <w:rPr>
                <w:sz w:val="23"/>
                <w:szCs w:val="23"/>
              </w:rPr>
              <w:t>1.7504</w:t>
            </w:r>
          </w:p>
        </w:tc>
        <w:tc>
          <w:tcPr>
            <w:tcW w:w="872" w:type="pct"/>
            <w:shd w:val="clear" w:color="auto" w:fill="auto"/>
            <w:noWrap/>
            <w:vAlign w:val="center"/>
          </w:tcPr>
          <w:p w14:paraId="2FD82A17">
            <w:pPr>
              <w:jc w:val="center"/>
              <w:rPr>
                <w:sz w:val="23"/>
                <w:szCs w:val="23"/>
              </w:rPr>
            </w:pPr>
            <w:r>
              <w:rPr>
                <w:sz w:val="23"/>
                <w:szCs w:val="23"/>
              </w:rPr>
              <w:t>0.0875</w:t>
            </w:r>
          </w:p>
        </w:tc>
      </w:tr>
      <w:tr w14:paraId="3F3C1E7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0357AF8C">
            <w:pPr>
              <w:jc w:val="center"/>
              <w:rPr>
                <w:sz w:val="23"/>
                <w:szCs w:val="23"/>
              </w:rPr>
            </w:pPr>
            <w:r>
              <w:rPr>
                <w:sz w:val="23"/>
                <w:szCs w:val="23"/>
              </w:rPr>
              <w:t>1200.0</w:t>
            </w:r>
          </w:p>
        </w:tc>
        <w:tc>
          <w:tcPr>
            <w:tcW w:w="997" w:type="pct"/>
            <w:shd w:val="clear" w:color="auto" w:fill="auto"/>
            <w:noWrap/>
            <w:vAlign w:val="center"/>
          </w:tcPr>
          <w:p w14:paraId="0610314B">
            <w:pPr>
              <w:jc w:val="center"/>
              <w:rPr>
                <w:sz w:val="23"/>
                <w:szCs w:val="23"/>
              </w:rPr>
            </w:pPr>
            <w:r>
              <w:rPr>
                <w:sz w:val="23"/>
                <w:szCs w:val="23"/>
              </w:rPr>
              <w:t>0.2334</w:t>
            </w:r>
          </w:p>
        </w:tc>
        <w:tc>
          <w:tcPr>
            <w:tcW w:w="915" w:type="pct"/>
            <w:shd w:val="clear" w:color="auto" w:fill="auto"/>
            <w:noWrap/>
            <w:vAlign w:val="center"/>
          </w:tcPr>
          <w:p w14:paraId="660BF67D">
            <w:pPr>
              <w:jc w:val="center"/>
              <w:rPr>
                <w:sz w:val="23"/>
                <w:szCs w:val="23"/>
              </w:rPr>
            </w:pPr>
            <w:r>
              <w:rPr>
                <w:sz w:val="23"/>
                <w:szCs w:val="23"/>
              </w:rPr>
              <w:t>0.0259</w:t>
            </w:r>
          </w:p>
        </w:tc>
        <w:tc>
          <w:tcPr>
            <w:tcW w:w="1071" w:type="pct"/>
            <w:shd w:val="clear" w:color="auto" w:fill="auto"/>
            <w:noWrap/>
            <w:vAlign w:val="center"/>
          </w:tcPr>
          <w:p w14:paraId="3A47D2A1">
            <w:pPr>
              <w:jc w:val="center"/>
              <w:rPr>
                <w:sz w:val="23"/>
                <w:szCs w:val="23"/>
              </w:rPr>
            </w:pPr>
            <w:r>
              <w:rPr>
                <w:sz w:val="23"/>
                <w:szCs w:val="23"/>
              </w:rPr>
              <w:t>1.6063</w:t>
            </w:r>
          </w:p>
        </w:tc>
        <w:tc>
          <w:tcPr>
            <w:tcW w:w="872" w:type="pct"/>
            <w:shd w:val="clear" w:color="auto" w:fill="auto"/>
            <w:noWrap/>
            <w:vAlign w:val="center"/>
          </w:tcPr>
          <w:p w14:paraId="38407090">
            <w:pPr>
              <w:jc w:val="center"/>
              <w:rPr>
                <w:sz w:val="23"/>
                <w:szCs w:val="23"/>
              </w:rPr>
            </w:pPr>
            <w:r>
              <w:rPr>
                <w:sz w:val="23"/>
                <w:szCs w:val="23"/>
              </w:rPr>
              <w:t>0.0803</w:t>
            </w:r>
          </w:p>
        </w:tc>
      </w:tr>
      <w:tr w14:paraId="428F3147">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58965F6F">
            <w:pPr>
              <w:jc w:val="center"/>
              <w:rPr>
                <w:sz w:val="23"/>
                <w:szCs w:val="23"/>
              </w:rPr>
            </w:pPr>
            <w:r>
              <w:rPr>
                <w:sz w:val="23"/>
                <w:szCs w:val="23"/>
              </w:rPr>
              <w:t>1400.0</w:t>
            </w:r>
          </w:p>
        </w:tc>
        <w:tc>
          <w:tcPr>
            <w:tcW w:w="997" w:type="pct"/>
            <w:shd w:val="clear" w:color="auto" w:fill="auto"/>
            <w:noWrap/>
            <w:vAlign w:val="center"/>
          </w:tcPr>
          <w:p w14:paraId="46ACF471">
            <w:pPr>
              <w:jc w:val="center"/>
              <w:rPr>
                <w:sz w:val="23"/>
                <w:szCs w:val="23"/>
              </w:rPr>
            </w:pPr>
            <w:r>
              <w:rPr>
                <w:sz w:val="23"/>
                <w:szCs w:val="23"/>
              </w:rPr>
              <w:t>0.2159</w:t>
            </w:r>
          </w:p>
        </w:tc>
        <w:tc>
          <w:tcPr>
            <w:tcW w:w="915" w:type="pct"/>
            <w:shd w:val="clear" w:color="auto" w:fill="auto"/>
            <w:noWrap/>
            <w:vAlign w:val="center"/>
          </w:tcPr>
          <w:p w14:paraId="6A5418F2">
            <w:pPr>
              <w:jc w:val="center"/>
              <w:rPr>
                <w:sz w:val="23"/>
                <w:szCs w:val="23"/>
              </w:rPr>
            </w:pPr>
            <w:r>
              <w:rPr>
                <w:sz w:val="23"/>
                <w:szCs w:val="23"/>
              </w:rPr>
              <w:t>0.0240</w:t>
            </w:r>
          </w:p>
        </w:tc>
        <w:tc>
          <w:tcPr>
            <w:tcW w:w="1071" w:type="pct"/>
            <w:shd w:val="clear" w:color="auto" w:fill="auto"/>
            <w:noWrap/>
            <w:vAlign w:val="center"/>
          </w:tcPr>
          <w:p w14:paraId="15FE9234">
            <w:pPr>
              <w:jc w:val="center"/>
              <w:rPr>
                <w:sz w:val="23"/>
                <w:szCs w:val="23"/>
              </w:rPr>
            </w:pPr>
            <w:r>
              <w:rPr>
                <w:sz w:val="23"/>
                <w:szCs w:val="23"/>
              </w:rPr>
              <w:t>1.4858</w:t>
            </w:r>
          </w:p>
        </w:tc>
        <w:tc>
          <w:tcPr>
            <w:tcW w:w="872" w:type="pct"/>
            <w:shd w:val="clear" w:color="auto" w:fill="auto"/>
            <w:noWrap/>
            <w:vAlign w:val="center"/>
          </w:tcPr>
          <w:p w14:paraId="2C1827AB">
            <w:pPr>
              <w:jc w:val="center"/>
              <w:rPr>
                <w:sz w:val="23"/>
                <w:szCs w:val="23"/>
              </w:rPr>
            </w:pPr>
            <w:r>
              <w:rPr>
                <w:sz w:val="23"/>
                <w:szCs w:val="23"/>
              </w:rPr>
              <w:t>0.0743</w:t>
            </w:r>
          </w:p>
        </w:tc>
      </w:tr>
      <w:tr w14:paraId="6E9AA8B8">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2A68DBAB">
            <w:pPr>
              <w:jc w:val="center"/>
              <w:rPr>
                <w:sz w:val="23"/>
                <w:szCs w:val="23"/>
              </w:rPr>
            </w:pPr>
            <w:r>
              <w:rPr>
                <w:sz w:val="23"/>
                <w:szCs w:val="23"/>
              </w:rPr>
              <w:t>1600.0</w:t>
            </w:r>
          </w:p>
        </w:tc>
        <w:tc>
          <w:tcPr>
            <w:tcW w:w="997" w:type="pct"/>
            <w:shd w:val="clear" w:color="auto" w:fill="auto"/>
            <w:noWrap/>
            <w:vAlign w:val="center"/>
          </w:tcPr>
          <w:p w14:paraId="76649B11">
            <w:pPr>
              <w:jc w:val="center"/>
              <w:rPr>
                <w:sz w:val="23"/>
                <w:szCs w:val="23"/>
              </w:rPr>
            </w:pPr>
            <w:r>
              <w:rPr>
                <w:sz w:val="23"/>
                <w:szCs w:val="23"/>
              </w:rPr>
              <w:t>0.2025</w:t>
            </w:r>
          </w:p>
        </w:tc>
        <w:tc>
          <w:tcPr>
            <w:tcW w:w="915" w:type="pct"/>
            <w:shd w:val="clear" w:color="auto" w:fill="auto"/>
            <w:noWrap/>
            <w:vAlign w:val="center"/>
          </w:tcPr>
          <w:p w14:paraId="676A1593">
            <w:pPr>
              <w:jc w:val="center"/>
              <w:rPr>
                <w:sz w:val="23"/>
                <w:szCs w:val="23"/>
              </w:rPr>
            </w:pPr>
            <w:r>
              <w:rPr>
                <w:sz w:val="23"/>
                <w:szCs w:val="23"/>
              </w:rPr>
              <w:t>0.0225</w:t>
            </w:r>
          </w:p>
        </w:tc>
        <w:tc>
          <w:tcPr>
            <w:tcW w:w="1071" w:type="pct"/>
            <w:shd w:val="clear" w:color="auto" w:fill="auto"/>
            <w:noWrap/>
            <w:vAlign w:val="center"/>
          </w:tcPr>
          <w:p w14:paraId="2BE7C7C6">
            <w:pPr>
              <w:jc w:val="center"/>
              <w:rPr>
                <w:sz w:val="23"/>
                <w:szCs w:val="23"/>
              </w:rPr>
            </w:pPr>
            <w:r>
              <w:rPr>
                <w:sz w:val="23"/>
                <w:szCs w:val="23"/>
              </w:rPr>
              <w:t>1.3936</w:t>
            </w:r>
          </w:p>
        </w:tc>
        <w:tc>
          <w:tcPr>
            <w:tcW w:w="872" w:type="pct"/>
            <w:shd w:val="clear" w:color="auto" w:fill="auto"/>
            <w:noWrap/>
            <w:vAlign w:val="center"/>
          </w:tcPr>
          <w:p w14:paraId="7E8AA858">
            <w:pPr>
              <w:jc w:val="center"/>
              <w:rPr>
                <w:sz w:val="23"/>
                <w:szCs w:val="23"/>
              </w:rPr>
            </w:pPr>
            <w:r>
              <w:rPr>
                <w:sz w:val="23"/>
                <w:szCs w:val="23"/>
              </w:rPr>
              <w:t>0.0697</w:t>
            </w:r>
          </w:p>
        </w:tc>
      </w:tr>
      <w:tr w14:paraId="05C64973">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729F0037">
            <w:pPr>
              <w:jc w:val="center"/>
              <w:rPr>
                <w:sz w:val="23"/>
                <w:szCs w:val="23"/>
              </w:rPr>
            </w:pPr>
            <w:r>
              <w:rPr>
                <w:sz w:val="23"/>
                <w:szCs w:val="23"/>
              </w:rPr>
              <w:t>1800.0</w:t>
            </w:r>
          </w:p>
        </w:tc>
        <w:tc>
          <w:tcPr>
            <w:tcW w:w="997" w:type="pct"/>
            <w:shd w:val="clear" w:color="auto" w:fill="auto"/>
            <w:noWrap/>
            <w:vAlign w:val="center"/>
          </w:tcPr>
          <w:p w14:paraId="4BE3DF8E">
            <w:pPr>
              <w:jc w:val="center"/>
              <w:rPr>
                <w:sz w:val="23"/>
                <w:szCs w:val="23"/>
              </w:rPr>
            </w:pPr>
            <w:r>
              <w:rPr>
                <w:sz w:val="23"/>
                <w:szCs w:val="23"/>
              </w:rPr>
              <w:t>0.1890</w:t>
            </w:r>
          </w:p>
        </w:tc>
        <w:tc>
          <w:tcPr>
            <w:tcW w:w="915" w:type="pct"/>
            <w:shd w:val="clear" w:color="auto" w:fill="auto"/>
            <w:noWrap/>
            <w:vAlign w:val="center"/>
          </w:tcPr>
          <w:p w14:paraId="660D4189">
            <w:pPr>
              <w:jc w:val="center"/>
              <w:rPr>
                <w:sz w:val="23"/>
                <w:szCs w:val="23"/>
              </w:rPr>
            </w:pPr>
            <w:r>
              <w:rPr>
                <w:sz w:val="23"/>
                <w:szCs w:val="23"/>
              </w:rPr>
              <w:t>0.0210</w:t>
            </w:r>
          </w:p>
        </w:tc>
        <w:tc>
          <w:tcPr>
            <w:tcW w:w="1071" w:type="pct"/>
            <w:shd w:val="clear" w:color="auto" w:fill="auto"/>
            <w:noWrap/>
            <w:vAlign w:val="center"/>
          </w:tcPr>
          <w:p w14:paraId="6DB70EEE">
            <w:pPr>
              <w:jc w:val="center"/>
              <w:rPr>
                <w:sz w:val="23"/>
                <w:szCs w:val="23"/>
              </w:rPr>
            </w:pPr>
            <w:r>
              <w:rPr>
                <w:sz w:val="23"/>
                <w:szCs w:val="23"/>
              </w:rPr>
              <w:t>1.3004</w:t>
            </w:r>
          </w:p>
        </w:tc>
        <w:tc>
          <w:tcPr>
            <w:tcW w:w="872" w:type="pct"/>
            <w:shd w:val="clear" w:color="auto" w:fill="auto"/>
            <w:noWrap/>
            <w:vAlign w:val="center"/>
          </w:tcPr>
          <w:p w14:paraId="1EE33B14">
            <w:pPr>
              <w:jc w:val="center"/>
              <w:rPr>
                <w:sz w:val="23"/>
                <w:szCs w:val="23"/>
              </w:rPr>
            </w:pPr>
            <w:r>
              <w:rPr>
                <w:sz w:val="23"/>
                <w:szCs w:val="23"/>
              </w:rPr>
              <w:t>0.0650</w:t>
            </w:r>
          </w:p>
        </w:tc>
      </w:tr>
      <w:tr w14:paraId="0FE0DC64">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2F43B52D">
            <w:pPr>
              <w:jc w:val="center"/>
              <w:rPr>
                <w:sz w:val="23"/>
                <w:szCs w:val="23"/>
              </w:rPr>
            </w:pPr>
            <w:r>
              <w:rPr>
                <w:sz w:val="23"/>
                <w:szCs w:val="23"/>
              </w:rPr>
              <w:t>2000.0</w:t>
            </w:r>
          </w:p>
        </w:tc>
        <w:tc>
          <w:tcPr>
            <w:tcW w:w="997" w:type="pct"/>
            <w:shd w:val="clear" w:color="auto" w:fill="auto"/>
            <w:noWrap/>
            <w:vAlign w:val="center"/>
          </w:tcPr>
          <w:p w14:paraId="619F054D">
            <w:pPr>
              <w:jc w:val="center"/>
              <w:rPr>
                <w:sz w:val="23"/>
                <w:szCs w:val="23"/>
              </w:rPr>
            </w:pPr>
            <w:r>
              <w:rPr>
                <w:sz w:val="23"/>
                <w:szCs w:val="23"/>
              </w:rPr>
              <w:t>0.1771</w:t>
            </w:r>
          </w:p>
        </w:tc>
        <w:tc>
          <w:tcPr>
            <w:tcW w:w="915" w:type="pct"/>
            <w:shd w:val="clear" w:color="auto" w:fill="auto"/>
            <w:noWrap/>
            <w:vAlign w:val="center"/>
          </w:tcPr>
          <w:p w14:paraId="5A30AF52">
            <w:pPr>
              <w:jc w:val="center"/>
              <w:rPr>
                <w:sz w:val="23"/>
                <w:szCs w:val="23"/>
              </w:rPr>
            </w:pPr>
            <w:r>
              <w:rPr>
                <w:sz w:val="23"/>
                <w:szCs w:val="23"/>
              </w:rPr>
              <w:t>0.0197</w:t>
            </w:r>
          </w:p>
        </w:tc>
        <w:tc>
          <w:tcPr>
            <w:tcW w:w="1071" w:type="pct"/>
            <w:shd w:val="clear" w:color="auto" w:fill="auto"/>
            <w:noWrap/>
            <w:vAlign w:val="center"/>
          </w:tcPr>
          <w:p w14:paraId="5D8A999C">
            <w:pPr>
              <w:jc w:val="center"/>
              <w:rPr>
                <w:sz w:val="23"/>
                <w:szCs w:val="23"/>
              </w:rPr>
            </w:pPr>
            <w:r>
              <w:rPr>
                <w:sz w:val="23"/>
                <w:szCs w:val="23"/>
              </w:rPr>
              <w:t>1.2185</w:t>
            </w:r>
          </w:p>
        </w:tc>
        <w:tc>
          <w:tcPr>
            <w:tcW w:w="872" w:type="pct"/>
            <w:shd w:val="clear" w:color="auto" w:fill="auto"/>
            <w:noWrap/>
            <w:vAlign w:val="center"/>
          </w:tcPr>
          <w:p w14:paraId="61DDB151">
            <w:pPr>
              <w:jc w:val="center"/>
              <w:rPr>
                <w:sz w:val="23"/>
                <w:szCs w:val="23"/>
              </w:rPr>
            </w:pPr>
            <w:r>
              <w:rPr>
                <w:sz w:val="23"/>
                <w:szCs w:val="23"/>
              </w:rPr>
              <w:t>0.0609</w:t>
            </w:r>
          </w:p>
        </w:tc>
      </w:tr>
      <w:tr w14:paraId="3401153C">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4902F519">
            <w:pPr>
              <w:jc w:val="center"/>
              <w:rPr>
                <w:sz w:val="23"/>
                <w:szCs w:val="23"/>
              </w:rPr>
            </w:pPr>
            <w:r>
              <w:rPr>
                <w:sz w:val="23"/>
                <w:szCs w:val="23"/>
              </w:rPr>
              <w:t>2500.0</w:t>
            </w:r>
          </w:p>
        </w:tc>
        <w:tc>
          <w:tcPr>
            <w:tcW w:w="997" w:type="pct"/>
            <w:shd w:val="clear" w:color="auto" w:fill="auto"/>
            <w:noWrap/>
            <w:vAlign w:val="center"/>
          </w:tcPr>
          <w:p w14:paraId="718C3579">
            <w:pPr>
              <w:jc w:val="center"/>
              <w:rPr>
                <w:sz w:val="23"/>
                <w:szCs w:val="23"/>
              </w:rPr>
            </w:pPr>
            <w:r>
              <w:rPr>
                <w:sz w:val="23"/>
                <w:szCs w:val="23"/>
              </w:rPr>
              <w:t>0.1527</w:t>
            </w:r>
          </w:p>
        </w:tc>
        <w:tc>
          <w:tcPr>
            <w:tcW w:w="915" w:type="pct"/>
            <w:shd w:val="clear" w:color="auto" w:fill="auto"/>
            <w:noWrap/>
            <w:vAlign w:val="center"/>
          </w:tcPr>
          <w:p w14:paraId="7070991B">
            <w:pPr>
              <w:jc w:val="center"/>
              <w:rPr>
                <w:sz w:val="23"/>
                <w:szCs w:val="23"/>
              </w:rPr>
            </w:pPr>
            <w:r>
              <w:rPr>
                <w:sz w:val="23"/>
                <w:szCs w:val="23"/>
              </w:rPr>
              <w:t>0.0170</w:t>
            </w:r>
          </w:p>
        </w:tc>
        <w:tc>
          <w:tcPr>
            <w:tcW w:w="1071" w:type="pct"/>
            <w:shd w:val="clear" w:color="auto" w:fill="auto"/>
            <w:noWrap/>
            <w:vAlign w:val="center"/>
          </w:tcPr>
          <w:p w14:paraId="29DC7F0B">
            <w:pPr>
              <w:jc w:val="center"/>
              <w:rPr>
                <w:sz w:val="23"/>
                <w:szCs w:val="23"/>
              </w:rPr>
            </w:pPr>
            <w:r>
              <w:rPr>
                <w:sz w:val="23"/>
                <w:szCs w:val="23"/>
              </w:rPr>
              <w:t>1.0510</w:t>
            </w:r>
          </w:p>
        </w:tc>
        <w:tc>
          <w:tcPr>
            <w:tcW w:w="872" w:type="pct"/>
            <w:shd w:val="clear" w:color="auto" w:fill="auto"/>
            <w:noWrap/>
            <w:vAlign w:val="center"/>
          </w:tcPr>
          <w:p w14:paraId="71C432B5">
            <w:pPr>
              <w:jc w:val="center"/>
              <w:rPr>
                <w:sz w:val="23"/>
                <w:szCs w:val="23"/>
              </w:rPr>
            </w:pPr>
            <w:r>
              <w:rPr>
                <w:sz w:val="23"/>
                <w:szCs w:val="23"/>
              </w:rPr>
              <w:t>0.0526</w:t>
            </w:r>
          </w:p>
        </w:tc>
      </w:tr>
      <w:tr w14:paraId="246AEC5D">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685F0D86">
            <w:pPr>
              <w:jc w:val="center"/>
              <w:rPr>
                <w:sz w:val="23"/>
                <w:szCs w:val="23"/>
              </w:rPr>
            </w:pPr>
            <w:r>
              <w:rPr>
                <w:sz w:val="23"/>
                <w:szCs w:val="23"/>
              </w:rPr>
              <w:t>下风向最大浓度</w:t>
            </w:r>
          </w:p>
        </w:tc>
        <w:tc>
          <w:tcPr>
            <w:tcW w:w="997" w:type="pct"/>
            <w:shd w:val="clear" w:color="auto" w:fill="auto"/>
            <w:noWrap/>
            <w:vAlign w:val="center"/>
          </w:tcPr>
          <w:p w14:paraId="211C048A">
            <w:pPr>
              <w:jc w:val="center"/>
              <w:rPr>
                <w:sz w:val="23"/>
                <w:szCs w:val="23"/>
              </w:rPr>
            </w:pPr>
            <w:r>
              <w:rPr>
                <w:sz w:val="23"/>
                <w:szCs w:val="23"/>
              </w:rPr>
              <w:t>0.9488</w:t>
            </w:r>
          </w:p>
        </w:tc>
        <w:tc>
          <w:tcPr>
            <w:tcW w:w="915" w:type="pct"/>
            <w:shd w:val="clear" w:color="auto" w:fill="auto"/>
            <w:noWrap/>
            <w:vAlign w:val="center"/>
          </w:tcPr>
          <w:p w14:paraId="38C2E005">
            <w:pPr>
              <w:jc w:val="center"/>
              <w:rPr>
                <w:sz w:val="23"/>
                <w:szCs w:val="23"/>
              </w:rPr>
            </w:pPr>
            <w:r>
              <w:rPr>
                <w:sz w:val="23"/>
                <w:szCs w:val="23"/>
              </w:rPr>
              <w:t>0.1054</w:t>
            </w:r>
          </w:p>
        </w:tc>
        <w:tc>
          <w:tcPr>
            <w:tcW w:w="1071" w:type="pct"/>
            <w:shd w:val="clear" w:color="auto" w:fill="auto"/>
            <w:noWrap/>
            <w:vAlign w:val="center"/>
          </w:tcPr>
          <w:p w14:paraId="6CF884C0">
            <w:pPr>
              <w:jc w:val="center"/>
              <w:rPr>
                <w:sz w:val="23"/>
                <w:szCs w:val="23"/>
              </w:rPr>
            </w:pPr>
            <w:r>
              <w:rPr>
                <w:sz w:val="23"/>
                <w:szCs w:val="23"/>
              </w:rPr>
              <w:t>6.5301</w:t>
            </w:r>
          </w:p>
        </w:tc>
        <w:tc>
          <w:tcPr>
            <w:tcW w:w="872" w:type="pct"/>
            <w:shd w:val="clear" w:color="auto" w:fill="auto"/>
            <w:noWrap/>
            <w:vAlign w:val="center"/>
          </w:tcPr>
          <w:p w14:paraId="04C5A42E">
            <w:pPr>
              <w:jc w:val="center"/>
              <w:rPr>
                <w:sz w:val="23"/>
                <w:szCs w:val="23"/>
              </w:rPr>
            </w:pPr>
            <w:r>
              <w:rPr>
                <w:sz w:val="23"/>
                <w:szCs w:val="23"/>
              </w:rPr>
              <w:t>0.3265</w:t>
            </w:r>
          </w:p>
        </w:tc>
      </w:tr>
      <w:tr w14:paraId="04AC9F5B">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0D60D568">
            <w:pPr>
              <w:jc w:val="center"/>
              <w:rPr>
                <w:sz w:val="23"/>
                <w:szCs w:val="23"/>
              </w:rPr>
            </w:pPr>
            <w:r>
              <w:rPr>
                <w:sz w:val="23"/>
                <w:szCs w:val="23"/>
              </w:rPr>
              <w:t>下风向最大浓度出现距离</w:t>
            </w:r>
          </w:p>
        </w:tc>
        <w:tc>
          <w:tcPr>
            <w:tcW w:w="997" w:type="pct"/>
            <w:shd w:val="clear" w:color="auto" w:fill="auto"/>
            <w:noWrap/>
            <w:vAlign w:val="center"/>
          </w:tcPr>
          <w:p w14:paraId="56A4CAC6">
            <w:pPr>
              <w:jc w:val="center"/>
              <w:rPr>
                <w:sz w:val="23"/>
                <w:szCs w:val="23"/>
              </w:rPr>
            </w:pPr>
            <w:r>
              <w:rPr>
                <w:sz w:val="23"/>
                <w:szCs w:val="23"/>
              </w:rPr>
              <w:t>67.0</w:t>
            </w:r>
          </w:p>
        </w:tc>
        <w:tc>
          <w:tcPr>
            <w:tcW w:w="915" w:type="pct"/>
            <w:shd w:val="clear" w:color="auto" w:fill="auto"/>
            <w:noWrap/>
            <w:vAlign w:val="center"/>
          </w:tcPr>
          <w:p w14:paraId="509BBE1E">
            <w:pPr>
              <w:jc w:val="center"/>
              <w:rPr>
                <w:sz w:val="23"/>
                <w:szCs w:val="23"/>
              </w:rPr>
            </w:pPr>
            <w:r>
              <w:rPr>
                <w:sz w:val="23"/>
                <w:szCs w:val="23"/>
              </w:rPr>
              <w:t>67.0</w:t>
            </w:r>
          </w:p>
        </w:tc>
        <w:tc>
          <w:tcPr>
            <w:tcW w:w="1071" w:type="pct"/>
            <w:shd w:val="clear" w:color="auto" w:fill="auto"/>
            <w:noWrap/>
            <w:vAlign w:val="center"/>
          </w:tcPr>
          <w:p w14:paraId="11CE90EC">
            <w:pPr>
              <w:jc w:val="center"/>
              <w:rPr>
                <w:sz w:val="23"/>
                <w:szCs w:val="23"/>
              </w:rPr>
            </w:pPr>
            <w:r>
              <w:rPr>
                <w:sz w:val="23"/>
                <w:szCs w:val="23"/>
              </w:rPr>
              <w:t>67.0</w:t>
            </w:r>
          </w:p>
        </w:tc>
        <w:tc>
          <w:tcPr>
            <w:tcW w:w="872" w:type="pct"/>
            <w:shd w:val="clear" w:color="auto" w:fill="auto"/>
            <w:noWrap/>
            <w:vAlign w:val="center"/>
          </w:tcPr>
          <w:p w14:paraId="6D64BD67">
            <w:pPr>
              <w:jc w:val="center"/>
              <w:rPr>
                <w:sz w:val="23"/>
                <w:szCs w:val="23"/>
              </w:rPr>
            </w:pPr>
            <w:r>
              <w:rPr>
                <w:sz w:val="23"/>
                <w:szCs w:val="23"/>
              </w:rPr>
              <w:t>67.0</w:t>
            </w:r>
          </w:p>
        </w:tc>
      </w:tr>
      <w:tr w14:paraId="5F10BFAF">
        <w:tblPrEx>
          <w:tblBorders>
            <w:top w:val="single" w:color="000000" w:themeColor="text1" w:sz="18" w:space="0"/>
            <w:left w:val="none" w:color="auto" w:sz="0" w:space="0"/>
            <w:bottom w:val="single" w:color="000000" w:themeColor="text1" w:sz="18" w:space="0"/>
            <w:right w:val="none" w:color="auto" w:sz="0" w:space="0"/>
            <w:insideH w:val="single" w:color="000000" w:themeColor="text1" w:sz="2" w:space="0"/>
            <w:insideV w:val="single" w:color="000000" w:themeColor="text1" w:sz="2" w:space="0"/>
          </w:tblBorders>
          <w:tblCellMar>
            <w:top w:w="0" w:type="dxa"/>
            <w:left w:w="108" w:type="dxa"/>
            <w:bottom w:w="0" w:type="dxa"/>
            <w:right w:w="108" w:type="dxa"/>
          </w:tblCellMar>
        </w:tblPrEx>
        <w:trPr>
          <w:trHeight w:val="270" w:hRule="atLeast"/>
        </w:trPr>
        <w:tc>
          <w:tcPr>
            <w:tcW w:w="1145" w:type="pct"/>
            <w:shd w:val="clear" w:color="auto" w:fill="auto"/>
            <w:noWrap/>
            <w:vAlign w:val="center"/>
          </w:tcPr>
          <w:p w14:paraId="6CFCC519">
            <w:pPr>
              <w:jc w:val="center"/>
              <w:rPr>
                <w:sz w:val="23"/>
                <w:szCs w:val="23"/>
              </w:rPr>
            </w:pPr>
            <w:r>
              <w:rPr>
                <w:sz w:val="23"/>
                <w:szCs w:val="23"/>
              </w:rPr>
              <w:t>D10%最远距离</w:t>
            </w:r>
          </w:p>
        </w:tc>
        <w:tc>
          <w:tcPr>
            <w:tcW w:w="997" w:type="pct"/>
            <w:shd w:val="clear" w:color="auto" w:fill="auto"/>
            <w:noWrap/>
            <w:vAlign w:val="center"/>
          </w:tcPr>
          <w:p w14:paraId="3A48A843">
            <w:pPr>
              <w:jc w:val="center"/>
              <w:rPr>
                <w:sz w:val="23"/>
                <w:szCs w:val="23"/>
              </w:rPr>
            </w:pPr>
            <w:r>
              <w:rPr>
                <w:sz w:val="23"/>
                <w:szCs w:val="23"/>
              </w:rPr>
              <w:t>/</w:t>
            </w:r>
          </w:p>
        </w:tc>
        <w:tc>
          <w:tcPr>
            <w:tcW w:w="915" w:type="pct"/>
            <w:shd w:val="clear" w:color="auto" w:fill="auto"/>
            <w:noWrap/>
            <w:vAlign w:val="center"/>
          </w:tcPr>
          <w:p w14:paraId="24250ED1">
            <w:pPr>
              <w:jc w:val="center"/>
              <w:rPr>
                <w:sz w:val="23"/>
                <w:szCs w:val="23"/>
              </w:rPr>
            </w:pPr>
            <w:r>
              <w:rPr>
                <w:sz w:val="23"/>
                <w:szCs w:val="23"/>
              </w:rPr>
              <w:t>/</w:t>
            </w:r>
          </w:p>
        </w:tc>
        <w:tc>
          <w:tcPr>
            <w:tcW w:w="1071" w:type="pct"/>
            <w:shd w:val="clear" w:color="auto" w:fill="auto"/>
            <w:noWrap/>
            <w:vAlign w:val="center"/>
          </w:tcPr>
          <w:p w14:paraId="21E9E218">
            <w:pPr>
              <w:jc w:val="center"/>
              <w:rPr>
                <w:sz w:val="23"/>
                <w:szCs w:val="23"/>
              </w:rPr>
            </w:pPr>
            <w:r>
              <w:rPr>
                <w:sz w:val="23"/>
                <w:szCs w:val="23"/>
              </w:rPr>
              <w:t>/</w:t>
            </w:r>
          </w:p>
        </w:tc>
        <w:tc>
          <w:tcPr>
            <w:tcW w:w="872" w:type="pct"/>
            <w:shd w:val="clear" w:color="auto" w:fill="auto"/>
            <w:noWrap/>
            <w:vAlign w:val="center"/>
          </w:tcPr>
          <w:p w14:paraId="329E459F">
            <w:pPr>
              <w:jc w:val="center"/>
              <w:rPr>
                <w:sz w:val="23"/>
                <w:szCs w:val="23"/>
              </w:rPr>
            </w:pPr>
            <w:r>
              <w:rPr>
                <w:sz w:val="23"/>
                <w:szCs w:val="23"/>
              </w:rPr>
              <w:t>/</w:t>
            </w:r>
          </w:p>
        </w:tc>
      </w:tr>
    </w:tbl>
    <w:p w14:paraId="3487458D">
      <w:pPr>
        <w:spacing w:line="360" w:lineRule="auto"/>
        <w:ind w:firstLine="482" w:firstLineChars="200"/>
        <w:jc w:val="left"/>
        <w:rPr>
          <w:b/>
          <w:color w:val="000000" w:themeColor="text1"/>
          <w:sz w:val="24"/>
        </w:rPr>
      </w:pPr>
      <w:r>
        <w:rPr>
          <w:b/>
          <w:color w:val="000000" w:themeColor="text1"/>
          <w:sz w:val="24"/>
        </w:rPr>
        <w:t>（2）异味</w:t>
      </w:r>
    </w:p>
    <w:p w14:paraId="6B63FE8F">
      <w:pPr>
        <w:spacing w:line="360" w:lineRule="auto"/>
        <w:ind w:firstLine="482" w:firstLineChars="200"/>
        <w:rPr>
          <w:b/>
          <w:color w:val="000000" w:themeColor="text1"/>
          <w:sz w:val="24"/>
        </w:rPr>
      </w:pPr>
      <w:r>
        <w:rPr>
          <w:rFonts w:hint="eastAsia" w:ascii="宋体" w:hAnsi="宋体" w:cs="宋体"/>
          <w:b/>
          <w:color w:val="000000" w:themeColor="text1"/>
          <w:sz w:val="24"/>
        </w:rPr>
        <w:t>①</w:t>
      </w:r>
      <w:r>
        <w:rPr>
          <w:b/>
          <w:color w:val="000000" w:themeColor="text1"/>
          <w:sz w:val="24"/>
        </w:rPr>
        <w:t>生产异味</w:t>
      </w:r>
    </w:p>
    <w:p w14:paraId="76FEDB23">
      <w:pPr>
        <w:spacing w:line="360" w:lineRule="auto"/>
        <w:ind w:firstLine="480" w:firstLineChars="200"/>
        <w:rPr>
          <w:color w:val="000000" w:themeColor="text1"/>
          <w:sz w:val="24"/>
        </w:rPr>
      </w:pPr>
      <w:r>
        <w:rPr>
          <w:color w:val="000000" w:themeColor="text1"/>
          <w:sz w:val="24"/>
        </w:rPr>
        <w:t>本项目造粒挤出过程中，会产生一定量的异味（主要为乙烯、丙烯单体等），</w:t>
      </w:r>
    </w:p>
    <w:p w14:paraId="76C0E971">
      <w:pPr>
        <w:autoSpaceDE w:val="0"/>
        <w:autoSpaceDN w:val="0"/>
        <w:adjustRightInd w:val="0"/>
        <w:spacing w:line="360" w:lineRule="auto"/>
        <w:ind w:firstLine="480" w:firstLineChars="200"/>
        <w:jc w:val="left"/>
        <w:rPr>
          <w:rFonts w:eastAsia="新宋体"/>
          <w:color w:val="000000" w:themeColor="text1"/>
          <w:kern w:val="0"/>
          <w:sz w:val="24"/>
          <w:szCs w:val="20"/>
        </w:rPr>
      </w:pPr>
      <w:r>
        <w:rPr>
          <w:rFonts w:eastAsia="新宋体"/>
          <w:color w:val="000000" w:themeColor="text1"/>
          <w:sz w:val="24"/>
          <w:szCs w:val="21"/>
        </w:rPr>
        <w:t>臭气浓度类比已公示的《滁州庆伟再生塑业有限公司年产3000吨废塑料回收再生颗粒工程项目环境影响报告书》中”《上海舒氏塑业有限公司建设项目竣工验收监测报告》，根据监测报告，监测期间造粒废气排气筒监测臭气产生浓度最大值为1170（无量纲），排放浓度最大值为234（无量纲），厂界处监测臭气浓度小于10（无量纲）”。</w:t>
      </w:r>
      <w:r>
        <w:rPr>
          <w:rFonts w:eastAsia="新宋体"/>
          <w:color w:val="000000" w:themeColor="text1"/>
          <w:kern w:val="0"/>
          <w:sz w:val="24"/>
          <w:szCs w:val="20"/>
        </w:rPr>
        <w:t>本项目与上海舒氏公司生产运行情况对比见下表。</w:t>
      </w:r>
    </w:p>
    <w:p w14:paraId="0F66F73E">
      <w:pPr>
        <w:jc w:val="center"/>
        <w:rPr>
          <w:rFonts w:eastAsia="新宋体"/>
          <w:b/>
          <w:color w:val="000000" w:themeColor="text1"/>
          <w:sz w:val="24"/>
        </w:rPr>
      </w:pPr>
      <w:r>
        <w:rPr>
          <w:rFonts w:eastAsia="新宋体"/>
          <w:b/>
          <w:color w:val="000000" w:themeColor="text1"/>
          <w:sz w:val="24"/>
        </w:rPr>
        <w:t>表6.1-6  本项目与上海舒氏公司生产运行情况对比一览表</w:t>
      </w:r>
    </w:p>
    <w:tbl>
      <w:tblPr>
        <w:tblStyle w:val="4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1785"/>
        <w:gridCol w:w="1192"/>
        <w:gridCol w:w="1057"/>
        <w:gridCol w:w="2521"/>
      </w:tblGrid>
      <w:tr w14:paraId="07C85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34" w:type="dxa"/>
            <w:vAlign w:val="center"/>
          </w:tcPr>
          <w:p w14:paraId="084FBB0E">
            <w:pPr>
              <w:jc w:val="center"/>
              <w:rPr>
                <w:rFonts w:eastAsia="新宋体"/>
                <w:color w:val="000000" w:themeColor="text1"/>
                <w:szCs w:val="21"/>
              </w:rPr>
            </w:pPr>
            <w:r>
              <w:rPr>
                <w:rFonts w:eastAsia="新宋体"/>
                <w:color w:val="000000" w:themeColor="text1"/>
                <w:szCs w:val="21"/>
              </w:rPr>
              <w:t>项目</w:t>
            </w:r>
          </w:p>
        </w:tc>
        <w:tc>
          <w:tcPr>
            <w:tcW w:w="1785" w:type="dxa"/>
            <w:vAlign w:val="center"/>
          </w:tcPr>
          <w:p w14:paraId="29F03BCB">
            <w:pPr>
              <w:jc w:val="center"/>
              <w:rPr>
                <w:rFonts w:eastAsia="新宋体"/>
                <w:color w:val="000000" w:themeColor="text1"/>
                <w:szCs w:val="21"/>
              </w:rPr>
            </w:pPr>
            <w:r>
              <w:rPr>
                <w:rFonts w:eastAsia="新宋体"/>
                <w:color w:val="000000" w:themeColor="text1"/>
                <w:szCs w:val="21"/>
              </w:rPr>
              <w:t>原料</w:t>
            </w:r>
          </w:p>
        </w:tc>
        <w:tc>
          <w:tcPr>
            <w:tcW w:w="1192" w:type="dxa"/>
            <w:vAlign w:val="center"/>
          </w:tcPr>
          <w:p w14:paraId="3EB1567E">
            <w:pPr>
              <w:jc w:val="center"/>
              <w:rPr>
                <w:rFonts w:eastAsia="新宋体"/>
                <w:color w:val="000000" w:themeColor="text1"/>
                <w:szCs w:val="21"/>
              </w:rPr>
            </w:pPr>
            <w:r>
              <w:rPr>
                <w:rFonts w:eastAsia="新宋体"/>
                <w:color w:val="000000" w:themeColor="text1"/>
                <w:szCs w:val="21"/>
              </w:rPr>
              <w:t>规模</w:t>
            </w:r>
          </w:p>
        </w:tc>
        <w:tc>
          <w:tcPr>
            <w:tcW w:w="1057" w:type="dxa"/>
            <w:vAlign w:val="center"/>
          </w:tcPr>
          <w:p w14:paraId="53971147">
            <w:pPr>
              <w:jc w:val="center"/>
              <w:rPr>
                <w:rFonts w:eastAsia="新宋体"/>
                <w:color w:val="000000" w:themeColor="text1"/>
                <w:szCs w:val="21"/>
              </w:rPr>
            </w:pPr>
            <w:r>
              <w:rPr>
                <w:rFonts w:eastAsia="新宋体"/>
                <w:color w:val="000000" w:themeColor="text1"/>
                <w:szCs w:val="21"/>
              </w:rPr>
              <w:t>生产工艺</w:t>
            </w:r>
          </w:p>
        </w:tc>
        <w:tc>
          <w:tcPr>
            <w:tcW w:w="2521" w:type="dxa"/>
            <w:vAlign w:val="center"/>
          </w:tcPr>
          <w:p w14:paraId="746B5199">
            <w:pPr>
              <w:jc w:val="center"/>
              <w:rPr>
                <w:rFonts w:eastAsia="新宋体"/>
                <w:color w:val="000000" w:themeColor="text1"/>
                <w:szCs w:val="21"/>
              </w:rPr>
            </w:pPr>
            <w:r>
              <w:rPr>
                <w:rFonts w:eastAsia="新宋体"/>
                <w:color w:val="000000" w:themeColor="text1"/>
                <w:szCs w:val="21"/>
              </w:rPr>
              <w:t>污染防治措施</w:t>
            </w:r>
          </w:p>
        </w:tc>
      </w:tr>
      <w:tr w14:paraId="55583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34" w:type="dxa"/>
            <w:vAlign w:val="center"/>
          </w:tcPr>
          <w:p w14:paraId="172575FA">
            <w:pPr>
              <w:jc w:val="center"/>
              <w:rPr>
                <w:rFonts w:eastAsia="新宋体"/>
                <w:color w:val="000000" w:themeColor="text1"/>
                <w:szCs w:val="21"/>
              </w:rPr>
            </w:pPr>
            <w:r>
              <w:rPr>
                <w:rFonts w:eastAsia="新宋体"/>
                <w:color w:val="000000" w:themeColor="text1"/>
                <w:szCs w:val="21"/>
              </w:rPr>
              <w:t>上海舒氏塑业有限公司建设项目</w:t>
            </w:r>
          </w:p>
        </w:tc>
        <w:tc>
          <w:tcPr>
            <w:tcW w:w="1785" w:type="dxa"/>
            <w:vAlign w:val="center"/>
          </w:tcPr>
          <w:p w14:paraId="66A2B26D">
            <w:pPr>
              <w:jc w:val="center"/>
              <w:rPr>
                <w:rFonts w:eastAsia="新宋体"/>
                <w:color w:val="000000" w:themeColor="text1"/>
                <w:szCs w:val="21"/>
              </w:rPr>
            </w:pPr>
            <w:r>
              <w:rPr>
                <w:rFonts w:eastAsia="新宋体"/>
                <w:color w:val="000000" w:themeColor="text1"/>
                <w:szCs w:val="21"/>
              </w:rPr>
              <w:t>废塑料（主要为PE、PP、PET）</w:t>
            </w:r>
          </w:p>
        </w:tc>
        <w:tc>
          <w:tcPr>
            <w:tcW w:w="1192" w:type="dxa"/>
            <w:vAlign w:val="center"/>
          </w:tcPr>
          <w:p w14:paraId="2C51BBE6">
            <w:pPr>
              <w:jc w:val="center"/>
              <w:rPr>
                <w:rFonts w:eastAsia="新宋体"/>
                <w:color w:val="000000" w:themeColor="text1"/>
                <w:szCs w:val="21"/>
              </w:rPr>
            </w:pPr>
            <w:r>
              <w:rPr>
                <w:rFonts w:eastAsia="新宋体"/>
                <w:color w:val="000000" w:themeColor="text1"/>
                <w:szCs w:val="21"/>
              </w:rPr>
              <w:t>40000t/a</w:t>
            </w:r>
          </w:p>
        </w:tc>
        <w:tc>
          <w:tcPr>
            <w:tcW w:w="1057" w:type="dxa"/>
            <w:vAlign w:val="center"/>
          </w:tcPr>
          <w:p w14:paraId="2570571F">
            <w:pPr>
              <w:jc w:val="center"/>
              <w:rPr>
                <w:rFonts w:eastAsia="新宋体"/>
                <w:color w:val="000000" w:themeColor="text1"/>
                <w:szCs w:val="21"/>
              </w:rPr>
            </w:pPr>
            <w:r>
              <w:rPr>
                <w:rFonts w:eastAsia="新宋体"/>
                <w:color w:val="000000" w:themeColor="text1"/>
                <w:szCs w:val="21"/>
              </w:rPr>
              <w:t>挤出造粒</w:t>
            </w:r>
          </w:p>
        </w:tc>
        <w:tc>
          <w:tcPr>
            <w:tcW w:w="2521" w:type="dxa"/>
            <w:vAlign w:val="center"/>
          </w:tcPr>
          <w:p w14:paraId="32EC9CE1">
            <w:pPr>
              <w:jc w:val="center"/>
              <w:rPr>
                <w:rFonts w:eastAsia="新宋体"/>
                <w:color w:val="000000" w:themeColor="text1"/>
                <w:szCs w:val="21"/>
              </w:rPr>
            </w:pPr>
            <w:r>
              <w:rPr>
                <w:rFonts w:eastAsia="新宋体"/>
                <w:color w:val="000000" w:themeColor="text1"/>
                <w:szCs w:val="21"/>
              </w:rPr>
              <w:t>废气收集后经”过滤棉+活性炭”处理后排放</w:t>
            </w:r>
          </w:p>
        </w:tc>
      </w:tr>
      <w:tr w14:paraId="738D0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34" w:type="dxa"/>
            <w:vAlign w:val="center"/>
          </w:tcPr>
          <w:p w14:paraId="1560AAB2">
            <w:pPr>
              <w:jc w:val="center"/>
              <w:rPr>
                <w:rFonts w:eastAsia="新宋体"/>
                <w:color w:val="000000" w:themeColor="text1"/>
                <w:szCs w:val="21"/>
              </w:rPr>
            </w:pPr>
            <w:r>
              <w:rPr>
                <w:rFonts w:eastAsia="新宋体"/>
                <w:color w:val="000000" w:themeColor="text1"/>
                <w:szCs w:val="21"/>
              </w:rPr>
              <w:t>本项目</w:t>
            </w:r>
          </w:p>
        </w:tc>
        <w:tc>
          <w:tcPr>
            <w:tcW w:w="1785" w:type="dxa"/>
            <w:vAlign w:val="center"/>
          </w:tcPr>
          <w:p w14:paraId="0C41F6C1">
            <w:pPr>
              <w:jc w:val="center"/>
              <w:rPr>
                <w:rFonts w:eastAsia="新宋体"/>
                <w:color w:val="000000" w:themeColor="text1"/>
                <w:szCs w:val="21"/>
              </w:rPr>
            </w:pPr>
            <w:r>
              <w:rPr>
                <w:rFonts w:eastAsia="新宋体"/>
                <w:color w:val="000000" w:themeColor="text1"/>
                <w:szCs w:val="21"/>
              </w:rPr>
              <w:t>废塑料（PE、PP）</w:t>
            </w:r>
          </w:p>
        </w:tc>
        <w:tc>
          <w:tcPr>
            <w:tcW w:w="1192" w:type="dxa"/>
            <w:vAlign w:val="center"/>
          </w:tcPr>
          <w:p w14:paraId="5CD5A8B4">
            <w:pPr>
              <w:jc w:val="center"/>
              <w:rPr>
                <w:rFonts w:eastAsia="新宋体"/>
                <w:color w:val="000000" w:themeColor="text1"/>
                <w:szCs w:val="21"/>
              </w:rPr>
            </w:pPr>
            <w:r>
              <w:rPr>
                <w:rFonts w:eastAsia="新宋体"/>
                <w:color w:val="000000" w:themeColor="text1"/>
                <w:szCs w:val="21"/>
              </w:rPr>
              <w:t>5000t/a</w:t>
            </w:r>
          </w:p>
        </w:tc>
        <w:tc>
          <w:tcPr>
            <w:tcW w:w="1057" w:type="dxa"/>
            <w:vAlign w:val="center"/>
          </w:tcPr>
          <w:p w14:paraId="659956F4">
            <w:pPr>
              <w:jc w:val="center"/>
              <w:rPr>
                <w:rFonts w:eastAsia="新宋体"/>
                <w:color w:val="000000" w:themeColor="text1"/>
                <w:szCs w:val="21"/>
              </w:rPr>
            </w:pPr>
            <w:r>
              <w:rPr>
                <w:rFonts w:eastAsia="新宋体"/>
                <w:color w:val="000000" w:themeColor="text1"/>
                <w:szCs w:val="21"/>
              </w:rPr>
              <w:t>挤出造粒</w:t>
            </w:r>
          </w:p>
        </w:tc>
        <w:tc>
          <w:tcPr>
            <w:tcW w:w="2521" w:type="dxa"/>
            <w:vAlign w:val="center"/>
          </w:tcPr>
          <w:p w14:paraId="1648675D">
            <w:pPr>
              <w:rPr>
                <w:rFonts w:eastAsia="新宋体"/>
                <w:color w:val="000000" w:themeColor="text1"/>
                <w:szCs w:val="21"/>
              </w:rPr>
            </w:pPr>
            <w:r>
              <w:rPr>
                <w:rFonts w:eastAsia="新宋体"/>
                <w:color w:val="000000" w:themeColor="text1"/>
                <w:szCs w:val="21"/>
              </w:rPr>
              <w:t>废气收集后经”过滤棉+UV光解”装置处理后排放</w:t>
            </w:r>
          </w:p>
        </w:tc>
      </w:tr>
    </w:tbl>
    <w:p w14:paraId="4AE01113">
      <w:pPr>
        <w:adjustRightInd w:val="0"/>
        <w:snapToGrid w:val="0"/>
        <w:spacing w:line="360" w:lineRule="auto"/>
        <w:ind w:firstLine="480" w:firstLineChars="200"/>
        <w:jc w:val="left"/>
        <w:rPr>
          <w:rFonts w:eastAsia="新宋体"/>
          <w:color w:val="FF0000"/>
          <w:sz w:val="24"/>
          <w:szCs w:val="21"/>
        </w:rPr>
      </w:pPr>
      <w:r>
        <w:rPr>
          <w:rFonts w:eastAsia="新宋体"/>
          <w:color w:val="FF0000"/>
          <w:sz w:val="24"/>
          <w:szCs w:val="21"/>
        </w:rPr>
        <w:t>由上表可见，本项目与上海舒氏塑业有限公司相比原料更简单，工艺及污染防治措施相似，监测时舒氏塑业设备产能为6.05t/h，本项目生产线最大产能2.08t/h，产能比其小，同时本项目采用UV光解，比活性炭处理非甲烷总烃效果好；</w:t>
      </w:r>
    </w:p>
    <w:p w14:paraId="7EAD437A">
      <w:pPr>
        <w:adjustRightInd w:val="0"/>
        <w:snapToGrid w:val="0"/>
        <w:spacing w:line="360" w:lineRule="auto"/>
        <w:ind w:firstLine="480" w:firstLineChars="200"/>
        <w:jc w:val="left"/>
        <w:rPr>
          <w:rFonts w:eastAsia="新宋体"/>
          <w:color w:val="FF0000"/>
          <w:sz w:val="24"/>
          <w:szCs w:val="21"/>
        </w:rPr>
      </w:pPr>
      <w:r>
        <w:rPr>
          <w:rFonts w:eastAsia="新宋体"/>
          <w:color w:val="FF0000"/>
          <w:sz w:val="24"/>
          <w:szCs w:val="21"/>
        </w:rPr>
        <w:t>该项目监测报告显示厂界处臭气浓度10（无量纲），因此，本项目运营过程中，厂界臭气浓度可以满足《恶臭污染物排放标准》（GB14554-1993）中表1恶臭污染物厂界标准中二级标准（臭气浓度20（无量纲））。</w:t>
      </w:r>
    </w:p>
    <w:p w14:paraId="2D10733E">
      <w:pPr>
        <w:adjustRightInd w:val="0"/>
        <w:snapToGrid w:val="0"/>
        <w:spacing w:line="360" w:lineRule="auto"/>
        <w:ind w:firstLine="480" w:firstLineChars="200"/>
        <w:jc w:val="left"/>
        <w:rPr>
          <w:rFonts w:eastAsia="新宋体"/>
          <w:color w:val="000000" w:themeColor="text1"/>
          <w:sz w:val="24"/>
          <w:szCs w:val="21"/>
        </w:rPr>
      </w:pPr>
    </w:p>
    <w:p w14:paraId="0F1DDAD0">
      <w:pPr>
        <w:spacing w:line="360" w:lineRule="auto"/>
        <w:ind w:firstLine="482" w:firstLineChars="200"/>
        <w:rPr>
          <w:b/>
          <w:color w:val="000000" w:themeColor="text1"/>
          <w:sz w:val="24"/>
        </w:rPr>
      </w:pPr>
      <w:r>
        <w:rPr>
          <w:rFonts w:hint="eastAsia" w:ascii="宋体" w:hAnsi="宋体" w:cs="宋体"/>
          <w:b/>
          <w:color w:val="000000" w:themeColor="text1"/>
          <w:sz w:val="24"/>
        </w:rPr>
        <w:t>②</w:t>
      </w:r>
      <w:r>
        <w:rPr>
          <w:b/>
          <w:color w:val="000000" w:themeColor="text1"/>
          <w:sz w:val="24"/>
        </w:rPr>
        <w:t>化粪池和生活垃圾收集异味</w:t>
      </w:r>
    </w:p>
    <w:p w14:paraId="22353F6A">
      <w:pPr>
        <w:spacing w:line="360" w:lineRule="auto"/>
        <w:ind w:firstLine="480" w:firstLineChars="200"/>
        <w:rPr>
          <w:color w:val="000000" w:themeColor="text1"/>
          <w:sz w:val="24"/>
        </w:rPr>
      </w:pPr>
      <w:r>
        <w:rPr>
          <w:color w:val="000000" w:themeColor="text1"/>
          <w:sz w:val="24"/>
        </w:rPr>
        <w:t>项目建设有化粪池，采用地埋式，生活垃圾采用垃圾桶，垃圾及时清运，化粪池及时清掏，并且厂区有大量绿化，500m范围内无居民区，其异味对环境影响较小。</w:t>
      </w:r>
    </w:p>
    <w:p w14:paraId="33831F90">
      <w:pPr>
        <w:spacing w:line="360" w:lineRule="auto"/>
        <w:ind w:firstLine="482" w:firstLineChars="200"/>
        <w:jc w:val="left"/>
        <w:rPr>
          <w:b/>
          <w:color w:val="000000" w:themeColor="text1"/>
          <w:sz w:val="24"/>
        </w:rPr>
      </w:pPr>
      <w:r>
        <w:rPr>
          <w:b/>
          <w:color w:val="000000" w:themeColor="text1"/>
          <w:sz w:val="24"/>
        </w:rPr>
        <w:t>3、厂界达标及保护目标环境影响分析</w:t>
      </w:r>
    </w:p>
    <w:p w14:paraId="66CACAB9">
      <w:pPr>
        <w:spacing w:line="360" w:lineRule="auto"/>
        <w:ind w:firstLine="600" w:firstLineChars="250"/>
        <w:jc w:val="left"/>
        <w:rPr>
          <w:b/>
          <w:color w:val="000000" w:themeColor="text1"/>
          <w:sz w:val="24"/>
        </w:rPr>
      </w:pPr>
      <w:r>
        <w:rPr>
          <w:color w:val="000000" w:themeColor="text1"/>
          <w:sz w:val="24"/>
        </w:rPr>
        <w:t>综上，根据HJ2.2-2018《环境影响评价技术导则-大气环境》推荐的估算模式（AERSCREEN），见表6.1-7。</w:t>
      </w:r>
    </w:p>
    <w:p w14:paraId="30F2342F">
      <w:pPr>
        <w:ind w:firstLine="422"/>
        <w:jc w:val="center"/>
        <w:rPr>
          <w:b/>
          <w:color w:val="000000" w:themeColor="text1"/>
          <w:sz w:val="24"/>
        </w:rPr>
      </w:pPr>
      <w:r>
        <w:rPr>
          <w:b/>
          <w:color w:val="000000" w:themeColor="text1"/>
          <w:sz w:val="24"/>
        </w:rPr>
        <w:t>表6.1-7  污染源下风向最大落地浓度及占标率一览表</w:t>
      </w:r>
    </w:p>
    <w:tbl>
      <w:tblPr>
        <w:tblStyle w:val="42"/>
        <w:tblW w:w="5000"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01"/>
        <w:gridCol w:w="1177"/>
        <w:gridCol w:w="2061"/>
        <w:gridCol w:w="2059"/>
        <w:gridCol w:w="1325"/>
        <w:gridCol w:w="1523"/>
      </w:tblGrid>
      <w:tr w14:paraId="496C3000">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396" w:type="pct"/>
            <w:vAlign w:val="center"/>
          </w:tcPr>
          <w:p w14:paraId="28FC56E8">
            <w:pPr>
              <w:jc w:val="center"/>
              <w:rPr>
                <w:b/>
                <w:color w:val="000000" w:themeColor="text1"/>
                <w:szCs w:val="21"/>
              </w:rPr>
            </w:pPr>
            <w:r>
              <w:rPr>
                <w:b/>
                <w:color w:val="000000" w:themeColor="text1"/>
                <w:szCs w:val="21"/>
              </w:rPr>
              <w:t>类别</w:t>
            </w:r>
          </w:p>
        </w:tc>
        <w:tc>
          <w:tcPr>
            <w:tcW w:w="1830" w:type="pct"/>
            <w:gridSpan w:val="2"/>
          </w:tcPr>
          <w:p w14:paraId="61DB52B0">
            <w:pPr>
              <w:jc w:val="center"/>
              <w:rPr>
                <w:b/>
                <w:color w:val="000000" w:themeColor="text1"/>
                <w:szCs w:val="21"/>
              </w:rPr>
            </w:pPr>
            <w:r>
              <w:rPr>
                <w:b/>
                <w:color w:val="000000" w:themeColor="text1"/>
                <w:szCs w:val="21"/>
              </w:rPr>
              <w:t>污染源</w:t>
            </w:r>
          </w:p>
        </w:tc>
        <w:tc>
          <w:tcPr>
            <w:tcW w:w="1164" w:type="pct"/>
            <w:vAlign w:val="center"/>
          </w:tcPr>
          <w:p w14:paraId="395D5582">
            <w:pPr>
              <w:jc w:val="center"/>
              <w:rPr>
                <w:b/>
                <w:color w:val="000000" w:themeColor="text1"/>
                <w:szCs w:val="21"/>
              </w:rPr>
            </w:pPr>
            <w:r>
              <w:rPr>
                <w:b/>
                <w:color w:val="000000" w:themeColor="text1"/>
                <w:szCs w:val="21"/>
              </w:rPr>
              <w:t>最大贡献浓度（ug/m</w:t>
            </w:r>
            <w:r>
              <w:rPr>
                <w:b/>
                <w:color w:val="000000" w:themeColor="text1"/>
                <w:szCs w:val="21"/>
                <w:vertAlign w:val="superscript"/>
              </w:rPr>
              <w:t>3</w:t>
            </w:r>
            <w:r>
              <w:rPr>
                <w:b/>
                <w:color w:val="000000" w:themeColor="text1"/>
                <w:szCs w:val="21"/>
              </w:rPr>
              <w:t>）</w:t>
            </w:r>
          </w:p>
        </w:tc>
        <w:tc>
          <w:tcPr>
            <w:tcW w:w="749" w:type="pct"/>
            <w:vAlign w:val="center"/>
          </w:tcPr>
          <w:p w14:paraId="7F0719AE">
            <w:pPr>
              <w:jc w:val="center"/>
              <w:rPr>
                <w:b/>
                <w:color w:val="000000" w:themeColor="text1"/>
                <w:szCs w:val="21"/>
              </w:rPr>
            </w:pPr>
            <w:r>
              <w:rPr>
                <w:b/>
                <w:color w:val="000000" w:themeColor="text1"/>
                <w:szCs w:val="21"/>
              </w:rPr>
              <w:t>P</w:t>
            </w:r>
            <w:r>
              <w:rPr>
                <w:b/>
                <w:color w:val="000000" w:themeColor="text1"/>
                <w:szCs w:val="21"/>
                <w:vertAlign w:val="subscript"/>
              </w:rPr>
              <w:t>max</w:t>
            </w:r>
            <w:r>
              <w:rPr>
                <w:b/>
                <w:color w:val="000000" w:themeColor="text1"/>
                <w:szCs w:val="21"/>
              </w:rPr>
              <w:t>（%）</w:t>
            </w:r>
          </w:p>
        </w:tc>
        <w:tc>
          <w:tcPr>
            <w:tcW w:w="861" w:type="pct"/>
            <w:vAlign w:val="center"/>
          </w:tcPr>
          <w:p w14:paraId="168AB587">
            <w:pPr>
              <w:jc w:val="center"/>
              <w:rPr>
                <w:b/>
                <w:color w:val="000000" w:themeColor="text1"/>
                <w:szCs w:val="21"/>
              </w:rPr>
            </w:pPr>
            <w:r>
              <w:rPr>
                <w:b/>
                <w:color w:val="000000" w:themeColor="text1"/>
                <w:szCs w:val="21"/>
              </w:rPr>
              <w:t>D10%(m)</w:t>
            </w:r>
          </w:p>
        </w:tc>
      </w:tr>
      <w:tr w14:paraId="74BD98EB">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restart"/>
            <w:vAlign w:val="center"/>
          </w:tcPr>
          <w:p w14:paraId="137C6018">
            <w:pPr>
              <w:jc w:val="center"/>
              <w:rPr>
                <w:color w:val="000000" w:themeColor="text1"/>
                <w:szCs w:val="21"/>
              </w:rPr>
            </w:pPr>
            <w:r>
              <w:rPr>
                <w:color w:val="000000" w:themeColor="text1"/>
                <w:szCs w:val="21"/>
              </w:rPr>
              <w:t>有组织</w:t>
            </w:r>
          </w:p>
        </w:tc>
        <w:tc>
          <w:tcPr>
            <w:tcW w:w="665" w:type="pct"/>
            <w:vMerge w:val="restart"/>
            <w:vAlign w:val="center"/>
          </w:tcPr>
          <w:p w14:paraId="3061E34F">
            <w:pPr>
              <w:jc w:val="center"/>
              <w:rPr>
                <w:color w:val="000000" w:themeColor="text1"/>
                <w:szCs w:val="21"/>
              </w:rPr>
            </w:pPr>
            <w:r>
              <w:rPr>
                <w:color w:val="000000" w:themeColor="text1"/>
                <w:szCs w:val="21"/>
              </w:rPr>
              <w:t>造粒工序</w:t>
            </w:r>
          </w:p>
        </w:tc>
        <w:tc>
          <w:tcPr>
            <w:tcW w:w="1165" w:type="pct"/>
            <w:vAlign w:val="center"/>
          </w:tcPr>
          <w:p w14:paraId="2BEC8A09">
            <w:pPr>
              <w:jc w:val="center"/>
              <w:rPr>
                <w:color w:val="000000" w:themeColor="text1"/>
                <w:szCs w:val="21"/>
              </w:rPr>
            </w:pPr>
            <w:r>
              <w:rPr>
                <w:color w:val="000000" w:themeColor="text1"/>
                <w:szCs w:val="21"/>
              </w:rPr>
              <w:t>颗粒物（TSP）</w:t>
            </w:r>
          </w:p>
        </w:tc>
        <w:tc>
          <w:tcPr>
            <w:tcW w:w="1164" w:type="pct"/>
            <w:vAlign w:val="center"/>
          </w:tcPr>
          <w:p w14:paraId="48A78F14">
            <w:pPr>
              <w:jc w:val="center"/>
            </w:pPr>
            <w:r>
              <w:rPr>
                <w:sz w:val="23"/>
                <w:szCs w:val="23"/>
              </w:rPr>
              <w:t>6.6551</w:t>
            </w:r>
          </w:p>
        </w:tc>
        <w:tc>
          <w:tcPr>
            <w:tcW w:w="749" w:type="pct"/>
            <w:vAlign w:val="center"/>
          </w:tcPr>
          <w:p w14:paraId="51F6E891">
            <w:pPr>
              <w:jc w:val="center"/>
            </w:pPr>
            <w:r>
              <w:rPr>
                <w:sz w:val="23"/>
                <w:szCs w:val="23"/>
              </w:rPr>
              <w:t>0.7395</w:t>
            </w:r>
          </w:p>
        </w:tc>
        <w:tc>
          <w:tcPr>
            <w:tcW w:w="861" w:type="pct"/>
            <w:vMerge w:val="restart"/>
            <w:vAlign w:val="center"/>
          </w:tcPr>
          <w:p w14:paraId="335457F0">
            <w:pPr>
              <w:jc w:val="center"/>
              <w:rPr>
                <w:color w:val="000000" w:themeColor="text1"/>
                <w:szCs w:val="21"/>
              </w:rPr>
            </w:pPr>
            <w:r>
              <w:rPr>
                <w:color w:val="000000" w:themeColor="text1"/>
                <w:szCs w:val="21"/>
              </w:rPr>
              <w:t>/</w:t>
            </w:r>
          </w:p>
        </w:tc>
      </w:tr>
      <w:tr w14:paraId="214C9624">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continue"/>
            <w:vAlign w:val="center"/>
          </w:tcPr>
          <w:p w14:paraId="705C32EB">
            <w:pPr>
              <w:jc w:val="center"/>
              <w:rPr>
                <w:color w:val="000000" w:themeColor="text1"/>
                <w:szCs w:val="21"/>
              </w:rPr>
            </w:pPr>
          </w:p>
        </w:tc>
        <w:tc>
          <w:tcPr>
            <w:tcW w:w="665" w:type="pct"/>
            <w:vMerge w:val="continue"/>
            <w:vAlign w:val="center"/>
          </w:tcPr>
          <w:p w14:paraId="00401A38">
            <w:pPr>
              <w:jc w:val="center"/>
              <w:rPr>
                <w:color w:val="000000" w:themeColor="text1"/>
                <w:szCs w:val="21"/>
              </w:rPr>
            </w:pPr>
          </w:p>
        </w:tc>
        <w:tc>
          <w:tcPr>
            <w:tcW w:w="1165" w:type="pct"/>
            <w:vAlign w:val="center"/>
          </w:tcPr>
          <w:p w14:paraId="00F79301">
            <w:pPr>
              <w:jc w:val="center"/>
              <w:rPr>
                <w:color w:val="000000" w:themeColor="text1"/>
                <w:szCs w:val="21"/>
              </w:rPr>
            </w:pPr>
            <w:r>
              <w:rPr>
                <w:color w:val="000000" w:themeColor="text1"/>
                <w:szCs w:val="21"/>
              </w:rPr>
              <w:t>非甲烷总烃</w:t>
            </w:r>
          </w:p>
        </w:tc>
        <w:tc>
          <w:tcPr>
            <w:tcW w:w="1164" w:type="pct"/>
            <w:vAlign w:val="center"/>
          </w:tcPr>
          <w:p w14:paraId="6522D07C">
            <w:pPr>
              <w:jc w:val="center"/>
            </w:pPr>
            <w:r>
              <w:rPr>
                <w:sz w:val="23"/>
                <w:szCs w:val="23"/>
              </w:rPr>
              <w:t>44.6842</w:t>
            </w:r>
          </w:p>
        </w:tc>
        <w:tc>
          <w:tcPr>
            <w:tcW w:w="749" w:type="pct"/>
            <w:vAlign w:val="center"/>
          </w:tcPr>
          <w:p w14:paraId="2BF5D6CF">
            <w:pPr>
              <w:jc w:val="center"/>
            </w:pPr>
            <w:r>
              <w:rPr>
                <w:sz w:val="23"/>
                <w:szCs w:val="23"/>
              </w:rPr>
              <w:t>2.2342</w:t>
            </w:r>
          </w:p>
        </w:tc>
        <w:tc>
          <w:tcPr>
            <w:tcW w:w="861" w:type="pct"/>
            <w:vMerge w:val="continue"/>
            <w:vAlign w:val="center"/>
          </w:tcPr>
          <w:p w14:paraId="6AA8E711">
            <w:pPr>
              <w:jc w:val="center"/>
              <w:rPr>
                <w:color w:val="000000" w:themeColor="text1"/>
                <w:szCs w:val="21"/>
              </w:rPr>
            </w:pPr>
          </w:p>
        </w:tc>
      </w:tr>
      <w:tr w14:paraId="34B00814">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continue"/>
            <w:vAlign w:val="center"/>
          </w:tcPr>
          <w:p w14:paraId="5B758E80">
            <w:pPr>
              <w:jc w:val="center"/>
              <w:rPr>
                <w:color w:val="000000" w:themeColor="text1"/>
                <w:szCs w:val="21"/>
              </w:rPr>
            </w:pPr>
          </w:p>
        </w:tc>
        <w:tc>
          <w:tcPr>
            <w:tcW w:w="665" w:type="pct"/>
            <w:vMerge w:val="restart"/>
            <w:vAlign w:val="center"/>
          </w:tcPr>
          <w:p w14:paraId="26F4696D">
            <w:pPr>
              <w:jc w:val="center"/>
              <w:rPr>
                <w:color w:val="000000" w:themeColor="text1"/>
                <w:szCs w:val="21"/>
              </w:rPr>
            </w:pPr>
            <w:r>
              <w:rPr>
                <w:color w:val="000000" w:themeColor="text1"/>
                <w:szCs w:val="21"/>
              </w:rPr>
              <w:t>编织袋生产</w:t>
            </w:r>
          </w:p>
        </w:tc>
        <w:tc>
          <w:tcPr>
            <w:tcW w:w="1165" w:type="pct"/>
            <w:vAlign w:val="center"/>
          </w:tcPr>
          <w:p w14:paraId="5C758A3F">
            <w:pPr>
              <w:jc w:val="center"/>
              <w:rPr>
                <w:color w:val="000000" w:themeColor="text1"/>
                <w:szCs w:val="21"/>
              </w:rPr>
            </w:pPr>
            <w:r>
              <w:rPr>
                <w:color w:val="000000" w:themeColor="text1"/>
                <w:szCs w:val="21"/>
              </w:rPr>
              <w:t>颗粒物（TSP）</w:t>
            </w:r>
          </w:p>
        </w:tc>
        <w:tc>
          <w:tcPr>
            <w:tcW w:w="1164" w:type="pct"/>
            <w:vAlign w:val="center"/>
          </w:tcPr>
          <w:p w14:paraId="737B41CB">
            <w:pPr>
              <w:jc w:val="center"/>
            </w:pPr>
            <w:r>
              <w:rPr>
                <w:sz w:val="23"/>
                <w:szCs w:val="23"/>
              </w:rPr>
              <w:t>6.5301</w:t>
            </w:r>
          </w:p>
        </w:tc>
        <w:tc>
          <w:tcPr>
            <w:tcW w:w="749" w:type="pct"/>
            <w:vAlign w:val="center"/>
          </w:tcPr>
          <w:p w14:paraId="3C983848">
            <w:pPr>
              <w:jc w:val="center"/>
            </w:pPr>
            <w:r>
              <w:rPr>
                <w:sz w:val="23"/>
                <w:szCs w:val="23"/>
              </w:rPr>
              <w:t>0.3265</w:t>
            </w:r>
          </w:p>
        </w:tc>
        <w:tc>
          <w:tcPr>
            <w:tcW w:w="861" w:type="pct"/>
            <w:vMerge w:val="restart"/>
            <w:vAlign w:val="center"/>
          </w:tcPr>
          <w:p w14:paraId="70FBE71A">
            <w:pPr>
              <w:jc w:val="center"/>
              <w:rPr>
                <w:color w:val="000000" w:themeColor="text1"/>
                <w:szCs w:val="21"/>
              </w:rPr>
            </w:pPr>
            <w:r>
              <w:rPr>
                <w:color w:val="000000" w:themeColor="text1"/>
                <w:szCs w:val="21"/>
              </w:rPr>
              <w:t>/</w:t>
            </w:r>
          </w:p>
        </w:tc>
      </w:tr>
      <w:tr w14:paraId="26522617">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continue"/>
            <w:vAlign w:val="center"/>
          </w:tcPr>
          <w:p w14:paraId="2E88D30C">
            <w:pPr>
              <w:jc w:val="center"/>
              <w:rPr>
                <w:color w:val="000000" w:themeColor="text1"/>
                <w:szCs w:val="21"/>
              </w:rPr>
            </w:pPr>
          </w:p>
        </w:tc>
        <w:tc>
          <w:tcPr>
            <w:tcW w:w="665" w:type="pct"/>
            <w:vMerge w:val="continue"/>
          </w:tcPr>
          <w:p w14:paraId="6F904FD6">
            <w:pPr>
              <w:jc w:val="center"/>
              <w:rPr>
                <w:color w:val="000000" w:themeColor="text1"/>
                <w:szCs w:val="21"/>
              </w:rPr>
            </w:pPr>
          </w:p>
        </w:tc>
        <w:tc>
          <w:tcPr>
            <w:tcW w:w="1165" w:type="pct"/>
            <w:vAlign w:val="center"/>
          </w:tcPr>
          <w:p w14:paraId="2F05BCFD">
            <w:pPr>
              <w:jc w:val="center"/>
              <w:rPr>
                <w:color w:val="000000" w:themeColor="text1"/>
                <w:szCs w:val="21"/>
              </w:rPr>
            </w:pPr>
            <w:r>
              <w:rPr>
                <w:color w:val="000000" w:themeColor="text1"/>
                <w:szCs w:val="21"/>
              </w:rPr>
              <w:t>非甲烷总烃</w:t>
            </w:r>
          </w:p>
        </w:tc>
        <w:tc>
          <w:tcPr>
            <w:tcW w:w="1164" w:type="pct"/>
            <w:vAlign w:val="center"/>
          </w:tcPr>
          <w:p w14:paraId="1E510180">
            <w:pPr>
              <w:jc w:val="center"/>
            </w:pPr>
            <w:r>
              <w:rPr>
                <w:sz w:val="23"/>
                <w:szCs w:val="23"/>
              </w:rPr>
              <w:t>6.2544</w:t>
            </w:r>
          </w:p>
        </w:tc>
        <w:tc>
          <w:tcPr>
            <w:tcW w:w="749" w:type="pct"/>
            <w:vAlign w:val="center"/>
          </w:tcPr>
          <w:p w14:paraId="2774E376">
            <w:pPr>
              <w:jc w:val="center"/>
            </w:pPr>
            <w:r>
              <w:rPr>
                <w:sz w:val="23"/>
                <w:szCs w:val="23"/>
              </w:rPr>
              <w:t>0.6949</w:t>
            </w:r>
          </w:p>
        </w:tc>
        <w:tc>
          <w:tcPr>
            <w:tcW w:w="861" w:type="pct"/>
            <w:vMerge w:val="continue"/>
            <w:vAlign w:val="center"/>
          </w:tcPr>
          <w:p w14:paraId="5B82B0A6">
            <w:pPr>
              <w:jc w:val="center"/>
              <w:rPr>
                <w:color w:val="000000" w:themeColor="text1"/>
                <w:szCs w:val="21"/>
              </w:rPr>
            </w:pPr>
          </w:p>
        </w:tc>
      </w:tr>
      <w:tr w14:paraId="27BEB31C">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85" w:hRule="atLeast"/>
          <w:jc w:val="center"/>
        </w:trPr>
        <w:tc>
          <w:tcPr>
            <w:tcW w:w="396" w:type="pct"/>
            <w:vMerge w:val="restart"/>
            <w:vAlign w:val="center"/>
          </w:tcPr>
          <w:p w14:paraId="4C3A6328">
            <w:pPr>
              <w:jc w:val="center"/>
              <w:rPr>
                <w:color w:val="000000" w:themeColor="text1"/>
                <w:szCs w:val="21"/>
              </w:rPr>
            </w:pPr>
            <w:r>
              <w:rPr>
                <w:color w:val="000000" w:themeColor="text1"/>
                <w:szCs w:val="21"/>
              </w:rPr>
              <w:t>无组织</w:t>
            </w:r>
          </w:p>
        </w:tc>
        <w:tc>
          <w:tcPr>
            <w:tcW w:w="665" w:type="pct"/>
            <w:vMerge w:val="restart"/>
          </w:tcPr>
          <w:p w14:paraId="0DBE333D">
            <w:pPr>
              <w:jc w:val="center"/>
              <w:rPr>
                <w:color w:val="000000" w:themeColor="text1"/>
                <w:szCs w:val="21"/>
              </w:rPr>
            </w:pPr>
            <w:r>
              <w:rPr>
                <w:color w:val="000000" w:themeColor="text1"/>
                <w:szCs w:val="21"/>
              </w:rPr>
              <w:t>生产区</w:t>
            </w:r>
          </w:p>
        </w:tc>
        <w:tc>
          <w:tcPr>
            <w:tcW w:w="1165" w:type="pct"/>
            <w:vAlign w:val="center"/>
          </w:tcPr>
          <w:p w14:paraId="101C55CB">
            <w:pPr>
              <w:jc w:val="center"/>
              <w:rPr>
                <w:color w:val="000000" w:themeColor="text1"/>
                <w:szCs w:val="21"/>
              </w:rPr>
            </w:pPr>
            <w:r>
              <w:rPr>
                <w:color w:val="000000" w:themeColor="text1"/>
                <w:szCs w:val="21"/>
              </w:rPr>
              <w:t>颗粒物（TSP）</w:t>
            </w:r>
          </w:p>
        </w:tc>
        <w:tc>
          <w:tcPr>
            <w:tcW w:w="1164" w:type="pct"/>
            <w:vAlign w:val="center"/>
          </w:tcPr>
          <w:p w14:paraId="5D783CF7">
            <w:pPr>
              <w:jc w:val="center"/>
            </w:pPr>
            <w:r>
              <w:rPr>
                <w:sz w:val="23"/>
                <w:szCs w:val="23"/>
              </w:rPr>
              <w:t>0.9488</w:t>
            </w:r>
          </w:p>
        </w:tc>
        <w:tc>
          <w:tcPr>
            <w:tcW w:w="749" w:type="pct"/>
            <w:vAlign w:val="center"/>
          </w:tcPr>
          <w:p w14:paraId="26366D68">
            <w:pPr>
              <w:jc w:val="center"/>
            </w:pPr>
            <w:r>
              <w:rPr>
                <w:sz w:val="23"/>
                <w:szCs w:val="23"/>
              </w:rPr>
              <w:t>0.1054</w:t>
            </w:r>
          </w:p>
        </w:tc>
        <w:tc>
          <w:tcPr>
            <w:tcW w:w="861" w:type="pct"/>
            <w:vMerge w:val="restart"/>
            <w:vAlign w:val="center"/>
          </w:tcPr>
          <w:p w14:paraId="6D9B061F">
            <w:pPr>
              <w:jc w:val="center"/>
              <w:rPr>
                <w:color w:val="000000" w:themeColor="text1"/>
                <w:szCs w:val="21"/>
              </w:rPr>
            </w:pPr>
            <w:r>
              <w:rPr>
                <w:color w:val="000000" w:themeColor="text1"/>
                <w:szCs w:val="21"/>
              </w:rPr>
              <w:t>/</w:t>
            </w:r>
          </w:p>
        </w:tc>
      </w:tr>
      <w:tr w14:paraId="661C5221">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jc w:val="center"/>
        </w:trPr>
        <w:tc>
          <w:tcPr>
            <w:tcW w:w="396" w:type="pct"/>
            <w:vMerge w:val="continue"/>
            <w:vAlign w:val="center"/>
          </w:tcPr>
          <w:p w14:paraId="3DB9312C">
            <w:pPr>
              <w:jc w:val="center"/>
              <w:rPr>
                <w:color w:val="000000" w:themeColor="text1"/>
                <w:szCs w:val="21"/>
              </w:rPr>
            </w:pPr>
          </w:p>
        </w:tc>
        <w:tc>
          <w:tcPr>
            <w:tcW w:w="665" w:type="pct"/>
            <w:vMerge w:val="continue"/>
          </w:tcPr>
          <w:p w14:paraId="116907F9">
            <w:pPr>
              <w:jc w:val="center"/>
              <w:rPr>
                <w:color w:val="000000" w:themeColor="text1"/>
                <w:szCs w:val="21"/>
              </w:rPr>
            </w:pPr>
          </w:p>
        </w:tc>
        <w:tc>
          <w:tcPr>
            <w:tcW w:w="1165" w:type="pct"/>
            <w:vAlign w:val="center"/>
          </w:tcPr>
          <w:p w14:paraId="2F542520">
            <w:pPr>
              <w:jc w:val="center"/>
              <w:rPr>
                <w:color w:val="000000" w:themeColor="text1"/>
                <w:szCs w:val="21"/>
              </w:rPr>
            </w:pPr>
            <w:r>
              <w:rPr>
                <w:color w:val="000000" w:themeColor="text1"/>
                <w:szCs w:val="21"/>
              </w:rPr>
              <w:t>非甲烷总烃</w:t>
            </w:r>
          </w:p>
        </w:tc>
        <w:tc>
          <w:tcPr>
            <w:tcW w:w="1164" w:type="pct"/>
            <w:vAlign w:val="center"/>
          </w:tcPr>
          <w:p w14:paraId="0DEEB023">
            <w:pPr>
              <w:jc w:val="center"/>
            </w:pPr>
            <w:r>
              <w:rPr>
                <w:sz w:val="23"/>
                <w:szCs w:val="23"/>
              </w:rPr>
              <w:t>6.5301</w:t>
            </w:r>
          </w:p>
        </w:tc>
        <w:tc>
          <w:tcPr>
            <w:tcW w:w="749" w:type="pct"/>
            <w:vAlign w:val="center"/>
          </w:tcPr>
          <w:p w14:paraId="69A612E3">
            <w:pPr>
              <w:jc w:val="center"/>
            </w:pPr>
            <w:r>
              <w:rPr>
                <w:sz w:val="23"/>
                <w:szCs w:val="23"/>
              </w:rPr>
              <w:t>0.3265</w:t>
            </w:r>
          </w:p>
        </w:tc>
        <w:tc>
          <w:tcPr>
            <w:tcW w:w="861" w:type="pct"/>
            <w:vMerge w:val="continue"/>
            <w:vAlign w:val="center"/>
          </w:tcPr>
          <w:p w14:paraId="47732735">
            <w:pPr>
              <w:jc w:val="center"/>
              <w:rPr>
                <w:color w:val="000000" w:themeColor="text1"/>
                <w:szCs w:val="21"/>
              </w:rPr>
            </w:pPr>
          </w:p>
        </w:tc>
      </w:tr>
    </w:tbl>
    <w:p w14:paraId="29EB639A">
      <w:pPr>
        <w:autoSpaceDE w:val="0"/>
        <w:autoSpaceDN w:val="0"/>
        <w:adjustRightInd w:val="0"/>
        <w:spacing w:line="360" w:lineRule="auto"/>
        <w:ind w:firstLine="480"/>
        <w:jc w:val="left"/>
        <w:rPr>
          <w:color w:val="000000" w:themeColor="text1"/>
          <w:sz w:val="24"/>
        </w:rPr>
      </w:pPr>
      <w:r>
        <w:rPr>
          <w:color w:val="000000" w:themeColor="text1"/>
          <w:sz w:val="24"/>
        </w:rPr>
        <w:t>本项目Pmax最大值出现为点源排放的非甲烷总烃Pmax值为2.2342%，Cmax为44.6842μg/m³，根据《环境影响评价技术导则 大气环境》（HJ2.2-2018）分级判据，确定本项目大气环境影响评价工作等级为二级。</w:t>
      </w:r>
    </w:p>
    <w:p w14:paraId="0432CFA6">
      <w:pPr>
        <w:spacing w:line="360" w:lineRule="auto"/>
        <w:ind w:firstLine="482" w:firstLineChars="200"/>
        <w:jc w:val="left"/>
        <w:rPr>
          <w:b/>
          <w:color w:val="000000" w:themeColor="text1"/>
          <w:sz w:val="24"/>
        </w:rPr>
      </w:pPr>
      <w:r>
        <w:rPr>
          <w:b/>
          <w:color w:val="000000" w:themeColor="text1"/>
          <w:sz w:val="24"/>
        </w:rPr>
        <w:t>（1）厂界达标分析</w:t>
      </w:r>
    </w:p>
    <w:p w14:paraId="76A6B0F0">
      <w:pPr>
        <w:autoSpaceDE w:val="0"/>
        <w:autoSpaceDN w:val="0"/>
        <w:adjustRightInd w:val="0"/>
        <w:spacing w:line="360" w:lineRule="auto"/>
        <w:ind w:firstLine="480"/>
        <w:jc w:val="left"/>
        <w:rPr>
          <w:color w:val="000000" w:themeColor="text1"/>
          <w:sz w:val="24"/>
        </w:rPr>
      </w:pPr>
      <w:r>
        <w:rPr>
          <w:b/>
          <w:color w:val="000000" w:themeColor="text1"/>
          <w:sz w:val="24"/>
        </w:rPr>
        <w:t>颗粒物厂界达标可行性分析：</w:t>
      </w:r>
      <w:r>
        <w:rPr>
          <w:color w:val="000000" w:themeColor="text1"/>
          <w:sz w:val="24"/>
        </w:rPr>
        <w:t>根据上述预测，颗粒物最大小时预测落地浓度为0.158454mg/m</w:t>
      </w:r>
      <w:r>
        <w:rPr>
          <w:color w:val="000000" w:themeColor="text1"/>
          <w:sz w:val="24"/>
          <w:vertAlign w:val="superscript"/>
        </w:rPr>
        <w:t>3</w:t>
      </w:r>
      <w:r>
        <w:rPr>
          <w:color w:val="000000" w:themeColor="text1"/>
          <w:sz w:val="24"/>
        </w:rPr>
        <w:t>（贡献值叠加背景值，贡献值选取落地浓度最大值叠加，背景值选取监测排鲁村TSP最大值0.138 mg/m</w:t>
      </w:r>
      <w:r>
        <w:rPr>
          <w:color w:val="000000" w:themeColor="text1"/>
          <w:sz w:val="24"/>
          <w:vertAlign w:val="superscript"/>
        </w:rPr>
        <w:t>3</w:t>
      </w:r>
      <w:r>
        <w:rPr>
          <w:color w:val="000000" w:themeColor="text1"/>
          <w:sz w:val="24"/>
        </w:rPr>
        <w:t>），因此厂界能满足《合成树脂工业污染物排放标准》（GB31572-2015）颗粒物1.0 mg/m</w:t>
      </w:r>
      <w:r>
        <w:rPr>
          <w:color w:val="000000" w:themeColor="text1"/>
          <w:sz w:val="24"/>
          <w:vertAlign w:val="superscript"/>
        </w:rPr>
        <w:t>3</w:t>
      </w:r>
      <w:r>
        <w:rPr>
          <w:color w:val="000000" w:themeColor="text1"/>
          <w:sz w:val="24"/>
        </w:rPr>
        <w:t>要求。</w:t>
      </w:r>
    </w:p>
    <w:p w14:paraId="5A92FCAC">
      <w:pPr>
        <w:autoSpaceDE w:val="0"/>
        <w:autoSpaceDN w:val="0"/>
        <w:adjustRightInd w:val="0"/>
        <w:spacing w:line="360" w:lineRule="auto"/>
        <w:ind w:firstLine="480"/>
        <w:jc w:val="left"/>
        <w:rPr>
          <w:color w:val="000000" w:themeColor="text1"/>
          <w:sz w:val="24"/>
        </w:rPr>
      </w:pPr>
      <w:r>
        <w:rPr>
          <w:b/>
          <w:color w:val="000000" w:themeColor="text1"/>
          <w:sz w:val="24"/>
        </w:rPr>
        <w:t>非甲烷总烃厂界达标可行性分析：</w:t>
      </w:r>
      <w:r>
        <w:rPr>
          <w:color w:val="000000" w:themeColor="text1"/>
          <w:sz w:val="24"/>
        </w:rPr>
        <w:t>根据上述预测，非甲烷总烃最大小时预测落地浓度为0.158454mg/m</w:t>
      </w:r>
      <w:r>
        <w:rPr>
          <w:color w:val="000000" w:themeColor="text1"/>
          <w:sz w:val="24"/>
          <w:vertAlign w:val="superscript"/>
        </w:rPr>
        <w:t>3</w:t>
      </w:r>
      <w:r>
        <w:rPr>
          <w:color w:val="000000" w:themeColor="text1"/>
          <w:sz w:val="24"/>
        </w:rPr>
        <w:t>（贡献值叠加背景值，贡献值选取落地浓度最大值叠加，背景值选取监测排鲁村非甲烷总烃最大值0.138 mg/m</w:t>
      </w:r>
      <w:r>
        <w:rPr>
          <w:color w:val="000000" w:themeColor="text1"/>
          <w:sz w:val="24"/>
          <w:vertAlign w:val="superscript"/>
        </w:rPr>
        <w:t>3</w:t>
      </w:r>
      <w:r>
        <w:rPr>
          <w:color w:val="000000" w:themeColor="text1"/>
          <w:sz w:val="24"/>
        </w:rPr>
        <w:t>），因此厂界能满足《合成树脂工业污染物排放标准》（GB31572-2015）非甲烷总烃4.0mg/m</w:t>
      </w:r>
      <w:r>
        <w:rPr>
          <w:color w:val="000000" w:themeColor="text1"/>
          <w:sz w:val="24"/>
          <w:vertAlign w:val="superscript"/>
        </w:rPr>
        <w:t>3</w:t>
      </w:r>
      <w:r>
        <w:rPr>
          <w:color w:val="000000" w:themeColor="text1"/>
          <w:sz w:val="24"/>
        </w:rPr>
        <w:t>要求。</w:t>
      </w:r>
    </w:p>
    <w:p w14:paraId="0A7ABD25">
      <w:pPr>
        <w:autoSpaceDE w:val="0"/>
        <w:autoSpaceDN w:val="0"/>
        <w:adjustRightInd w:val="0"/>
        <w:spacing w:line="360" w:lineRule="auto"/>
        <w:ind w:firstLine="480"/>
        <w:jc w:val="left"/>
        <w:rPr>
          <w:b/>
          <w:color w:val="000000" w:themeColor="text1"/>
          <w:sz w:val="24"/>
        </w:rPr>
      </w:pPr>
      <w:r>
        <w:rPr>
          <w:b/>
          <w:color w:val="000000" w:themeColor="text1"/>
          <w:sz w:val="24"/>
        </w:rPr>
        <w:t>（2）有组织废气达标分析</w:t>
      </w:r>
    </w:p>
    <w:p w14:paraId="24A6EA2E">
      <w:pPr>
        <w:autoSpaceDE w:val="0"/>
        <w:autoSpaceDN w:val="0"/>
        <w:adjustRightInd w:val="0"/>
        <w:spacing w:line="360" w:lineRule="auto"/>
        <w:ind w:firstLine="480"/>
        <w:jc w:val="left"/>
        <w:rPr>
          <w:color w:val="000000" w:themeColor="text1"/>
          <w:sz w:val="24"/>
        </w:rPr>
      </w:pPr>
      <w:r>
        <w:rPr>
          <w:color w:val="000000" w:themeColor="text1"/>
          <w:sz w:val="24"/>
        </w:rPr>
        <w:t>根据工程分析（表3.5-1），造粒废气及编织袋生产废气经处置后，颗粒物、非甲烷总烃排放浓度均能满足《合成树脂工业污染物排放标准》（GB31572-2015）中颗粒物30</w:t>
      </w:r>
      <w:r>
        <w:rPr>
          <w:bCs/>
          <w:color w:val="000000" w:themeColor="text1"/>
          <w:szCs w:val="21"/>
        </w:rPr>
        <w:t xml:space="preserve"> </w:t>
      </w:r>
      <w:r>
        <w:rPr>
          <w:bCs/>
          <w:color w:val="000000" w:themeColor="text1"/>
          <w:sz w:val="24"/>
        </w:rPr>
        <w:t>mg/m</w:t>
      </w:r>
      <w:r>
        <w:rPr>
          <w:bCs/>
          <w:color w:val="000000" w:themeColor="text1"/>
          <w:sz w:val="24"/>
          <w:vertAlign w:val="superscript"/>
        </w:rPr>
        <w:t>3</w:t>
      </w:r>
      <w:r>
        <w:rPr>
          <w:color w:val="000000" w:themeColor="text1"/>
          <w:sz w:val="24"/>
        </w:rPr>
        <w:t>，非甲烷总烃100</w:t>
      </w:r>
      <w:r>
        <w:rPr>
          <w:bCs/>
          <w:color w:val="000000" w:themeColor="text1"/>
          <w:szCs w:val="21"/>
        </w:rPr>
        <w:t xml:space="preserve"> </w:t>
      </w:r>
      <w:r>
        <w:rPr>
          <w:bCs/>
          <w:color w:val="000000" w:themeColor="text1"/>
          <w:sz w:val="24"/>
        </w:rPr>
        <w:t>mg/m</w:t>
      </w:r>
      <w:r>
        <w:rPr>
          <w:bCs/>
          <w:color w:val="000000" w:themeColor="text1"/>
          <w:sz w:val="24"/>
          <w:vertAlign w:val="superscript"/>
        </w:rPr>
        <w:t>3</w:t>
      </w:r>
      <w:r>
        <w:rPr>
          <w:color w:val="000000" w:themeColor="text1"/>
          <w:sz w:val="24"/>
        </w:rPr>
        <w:t>的要求。</w:t>
      </w:r>
    </w:p>
    <w:p w14:paraId="23148A17">
      <w:pPr>
        <w:autoSpaceDE w:val="0"/>
        <w:autoSpaceDN w:val="0"/>
        <w:adjustRightInd w:val="0"/>
        <w:spacing w:line="360" w:lineRule="auto"/>
        <w:ind w:firstLine="480"/>
        <w:rPr>
          <w:b/>
          <w:color w:val="000000" w:themeColor="text1"/>
          <w:sz w:val="24"/>
        </w:rPr>
      </w:pPr>
      <w:r>
        <w:rPr>
          <w:b/>
          <w:color w:val="000000" w:themeColor="text1"/>
          <w:sz w:val="24"/>
        </w:rPr>
        <w:t>（3）保护目标</w:t>
      </w:r>
    </w:p>
    <w:p w14:paraId="65BE1261">
      <w:pPr>
        <w:snapToGrid w:val="0"/>
        <w:spacing w:line="360" w:lineRule="auto"/>
        <w:ind w:firstLine="480" w:firstLineChars="200"/>
        <w:rPr>
          <w:color w:val="000000" w:themeColor="text1"/>
          <w:sz w:val="24"/>
        </w:rPr>
      </w:pPr>
      <w:r>
        <w:rPr>
          <w:bCs/>
          <w:color w:val="000000" w:themeColor="text1"/>
          <w:sz w:val="24"/>
        </w:rPr>
        <w:t>云南环绿环境检测技术有限公司于</w:t>
      </w:r>
      <w:r>
        <w:rPr>
          <w:color w:val="000000" w:themeColor="text1"/>
          <w:sz w:val="24"/>
        </w:rPr>
        <w:t>2019年11月12日~18日</w:t>
      </w:r>
      <w:r>
        <w:rPr>
          <w:bCs/>
          <w:color w:val="000000" w:themeColor="text1"/>
          <w:sz w:val="24"/>
        </w:rPr>
        <w:t>对户拉村环境空气质量现状进行了监测，其中排鲁村、遮焕村距户拉村</w:t>
      </w:r>
      <w:r>
        <w:rPr>
          <w:color w:val="000000" w:themeColor="text1"/>
          <w:sz w:val="24"/>
        </w:rPr>
        <w:t>较近，引用</w:t>
      </w:r>
      <w:r>
        <w:rPr>
          <w:bCs/>
          <w:color w:val="000000" w:themeColor="text1"/>
          <w:sz w:val="24"/>
        </w:rPr>
        <w:t>户拉村</w:t>
      </w:r>
      <w:r>
        <w:rPr>
          <w:color w:val="000000" w:themeColor="text1"/>
          <w:sz w:val="24"/>
        </w:rPr>
        <w:t xml:space="preserve">的大气现状监测数据作为上述关心点的大气背景值； </w:t>
      </w:r>
    </w:p>
    <w:p w14:paraId="3F16BC85">
      <w:pPr>
        <w:snapToGrid w:val="0"/>
        <w:spacing w:line="360" w:lineRule="auto"/>
        <w:ind w:firstLine="480" w:firstLineChars="200"/>
        <w:rPr>
          <w:color w:val="000000" w:themeColor="text1"/>
          <w:sz w:val="24"/>
        </w:rPr>
      </w:pPr>
      <w:r>
        <w:rPr>
          <w:color w:val="000000" w:themeColor="text1"/>
          <w:sz w:val="24"/>
        </w:rPr>
        <w:t>在叠加现状监测值后，各敏感点的各项污染物叠加值见下表：</w:t>
      </w:r>
    </w:p>
    <w:p w14:paraId="362C8ACC">
      <w:pPr>
        <w:jc w:val="center"/>
        <w:rPr>
          <w:b/>
          <w:color w:val="000000" w:themeColor="text1"/>
          <w:sz w:val="24"/>
        </w:rPr>
      </w:pPr>
      <w:r>
        <w:rPr>
          <w:b/>
          <w:color w:val="000000" w:themeColor="text1"/>
          <w:sz w:val="24"/>
        </w:rPr>
        <w:t>表6.1-8  关心点浓度最大预测值</w:t>
      </w:r>
    </w:p>
    <w:tbl>
      <w:tblPr>
        <w:tblStyle w:val="42"/>
        <w:tblW w:w="8698" w:type="dxa"/>
        <w:tblInd w:w="-176"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93"/>
        <w:gridCol w:w="1559"/>
        <w:gridCol w:w="992"/>
        <w:gridCol w:w="1418"/>
        <w:gridCol w:w="1134"/>
        <w:gridCol w:w="850"/>
        <w:gridCol w:w="901"/>
      </w:tblGrid>
      <w:tr w14:paraId="578B20D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51" w:type="dxa"/>
            <w:vAlign w:val="center"/>
          </w:tcPr>
          <w:p w14:paraId="45635EFF">
            <w:pPr>
              <w:jc w:val="center"/>
              <w:rPr>
                <w:b/>
                <w:color w:val="000000" w:themeColor="text1"/>
                <w:szCs w:val="21"/>
              </w:rPr>
            </w:pPr>
            <w:r>
              <w:rPr>
                <w:b/>
                <w:color w:val="000000" w:themeColor="text1"/>
                <w:szCs w:val="21"/>
              </w:rPr>
              <w:t>关心点</w:t>
            </w:r>
          </w:p>
        </w:tc>
        <w:tc>
          <w:tcPr>
            <w:tcW w:w="993" w:type="dxa"/>
            <w:vAlign w:val="center"/>
          </w:tcPr>
          <w:p w14:paraId="59A551E5">
            <w:pPr>
              <w:jc w:val="center"/>
              <w:rPr>
                <w:b/>
                <w:color w:val="000000" w:themeColor="text1"/>
                <w:szCs w:val="21"/>
              </w:rPr>
            </w:pPr>
            <w:r>
              <w:rPr>
                <w:b/>
                <w:color w:val="000000" w:themeColor="text1"/>
                <w:szCs w:val="21"/>
              </w:rPr>
              <w:t>与项目区距离（m）</w:t>
            </w:r>
          </w:p>
        </w:tc>
        <w:tc>
          <w:tcPr>
            <w:tcW w:w="1559" w:type="dxa"/>
            <w:vAlign w:val="center"/>
          </w:tcPr>
          <w:p w14:paraId="2220286A">
            <w:pPr>
              <w:jc w:val="center"/>
              <w:rPr>
                <w:b/>
                <w:color w:val="000000" w:themeColor="text1"/>
                <w:szCs w:val="21"/>
              </w:rPr>
            </w:pPr>
            <w:r>
              <w:rPr>
                <w:b/>
                <w:color w:val="000000" w:themeColor="text1"/>
                <w:szCs w:val="21"/>
              </w:rPr>
              <w:t>污染物</w:t>
            </w:r>
          </w:p>
        </w:tc>
        <w:tc>
          <w:tcPr>
            <w:tcW w:w="992" w:type="dxa"/>
            <w:vAlign w:val="center"/>
          </w:tcPr>
          <w:p w14:paraId="58B1F747">
            <w:pPr>
              <w:jc w:val="center"/>
              <w:rPr>
                <w:b/>
                <w:color w:val="000000" w:themeColor="text1"/>
                <w:szCs w:val="21"/>
              </w:rPr>
            </w:pPr>
            <w:r>
              <w:rPr>
                <w:b/>
                <w:color w:val="000000" w:themeColor="text1"/>
                <w:szCs w:val="21"/>
              </w:rPr>
              <w:t>背景值</w:t>
            </w:r>
          </w:p>
          <w:p w14:paraId="1D2FC88A">
            <w:pPr>
              <w:jc w:val="center"/>
              <w:rPr>
                <w:b/>
                <w:color w:val="000000" w:themeColor="text1"/>
                <w:szCs w:val="21"/>
              </w:rPr>
            </w:pPr>
            <w:r>
              <w:rPr>
                <w:b/>
                <w:color w:val="000000" w:themeColor="text1"/>
                <w:szCs w:val="21"/>
              </w:rPr>
              <w:t>ug/m</w:t>
            </w:r>
            <w:r>
              <w:rPr>
                <w:b/>
                <w:color w:val="000000" w:themeColor="text1"/>
                <w:szCs w:val="21"/>
                <w:vertAlign w:val="superscript"/>
              </w:rPr>
              <w:t>3</w:t>
            </w:r>
          </w:p>
        </w:tc>
        <w:tc>
          <w:tcPr>
            <w:tcW w:w="1418" w:type="dxa"/>
            <w:vAlign w:val="center"/>
          </w:tcPr>
          <w:p w14:paraId="3E9EFDA2">
            <w:pPr>
              <w:jc w:val="center"/>
              <w:rPr>
                <w:b/>
                <w:color w:val="000000" w:themeColor="text1"/>
                <w:szCs w:val="21"/>
              </w:rPr>
            </w:pPr>
            <w:r>
              <w:rPr>
                <w:b/>
                <w:color w:val="000000" w:themeColor="text1"/>
                <w:szCs w:val="21"/>
              </w:rPr>
              <w:t>预测贡献值（有组织+无组织）</w:t>
            </w:r>
          </w:p>
          <w:p w14:paraId="7278A7DA">
            <w:pPr>
              <w:jc w:val="center"/>
              <w:rPr>
                <w:b/>
                <w:color w:val="000000" w:themeColor="text1"/>
                <w:szCs w:val="21"/>
              </w:rPr>
            </w:pPr>
            <w:r>
              <w:rPr>
                <w:b/>
                <w:color w:val="000000" w:themeColor="text1"/>
                <w:szCs w:val="21"/>
              </w:rPr>
              <w:t>ug/m</w:t>
            </w:r>
            <w:r>
              <w:rPr>
                <w:b/>
                <w:color w:val="000000" w:themeColor="text1"/>
                <w:szCs w:val="21"/>
                <w:vertAlign w:val="superscript"/>
              </w:rPr>
              <w:t>3</w:t>
            </w:r>
          </w:p>
        </w:tc>
        <w:tc>
          <w:tcPr>
            <w:tcW w:w="1134" w:type="dxa"/>
            <w:vAlign w:val="center"/>
          </w:tcPr>
          <w:p w14:paraId="3C803440">
            <w:pPr>
              <w:jc w:val="center"/>
              <w:rPr>
                <w:b/>
                <w:color w:val="000000" w:themeColor="text1"/>
                <w:szCs w:val="21"/>
              </w:rPr>
            </w:pPr>
            <w:r>
              <w:rPr>
                <w:b/>
                <w:color w:val="000000" w:themeColor="text1"/>
                <w:szCs w:val="21"/>
              </w:rPr>
              <w:t>预测值</w:t>
            </w:r>
          </w:p>
          <w:p w14:paraId="702953E3">
            <w:pPr>
              <w:jc w:val="center"/>
              <w:rPr>
                <w:b/>
                <w:color w:val="000000" w:themeColor="text1"/>
                <w:szCs w:val="21"/>
              </w:rPr>
            </w:pPr>
            <w:r>
              <w:rPr>
                <w:b/>
                <w:color w:val="000000" w:themeColor="text1"/>
                <w:szCs w:val="21"/>
              </w:rPr>
              <w:t>ug/m</w:t>
            </w:r>
            <w:r>
              <w:rPr>
                <w:b/>
                <w:color w:val="000000" w:themeColor="text1"/>
                <w:szCs w:val="21"/>
                <w:vertAlign w:val="superscript"/>
              </w:rPr>
              <w:t>3</w:t>
            </w:r>
          </w:p>
        </w:tc>
        <w:tc>
          <w:tcPr>
            <w:tcW w:w="850" w:type="dxa"/>
            <w:vAlign w:val="center"/>
          </w:tcPr>
          <w:p w14:paraId="7F99CB94">
            <w:pPr>
              <w:jc w:val="center"/>
              <w:rPr>
                <w:b/>
                <w:color w:val="000000" w:themeColor="text1"/>
                <w:szCs w:val="21"/>
              </w:rPr>
            </w:pPr>
            <w:r>
              <w:rPr>
                <w:b/>
                <w:color w:val="000000" w:themeColor="text1"/>
                <w:szCs w:val="21"/>
              </w:rPr>
              <w:t>标准ug/m</w:t>
            </w:r>
            <w:r>
              <w:rPr>
                <w:b/>
                <w:color w:val="000000" w:themeColor="text1"/>
                <w:szCs w:val="21"/>
                <w:vertAlign w:val="superscript"/>
              </w:rPr>
              <w:t>3</w:t>
            </w:r>
          </w:p>
        </w:tc>
        <w:tc>
          <w:tcPr>
            <w:tcW w:w="901" w:type="dxa"/>
            <w:vAlign w:val="center"/>
          </w:tcPr>
          <w:p w14:paraId="55F8A105">
            <w:pPr>
              <w:jc w:val="center"/>
              <w:rPr>
                <w:b/>
                <w:color w:val="000000" w:themeColor="text1"/>
                <w:szCs w:val="21"/>
              </w:rPr>
            </w:pPr>
            <w:r>
              <w:rPr>
                <w:b/>
                <w:color w:val="000000" w:themeColor="text1"/>
                <w:szCs w:val="21"/>
              </w:rPr>
              <w:t>评价</w:t>
            </w:r>
          </w:p>
        </w:tc>
      </w:tr>
      <w:tr w14:paraId="7E248F2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restart"/>
            <w:vAlign w:val="center"/>
          </w:tcPr>
          <w:p w14:paraId="78325698">
            <w:pPr>
              <w:autoSpaceDE w:val="0"/>
              <w:autoSpaceDN w:val="0"/>
              <w:adjustRightInd w:val="0"/>
              <w:jc w:val="center"/>
              <w:rPr>
                <w:bCs/>
                <w:color w:val="000000" w:themeColor="text1"/>
                <w:spacing w:val="-2"/>
                <w:kern w:val="0"/>
                <w:szCs w:val="21"/>
                <w:lang w:bidi="ar"/>
              </w:rPr>
            </w:pPr>
            <w:r>
              <w:rPr>
                <w:bCs/>
                <w:color w:val="000000" w:themeColor="text1"/>
                <w:spacing w:val="-2"/>
                <w:kern w:val="0"/>
                <w:szCs w:val="21"/>
                <w:lang w:bidi="ar"/>
              </w:rPr>
              <w:t>排鲁村</w:t>
            </w:r>
          </w:p>
        </w:tc>
        <w:tc>
          <w:tcPr>
            <w:tcW w:w="993" w:type="dxa"/>
            <w:vMerge w:val="restart"/>
            <w:vAlign w:val="center"/>
          </w:tcPr>
          <w:p w14:paraId="58810ED1">
            <w:pPr>
              <w:autoSpaceDE w:val="0"/>
              <w:autoSpaceDN w:val="0"/>
              <w:adjustRightInd w:val="0"/>
              <w:jc w:val="center"/>
              <w:rPr>
                <w:bCs/>
                <w:color w:val="000000" w:themeColor="text1"/>
                <w:spacing w:val="-2"/>
                <w:kern w:val="0"/>
                <w:szCs w:val="21"/>
                <w:lang w:bidi="ar"/>
              </w:rPr>
            </w:pPr>
            <w:r>
              <w:rPr>
                <w:bCs/>
                <w:color w:val="000000" w:themeColor="text1"/>
                <w:spacing w:val="-2"/>
                <w:kern w:val="0"/>
                <w:szCs w:val="21"/>
                <w:lang w:bidi="ar"/>
              </w:rPr>
              <w:t>西北侧</w:t>
            </w:r>
            <w:r>
              <w:rPr>
                <w:rFonts w:eastAsia="黑体"/>
                <w:bCs/>
                <w:color w:val="000000" w:themeColor="text1"/>
                <w:spacing w:val="-2"/>
                <w:kern w:val="0"/>
                <w:szCs w:val="21"/>
                <w:lang w:bidi="ar"/>
              </w:rPr>
              <w:t>820</w:t>
            </w:r>
          </w:p>
        </w:tc>
        <w:tc>
          <w:tcPr>
            <w:tcW w:w="1559" w:type="dxa"/>
            <w:vAlign w:val="center"/>
          </w:tcPr>
          <w:p w14:paraId="367BFC6D">
            <w:pPr>
              <w:jc w:val="center"/>
              <w:rPr>
                <w:color w:val="000000" w:themeColor="text1"/>
                <w:szCs w:val="21"/>
              </w:rPr>
            </w:pPr>
            <w:r>
              <w:rPr>
                <w:color w:val="000000" w:themeColor="text1"/>
                <w:szCs w:val="21"/>
              </w:rPr>
              <w:t>颗粒物（TSP）</w:t>
            </w:r>
          </w:p>
        </w:tc>
        <w:tc>
          <w:tcPr>
            <w:tcW w:w="992" w:type="dxa"/>
            <w:vAlign w:val="center"/>
          </w:tcPr>
          <w:p w14:paraId="55683654">
            <w:pPr>
              <w:widowControl/>
              <w:jc w:val="center"/>
              <w:rPr>
                <w:rFonts w:eastAsia="等线"/>
                <w:color w:val="000000" w:themeColor="text1"/>
                <w:kern w:val="0"/>
                <w:szCs w:val="21"/>
              </w:rPr>
            </w:pPr>
            <w:r>
              <w:rPr>
                <w:rFonts w:eastAsia="等线"/>
                <w:color w:val="000000" w:themeColor="text1"/>
                <w:szCs w:val="21"/>
              </w:rPr>
              <w:t>0.065</w:t>
            </w:r>
          </w:p>
        </w:tc>
        <w:tc>
          <w:tcPr>
            <w:tcW w:w="1418" w:type="dxa"/>
            <w:vAlign w:val="center"/>
          </w:tcPr>
          <w:p w14:paraId="46D0DE7C">
            <w:pPr>
              <w:jc w:val="center"/>
              <w:rPr>
                <w:rFonts w:eastAsia="等线"/>
                <w:color w:val="000000" w:themeColor="text1"/>
                <w:szCs w:val="21"/>
              </w:rPr>
            </w:pPr>
            <w:r>
              <w:rPr>
                <w:rFonts w:eastAsia="等线"/>
                <w:color w:val="000000" w:themeColor="text1"/>
                <w:szCs w:val="21"/>
              </w:rPr>
              <w:t>1.3377</w:t>
            </w:r>
          </w:p>
        </w:tc>
        <w:tc>
          <w:tcPr>
            <w:tcW w:w="1134" w:type="dxa"/>
            <w:vAlign w:val="center"/>
          </w:tcPr>
          <w:p w14:paraId="233DF6BB">
            <w:pPr>
              <w:jc w:val="center"/>
              <w:rPr>
                <w:rFonts w:eastAsia="等线"/>
                <w:color w:val="000000" w:themeColor="text1"/>
                <w:szCs w:val="21"/>
              </w:rPr>
            </w:pPr>
            <w:r>
              <w:rPr>
                <w:rFonts w:eastAsia="等线"/>
                <w:color w:val="000000" w:themeColor="text1"/>
                <w:szCs w:val="21"/>
              </w:rPr>
              <w:t>1.4027</w:t>
            </w:r>
          </w:p>
        </w:tc>
        <w:tc>
          <w:tcPr>
            <w:tcW w:w="850" w:type="dxa"/>
            <w:vAlign w:val="center"/>
          </w:tcPr>
          <w:p w14:paraId="05081661">
            <w:pPr>
              <w:jc w:val="center"/>
              <w:rPr>
                <w:b/>
                <w:bCs/>
                <w:color w:val="000000" w:themeColor="text1"/>
                <w:szCs w:val="21"/>
              </w:rPr>
            </w:pPr>
            <w:r>
              <w:rPr>
                <w:b/>
                <w:bCs/>
                <w:color w:val="000000" w:themeColor="text1"/>
                <w:szCs w:val="21"/>
              </w:rPr>
              <w:t>900</w:t>
            </w:r>
          </w:p>
        </w:tc>
        <w:tc>
          <w:tcPr>
            <w:tcW w:w="901" w:type="dxa"/>
            <w:vAlign w:val="center"/>
          </w:tcPr>
          <w:p w14:paraId="1483C608">
            <w:pPr>
              <w:jc w:val="center"/>
              <w:rPr>
                <w:b/>
                <w:bCs/>
                <w:color w:val="000000" w:themeColor="text1"/>
                <w:szCs w:val="21"/>
              </w:rPr>
            </w:pPr>
            <w:r>
              <w:rPr>
                <w:b/>
                <w:bCs/>
                <w:color w:val="000000" w:themeColor="text1"/>
                <w:szCs w:val="21"/>
              </w:rPr>
              <w:t>达标</w:t>
            </w:r>
          </w:p>
        </w:tc>
      </w:tr>
      <w:tr w14:paraId="31F1B28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continue"/>
            <w:vAlign w:val="center"/>
          </w:tcPr>
          <w:p w14:paraId="39F24C37">
            <w:pPr>
              <w:jc w:val="center"/>
              <w:rPr>
                <w:b/>
                <w:color w:val="000000" w:themeColor="text1"/>
                <w:szCs w:val="21"/>
              </w:rPr>
            </w:pPr>
          </w:p>
        </w:tc>
        <w:tc>
          <w:tcPr>
            <w:tcW w:w="993" w:type="dxa"/>
            <w:vMerge w:val="continue"/>
            <w:vAlign w:val="center"/>
          </w:tcPr>
          <w:p w14:paraId="28B1168E">
            <w:pPr>
              <w:jc w:val="center"/>
              <w:rPr>
                <w:b/>
                <w:color w:val="000000" w:themeColor="text1"/>
                <w:szCs w:val="21"/>
              </w:rPr>
            </w:pPr>
          </w:p>
        </w:tc>
        <w:tc>
          <w:tcPr>
            <w:tcW w:w="1559" w:type="dxa"/>
            <w:vAlign w:val="center"/>
          </w:tcPr>
          <w:p w14:paraId="49412109">
            <w:pPr>
              <w:jc w:val="center"/>
              <w:rPr>
                <w:color w:val="000000" w:themeColor="text1"/>
                <w:szCs w:val="21"/>
              </w:rPr>
            </w:pPr>
            <w:r>
              <w:rPr>
                <w:color w:val="000000" w:themeColor="text1"/>
                <w:szCs w:val="21"/>
              </w:rPr>
              <w:t>非甲烷总烃</w:t>
            </w:r>
          </w:p>
        </w:tc>
        <w:tc>
          <w:tcPr>
            <w:tcW w:w="992" w:type="dxa"/>
            <w:vAlign w:val="center"/>
          </w:tcPr>
          <w:p w14:paraId="65C4DB0A">
            <w:pPr>
              <w:jc w:val="center"/>
              <w:rPr>
                <w:rFonts w:eastAsia="等线"/>
                <w:color w:val="000000" w:themeColor="text1"/>
                <w:szCs w:val="21"/>
              </w:rPr>
            </w:pPr>
            <w:r>
              <w:rPr>
                <w:rFonts w:eastAsia="等线"/>
                <w:color w:val="000000" w:themeColor="text1"/>
                <w:szCs w:val="21"/>
              </w:rPr>
              <w:t>0.47</w:t>
            </w:r>
          </w:p>
        </w:tc>
        <w:tc>
          <w:tcPr>
            <w:tcW w:w="1418" w:type="dxa"/>
            <w:vAlign w:val="center"/>
          </w:tcPr>
          <w:p w14:paraId="71B4D07C">
            <w:pPr>
              <w:jc w:val="center"/>
              <w:rPr>
                <w:rFonts w:eastAsia="等线"/>
                <w:color w:val="000000" w:themeColor="text1"/>
                <w:szCs w:val="21"/>
              </w:rPr>
            </w:pPr>
            <w:r>
              <w:rPr>
                <w:rFonts w:eastAsia="等线"/>
                <w:color w:val="000000" w:themeColor="text1"/>
                <w:szCs w:val="21"/>
              </w:rPr>
              <w:t>9.2258</w:t>
            </w:r>
          </w:p>
        </w:tc>
        <w:tc>
          <w:tcPr>
            <w:tcW w:w="1134" w:type="dxa"/>
            <w:vAlign w:val="center"/>
          </w:tcPr>
          <w:p w14:paraId="40700034">
            <w:pPr>
              <w:jc w:val="center"/>
              <w:rPr>
                <w:rFonts w:eastAsia="等线"/>
                <w:color w:val="000000" w:themeColor="text1"/>
                <w:szCs w:val="21"/>
              </w:rPr>
            </w:pPr>
            <w:r>
              <w:rPr>
                <w:rFonts w:eastAsia="等线"/>
                <w:color w:val="000000" w:themeColor="text1"/>
                <w:szCs w:val="21"/>
              </w:rPr>
              <w:t>9.6958</w:t>
            </w:r>
          </w:p>
        </w:tc>
        <w:tc>
          <w:tcPr>
            <w:tcW w:w="850" w:type="dxa"/>
            <w:vAlign w:val="center"/>
          </w:tcPr>
          <w:p w14:paraId="2B54B9B6">
            <w:pPr>
              <w:jc w:val="center"/>
              <w:rPr>
                <w:b/>
                <w:bCs/>
                <w:color w:val="000000" w:themeColor="text1"/>
                <w:szCs w:val="21"/>
              </w:rPr>
            </w:pPr>
            <w:r>
              <w:rPr>
                <w:b/>
                <w:bCs/>
                <w:color w:val="000000" w:themeColor="text1"/>
                <w:szCs w:val="21"/>
              </w:rPr>
              <w:t>2000</w:t>
            </w:r>
          </w:p>
        </w:tc>
        <w:tc>
          <w:tcPr>
            <w:tcW w:w="901" w:type="dxa"/>
            <w:vAlign w:val="center"/>
          </w:tcPr>
          <w:p w14:paraId="0F7EC08A">
            <w:pPr>
              <w:jc w:val="center"/>
              <w:rPr>
                <w:b/>
                <w:bCs/>
                <w:color w:val="000000" w:themeColor="text1"/>
                <w:szCs w:val="21"/>
              </w:rPr>
            </w:pPr>
            <w:r>
              <w:rPr>
                <w:b/>
                <w:bCs/>
                <w:color w:val="000000" w:themeColor="text1"/>
                <w:szCs w:val="21"/>
              </w:rPr>
              <w:t>达标</w:t>
            </w:r>
          </w:p>
        </w:tc>
      </w:tr>
      <w:tr w14:paraId="165A87E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restart"/>
            <w:vAlign w:val="center"/>
          </w:tcPr>
          <w:p w14:paraId="6909139E">
            <w:pPr>
              <w:autoSpaceDE w:val="0"/>
              <w:autoSpaceDN w:val="0"/>
              <w:adjustRightInd w:val="0"/>
              <w:jc w:val="center"/>
              <w:rPr>
                <w:bCs/>
                <w:color w:val="000000" w:themeColor="text1"/>
                <w:spacing w:val="-2"/>
                <w:kern w:val="0"/>
                <w:szCs w:val="21"/>
              </w:rPr>
            </w:pPr>
            <w:r>
              <w:rPr>
                <w:bCs/>
                <w:color w:val="000000" w:themeColor="text1"/>
                <w:spacing w:val="-2"/>
                <w:kern w:val="0"/>
                <w:szCs w:val="21"/>
                <w:lang w:bidi="ar"/>
              </w:rPr>
              <w:t>遮焕村</w:t>
            </w:r>
          </w:p>
        </w:tc>
        <w:tc>
          <w:tcPr>
            <w:tcW w:w="993" w:type="dxa"/>
            <w:vMerge w:val="restart"/>
            <w:vAlign w:val="center"/>
          </w:tcPr>
          <w:p w14:paraId="35ADDD48">
            <w:pPr>
              <w:autoSpaceDE w:val="0"/>
              <w:autoSpaceDN w:val="0"/>
              <w:adjustRightInd w:val="0"/>
              <w:jc w:val="center"/>
              <w:rPr>
                <w:bCs/>
                <w:color w:val="000000" w:themeColor="text1"/>
                <w:spacing w:val="-2"/>
                <w:kern w:val="0"/>
                <w:szCs w:val="21"/>
              </w:rPr>
            </w:pPr>
            <w:r>
              <w:rPr>
                <w:bCs/>
                <w:color w:val="000000" w:themeColor="text1"/>
                <w:spacing w:val="-2"/>
                <w:kern w:val="0"/>
                <w:szCs w:val="21"/>
                <w:lang w:bidi="ar"/>
              </w:rPr>
              <w:t>西北侧</w:t>
            </w:r>
            <w:r>
              <w:rPr>
                <w:rFonts w:eastAsia="黑体"/>
                <w:bCs/>
                <w:color w:val="000000" w:themeColor="text1"/>
                <w:spacing w:val="-2"/>
                <w:kern w:val="0"/>
                <w:szCs w:val="21"/>
                <w:lang w:bidi="ar"/>
              </w:rPr>
              <w:t>790</w:t>
            </w:r>
          </w:p>
        </w:tc>
        <w:tc>
          <w:tcPr>
            <w:tcW w:w="1559" w:type="dxa"/>
            <w:vAlign w:val="center"/>
          </w:tcPr>
          <w:p w14:paraId="6FA4E962">
            <w:pPr>
              <w:jc w:val="center"/>
              <w:rPr>
                <w:color w:val="000000" w:themeColor="text1"/>
                <w:szCs w:val="21"/>
              </w:rPr>
            </w:pPr>
            <w:r>
              <w:rPr>
                <w:color w:val="000000" w:themeColor="text1"/>
                <w:szCs w:val="21"/>
              </w:rPr>
              <w:t>颗粒物（TSP）</w:t>
            </w:r>
          </w:p>
        </w:tc>
        <w:tc>
          <w:tcPr>
            <w:tcW w:w="992" w:type="dxa"/>
            <w:vAlign w:val="center"/>
          </w:tcPr>
          <w:p w14:paraId="32DC295A">
            <w:pPr>
              <w:jc w:val="center"/>
              <w:rPr>
                <w:rFonts w:eastAsia="等线"/>
                <w:color w:val="000000" w:themeColor="text1"/>
                <w:szCs w:val="21"/>
              </w:rPr>
            </w:pPr>
            <w:r>
              <w:rPr>
                <w:rFonts w:eastAsia="等线"/>
                <w:color w:val="000000" w:themeColor="text1"/>
                <w:szCs w:val="21"/>
              </w:rPr>
              <w:t>0.065</w:t>
            </w:r>
          </w:p>
        </w:tc>
        <w:tc>
          <w:tcPr>
            <w:tcW w:w="1418" w:type="dxa"/>
            <w:vAlign w:val="center"/>
          </w:tcPr>
          <w:p w14:paraId="2B46E278">
            <w:pPr>
              <w:jc w:val="center"/>
              <w:rPr>
                <w:rFonts w:eastAsia="等线"/>
                <w:color w:val="000000" w:themeColor="text1"/>
                <w:szCs w:val="21"/>
              </w:rPr>
            </w:pPr>
            <w:r>
              <w:rPr>
                <w:rFonts w:eastAsia="等线"/>
                <w:color w:val="000000" w:themeColor="text1"/>
                <w:szCs w:val="21"/>
              </w:rPr>
              <w:t>1.3377</w:t>
            </w:r>
          </w:p>
        </w:tc>
        <w:tc>
          <w:tcPr>
            <w:tcW w:w="1134" w:type="dxa"/>
            <w:vAlign w:val="center"/>
          </w:tcPr>
          <w:p w14:paraId="0007793D">
            <w:pPr>
              <w:jc w:val="center"/>
              <w:rPr>
                <w:rFonts w:eastAsia="等线"/>
                <w:color w:val="000000" w:themeColor="text1"/>
                <w:szCs w:val="21"/>
              </w:rPr>
            </w:pPr>
            <w:r>
              <w:rPr>
                <w:rFonts w:eastAsia="等线"/>
                <w:color w:val="000000" w:themeColor="text1"/>
                <w:szCs w:val="21"/>
              </w:rPr>
              <w:t>1.4027</w:t>
            </w:r>
          </w:p>
        </w:tc>
        <w:tc>
          <w:tcPr>
            <w:tcW w:w="850" w:type="dxa"/>
            <w:vAlign w:val="center"/>
          </w:tcPr>
          <w:p w14:paraId="2479AFB4">
            <w:pPr>
              <w:jc w:val="center"/>
              <w:rPr>
                <w:b/>
                <w:bCs/>
                <w:color w:val="000000" w:themeColor="text1"/>
                <w:szCs w:val="21"/>
              </w:rPr>
            </w:pPr>
            <w:r>
              <w:rPr>
                <w:b/>
                <w:bCs/>
                <w:color w:val="000000" w:themeColor="text1"/>
                <w:szCs w:val="21"/>
              </w:rPr>
              <w:t>900</w:t>
            </w:r>
          </w:p>
        </w:tc>
        <w:tc>
          <w:tcPr>
            <w:tcW w:w="901" w:type="dxa"/>
            <w:vAlign w:val="center"/>
          </w:tcPr>
          <w:p w14:paraId="4F085506">
            <w:pPr>
              <w:jc w:val="center"/>
              <w:rPr>
                <w:b/>
                <w:bCs/>
                <w:color w:val="000000" w:themeColor="text1"/>
                <w:szCs w:val="21"/>
              </w:rPr>
            </w:pPr>
            <w:r>
              <w:rPr>
                <w:b/>
                <w:bCs/>
                <w:color w:val="000000" w:themeColor="text1"/>
                <w:szCs w:val="21"/>
              </w:rPr>
              <w:t>达标</w:t>
            </w:r>
          </w:p>
        </w:tc>
      </w:tr>
      <w:tr w14:paraId="654985F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continue"/>
            <w:vAlign w:val="center"/>
          </w:tcPr>
          <w:p w14:paraId="73ED2D7A">
            <w:pPr>
              <w:jc w:val="center"/>
              <w:rPr>
                <w:color w:val="000000" w:themeColor="text1"/>
                <w:szCs w:val="21"/>
              </w:rPr>
            </w:pPr>
          </w:p>
        </w:tc>
        <w:tc>
          <w:tcPr>
            <w:tcW w:w="993" w:type="dxa"/>
            <w:vMerge w:val="continue"/>
            <w:vAlign w:val="center"/>
          </w:tcPr>
          <w:p w14:paraId="609BFB3E">
            <w:pPr>
              <w:jc w:val="center"/>
              <w:rPr>
                <w:color w:val="000000" w:themeColor="text1"/>
                <w:szCs w:val="21"/>
              </w:rPr>
            </w:pPr>
          </w:p>
        </w:tc>
        <w:tc>
          <w:tcPr>
            <w:tcW w:w="1559" w:type="dxa"/>
            <w:vAlign w:val="center"/>
          </w:tcPr>
          <w:p w14:paraId="1B5C8CD3">
            <w:pPr>
              <w:jc w:val="center"/>
              <w:rPr>
                <w:color w:val="000000" w:themeColor="text1"/>
                <w:szCs w:val="21"/>
              </w:rPr>
            </w:pPr>
            <w:r>
              <w:rPr>
                <w:color w:val="000000" w:themeColor="text1"/>
                <w:szCs w:val="21"/>
              </w:rPr>
              <w:t>非甲烷总烃</w:t>
            </w:r>
          </w:p>
        </w:tc>
        <w:tc>
          <w:tcPr>
            <w:tcW w:w="992" w:type="dxa"/>
            <w:vAlign w:val="center"/>
          </w:tcPr>
          <w:p w14:paraId="4ED6C88E">
            <w:pPr>
              <w:jc w:val="center"/>
              <w:rPr>
                <w:rFonts w:eastAsia="等线"/>
                <w:color w:val="000000" w:themeColor="text1"/>
                <w:szCs w:val="21"/>
              </w:rPr>
            </w:pPr>
            <w:r>
              <w:rPr>
                <w:rFonts w:eastAsia="等线"/>
                <w:color w:val="000000" w:themeColor="text1"/>
                <w:szCs w:val="21"/>
              </w:rPr>
              <w:t>0.47</w:t>
            </w:r>
          </w:p>
        </w:tc>
        <w:tc>
          <w:tcPr>
            <w:tcW w:w="1418" w:type="dxa"/>
            <w:vAlign w:val="center"/>
          </w:tcPr>
          <w:p w14:paraId="5D2F939C">
            <w:pPr>
              <w:jc w:val="center"/>
              <w:rPr>
                <w:rFonts w:eastAsia="等线"/>
                <w:color w:val="000000" w:themeColor="text1"/>
                <w:szCs w:val="21"/>
              </w:rPr>
            </w:pPr>
            <w:r>
              <w:rPr>
                <w:rFonts w:eastAsia="等线"/>
                <w:color w:val="000000" w:themeColor="text1"/>
                <w:szCs w:val="21"/>
              </w:rPr>
              <w:t>9.2258</w:t>
            </w:r>
          </w:p>
        </w:tc>
        <w:tc>
          <w:tcPr>
            <w:tcW w:w="1134" w:type="dxa"/>
            <w:vAlign w:val="center"/>
          </w:tcPr>
          <w:p w14:paraId="067460ED">
            <w:pPr>
              <w:jc w:val="center"/>
              <w:rPr>
                <w:rFonts w:eastAsia="等线"/>
                <w:color w:val="000000" w:themeColor="text1"/>
                <w:szCs w:val="21"/>
              </w:rPr>
            </w:pPr>
            <w:r>
              <w:rPr>
                <w:rFonts w:eastAsia="等线"/>
                <w:color w:val="000000" w:themeColor="text1"/>
                <w:szCs w:val="21"/>
              </w:rPr>
              <w:t>9.6958</w:t>
            </w:r>
          </w:p>
        </w:tc>
        <w:tc>
          <w:tcPr>
            <w:tcW w:w="850" w:type="dxa"/>
            <w:vAlign w:val="center"/>
          </w:tcPr>
          <w:p w14:paraId="26DF9841">
            <w:pPr>
              <w:jc w:val="center"/>
              <w:rPr>
                <w:b/>
                <w:bCs/>
                <w:color w:val="000000" w:themeColor="text1"/>
                <w:szCs w:val="21"/>
              </w:rPr>
            </w:pPr>
            <w:r>
              <w:rPr>
                <w:b/>
                <w:bCs/>
                <w:color w:val="000000" w:themeColor="text1"/>
                <w:szCs w:val="21"/>
              </w:rPr>
              <w:t>2000</w:t>
            </w:r>
          </w:p>
        </w:tc>
        <w:tc>
          <w:tcPr>
            <w:tcW w:w="901" w:type="dxa"/>
            <w:vAlign w:val="center"/>
          </w:tcPr>
          <w:p w14:paraId="4630BFB5">
            <w:pPr>
              <w:jc w:val="center"/>
              <w:rPr>
                <w:b/>
                <w:bCs/>
                <w:color w:val="000000" w:themeColor="text1"/>
                <w:szCs w:val="21"/>
              </w:rPr>
            </w:pPr>
            <w:r>
              <w:rPr>
                <w:b/>
                <w:bCs/>
                <w:color w:val="000000" w:themeColor="text1"/>
                <w:szCs w:val="21"/>
              </w:rPr>
              <w:t>达标</w:t>
            </w:r>
          </w:p>
        </w:tc>
      </w:tr>
      <w:tr w14:paraId="667088E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restart"/>
            <w:vAlign w:val="center"/>
          </w:tcPr>
          <w:p w14:paraId="7A2930BC">
            <w:pPr>
              <w:autoSpaceDE w:val="0"/>
              <w:autoSpaceDN w:val="0"/>
              <w:adjustRightInd w:val="0"/>
              <w:jc w:val="center"/>
              <w:rPr>
                <w:bCs/>
                <w:color w:val="000000" w:themeColor="text1"/>
                <w:spacing w:val="-2"/>
                <w:kern w:val="0"/>
                <w:szCs w:val="21"/>
              </w:rPr>
            </w:pPr>
            <w:r>
              <w:rPr>
                <w:bCs/>
                <w:color w:val="000000" w:themeColor="text1"/>
                <w:spacing w:val="-2"/>
                <w:kern w:val="0"/>
                <w:szCs w:val="21"/>
              </w:rPr>
              <w:t>户拉村</w:t>
            </w:r>
          </w:p>
        </w:tc>
        <w:tc>
          <w:tcPr>
            <w:tcW w:w="993" w:type="dxa"/>
            <w:vMerge w:val="restart"/>
            <w:vAlign w:val="center"/>
          </w:tcPr>
          <w:p w14:paraId="708BB972">
            <w:pPr>
              <w:autoSpaceDE w:val="0"/>
              <w:autoSpaceDN w:val="0"/>
              <w:adjustRightInd w:val="0"/>
              <w:jc w:val="center"/>
              <w:rPr>
                <w:bCs/>
                <w:color w:val="000000" w:themeColor="text1"/>
                <w:spacing w:val="-2"/>
                <w:kern w:val="0"/>
                <w:szCs w:val="21"/>
              </w:rPr>
            </w:pPr>
            <w:r>
              <w:rPr>
                <w:bCs/>
                <w:color w:val="000000" w:themeColor="text1"/>
                <w:spacing w:val="-2"/>
                <w:kern w:val="0"/>
                <w:szCs w:val="21"/>
                <w:lang w:bidi="ar"/>
              </w:rPr>
              <w:t>东北侧</w:t>
            </w:r>
            <w:r>
              <w:rPr>
                <w:rFonts w:eastAsia="黑体"/>
                <w:bCs/>
                <w:color w:val="000000" w:themeColor="text1"/>
                <w:spacing w:val="-2"/>
                <w:kern w:val="0"/>
                <w:szCs w:val="21"/>
              </w:rPr>
              <w:t>950</w:t>
            </w:r>
          </w:p>
        </w:tc>
        <w:tc>
          <w:tcPr>
            <w:tcW w:w="1559" w:type="dxa"/>
            <w:vAlign w:val="center"/>
          </w:tcPr>
          <w:p w14:paraId="076F51AB">
            <w:pPr>
              <w:jc w:val="center"/>
              <w:rPr>
                <w:color w:val="000000" w:themeColor="text1"/>
                <w:szCs w:val="21"/>
              </w:rPr>
            </w:pPr>
            <w:r>
              <w:rPr>
                <w:color w:val="000000" w:themeColor="text1"/>
                <w:szCs w:val="21"/>
              </w:rPr>
              <w:t>颗粒物（TSP）</w:t>
            </w:r>
          </w:p>
        </w:tc>
        <w:tc>
          <w:tcPr>
            <w:tcW w:w="992" w:type="dxa"/>
            <w:vAlign w:val="center"/>
          </w:tcPr>
          <w:p w14:paraId="0EC68496">
            <w:pPr>
              <w:jc w:val="center"/>
              <w:rPr>
                <w:rFonts w:eastAsia="等线"/>
                <w:color w:val="000000" w:themeColor="text1"/>
                <w:szCs w:val="21"/>
              </w:rPr>
            </w:pPr>
            <w:r>
              <w:rPr>
                <w:rFonts w:eastAsia="等线"/>
                <w:color w:val="000000" w:themeColor="text1"/>
                <w:szCs w:val="21"/>
              </w:rPr>
              <w:t>0.065</w:t>
            </w:r>
          </w:p>
        </w:tc>
        <w:tc>
          <w:tcPr>
            <w:tcW w:w="1418" w:type="dxa"/>
            <w:vAlign w:val="center"/>
          </w:tcPr>
          <w:p w14:paraId="37DCD737">
            <w:pPr>
              <w:jc w:val="center"/>
              <w:rPr>
                <w:rFonts w:eastAsia="等线"/>
                <w:color w:val="000000" w:themeColor="text1"/>
                <w:szCs w:val="21"/>
              </w:rPr>
            </w:pPr>
            <w:r>
              <w:rPr>
                <w:rFonts w:eastAsia="等线"/>
                <w:color w:val="000000" w:themeColor="text1"/>
                <w:szCs w:val="21"/>
              </w:rPr>
              <w:t>2.1897</w:t>
            </w:r>
          </w:p>
        </w:tc>
        <w:tc>
          <w:tcPr>
            <w:tcW w:w="1134" w:type="dxa"/>
            <w:vAlign w:val="center"/>
          </w:tcPr>
          <w:p w14:paraId="319B4C89">
            <w:pPr>
              <w:jc w:val="center"/>
              <w:rPr>
                <w:rFonts w:eastAsia="等线"/>
                <w:color w:val="000000" w:themeColor="text1"/>
                <w:szCs w:val="21"/>
              </w:rPr>
            </w:pPr>
            <w:r>
              <w:rPr>
                <w:rFonts w:eastAsia="等线"/>
                <w:color w:val="000000" w:themeColor="text1"/>
                <w:szCs w:val="21"/>
              </w:rPr>
              <w:t>2.2547</w:t>
            </w:r>
          </w:p>
        </w:tc>
        <w:tc>
          <w:tcPr>
            <w:tcW w:w="850" w:type="dxa"/>
            <w:vAlign w:val="center"/>
          </w:tcPr>
          <w:p w14:paraId="1EE920D7">
            <w:pPr>
              <w:jc w:val="center"/>
              <w:rPr>
                <w:b/>
                <w:bCs/>
                <w:color w:val="000000" w:themeColor="text1"/>
                <w:szCs w:val="21"/>
              </w:rPr>
            </w:pPr>
            <w:r>
              <w:rPr>
                <w:b/>
                <w:bCs/>
                <w:color w:val="000000" w:themeColor="text1"/>
                <w:szCs w:val="21"/>
              </w:rPr>
              <w:t>900</w:t>
            </w:r>
          </w:p>
        </w:tc>
        <w:tc>
          <w:tcPr>
            <w:tcW w:w="901" w:type="dxa"/>
            <w:vAlign w:val="center"/>
          </w:tcPr>
          <w:p w14:paraId="0F988834">
            <w:pPr>
              <w:jc w:val="center"/>
              <w:rPr>
                <w:b/>
                <w:bCs/>
                <w:color w:val="000000" w:themeColor="text1"/>
                <w:szCs w:val="21"/>
              </w:rPr>
            </w:pPr>
            <w:r>
              <w:rPr>
                <w:b/>
                <w:bCs/>
                <w:color w:val="000000" w:themeColor="text1"/>
                <w:szCs w:val="21"/>
              </w:rPr>
              <w:t>达标</w:t>
            </w:r>
          </w:p>
        </w:tc>
      </w:tr>
      <w:tr w14:paraId="377041A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continue"/>
            <w:vAlign w:val="center"/>
          </w:tcPr>
          <w:p w14:paraId="0B498CD7">
            <w:pPr>
              <w:jc w:val="center"/>
              <w:rPr>
                <w:color w:val="000000" w:themeColor="text1"/>
                <w:szCs w:val="21"/>
              </w:rPr>
            </w:pPr>
          </w:p>
        </w:tc>
        <w:tc>
          <w:tcPr>
            <w:tcW w:w="993" w:type="dxa"/>
            <w:vMerge w:val="continue"/>
            <w:vAlign w:val="center"/>
          </w:tcPr>
          <w:p w14:paraId="3907DA56">
            <w:pPr>
              <w:jc w:val="center"/>
              <w:rPr>
                <w:color w:val="000000" w:themeColor="text1"/>
                <w:szCs w:val="21"/>
              </w:rPr>
            </w:pPr>
          </w:p>
        </w:tc>
        <w:tc>
          <w:tcPr>
            <w:tcW w:w="1559" w:type="dxa"/>
            <w:vAlign w:val="center"/>
          </w:tcPr>
          <w:p w14:paraId="6823E4CA">
            <w:pPr>
              <w:jc w:val="center"/>
              <w:rPr>
                <w:color w:val="000000" w:themeColor="text1"/>
                <w:szCs w:val="21"/>
              </w:rPr>
            </w:pPr>
            <w:r>
              <w:rPr>
                <w:color w:val="000000" w:themeColor="text1"/>
                <w:szCs w:val="21"/>
              </w:rPr>
              <w:t>非甲烷总烃</w:t>
            </w:r>
          </w:p>
        </w:tc>
        <w:tc>
          <w:tcPr>
            <w:tcW w:w="992" w:type="dxa"/>
            <w:vAlign w:val="center"/>
          </w:tcPr>
          <w:p w14:paraId="0A37EE65">
            <w:pPr>
              <w:jc w:val="center"/>
              <w:rPr>
                <w:rFonts w:eastAsia="等线"/>
                <w:color w:val="000000" w:themeColor="text1"/>
                <w:szCs w:val="21"/>
              </w:rPr>
            </w:pPr>
            <w:r>
              <w:rPr>
                <w:rFonts w:eastAsia="等线"/>
                <w:color w:val="000000" w:themeColor="text1"/>
                <w:szCs w:val="21"/>
              </w:rPr>
              <w:t>0.47</w:t>
            </w:r>
          </w:p>
        </w:tc>
        <w:tc>
          <w:tcPr>
            <w:tcW w:w="1418" w:type="dxa"/>
            <w:vAlign w:val="center"/>
          </w:tcPr>
          <w:p w14:paraId="15D3DD84">
            <w:pPr>
              <w:jc w:val="center"/>
              <w:rPr>
                <w:rFonts w:eastAsia="等线"/>
                <w:color w:val="000000" w:themeColor="text1"/>
                <w:szCs w:val="21"/>
              </w:rPr>
            </w:pPr>
            <w:r>
              <w:rPr>
                <w:rFonts w:eastAsia="等线"/>
                <w:color w:val="000000" w:themeColor="text1"/>
                <w:szCs w:val="21"/>
              </w:rPr>
              <w:t>15.0131</w:t>
            </w:r>
          </w:p>
        </w:tc>
        <w:tc>
          <w:tcPr>
            <w:tcW w:w="1134" w:type="dxa"/>
            <w:vAlign w:val="center"/>
          </w:tcPr>
          <w:p w14:paraId="07C57EF5">
            <w:pPr>
              <w:jc w:val="center"/>
              <w:rPr>
                <w:rFonts w:eastAsia="等线"/>
                <w:color w:val="000000" w:themeColor="text1"/>
                <w:szCs w:val="21"/>
              </w:rPr>
            </w:pPr>
            <w:r>
              <w:rPr>
                <w:rFonts w:eastAsia="等线"/>
                <w:color w:val="000000" w:themeColor="text1"/>
                <w:szCs w:val="21"/>
              </w:rPr>
              <w:t>15.4831</w:t>
            </w:r>
          </w:p>
        </w:tc>
        <w:tc>
          <w:tcPr>
            <w:tcW w:w="850" w:type="dxa"/>
            <w:vAlign w:val="center"/>
          </w:tcPr>
          <w:p w14:paraId="3C6BA935">
            <w:pPr>
              <w:jc w:val="center"/>
              <w:rPr>
                <w:b/>
                <w:bCs/>
                <w:color w:val="000000" w:themeColor="text1"/>
                <w:szCs w:val="21"/>
              </w:rPr>
            </w:pPr>
            <w:r>
              <w:rPr>
                <w:b/>
                <w:bCs/>
                <w:color w:val="000000" w:themeColor="text1"/>
                <w:szCs w:val="21"/>
              </w:rPr>
              <w:t>2000</w:t>
            </w:r>
          </w:p>
        </w:tc>
        <w:tc>
          <w:tcPr>
            <w:tcW w:w="901" w:type="dxa"/>
            <w:vAlign w:val="center"/>
          </w:tcPr>
          <w:p w14:paraId="15908476">
            <w:pPr>
              <w:jc w:val="center"/>
              <w:rPr>
                <w:b/>
                <w:bCs/>
                <w:color w:val="000000" w:themeColor="text1"/>
                <w:szCs w:val="21"/>
              </w:rPr>
            </w:pPr>
            <w:r>
              <w:rPr>
                <w:b/>
                <w:bCs/>
                <w:color w:val="000000" w:themeColor="text1"/>
                <w:szCs w:val="21"/>
              </w:rPr>
              <w:t>达标</w:t>
            </w:r>
          </w:p>
        </w:tc>
      </w:tr>
      <w:tr w14:paraId="1699785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restart"/>
            <w:vAlign w:val="center"/>
          </w:tcPr>
          <w:p w14:paraId="2815B05E">
            <w:pPr>
              <w:autoSpaceDE w:val="0"/>
              <w:autoSpaceDN w:val="0"/>
              <w:adjustRightInd w:val="0"/>
              <w:jc w:val="center"/>
              <w:rPr>
                <w:bCs/>
                <w:color w:val="000000" w:themeColor="text1"/>
                <w:spacing w:val="-2"/>
                <w:kern w:val="0"/>
                <w:szCs w:val="21"/>
                <w:lang w:bidi="ar"/>
              </w:rPr>
            </w:pPr>
            <w:r>
              <w:rPr>
                <w:bCs/>
                <w:color w:val="000000" w:themeColor="text1"/>
                <w:spacing w:val="-2"/>
                <w:kern w:val="0"/>
                <w:szCs w:val="21"/>
              </w:rPr>
              <w:t>广撒村</w:t>
            </w:r>
          </w:p>
        </w:tc>
        <w:tc>
          <w:tcPr>
            <w:tcW w:w="993" w:type="dxa"/>
            <w:vMerge w:val="restart"/>
            <w:vAlign w:val="center"/>
          </w:tcPr>
          <w:p w14:paraId="19919F4E">
            <w:pPr>
              <w:autoSpaceDE w:val="0"/>
              <w:autoSpaceDN w:val="0"/>
              <w:adjustRightInd w:val="0"/>
              <w:jc w:val="center"/>
              <w:rPr>
                <w:bCs/>
                <w:color w:val="000000" w:themeColor="text1"/>
                <w:spacing w:val="-2"/>
                <w:kern w:val="0"/>
                <w:szCs w:val="21"/>
                <w:lang w:bidi="ar"/>
              </w:rPr>
            </w:pPr>
            <w:r>
              <w:rPr>
                <w:bCs/>
                <w:color w:val="000000" w:themeColor="text1"/>
                <w:spacing w:val="-2"/>
                <w:kern w:val="0"/>
                <w:szCs w:val="21"/>
                <w:lang w:bidi="ar"/>
              </w:rPr>
              <w:t>西南侧</w:t>
            </w:r>
            <w:r>
              <w:rPr>
                <w:rFonts w:eastAsia="黑体"/>
                <w:bCs/>
                <w:color w:val="000000" w:themeColor="text1"/>
                <w:spacing w:val="-2"/>
                <w:kern w:val="0"/>
                <w:szCs w:val="21"/>
              </w:rPr>
              <w:t>2310</w:t>
            </w:r>
          </w:p>
        </w:tc>
        <w:tc>
          <w:tcPr>
            <w:tcW w:w="1559" w:type="dxa"/>
            <w:vAlign w:val="center"/>
          </w:tcPr>
          <w:p w14:paraId="733677C0">
            <w:pPr>
              <w:jc w:val="center"/>
              <w:rPr>
                <w:color w:val="000000" w:themeColor="text1"/>
                <w:szCs w:val="21"/>
              </w:rPr>
            </w:pPr>
            <w:r>
              <w:rPr>
                <w:color w:val="000000" w:themeColor="text1"/>
                <w:szCs w:val="21"/>
              </w:rPr>
              <w:t>颗粒物（TSP）</w:t>
            </w:r>
          </w:p>
        </w:tc>
        <w:tc>
          <w:tcPr>
            <w:tcW w:w="992" w:type="dxa"/>
            <w:vAlign w:val="center"/>
          </w:tcPr>
          <w:p w14:paraId="171CF6AF">
            <w:pPr>
              <w:jc w:val="center"/>
              <w:rPr>
                <w:rFonts w:eastAsia="等线"/>
                <w:color w:val="000000" w:themeColor="text1"/>
                <w:szCs w:val="21"/>
              </w:rPr>
            </w:pPr>
            <w:r>
              <w:rPr>
                <w:rFonts w:eastAsia="等线"/>
                <w:color w:val="000000" w:themeColor="text1"/>
                <w:szCs w:val="21"/>
              </w:rPr>
              <w:t>0.065</w:t>
            </w:r>
          </w:p>
        </w:tc>
        <w:tc>
          <w:tcPr>
            <w:tcW w:w="1418" w:type="dxa"/>
            <w:vAlign w:val="center"/>
          </w:tcPr>
          <w:p w14:paraId="105790EB">
            <w:pPr>
              <w:jc w:val="center"/>
              <w:rPr>
                <w:rFonts w:eastAsia="等线"/>
                <w:color w:val="000000" w:themeColor="text1"/>
                <w:szCs w:val="21"/>
              </w:rPr>
            </w:pPr>
            <w:r>
              <w:rPr>
                <w:rFonts w:eastAsia="等线"/>
                <w:color w:val="000000" w:themeColor="text1"/>
                <w:szCs w:val="21"/>
              </w:rPr>
              <w:t>0.9969</w:t>
            </w:r>
          </w:p>
        </w:tc>
        <w:tc>
          <w:tcPr>
            <w:tcW w:w="1134" w:type="dxa"/>
            <w:vAlign w:val="center"/>
          </w:tcPr>
          <w:p w14:paraId="16E650A8">
            <w:pPr>
              <w:jc w:val="center"/>
              <w:rPr>
                <w:rFonts w:eastAsia="等线"/>
                <w:color w:val="000000" w:themeColor="text1"/>
                <w:szCs w:val="21"/>
              </w:rPr>
            </w:pPr>
            <w:r>
              <w:rPr>
                <w:rFonts w:eastAsia="等线"/>
                <w:color w:val="000000" w:themeColor="text1"/>
                <w:szCs w:val="21"/>
              </w:rPr>
              <w:t>1.0619</w:t>
            </w:r>
          </w:p>
        </w:tc>
        <w:tc>
          <w:tcPr>
            <w:tcW w:w="850" w:type="dxa"/>
            <w:vAlign w:val="center"/>
          </w:tcPr>
          <w:p w14:paraId="65812B4E">
            <w:pPr>
              <w:jc w:val="center"/>
              <w:rPr>
                <w:b/>
                <w:bCs/>
                <w:color w:val="000000" w:themeColor="text1"/>
                <w:szCs w:val="21"/>
              </w:rPr>
            </w:pPr>
            <w:r>
              <w:rPr>
                <w:b/>
                <w:bCs/>
                <w:color w:val="000000" w:themeColor="text1"/>
                <w:szCs w:val="21"/>
              </w:rPr>
              <w:t>900</w:t>
            </w:r>
          </w:p>
        </w:tc>
        <w:tc>
          <w:tcPr>
            <w:tcW w:w="901" w:type="dxa"/>
            <w:vAlign w:val="center"/>
          </w:tcPr>
          <w:p w14:paraId="29030B67">
            <w:pPr>
              <w:jc w:val="center"/>
              <w:rPr>
                <w:b/>
                <w:bCs/>
                <w:color w:val="000000" w:themeColor="text1"/>
                <w:szCs w:val="21"/>
              </w:rPr>
            </w:pPr>
            <w:r>
              <w:rPr>
                <w:b/>
                <w:bCs/>
                <w:color w:val="000000" w:themeColor="text1"/>
                <w:szCs w:val="21"/>
              </w:rPr>
              <w:t>达标</w:t>
            </w:r>
          </w:p>
        </w:tc>
      </w:tr>
      <w:tr w14:paraId="086F06D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continue"/>
            <w:vAlign w:val="center"/>
          </w:tcPr>
          <w:p w14:paraId="4AB4E860">
            <w:pPr>
              <w:jc w:val="center"/>
              <w:rPr>
                <w:color w:val="000000" w:themeColor="text1"/>
                <w:szCs w:val="21"/>
              </w:rPr>
            </w:pPr>
          </w:p>
        </w:tc>
        <w:tc>
          <w:tcPr>
            <w:tcW w:w="993" w:type="dxa"/>
            <w:vMerge w:val="continue"/>
            <w:vAlign w:val="center"/>
          </w:tcPr>
          <w:p w14:paraId="49CDB25C">
            <w:pPr>
              <w:jc w:val="center"/>
              <w:rPr>
                <w:color w:val="000000" w:themeColor="text1"/>
                <w:szCs w:val="21"/>
              </w:rPr>
            </w:pPr>
          </w:p>
        </w:tc>
        <w:tc>
          <w:tcPr>
            <w:tcW w:w="1559" w:type="dxa"/>
            <w:vAlign w:val="center"/>
          </w:tcPr>
          <w:p w14:paraId="78FC8DF2">
            <w:pPr>
              <w:jc w:val="center"/>
              <w:rPr>
                <w:color w:val="000000" w:themeColor="text1"/>
                <w:szCs w:val="21"/>
              </w:rPr>
            </w:pPr>
            <w:r>
              <w:rPr>
                <w:color w:val="000000" w:themeColor="text1"/>
                <w:szCs w:val="21"/>
              </w:rPr>
              <w:t>非甲烷总烃</w:t>
            </w:r>
          </w:p>
        </w:tc>
        <w:tc>
          <w:tcPr>
            <w:tcW w:w="992" w:type="dxa"/>
            <w:vAlign w:val="center"/>
          </w:tcPr>
          <w:p w14:paraId="281564AA">
            <w:pPr>
              <w:jc w:val="center"/>
              <w:rPr>
                <w:rFonts w:eastAsia="等线"/>
                <w:color w:val="000000" w:themeColor="text1"/>
                <w:szCs w:val="21"/>
              </w:rPr>
            </w:pPr>
            <w:r>
              <w:rPr>
                <w:rFonts w:eastAsia="等线"/>
                <w:color w:val="000000" w:themeColor="text1"/>
                <w:szCs w:val="21"/>
              </w:rPr>
              <w:t>0.47</w:t>
            </w:r>
          </w:p>
        </w:tc>
        <w:tc>
          <w:tcPr>
            <w:tcW w:w="1418" w:type="dxa"/>
            <w:vAlign w:val="center"/>
          </w:tcPr>
          <w:p w14:paraId="3A06020C">
            <w:pPr>
              <w:jc w:val="center"/>
              <w:rPr>
                <w:rFonts w:eastAsia="等线"/>
                <w:color w:val="000000" w:themeColor="text1"/>
                <w:szCs w:val="21"/>
              </w:rPr>
            </w:pPr>
            <w:r>
              <w:rPr>
                <w:rFonts w:eastAsia="等线"/>
                <w:color w:val="000000" w:themeColor="text1"/>
                <w:szCs w:val="21"/>
              </w:rPr>
              <w:t>6.8025</w:t>
            </w:r>
          </w:p>
        </w:tc>
        <w:tc>
          <w:tcPr>
            <w:tcW w:w="1134" w:type="dxa"/>
            <w:vAlign w:val="center"/>
          </w:tcPr>
          <w:p w14:paraId="005217F6">
            <w:pPr>
              <w:jc w:val="center"/>
              <w:rPr>
                <w:rFonts w:eastAsia="等线"/>
                <w:color w:val="000000" w:themeColor="text1"/>
                <w:szCs w:val="21"/>
              </w:rPr>
            </w:pPr>
            <w:r>
              <w:rPr>
                <w:rFonts w:eastAsia="等线"/>
                <w:color w:val="000000" w:themeColor="text1"/>
                <w:szCs w:val="21"/>
              </w:rPr>
              <w:t>7.2725</w:t>
            </w:r>
          </w:p>
        </w:tc>
        <w:tc>
          <w:tcPr>
            <w:tcW w:w="850" w:type="dxa"/>
            <w:vAlign w:val="center"/>
          </w:tcPr>
          <w:p w14:paraId="6DB7A10E">
            <w:pPr>
              <w:jc w:val="center"/>
              <w:rPr>
                <w:b/>
                <w:bCs/>
                <w:color w:val="000000" w:themeColor="text1"/>
                <w:szCs w:val="21"/>
              </w:rPr>
            </w:pPr>
            <w:r>
              <w:rPr>
                <w:b/>
                <w:bCs/>
                <w:color w:val="000000" w:themeColor="text1"/>
                <w:szCs w:val="21"/>
              </w:rPr>
              <w:t>2000</w:t>
            </w:r>
          </w:p>
        </w:tc>
        <w:tc>
          <w:tcPr>
            <w:tcW w:w="901" w:type="dxa"/>
            <w:vAlign w:val="center"/>
          </w:tcPr>
          <w:p w14:paraId="61758C2F">
            <w:pPr>
              <w:jc w:val="center"/>
              <w:rPr>
                <w:b/>
                <w:bCs/>
                <w:color w:val="000000" w:themeColor="text1"/>
                <w:szCs w:val="21"/>
              </w:rPr>
            </w:pPr>
            <w:r>
              <w:rPr>
                <w:b/>
                <w:bCs/>
                <w:color w:val="000000" w:themeColor="text1"/>
                <w:szCs w:val="21"/>
              </w:rPr>
              <w:t>达标</w:t>
            </w:r>
          </w:p>
        </w:tc>
      </w:tr>
      <w:tr w14:paraId="24EA3E58">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restart"/>
            <w:vAlign w:val="center"/>
          </w:tcPr>
          <w:p w14:paraId="7D7796A8">
            <w:pPr>
              <w:autoSpaceDE w:val="0"/>
              <w:autoSpaceDN w:val="0"/>
              <w:adjustRightInd w:val="0"/>
              <w:jc w:val="center"/>
              <w:rPr>
                <w:bCs/>
                <w:color w:val="000000" w:themeColor="text1"/>
                <w:spacing w:val="-2"/>
                <w:kern w:val="0"/>
                <w:szCs w:val="21"/>
              </w:rPr>
            </w:pPr>
            <w:r>
              <w:rPr>
                <w:bCs/>
                <w:color w:val="000000" w:themeColor="text1"/>
                <w:spacing w:val="-2"/>
                <w:kern w:val="0"/>
                <w:szCs w:val="21"/>
              </w:rPr>
              <w:t>营盘村</w:t>
            </w:r>
          </w:p>
        </w:tc>
        <w:tc>
          <w:tcPr>
            <w:tcW w:w="993" w:type="dxa"/>
            <w:vMerge w:val="restart"/>
            <w:vAlign w:val="center"/>
          </w:tcPr>
          <w:p w14:paraId="786FC5D7">
            <w:pPr>
              <w:autoSpaceDE w:val="0"/>
              <w:autoSpaceDN w:val="0"/>
              <w:adjustRightInd w:val="0"/>
              <w:jc w:val="center"/>
              <w:rPr>
                <w:bCs/>
                <w:color w:val="000000" w:themeColor="text1"/>
                <w:spacing w:val="-2"/>
                <w:kern w:val="0"/>
                <w:szCs w:val="21"/>
              </w:rPr>
            </w:pPr>
            <w:r>
              <w:rPr>
                <w:bCs/>
                <w:color w:val="000000" w:themeColor="text1"/>
                <w:spacing w:val="-2"/>
                <w:kern w:val="0"/>
                <w:szCs w:val="21"/>
              </w:rPr>
              <w:t>南侧</w:t>
            </w:r>
            <w:r>
              <w:rPr>
                <w:rFonts w:eastAsia="黑体"/>
                <w:bCs/>
                <w:color w:val="000000" w:themeColor="text1"/>
                <w:spacing w:val="-2"/>
                <w:kern w:val="0"/>
                <w:szCs w:val="21"/>
              </w:rPr>
              <w:t>2400</w:t>
            </w:r>
          </w:p>
        </w:tc>
        <w:tc>
          <w:tcPr>
            <w:tcW w:w="1559" w:type="dxa"/>
            <w:vAlign w:val="center"/>
          </w:tcPr>
          <w:p w14:paraId="4940BD1A">
            <w:pPr>
              <w:jc w:val="center"/>
              <w:rPr>
                <w:color w:val="000000" w:themeColor="text1"/>
                <w:szCs w:val="21"/>
              </w:rPr>
            </w:pPr>
            <w:r>
              <w:rPr>
                <w:color w:val="000000" w:themeColor="text1"/>
                <w:szCs w:val="21"/>
              </w:rPr>
              <w:t>颗粒物（TSP）</w:t>
            </w:r>
          </w:p>
        </w:tc>
        <w:tc>
          <w:tcPr>
            <w:tcW w:w="992" w:type="dxa"/>
            <w:vAlign w:val="center"/>
          </w:tcPr>
          <w:p w14:paraId="20741211">
            <w:pPr>
              <w:jc w:val="center"/>
              <w:rPr>
                <w:rFonts w:eastAsia="等线"/>
                <w:color w:val="000000" w:themeColor="text1"/>
                <w:szCs w:val="21"/>
              </w:rPr>
            </w:pPr>
            <w:r>
              <w:rPr>
                <w:rFonts w:eastAsia="等线"/>
                <w:color w:val="000000" w:themeColor="text1"/>
                <w:szCs w:val="21"/>
              </w:rPr>
              <w:t>0.065</w:t>
            </w:r>
          </w:p>
        </w:tc>
        <w:tc>
          <w:tcPr>
            <w:tcW w:w="1418" w:type="dxa"/>
            <w:vAlign w:val="center"/>
          </w:tcPr>
          <w:p w14:paraId="77B08063">
            <w:pPr>
              <w:jc w:val="center"/>
              <w:rPr>
                <w:rFonts w:eastAsia="等线"/>
                <w:color w:val="000000" w:themeColor="text1"/>
                <w:szCs w:val="21"/>
              </w:rPr>
            </w:pPr>
            <w:r>
              <w:rPr>
                <w:rFonts w:eastAsia="等线"/>
                <w:color w:val="000000" w:themeColor="text1"/>
                <w:szCs w:val="21"/>
              </w:rPr>
              <w:t>0.6348</w:t>
            </w:r>
          </w:p>
        </w:tc>
        <w:tc>
          <w:tcPr>
            <w:tcW w:w="1134" w:type="dxa"/>
            <w:vAlign w:val="center"/>
          </w:tcPr>
          <w:p w14:paraId="5E16A775">
            <w:pPr>
              <w:jc w:val="center"/>
              <w:rPr>
                <w:rFonts w:eastAsia="等线"/>
                <w:color w:val="000000" w:themeColor="text1"/>
                <w:szCs w:val="21"/>
              </w:rPr>
            </w:pPr>
            <w:r>
              <w:rPr>
                <w:rFonts w:eastAsia="等线"/>
                <w:color w:val="000000" w:themeColor="text1"/>
                <w:szCs w:val="21"/>
              </w:rPr>
              <w:t>0.6998</w:t>
            </w:r>
          </w:p>
        </w:tc>
        <w:tc>
          <w:tcPr>
            <w:tcW w:w="850" w:type="dxa"/>
            <w:vAlign w:val="center"/>
          </w:tcPr>
          <w:p w14:paraId="7DFCA03E">
            <w:pPr>
              <w:jc w:val="center"/>
              <w:rPr>
                <w:b/>
                <w:bCs/>
                <w:color w:val="000000" w:themeColor="text1"/>
                <w:szCs w:val="21"/>
              </w:rPr>
            </w:pPr>
            <w:r>
              <w:rPr>
                <w:b/>
                <w:bCs/>
                <w:color w:val="000000" w:themeColor="text1"/>
                <w:szCs w:val="21"/>
              </w:rPr>
              <w:t>900</w:t>
            </w:r>
          </w:p>
        </w:tc>
        <w:tc>
          <w:tcPr>
            <w:tcW w:w="901" w:type="dxa"/>
            <w:vAlign w:val="center"/>
          </w:tcPr>
          <w:p w14:paraId="6305030B">
            <w:pPr>
              <w:jc w:val="center"/>
              <w:rPr>
                <w:b/>
                <w:bCs/>
                <w:color w:val="000000" w:themeColor="text1"/>
                <w:szCs w:val="21"/>
              </w:rPr>
            </w:pPr>
            <w:r>
              <w:rPr>
                <w:b/>
                <w:bCs/>
                <w:color w:val="000000" w:themeColor="text1"/>
                <w:szCs w:val="21"/>
              </w:rPr>
              <w:t>达标</w:t>
            </w:r>
          </w:p>
        </w:tc>
      </w:tr>
      <w:tr w14:paraId="6172328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continue"/>
            <w:vAlign w:val="center"/>
          </w:tcPr>
          <w:p w14:paraId="75B1C404">
            <w:pPr>
              <w:jc w:val="center"/>
              <w:rPr>
                <w:color w:val="000000" w:themeColor="text1"/>
                <w:szCs w:val="21"/>
              </w:rPr>
            </w:pPr>
          </w:p>
        </w:tc>
        <w:tc>
          <w:tcPr>
            <w:tcW w:w="993" w:type="dxa"/>
            <w:vMerge w:val="continue"/>
            <w:vAlign w:val="center"/>
          </w:tcPr>
          <w:p w14:paraId="79CAB297">
            <w:pPr>
              <w:jc w:val="center"/>
              <w:rPr>
                <w:color w:val="000000" w:themeColor="text1"/>
                <w:szCs w:val="21"/>
              </w:rPr>
            </w:pPr>
          </w:p>
        </w:tc>
        <w:tc>
          <w:tcPr>
            <w:tcW w:w="1559" w:type="dxa"/>
            <w:vAlign w:val="center"/>
          </w:tcPr>
          <w:p w14:paraId="211B2012">
            <w:pPr>
              <w:jc w:val="center"/>
              <w:rPr>
                <w:color w:val="000000" w:themeColor="text1"/>
                <w:szCs w:val="21"/>
              </w:rPr>
            </w:pPr>
            <w:r>
              <w:rPr>
                <w:color w:val="000000" w:themeColor="text1"/>
                <w:szCs w:val="21"/>
              </w:rPr>
              <w:t>非甲烷总烃</w:t>
            </w:r>
          </w:p>
        </w:tc>
        <w:tc>
          <w:tcPr>
            <w:tcW w:w="992" w:type="dxa"/>
            <w:vAlign w:val="center"/>
          </w:tcPr>
          <w:p w14:paraId="68B3C3E3">
            <w:pPr>
              <w:jc w:val="center"/>
              <w:rPr>
                <w:rFonts w:eastAsia="等线"/>
                <w:color w:val="000000" w:themeColor="text1"/>
                <w:szCs w:val="21"/>
              </w:rPr>
            </w:pPr>
            <w:r>
              <w:rPr>
                <w:rFonts w:eastAsia="等线"/>
                <w:color w:val="000000" w:themeColor="text1"/>
                <w:szCs w:val="21"/>
              </w:rPr>
              <w:t>0.47</w:t>
            </w:r>
          </w:p>
        </w:tc>
        <w:tc>
          <w:tcPr>
            <w:tcW w:w="1418" w:type="dxa"/>
            <w:vAlign w:val="center"/>
          </w:tcPr>
          <w:p w14:paraId="00BD1BDC">
            <w:pPr>
              <w:jc w:val="center"/>
              <w:rPr>
                <w:rFonts w:eastAsia="等线"/>
                <w:color w:val="000000" w:themeColor="text1"/>
                <w:szCs w:val="21"/>
              </w:rPr>
            </w:pPr>
            <w:r>
              <w:rPr>
                <w:rFonts w:eastAsia="等线"/>
                <w:color w:val="000000" w:themeColor="text1"/>
                <w:szCs w:val="21"/>
              </w:rPr>
              <w:t>4.3596</w:t>
            </w:r>
          </w:p>
        </w:tc>
        <w:tc>
          <w:tcPr>
            <w:tcW w:w="1134" w:type="dxa"/>
            <w:vAlign w:val="center"/>
          </w:tcPr>
          <w:p w14:paraId="058766A6">
            <w:pPr>
              <w:jc w:val="center"/>
              <w:rPr>
                <w:rFonts w:eastAsia="等线"/>
                <w:color w:val="000000" w:themeColor="text1"/>
                <w:szCs w:val="21"/>
              </w:rPr>
            </w:pPr>
            <w:r>
              <w:rPr>
                <w:rFonts w:eastAsia="等线"/>
                <w:color w:val="000000" w:themeColor="text1"/>
                <w:szCs w:val="21"/>
              </w:rPr>
              <w:t>4.8296</w:t>
            </w:r>
          </w:p>
        </w:tc>
        <w:tc>
          <w:tcPr>
            <w:tcW w:w="850" w:type="dxa"/>
            <w:vAlign w:val="center"/>
          </w:tcPr>
          <w:p w14:paraId="547FD5B6">
            <w:pPr>
              <w:jc w:val="center"/>
              <w:rPr>
                <w:b/>
                <w:bCs/>
                <w:color w:val="000000" w:themeColor="text1"/>
                <w:szCs w:val="21"/>
              </w:rPr>
            </w:pPr>
            <w:r>
              <w:rPr>
                <w:b/>
                <w:bCs/>
                <w:color w:val="000000" w:themeColor="text1"/>
                <w:szCs w:val="21"/>
              </w:rPr>
              <w:t>2000</w:t>
            </w:r>
          </w:p>
        </w:tc>
        <w:tc>
          <w:tcPr>
            <w:tcW w:w="901" w:type="dxa"/>
            <w:vAlign w:val="center"/>
          </w:tcPr>
          <w:p w14:paraId="067469CC">
            <w:pPr>
              <w:jc w:val="center"/>
              <w:rPr>
                <w:b/>
                <w:bCs/>
                <w:color w:val="000000" w:themeColor="text1"/>
                <w:szCs w:val="21"/>
              </w:rPr>
            </w:pPr>
            <w:r>
              <w:rPr>
                <w:b/>
                <w:bCs/>
                <w:color w:val="000000" w:themeColor="text1"/>
                <w:szCs w:val="21"/>
              </w:rPr>
              <w:t>达标</w:t>
            </w:r>
          </w:p>
        </w:tc>
      </w:tr>
      <w:tr w14:paraId="025DE3A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restart"/>
            <w:vAlign w:val="center"/>
          </w:tcPr>
          <w:p w14:paraId="70E0FB9E">
            <w:pPr>
              <w:autoSpaceDE w:val="0"/>
              <w:autoSpaceDN w:val="0"/>
              <w:adjustRightInd w:val="0"/>
              <w:jc w:val="center"/>
              <w:rPr>
                <w:bCs/>
                <w:color w:val="000000" w:themeColor="text1"/>
                <w:spacing w:val="-2"/>
                <w:kern w:val="0"/>
                <w:szCs w:val="21"/>
              </w:rPr>
            </w:pPr>
            <w:r>
              <w:rPr>
                <w:bCs/>
                <w:color w:val="000000" w:themeColor="text1"/>
                <w:spacing w:val="-2"/>
                <w:kern w:val="0"/>
                <w:szCs w:val="21"/>
              </w:rPr>
              <w:t>帕峦村</w:t>
            </w:r>
          </w:p>
        </w:tc>
        <w:tc>
          <w:tcPr>
            <w:tcW w:w="993" w:type="dxa"/>
            <w:vMerge w:val="restart"/>
            <w:vAlign w:val="center"/>
          </w:tcPr>
          <w:p w14:paraId="694DFA28">
            <w:pPr>
              <w:autoSpaceDE w:val="0"/>
              <w:autoSpaceDN w:val="0"/>
              <w:adjustRightInd w:val="0"/>
              <w:jc w:val="center"/>
              <w:rPr>
                <w:bCs/>
                <w:color w:val="000000" w:themeColor="text1"/>
                <w:spacing w:val="-2"/>
                <w:kern w:val="0"/>
                <w:szCs w:val="21"/>
              </w:rPr>
            </w:pPr>
            <w:r>
              <w:rPr>
                <w:bCs/>
                <w:color w:val="000000" w:themeColor="text1"/>
                <w:spacing w:val="-2"/>
                <w:kern w:val="0"/>
                <w:szCs w:val="21"/>
                <w:lang w:bidi="ar"/>
              </w:rPr>
              <w:t>西南侧</w:t>
            </w:r>
            <w:r>
              <w:rPr>
                <w:rFonts w:eastAsia="黑体"/>
                <w:bCs/>
                <w:color w:val="000000" w:themeColor="text1"/>
                <w:spacing w:val="-2"/>
                <w:kern w:val="0"/>
                <w:szCs w:val="21"/>
              </w:rPr>
              <w:t>3195</w:t>
            </w:r>
          </w:p>
        </w:tc>
        <w:tc>
          <w:tcPr>
            <w:tcW w:w="1559" w:type="dxa"/>
            <w:vAlign w:val="center"/>
          </w:tcPr>
          <w:p w14:paraId="182F21F3">
            <w:pPr>
              <w:jc w:val="center"/>
              <w:rPr>
                <w:color w:val="000000" w:themeColor="text1"/>
                <w:szCs w:val="21"/>
              </w:rPr>
            </w:pPr>
            <w:r>
              <w:rPr>
                <w:color w:val="000000" w:themeColor="text1"/>
                <w:szCs w:val="21"/>
              </w:rPr>
              <w:t>颗粒物（TSP）</w:t>
            </w:r>
          </w:p>
        </w:tc>
        <w:tc>
          <w:tcPr>
            <w:tcW w:w="992" w:type="dxa"/>
            <w:vAlign w:val="center"/>
          </w:tcPr>
          <w:p w14:paraId="4E053C39">
            <w:pPr>
              <w:jc w:val="center"/>
              <w:rPr>
                <w:rFonts w:eastAsia="等线"/>
                <w:color w:val="000000" w:themeColor="text1"/>
                <w:szCs w:val="21"/>
              </w:rPr>
            </w:pPr>
            <w:r>
              <w:rPr>
                <w:rFonts w:eastAsia="等线"/>
                <w:color w:val="000000" w:themeColor="text1"/>
                <w:szCs w:val="21"/>
              </w:rPr>
              <w:t>0.065</w:t>
            </w:r>
          </w:p>
        </w:tc>
        <w:tc>
          <w:tcPr>
            <w:tcW w:w="1418" w:type="dxa"/>
            <w:vAlign w:val="center"/>
          </w:tcPr>
          <w:p w14:paraId="6184EB86">
            <w:pPr>
              <w:jc w:val="center"/>
              <w:rPr>
                <w:rFonts w:eastAsia="等线"/>
                <w:color w:val="000000" w:themeColor="text1"/>
                <w:szCs w:val="21"/>
              </w:rPr>
            </w:pPr>
            <w:r>
              <w:rPr>
                <w:rFonts w:eastAsia="等线"/>
                <w:color w:val="000000" w:themeColor="text1"/>
                <w:szCs w:val="21"/>
              </w:rPr>
              <w:t>0.6348</w:t>
            </w:r>
          </w:p>
        </w:tc>
        <w:tc>
          <w:tcPr>
            <w:tcW w:w="1134" w:type="dxa"/>
            <w:vAlign w:val="center"/>
          </w:tcPr>
          <w:p w14:paraId="3341EFCA">
            <w:pPr>
              <w:jc w:val="center"/>
              <w:rPr>
                <w:rFonts w:eastAsia="等线"/>
                <w:color w:val="000000" w:themeColor="text1"/>
                <w:szCs w:val="21"/>
              </w:rPr>
            </w:pPr>
            <w:r>
              <w:rPr>
                <w:rFonts w:eastAsia="等线"/>
                <w:color w:val="000000" w:themeColor="text1"/>
                <w:szCs w:val="21"/>
              </w:rPr>
              <w:t>0.6998</w:t>
            </w:r>
          </w:p>
        </w:tc>
        <w:tc>
          <w:tcPr>
            <w:tcW w:w="850" w:type="dxa"/>
            <w:vAlign w:val="center"/>
          </w:tcPr>
          <w:p w14:paraId="4CE458D3">
            <w:pPr>
              <w:jc w:val="center"/>
              <w:rPr>
                <w:b/>
                <w:bCs/>
                <w:color w:val="000000" w:themeColor="text1"/>
                <w:szCs w:val="21"/>
              </w:rPr>
            </w:pPr>
            <w:r>
              <w:rPr>
                <w:b/>
                <w:bCs/>
                <w:color w:val="000000" w:themeColor="text1"/>
                <w:szCs w:val="21"/>
              </w:rPr>
              <w:t>900</w:t>
            </w:r>
          </w:p>
        </w:tc>
        <w:tc>
          <w:tcPr>
            <w:tcW w:w="901" w:type="dxa"/>
            <w:vAlign w:val="center"/>
          </w:tcPr>
          <w:p w14:paraId="3EDE817A">
            <w:pPr>
              <w:jc w:val="center"/>
              <w:rPr>
                <w:b/>
                <w:bCs/>
                <w:color w:val="000000" w:themeColor="text1"/>
                <w:szCs w:val="21"/>
              </w:rPr>
            </w:pPr>
            <w:r>
              <w:rPr>
                <w:b/>
                <w:bCs/>
                <w:color w:val="000000" w:themeColor="text1"/>
                <w:szCs w:val="21"/>
              </w:rPr>
              <w:t>达标</w:t>
            </w:r>
          </w:p>
        </w:tc>
      </w:tr>
      <w:tr w14:paraId="25D7B29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51" w:type="dxa"/>
            <w:vMerge w:val="continue"/>
            <w:vAlign w:val="center"/>
          </w:tcPr>
          <w:p w14:paraId="6B78D200">
            <w:pPr>
              <w:jc w:val="center"/>
              <w:rPr>
                <w:color w:val="000000" w:themeColor="text1"/>
                <w:szCs w:val="21"/>
              </w:rPr>
            </w:pPr>
          </w:p>
        </w:tc>
        <w:tc>
          <w:tcPr>
            <w:tcW w:w="993" w:type="dxa"/>
            <w:vMerge w:val="continue"/>
            <w:vAlign w:val="center"/>
          </w:tcPr>
          <w:p w14:paraId="75CDFAD9">
            <w:pPr>
              <w:jc w:val="center"/>
              <w:rPr>
                <w:color w:val="000000" w:themeColor="text1"/>
                <w:szCs w:val="21"/>
              </w:rPr>
            </w:pPr>
          </w:p>
        </w:tc>
        <w:tc>
          <w:tcPr>
            <w:tcW w:w="1559" w:type="dxa"/>
            <w:vAlign w:val="center"/>
          </w:tcPr>
          <w:p w14:paraId="19AAAD24">
            <w:pPr>
              <w:jc w:val="center"/>
              <w:rPr>
                <w:color w:val="000000" w:themeColor="text1"/>
                <w:szCs w:val="21"/>
              </w:rPr>
            </w:pPr>
            <w:r>
              <w:rPr>
                <w:color w:val="000000" w:themeColor="text1"/>
                <w:szCs w:val="21"/>
              </w:rPr>
              <w:t>非甲烷总烃</w:t>
            </w:r>
          </w:p>
        </w:tc>
        <w:tc>
          <w:tcPr>
            <w:tcW w:w="992" w:type="dxa"/>
            <w:vAlign w:val="center"/>
          </w:tcPr>
          <w:p w14:paraId="2A01FB14">
            <w:pPr>
              <w:jc w:val="center"/>
              <w:rPr>
                <w:rFonts w:eastAsia="等线"/>
                <w:color w:val="000000" w:themeColor="text1"/>
                <w:szCs w:val="21"/>
              </w:rPr>
            </w:pPr>
            <w:r>
              <w:rPr>
                <w:rFonts w:eastAsia="等线"/>
                <w:color w:val="000000" w:themeColor="text1"/>
                <w:szCs w:val="21"/>
              </w:rPr>
              <w:t>0.47</w:t>
            </w:r>
          </w:p>
        </w:tc>
        <w:tc>
          <w:tcPr>
            <w:tcW w:w="1418" w:type="dxa"/>
            <w:vAlign w:val="center"/>
          </w:tcPr>
          <w:p w14:paraId="6BA14C10">
            <w:pPr>
              <w:jc w:val="center"/>
              <w:rPr>
                <w:rFonts w:eastAsia="等线"/>
                <w:color w:val="000000" w:themeColor="text1"/>
                <w:szCs w:val="21"/>
              </w:rPr>
            </w:pPr>
            <w:r>
              <w:rPr>
                <w:rFonts w:eastAsia="等线"/>
                <w:color w:val="000000" w:themeColor="text1"/>
                <w:szCs w:val="21"/>
              </w:rPr>
              <w:t>4.3596</w:t>
            </w:r>
          </w:p>
        </w:tc>
        <w:tc>
          <w:tcPr>
            <w:tcW w:w="1134" w:type="dxa"/>
            <w:vAlign w:val="center"/>
          </w:tcPr>
          <w:p w14:paraId="59D4689D">
            <w:pPr>
              <w:jc w:val="center"/>
              <w:rPr>
                <w:rFonts w:eastAsia="等线"/>
                <w:color w:val="000000" w:themeColor="text1"/>
                <w:szCs w:val="21"/>
              </w:rPr>
            </w:pPr>
            <w:r>
              <w:rPr>
                <w:rFonts w:eastAsia="等线"/>
                <w:color w:val="000000" w:themeColor="text1"/>
                <w:szCs w:val="21"/>
              </w:rPr>
              <w:t>4.8296</w:t>
            </w:r>
          </w:p>
        </w:tc>
        <w:tc>
          <w:tcPr>
            <w:tcW w:w="850" w:type="dxa"/>
            <w:vAlign w:val="center"/>
          </w:tcPr>
          <w:p w14:paraId="2C445060">
            <w:pPr>
              <w:jc w:val="center"/>
              <w:rPr>
                <w:b/>
                <w:bCs/>
                <w:color w:val="000000" w:themeColor="text1"/>
                <w:szCs w:val="21"/>
              </w:rPr>
            </w:pPr>
            <w:r>
              <w:rPr>
                <w:b/>
                <w:bCs/>
                <w:color w:val="000000" w:themeColor="text1"/>
                <w:szCs w:val="21"/>
              </w:rPr>
              <w:t>2000</w:t>
            </w:r>
          </w:p>
        </w:tc>
        <w:tc>
          <w:tcPr>
            <w:tcW w:w="901" w:type="dxa"/>
            <w:vAlign w:val="center"/>
          </w:tcPr>
          <w:p w14:paraId="4AE5D7ED">
            <w:pPr>
              <w:jc w:val="center"/>
              <w:rPr>
                <w:b/>
                <w:bCs/>
                <w:color w:val="000000" w:themeColor="text1"/>
                <w:szCs w:val="21"/>
              </w:rPr>
            </w:pPr>
            <w:r>
              <w:rPr>
                <w:b/>
                <w:bCs/>
                <w:color w:val="000000" w:themeColor="text1"/>
                <w:szCs w:val="21"/>
              </w:rPr>
              <w:t>达标</w:t>
            </w:r>
          </w:p>
        </w:tc>
      </w:tr>
    </w:tbl>
    <w:p w14:paraId="3721B566">
      <w:pPr>
        <w:spacing w:line="360" w:lineRule="auto"/>
        <w:ind w:firstLine="480" w:firstLineChars="200"/>
        <w:rPr>
          <w:bCs/>
          <w:color w:val="000000" w:themeColor="text1"/>
          <w:sz w:val="24"/>
        </w:rPr>
      </w:pPr>
      <w:r>
        <w:rPr>
          <w:color w:val="000000" w:themeColor="text1"/>
          <w:sz w:val="24"/>
        </w:rPr>
        <w:t>根据上表，叠加现状背景值后，关心点预测颗粒物（TSP）预测值能达GB3095－2012《环境空气质量标准》二级标准，非甲烷总烃污染物预测值能满足《大气污染物综合排放标准详解》中2mg/m</w:t>
      </w:r>
      <w:r>
        <w:rPr>
          <w:color w:val="000000" w:themeColor="text1"/>
          <w:sz w:val="24"/>
          <w:vertAlign w:val="superscript"/>
        </w:rPr>
        <w:t>3</w:t>
      </w:r>
      <w:r>
        <w:rPr>
          <w:color w:val="000000" w:themeColor="text1"/>
          <w:sz w:val="24"/>
        </w:rPr>
        <w:t>要求，从估算结果可以看出废气对保护目标的影响可接受。</w:t>
      </w:r>
    </w:p>
    <w:p w14:paraId="4BBF104F">
      <w:pPr>
        <w:pStyle w:val="105"/>
        <w:rPr>
          <w:rFonts w:cs="Times New Roman"/>
          <w:color w:val="000000" w:themeColor="text1"/>
        </w:rPr>
      </w:pPr>
      <w:r>
        <w:rPr>
          <w:rFonts w:cs="Times New Roman"/>
          <w:color w:val="000000" w:themeColor="text1"/>
        </w:rPr>
        <w:t>6.1.4非正常工况环境影响分析</w:t>
      </w:r>
    </w:p>
    <w:p w14:paraId="46901FAB">
      <w:pPr>
        <w:spacing w:line="360" w:lineRule="auto"/>
        <w:ind w:firstLine="480"/>
        <w:rPr>
          <w:color w:val="000000" w:themeColor="text1"/>
          <w:sz w:val="24"/>
        </w:rPr>
      </w:pPr>
      <w:r>
        <w:rPr>
          <w:color w:val="000000" w:themeColor="text1"/>
          <w:sz w:val="24"/>
        </w:rPr>
        <w:t>根据3.7章节，本项目建设运营过程中，废气非正常排放主要是造粒废气污染物处置措施（</w:t>
      </w:r>
      <w:r>
        <w:rPr>
          <w:bCs/>
          <w:color w:val="000000" w:themeColor="text1"/>
          <w:sz w:val="24"/>
        </w:rPr>
        <w:t>过滤棉+UV光解装置</w:t>
      </w:r>
      <w:r>
        <w:rPr>
          <w:color w:val="000000" w:themeColor="text1"/>
          <w:sz w:val="24"/>
        </w:rPr>
        <w:t>）出现故障，导致颗粒物及非甲烷总烃去除效率降低至50%。</w:t>
      </w:r>
    </w:p>
    <w:p w14:paraId="662CE9C9">
      <w:pPr>
        <w:spacing w:line="360" w:lineRule="auto"/>
        <w:ind w:firstLine="480"/>
        <w:rPr>
          <w:color w:val="000000" w:themeColor="text1"/>
          <w:sz w:val="24"/>
        </w:rPr>
      </w:pPr>
      <w:r>
        <w:rPr>
          <w:color w:val="000000" w:themeColor="text1"/>
          <w:sz w:val="24"/>
        </w:rPr>
        <w:t>本项目选取造粒废气污染物处置措施发生故障，项目运营过程中非正常排放源强见表3.7-1。</w:t>
      </w:r>
    </w:p>
    <w:p w14:paraId="15427A19">
      <w:pPr>
        <w:spacing w:line="360" w:lineRule="auto"/>
        <w:ind w:firstLine="480"/>
        <w:rPr>
          <w:color w:val="000000" w:themeColor="text1"/>
          <w:sz w:val="24"/>
        </w:rPr>
      </w:pPr>
      <w:r>
        <w:rPr>
          <w:color w:val="000000" w:themeColor="text1"/>
          <w:sz w:val="24"/>
        </w:rPr>
        <w:t>本次评价采用HJ/T2.2-2018推介的AERSCREEN模式分别对颗粒物、非甲烷总烃下风向的轴线浓度进行计算，并计算相应浓度</w:t>
      </w:r>
      <w:r>
        <w:rPr>
          <w:rFonts w:hint="eastAsia"/>
          <w:color w:val="000000" w:themeColor="text1"/>
          <w:sz w:val="24"/>
          <w:lang w:eastAsia="zh-CN"/>
        </w:rPr>
        <w:t>的</w:t>
      </w:r>
      <w:r>
        <w:rPr>
          <w:color w:val="000000" w:themeColor="text1"/>
          <w:sz w:val="24"/>
        </w:rPr>
        <w:t>占标率，结果见表6.1-9。</w:t>
      </w:r>
    </w:p>
    <w:p w14:paraId="79CE3D25">
      <w:pPr>
        <w:autoSpaceDE w:val="0"/>
        <w:autoSpaceDN w:val="0"/>
        <w:adjustRightInd w:val="0"/>
        <w:jc w:val="center"/>
        <w:rPr>
          <w:b/>
          <w:color w:val="000000" w:themeColor="text1"/>
          <w:sz w:val="24"/>
        </w:rPr>
      </w:pPr>
      <w:r>
        <w:rPr>
          <w:b/>
          <w:color w:val="000000" w:themeColor="text1"/>
          <w:sz w:val="24"/>
        </w:rPr>
        <w:t>表6.1-9  废气采用估算模式计算结果表</w:t>
      </w:r>
    </w:p>
    <w:tbl>
      <w:tblPr>
        <w:tblStyle w:val="42"/>
        <w:tblW w:w="8527"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6"/>
        <w:gridCol w:w="1898"/>
        <w:gridCol w:w="1513"/>
        <w:gridCol w:w="1897"/>
        <w:gridCol w:w="1513"/>
      </w:tblGrid>
      <w:tr w14:paraId="2BC4EB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Merge w:val="restart"/>
            <w:vAlign w:val="center"/>
          </w:tcPr>
          <w:p w14:paraId="5FEAD441">
            <w:pPr>
              <w:jc w:val="center"/>
              <w:rPr>
                <w:szCs w:val="21"/>
              </w:rPr>
            </w:pPr>
            <w:r>
              <w:rPr>
                <w:szCs w:val="21"/>
              </w:rPr>
              <w:t>下风向距离</w:t>
            </w:r>
          </w:p>
        </w:tc>
        <w:tc>
          <w:tcPr>
            <w:tcW w:w="6821" w:type="dxa"/>
            <w:gridSpan w:val="4"/>
            <w:vAlign w:val="center"/>
          </w:tcPr>
          <w:p w14:paraId="5C93D93B">
            <w:pPr>
              <w:jc w:val="center"/>
              <w:rPr>
                <w:szCs w:val="21"/>
              </w:rPr>
            </w:pPr>
            <w:r>
              <w:rPr>
                <w:szCs w:val="21"/>
              </w:rPr>
              <w:t>点源非正常</w:t>
            </w:r>
          </w:p>
        </w:tc>
      </w:tr>
      <w:tr w14:paraId="1D573E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Merge w:val="continue"/>
            <w:vAlign w:val="center"/>
          </w:tcPr>
          <w:p w14:paraId="20D263E9">
            <w:pPr>
              <w:jc w:val="center"/>
              <w:rPr>
                <w:szCs w:val="21"/>
              </w:rPr>
            </w:pPr>
          </w:p>
        </w:tc>
        <w:tc>
          <w:tcPr>
            <w:tcW w:w="1898" w:type="dxa"/>
            <w:vAlign w:val="center"/>
          </w:tcPr>
          <w:p w14:paraId="7D4852BA">
            <w:pPr>
              <w:jc w:val="center"/>
              <w:rPr>
                <w:szCs w:val="21"/>
              </w:rPr>
            </w:pPr>
            <w:r>
              <w:rPr>
                <w:szCs w:val="21"/>
              </w:rPr>
              <w:t>颗粒物浓度(μg/m³)</w:t>
            </w:r>
          </w:p>
        </w:tc>
        <w:tc>
          <w:tcPr>
            <w:tcW w:w="1513" w:type="dxa"/>
            <w:vAlign w:val="center"/>
          </w:tcPr>
          <w:p w14:paraId="18504990">
            <w:pPr>
              <w:jc w:val="center"/>
              <w:rPr>
                <w:szCs w:val="21"/>
              </w:rPr>
            </w:pPr>
            <w:r>
              <w:rPr>
                <w:szCs w:val="21"/>
              </w:rPr>
              <w:t>颗粒物占标率(%)</w:t>
            </w:r>
          </w:p>
        </w:tc>
        <w:tc>
          <w:tcPr>
            <w:tcW w:w="1897" w:type="dxa"/>
            <w:vAlign w:val="center"/>
          </w:tcPr>
          <w:p w14:paraId="231DE49E">
            <w:pPr>
              <w:jc w:val="center"/>
              <w:rPr>
                <w:szCs w:val="21"/>
              </w:rPr>
            </w:pPr>
            <w:r>
              <w:rPr>
                <w:szCs w:val="21"/>
              </w:rPr>
              <w:t>非甲烷总烃浓度(μg/m³)</w:t>
            </w:r>
          </w:p>
        </w:tc>
        <w:tc>
          <w:tcPr>
            <w:tcW w:w="1513" w:type="dxa"/>
            <w:vAlign w:val="center"/>
          </w:tcPr>
          <w:p w14:paraId="29FE1C97">
            <w:pPr>
              <w:jc w:val="center"/>
              <w:rPr>
                <w:szCs w:val="21"/>
              </w:rPr>
            </w:pPr>
            <w:r>
              <w:rPr>
                <w:szCs w:val="21"/>
              </w:rPr>
              <w:t>非甲烷总烃占标率(%)</w:t>
            </w:r>
          </w:p>
        </w:tc>
      </w:tr>
      <w:tr w14:paraId="58C1BF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176DE934">
            <w:pPr>
              <w:jc w:val="center"/>
              <w:rPr>
                <w:szCs w:val="21"/>
              </w:rPr>
            </w:pPr>
            <w:r>
              <w:rPr>
                <w:szCs w:val="21"/>
              </w:rPr>
              <w:t>50.0</w:t>
            </w:r>
          </w:p>
        </w:tc>
        <w:tc>
          <w:tcPr>
            <w:tcW w:w="1898" w:type="dxa"/>
            <w:vAlign w:val="center"/>
          </w:tcPr>
          <w:p w14:paraId="62B4D428">
            <w:pPr>
              <w:jc w:val="center"/>
              <w:rPr>
                <w:szCs w:val="21"/>
              </w:rPr>
            </w:pPr>
            <w:r>
              <w:rPr>
                <w:szCs w:val="21"/>
              </w:rPr>
              <w:t>7.3282</w:t>
            </w:r>
          </w:p>
        </w:tc>
        <w:tc>
          <w:tcPr>
            <w:tcW w:w="1513" w:type="dxa"/>
            <w:vAlign w:val="center"/>
          </w:tcPr>
          <w:p w14:paraId="5C9E5A2F">
            <w:pPr>
              <w:jc w:val="center"/>
              <w:rPr>
                <w:szCs w:val="21"/>
              </w:rPr>
            </w:pPr>
            <w:r>
              <w:rPr>
                <w:szCs w:val="21"/>
              </w:rPr>
              <w:t>0.3664</w:t>
            </w:r>
          </w:p>
        </w:tc>
        <w:tc>
          <w:tcPr>
            <w:tcW w:w="1897" w:type="dxa"/>
            <w:vAlign w:val="center"/>
          </w:tcPr>
          <w:p w14:paraId="10E704C2">
            <w:pPr>
              <w:jc w:val="center"/>
              <w:rPr>
                <w:szCs w:val="21"/>
              </w:rPr>
            </w:pPr>
            <w:r>
              <w:rPr>
                <w:szCs w:val="21"/>
              </w:rPr>
              <w:t>1.0851</w:t>
            </w:r>
          </w:p>
        </w:tc>
        <w:tc>
          <w:tcPr>
            <w:tcW w:w="1513" w:type="dxa"/>
            <w:vAlign w:val="center"/>
          </w:tcPr>
          <w:p w14:paraId="70D7F2E6">
            <w:pPr>
              <w:jc w:val="center"/>
              <w:rPr>
                <w:szCs w:val="21"/>
              </w:rPr>
            </w:pPr>
            <w:r>
              <w:rPr>
                <w:szCs w:val="21"/>
              </w:rPr>
              <w:t>0.1206</w:t>
            </w:r>
          </w:p>
        </w:tc>
      </w:tr>
      <w:tr w14:paraId="270D5F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672F8E27">
            <w:pPr>
              <w:jc w:val="center"/>
              <w:rPr>
                <w:szCs w:val="21"/>
              </w:rPr>
            </w:pPr>
            <w:r>
              <w:rPr>
                <w:szCs w:val="21"/>
              </w:rPr>
              <w:t>100.0</w:t>
            </w:r>
          </w:p>
        </w:tc>
        <w:tc>
          <w:tcPr>
            <w:tcW w:w="1898" w:type="dxa"/>
            <w:vAlign w:val="center"/>
          </w:tcPr>
          <w:p w14:paraId="1823416E">
            <w:pPr>
              <w:jc w:val="center"/>
              <w:rPr>
                <w:szCs w:val="21"/>
              </w:rPr>
            </w:pPr>
            <w:r>
              <w:rPr>
                <w:szCs w:val="21"/>
              </w:rPr>
              <w:t>10.2340</w:t>
            </w:r>
          </w:p>
        </w:tc>
        <w:tc>
          <w:tcPr>
            <w:tcW w:w="1513" w:type="dxa"/>
            <w:vAlign w:val="center"/>
          </w:tcPr>
          <w:p w14:paraId="4FC24481">
            <w:pPr>
              <w:jc w:val="center"/>
              <w:rPr>
                <w:szCs w:val="21"/>
              </w:rPr>
            </w:pPr>
            <w:r>
              <w:rPr>
                <w:szCs w:val="21"/>
              </w:rPr>
              <w:t>0.5117</w:t>
            </w:r>
          </w:p>
        </w:tc>
        <w:tc>
          <w:tcPr>
            <w:tcW w:w="1897" w:type="dxa"/>
            <w:vAlign w:val="center"/>
          </w:tcPr>
          <w:p w14:paraId="5FD9B886">
            <w:pPr>
              <w:jc w:val="center"/>
              <w:rPr>
                <w:szCs w:val="21"/>
              </w:rPr>
            </w:pPr>
            <w:r>
              <w:rPr>
                <w:szCs w:val="21"/>
              </w:rPr>
              <w:t>1.5153</w:t>
            </w:r>
          </w:p>
        </w:tc>
        <w:tc>
          <w:tcPr>
            <w:tcW w:w="1513" w:type="dxa"/>
            <w:vAlign w:val="center"/>
          </w:tcPr>
          <w:p w14:paraId="69CE2C9B">
            <w:pPr>
              <w:jc w:val="center"/>
              <w:rPr>
                <w:szCs w:val="21"/>
              </w:rPr>
            </w:pPr>
            <w:r>
              <w:rPr>
                <w:szCs w:val="21"/>
              </w:rPr>
              <w:t>0.1684</w:t>
            </w:r>
          </w:p>
        </w:tc>
      </w:tr>
      <w:tr w14:paraId="2537DA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46CD9659">
            <w:pPr>
              <w:jc w:val="center"/>
              <w:rPr>
                <w:szCs w:val="21"/>
              </w:rPr>
            </w:pPr>
            <w:r>
              <w:rPr>
                <w:szCs w:val="21"/>
              </w:rPr>
              <w:t>200.0</w:t>
            </w:r>
          </w:p>
        </w:tc>
        <w:tc>
          <w:tcPr>
            <w:tcW w:w="1898" w:type="dxa"/>
            <w:vAlign w:val="center"/>
          </w:tcPr>
          <w:p w14:paraId="15B66F96">
            <w:pPr>
              <w:jc w:val="center"/>
              <w:rPr>
                <w:szCs w:val="21"/>
              </w:rPr>
            </w:pPr>
            <w:r>
              <w:rPr>
                <w:szCs w:val="21"/>
              </w:rPr>
              <w:t>155.8000</w:t>
            </w:r>
          </w:p>
        </w:tc>
        <w:tc>
          <w:tcPr>
            <w:tcW w:w="1513" w:type="dxa"/>
            <w:vAlign w:val="center"/>
          </w:tcPr>
          <w:p w14:paraId="6924B51D">
            <w:pPr>
              <w:jc w:val="center"/>
              <w:rPr>
                <w:szCs w:val="21"/>
              </w:rPr>
            </w:pPr>
            <w:r>
              <w:rPr>
                <w:szCs w:val="21"/>
              </w:rPr>
              <w:t>7.7900</w:t>
            </w:r>
          </w:p>
        </w:tc>
        <w:tc>
          <w:tcPr>
            <w:tcW w:w="1897" w:type="dxa"/>
            <w:vAlign w:val="center"/>
          </w:tcPr>
          <w:p w14:paraId="0A7EA3DF">
            <w:pPr>
              <w:jc w:val="center"/>
              <w:rPr>
                <w:szCs w:val="21"/>
              </w:rPr>
            </w:pPr>
            <w:r>
              <w:rPr>
                <w:szCs w:val="21"/>
              </w:rPr>
              <w:t>23.0692</w:t>
            </w:r>
          </w:p>
        </w:tc>
        <w:tc>
          <w:tcPr>
            <w:tcW w:w="1513" w:type="dxa"/>
            <w:vAlign w:val="center"/>
          </w:tcPr>
          <w:p w14:paraId="25550FA5">
            <w:pPr>
              <w:jc w:val="center"/>
              <w:rPr>
                <w:szCs w:val="21"/>
              </w:rPr>
            </w:pPr>
            <w:r>
              <w:rPr>
                <w:szCs w:val="21"/>
              </w:rPr>
              <w:t>2.5632</w:t>
            </w:r>
          </w:p>
        </w:tc>
      </w:tr>
      <w:tr w14:paraId="6C111C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2AD1D3C9">
            <w:pPr>
              <w:jc w:val="center"/>
              <w:rPr>
                <w:szCs w:val="21"/>
              </w:rPr>
            </w:pPr>
            <w:r>
              <w:rPr>
                <w:szCs w:val="21"/>
              </w:rPr>
              <w:t>300.0</w:t>
            </w:r>
          </w:p>
        </w:tc>
        <w:tc>
          <w:tcPr>
            <w:tcW w:w="1898" w:type="dxa"/>
            <w:vAlign w:val="center"/>
          </w:tcPr>
          <w:p w14:paraId="4E5A68B2">
            <w:pPr>
              <w:jc w:val="center"/>
              <w:rPr>
                <w:szCs w:val="21"/>
              </w:rPr>
            </w:pPr>
            <w:r>
              <w:rPr>
                <w:szCs w:val="21"/>
              </w:rPr>
              <w:t>123.0500</w:t>
            </w:r>
          </w:p>
        </w:tc>
        <w:tc>
          <w:tcPr>
            <w:tcW w:w="1513" w:type="dxa"/>
            <w:vAlign w:val="center"/>
          </w:tcPr>
          <w:p w14:paraId="45B89631">
            <w:pPr>
              <w:jc w:val="center"/>
              <w:rPr>
                <w:szCs w:val="21"/>
              </w:rPr>
            </w:pPr>
            <w:r>
              <w:rPr>
                <w:szCs w:val="21"/>
              </w:rPr>
              <w:t>6.1525</w:t>
            </w:r>
          </w:p>
        </w:tc>
        <w:tc>
          <w:tcPr>
            <w:tcW w:w="1897" w:type="dxa"/>
            <w:vAlign w:val="center"/>
          </w:tcPr>
          <w:p w14:paraId="2943598C">
            <w:pPr>
              <w:jc w:val="center"/>
              <w:rPr>
                <w:szCs w:val="21"/>
              </w:rPr>
            </w:pPr>
            <w:r>
              <w:rPr>
                <w:szCs w:val="21"/>
              </w:rPr>
              <w:t>18.2199</w:t>
            </w:r>
          </w:p>
        </w:tc>
        <w:tc>
          <w:tcPr>
            <w:tcW w:w="1513" w:type="dxa"/>
            <w:vAlign w:val="center"/>
          </w:tcPr>
          <w:p w14:paraId="5D53C798">
            <w:pPr>
              <w:jc w:val="center"/>
              <w:rPr>
                <w:szCs w:val="21"/>
              </w:rPr>
            </w:pPr>
            <w:r>
              <w:rPr>
                <w:szCs w:val="21"/>
              </w:rPr>
              <w:t>2.0244</w:t>
            </w:r>
          </w:p>
        </w:tc>
      </w:tr>
      <w:tr w14:paraId="640600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44F27DFF">
            <w:pPr>
              <w:jc w:val="center"/>
              <w:rPr>
                <w:szCs w:val="21"/>
              </w:rPr>
            </w:pPr>
            <w:r>
              <w:rPr>
                <w:szCs w:val="21"/>
              </w:rPr>
              <w:t>400.0</w:t>
            </w:r>
          </w:p>
        </w:tc>
        <w:tc>
          <w:tcPr>
            <w:tcW w:w="1898" w:type="dxa"/>
            <w:vAlign w:val="center"/>
          </w:tcPr>
          <w:p w14:paraId="163EA5DF">
            <w:pPr>
              <w:jc w:val="center"/>
              <w:rPr>
                <w:szCs w:val="21"/>
              </w:rPr>
            </w:pPr>
            <w:r>
              <w:rPr>
                <w:szCs w:val="21"/>
              </w:rPr>
              <w:t>97.3490</w:t>
            </w:r>
          </w:p>
        </w:tc>
        <w:tc>
          <w:tcPr>
            <w:tcW w:w="1513" w:type="dxa"/>
            <w:vAlign w:val="center"/>
          </w:tcPr>
          <w:p w14:paraId="35123F0C">
            <w:pPr>
              <w:jc w:val="center"/>
              <w:rPr>
                <w:szCs w:val="21"/>
              </w:rPr>
            </w:pPr>
            <w:r>
              <w:rPr>
                <w:szCs w:val="21"/>
              </w:rPr>
              <w:t>4.8674</w:t>
            </w:r>
          </w:p>
        </w:tc>
        <w:tc>
          <w:tcPr>
            <w:tcW w:w="1897" w:type="dxa"/>
            <w:vAlign w:val="center"/>
          </w:tcPr>
          <w:p w14:paraId="4475E3CC">
            <w:pPr>
              <w:jc w:val="center"/>
              <w:rPr>
                <w:szCs w:val="21"/>
              </w:rPr>
            </w:pPr>
            <w:r>
              <w:rPr>
                <w:szCs w:val="21"/>
              </w:rPr>
              <w:t>14.4144</w:t>
            </w:r>
          </w:p>
        </w:tc>
        <w:tc>
          <w:tcPr>
            <w:tcW w:w="1513" w:type="dxa"/>
            <w:vAlign w:val="center"/>
          </w:tcPr>
          <w:p w14:paraId="35765F88">
            <w:pPr>
              <w:jc w:val="center"/>
              <w:rPr>
                <w:szCs w:val="21"/>
              </w:rPr>
            </w:pPr>
            <w:r>
              <w:rPr>
                <w:szCs w:val="21"/>
              </w:rPr>
              <w:t>1.6016</w:t>
            </w:r>
          </w:p>
        </w:tc>
      </w:tr>
      <w:tr w14:paraId="7C6550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3F1231C5">
            <w:pPr>
              <w:jc w:val="center"/>
              <w:rPr>
                <w:szCs w:val="21"/>
              </w:rPr>
            </w:pPr>
            <w:r>
              <w:rPr>
                <w:szCs w:val="21"/>
              </w:rPr>
              <w:t>500.0</w:t>
            </w:r>
          </w:p>
        </w:tc>
        <w:tc>
          <w:tcPr>
            <w:tcW w:w="1898" w:type="dxa"/>
            <w:vAlign w:val="center"/>
          </w:tcPr>
          <w:p w14:paraId="0E8D0D5C">
            <w:pPr>
              <w:jc w:val="center"/>
              <w:rPr>
                <w:szCs w:val="21"/>
              </w:rPr>
            </w:pPr>
            <w:r>
              <w:rPr>
                <w:szCs w:val="21"/>
              </w:rPr>
              <w:t>62.3420</w:t>
            </w:r>
          </w:p>
        </w:tc>
        <w:tc>
          <w:tcPr>
            <w:tcW w:w="1513" w:type="dxa"/>
            <w:vAlign w:val="center"/>
          </w:tcPr>
          <w:p w14:paraId="51366A27">
            <w:pPr>
              <w:jc w:val="center"/>
              <w:rPr>
                <w:szCs w:val="21"/>
              </w:rPr>
            </w:pPr>
            <w:r>
              <w:rPr>
                <w:szCs w:val="21"/>
              </w:rPr>
              <w:t>3.1171</w:t>
            </w:r>
          </w:p>
        </w:tc>
        <w:tc>
          <w:tcPr>
            <w:tcW w:w="1897" w:type="dxa"/>
            <w:vAlign w:val="center"/>
          </w:tcPr>
          <w:p w14:paraId="530041CD">
            <w:pPr>
              <w:jc w:val="center"/>
              <w:rPr>
                <w:szCs w:val="21"/>
              </w:rPr>
            </w:pPr>
            <w:r>
              <w:rPr>
                <w:szCs w:val="21"/>
              </w:rPr>
              <w:t>9.2309</w:t>
            </w:r>
          </w:p>
        </w:tc>
        <w:tc>
          <w:tcPr>
            <w:tcW w:w="1513" w:type="dxa"/>
            <w:vAlign w:val="center"/>
          </w:tcPr>
          <w:p w14:paraId="696223C9">
            <w:pPr>
              <w:jc w:val="center"/>
              <w:rPr>
                <w:szCs w:val="21"/>
              </w:rPr>
            </w:pPr>
            <w:r>
              <w:rPr>
                <w:szCs w:val="21"/>
              </w:rPr>
              <w:t>1.0257</w:t>
            </w:r>
          </w:p>
        </w:tc>
      </w:tr>
      <w:tr w14:paraId="5E4704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077BDCF8">
            <w:pPr>
              <w:jc w:val="center"/>
              <w:rPr>
                <w:szCs w:val="21"/>
              </w:rPr>
            </w:pPr>
            <w:r>
              <w:rPr>
                <w:szCs w:val="21"/>
              </w:rPr>
              <w:t>600.0</w:t>
            </w:r>
          </w:p>
        </w:tc>
        <w:tc>
          <w:tcPr>
            <w:tcW w:w="1898" w:type="dxa"/>
            <w:vAlign w:val="center"/>
          </w:tcPr>
          <w:p w14:paraId="3EEB1075">
            <w:pPr>
              <w:jc w:val="center"/>
              <w:rPr>
                <w:szCs w:val="21"/>
              </w:rPr>
            </w:pPr>
            <w:r>
              <w:rPr>
                <w:szCs w:val="21"/>
              </w:rPr>
              <w:t>71.0340</w:t>
            </w:r>
          </w:p>
        </w:tc>
        <w:tc>
          <w:tcPr>
            <w:tcW w:w="1513" w:type="dxa"/>
            <w:vAlign w:val="center"/>
          </w:tcPr>
          <w:p w14:paraId="23B94DDD">
            <w:pPr>
              <w:jc w:val="center"/>
              <w:rPr>
                <w:szCs w:val="21"/>
              </w:rPr>
            </w:pPr>
            <w:r>
              <w:rPr>
                <w:szCs w:val="21"/>
              </w:rPr>
              <w:t>3.5517</w:t>
            </w:r>
          </w:p>
        </w:tc>
        <w:tc>
          <w:tcPr>
            <w:tcW w:w="1897" w:type="dxa"/>
            <w:vAlign w:val="center"/>
          </w:tcPr>
          <w:p w14:paraId="29B02A39">
            <w:pPr>
              <w:jc w:val="center"/>
              <w:rPr>
                <w:szCs w:val="21"/>
              </w:rPr>
            </w:pPr>
            <w:r>
              <w:rPr>
                <w:szCs w:val="21"/>
              </w:rPr>
              <w:t>10.5180</w:t>
            </w:r>
          </w:p>
        </w:tc>
        <w:tc>
          <w:tcPr>
            <w:tcW w:w="1513" w:type="dxa"/>
            <w:vAlign w:val="center"/>
          </w:tcPr>
          <w:p w14:paraId="3C302D8A">
            <w:pPr>
              <w:jc w:val="center"/>
              <w:rPr>
                <w:szCs w:val="21"/>
              </w:rPr>
            </w:pPr>
            <w:r>
              <w:rPr>
                <w:szCs w:val="21"/>
              </w:rPr>
              <w:t>1.1687</w:t>
            </w:r>
          </w:p>
        </w:tc>
      </w:tr>
      <w:tr w14:paraId="3947E4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461C87DB">
            <w:pPr>
              <w:jc w:val="center"/>
              <w:rPr>
                <w:szCs w:val="21"/>
              </w:rPr>
            </w:pPr>
            <w:r>
              <w:rPr>
                <w:szCs w:val="21"/>
              </w:rPr>
              <w:t>700.0</w:t>
            </w:r>
          </w:p>
        </w:tc>
        <w:tc>
          <w:tcPr>
            <w:tcW w:w="1898" w:type="dxa"/>
            <w:vAlign w:val="center"/>
          </w:tcPr>
          <w:p w14:paraId="34251205">
            <w:pPr>
              <w:jc w:val="center"/>
              <w:rPr>
                <w:szCs w:val="21"/>
              </w:rPr>
            </w:pPr>
            <w:r>
              <w:rPr>
                <w:szCs w:val="21"/>
              </w:rPr>
              <w:t>54.1030</w:t>
            </w:r>
          </w:p>
        </w:tc>
        <w:tc>
          <w:tcPr>
            <w:tcW w:w="1513" w:type="dxa"/>
            <w:vAlign w:val="center"/>
          </w:tcPr>
          <w:p w14:paraId="45540E17">
            <w:pPr>
              <w:jc w:val="center"/>
              <w:rPr>
                <w:szCs w:val="21"/>
              </w:rPr>
            </w:pPr>
            <w:r>
              <w:rPr>
                <w:szCs w:val="21"/>
              </w:rPr>
              <w:t>2.7051</w:t>
            </w:r>
          </w:p>
        </w:tc>
        <w:tc>
          <w:tcPr>
            <w:tcW w:w="1897" w:type="dxa"/>
            <w:vAlign w:val="center"/>
          </w:tcPr>
          <w:p w14:paraId="12394250">
            <w:pPr>
              <w:jc w:val="center"/>
              <w:rPr>
                <w:szCs w:val="21"/>
              </w:rPr>
            </w:pPr>
            <w:r>
              <w:rPr>
                <w:szCs w:val="21"/>
              </w:rPr>
              <w:t>8.0110</w:t>
            </w:r>
          </w:p>
        </w:tc>
        <w:tc>
          <w:tcPr>
            <w:tcW w:w="1513" w:type="dxa"/>
            <w:vAlign w:val="center"/>
          </w:tcPr>
          <w:p w14:paraId="507754A1">
            <w:pPr>
              <w:jc w:val="center"/>
              <w:rPr>
                <w:szCs w:val="21"/>
              </w:rPr>
            </w:pPr>
            <w:r>
              <w:rPr>
                <w:szCs w:val="21"/>
              </w:rPr>
              <w:t>0.8901</w:t>
            </w:r>
          </w:p>
        </w:tc>
      </w:tr>
      <w:tr w14:paraId="15FDF9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53747838">
            <w:pPr>
              <w:jc w:val="center"/>
              <w:rPr>
                <w:szCs w:val="21"/>
              </w:rPr>
            </w:pPr>
            <w:r>
              <w:rPr>
                <w:szCs w:val="21"/>
              </w:rPr>
              <w:t>800.0</w:t>
            </w:r>
          </w:p>
        </w:tc>
        <w:tc>
          <w:tcPr>
            <w:tcW w:w="1898" w:type="dxa"/>
            <w:vAlign w:val="center"/>
          </w:tcPr>
          <w:p w14:paraId="2A7CD1B0">
            <w:pPr>
              <w:jc w:val="center"/>
              <w:rPr>
                <w:szCs w:val="21"/>
              </w:rPr>
            </w:pPr>
            <w:r>
              <w:rPr>
                <w:szCs w:val="21"/>
              </w:rPr>
              <w:t>32.4800</w:t>
            </w:r>
          </w:p>
        </w:tc>
        <w:tc>
          <w:tcPr>
            <w:tcW w:w="1513" w:type="dxa"/>
            <w:vAlign w:val="center"/>
          </w:tcPr>
          <w:p w14:paraId="12998533">
            <w:pPr>
              <w:jc w:val="center"/>
              <w:rPr>
                <w:szCs w:val="21"/>
              </w:rPr>
            </w:pPr>
            <w:r>
              <w:rPr>
                <w:szCs w:val="21"/>
              </w:rPr>
              <w:t>1.6240</w:t>
            </w:r>
          </w:p>
        </w:tc>
        <w:tc>
          <w:tcPr>
            <w:tcW w:w="1897" w:type="dxa"/>
            <w:vAlign w:val="center"/>
          </w:tcPr>
          <w:p w14:paraId="0514DF2B">
            <w:pPr>
              <w:jc w:val="center"/>
              <w:rPr>
                <w:szCs w:val="21"/>
              </w:rPr>
            </w:pPr>
            <w:r>
              <w:rPr>
                <w:szCs w:val="21"/>
              </w:rPr>
              <w:t>4.8093</w:t>
            </w:r>
          </w:p>
        </w:tc>
        <w:tc>
          <w:tcPr>
            <w:tcW w:w="1513" w:type="dxa"/>
            <w:vAlign w:val="center"/>
          </w:tcPr>
          <w:p w14:paraId="4B5CF79A">
            <w:pPr>
              <w:jc w:val="center"/>
              <w:rPr>
                <w:szCs w:val="21"/>
              </w:rPr>
            </w:pPr>
            <w:r>
              <w:rPr>
                <w:szCs w:val="21"/>
              </w:rPr>
              <w:t>0.5344</w:t>
            </w:r>
          </w:p>
        </w:tc>
      </w:tr>
      <w:tr w14:paraId="33985B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07CA095B">
            <w:pPr>
              <w:jc w:val="center"/>
              <w:rPr>
                <w:szCs w:val="21"/>
              </w:rPr>
            </w:pPr>
            <w:r>
              <w:rPr>
                <w:szCs w:val="21"/>
              </w:rPr>
              <w:t>900.0</w:t>
            </w:r>
          </w:p>
        </w:tc>
        <w:tc>
          <w:tcPr>
            <w:tcW w:w="1898" w:type="dxa"/>
            <w:vAlign w:val="center"/>
          </w:tcPr>
          <w:p w14:paraId="2BFF3AE9">
            <w:pPr>
              <w:jc w:val="center"/>
              <w:rPr>
                <w:szCs w:val="21"/>
              </w:rPr>
            </w:pPr>
            <w:r>
              <w:rPr>
                <w:szCs w:val="21"/>
              </w:rPr>
              <w:t>51.2630</w:t>
            </w:r>
          </w:p>
        </w:tc>
        <w:tc>
          <w:tcPr>
            <w:tcW w:w="1513" w:type="dxa"/>
            <w:vAlign w:val="center"/>
          </w:tcPr>
          <w:p w14:paraId="039DE90E">
            <w:pPr>
              <w:jc w:val="center"/>
              <w:rPr>
                <w:szCs w:val="21"/>
              </w:rPr>
            </w:pPr>
            <w:r>
              <w:rPr>
                <w:szCs w:val="21"/>
              </w:rPr>
              <w:t>2.5631</w:t>
            </w:r>
          </w:p>
        </w:tc>
        <w:tc>
          <w:tcPr>
            <w:tcW w:w="1897" w:type="dxa"/>
            <w:vAlign w:val="center"/>
          </w:tcPr>
          <w:p w14:paraId="07E0D6F9">
            <w:pPr>
              <w:jc w:val="center"/>
              <w:rPr>
                <w:szCs w:val="21"/>
              </w:rPr>
            </w:pPr>
            <w:r>
              <w:rPr>
                <w:szCs w:val="21"/>
              </w:rPr>
              <w:t>7.5905</w:t>
            </w:r>
          </w:p>
        </w:tc>
        <w:tc>
          <w:tcPr>
            <w:tcW w:w="1513" w:type="dxa"/>
            <w:vAlign w:val="center"/>
          </w:tcPr>
          <w:p w14:paraId="56FD8E75">
            <w:pPr>
              <w:jc w:val="center"/>
              <w:rPr>
                <w:szCs w:val="21"/>
              </w:rPr>
            </w:pPr>
            <w:r>
              <w:rPr>
                <w:szCs w:val="21"/>
              </w:rPr>
              <w:t>0.8434</w:t>
            </w:r>
          </w:p>
        </w:tc>
      </w:tr>
      <w:tr w14:paraId="2EA265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100A67B4">
            <w:pPr>
              <w:jc w:val="center"/>
              <w:rPr>
                <w:szCs w:val="21"/>
              </w:rPr>
            </w:pPr>
            <w:r>
              <w:rPr>
                <w:szCs w:val="21"/>
              </w:rPr>
              <w:t>1000.0</w:t>
            </w:r>
          </w:p>
        </w:tc>
        <w:tc>
          <w:tcPr>
            <w:tcW w:w="1898" w:type="dxa"/>
            <w:vAlign w:val="center"/>
          </w:tcPr>
          <w:p w14:paraId="63AD2FCD">
            <w:pPr>
              <w:jc w:val="center"/>
              <w:rPr>
                <w:szCs w:val="21"/>
              </w:rPr>
            </w:pPr>
            <w:r>
              <w:rPr>
                <w:szCs w:val="21"/>
              </w:rPr>
              <w:t>38.9230</w:t>
            </w:r>
          </w:p>
        </w:tc>
        <w:tc>
          <w:tcPr>
            <w:tcW w:w="1513" w:type="dxa"/>
            <w:vAlign w:val="center"/>
          </w:tcPr>
          <w:p w14:paraId="6D5DB65C">
            <w:pPr>
              <w:jc w:val="center"/>
              <w:rPr>
                <w:szCs w:val="21"/>
              </w:rPr>
            </w:pPr>
            <w:r>
              <w:rPr>
                <w:szCs w:val="21"/>
              </w:rPr>
              <w:t>1.9462</w:t>
            </w:r>
          </w:p>
        </w:tc>
        <w:tc>
          <w:tcPr>
            <w:tcW w:w="1897" w:type="dxa"/>
            <w:vAlign w:val="center"/>
          </w:tcPr>
          <w:p w14:paraId="6443107F">
            <w:pPr>
              <w:jc w:val="center"/>
              <w:rPr>
                <w:szCs w:val="21"/>
              </w:rPr>
            </w:pPr>
            <w:r>
              <w:rPr>
                <w:szCs w:val="21"/>
              </w:rPr>
              <w:t>5.7633</w:t>
            </w:r>
          </w:p>
        </w:tc>
        <w:tc>
          <w:tcPr>
            <w:tcW w:w="1513" w:type="dxa"/>
            <w:vAlign w:val="center"/>
          </w:tcPr>
          <w:p w14:paraId="06B4E760">
            <w:pPr>
              <w:jc w:val="center"/>
              <w:rPr>
                <w:szCs w:val="21"/>
              </w:rPr>
            </w:pPr>
            <w:r>
              <w:rPr>
                <w:szCs w:val="21"/>
              </w:rPr>
              <w:t>0.6404</w:t>
            </w:r>
          </w:p>
        </w:tc>
      </w:tr>
      <w:tr w14:paraId="0A3F97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4152443A">
            <w:pPr>
              <w:jc w:val="center"/>
              <w:rPr>
                <w:szCs w:val="21"/>
              </w:rPr>
            </w:pPr>
            <w:r>
              <w:rPr>
                <w:szCs w:val="21"/>
              </w:rPr>
              <w:t>1200.0</w:t>
            </w:r>
          </w:p>
        </w:tc>
        <w:tc>
          <w:tcPr>
            <w:tcW w:w="1898" w:type="dxa"/>
            <w:vAlign w:val="center"/>
          </w:tcPr>
          <w:p w14:paraId="170EF301">
            <w:pPr>
              <w:jc w:val="center"/>
              <w:rPr>
                <w:szCs w:val="21"/>
              </w:rPr>
            </w:pPr>
            <w:r>
              <w:rPr>
                <w:szCs w:val="21"/>
              </w:rPr>
              <w:t>38.7090</w:t>
            </w:r>
          </w:p>
        </w:tc>
        <w:tc>
          <w:tcPr>
            <w:tcW w:w="1513" w:type="dxa"/>
            <w:vAlign w:val="center"/>
          </w:tcPr>
          <w:p w14:paraId="032D7790">
            <w:pPr>
              <w:jc w:val="center"/>
              <w:rPr>
                <w:szCs w:val="21"/>
              </w:rPr>
            </w:pPr>
            <w:r>
              <w:rPr>
                <w:szCs w:val="21"/>
              </w:rPr>
              <w:t>1.9355</w:t>
            </w:r>
          </w:p>
        </w:tc>
        <w:tc>
          <w:tcPr>
            <w:tcW w:w="1897" w:type="dxa"/>
            <w:vAlign w:val="center"/>
          </w:tcPr>
          <w:p w14:paraId="749E7C08">
            <w:pPr>
              <w:jc w:val="center"/>
              <w:rPr>
                <w:szCs w:val="21"/>
              </w:rPr>
            </w:pPr>
            <w:r>
              <w:rPr>
                <w:szCs w:val="21"/>
              </w:rPr>
              <w:t>5.7316</w:t>
            </w:r>
          </w:p>
        </w:tc>
        <w:tc>
          <w:tcPr>
            <w:tcW w:w="1513" w:type="dxa"/>
            <w:vAlign w:val="center"/>
          </w:tcPr>
          <w:p w14:paraId="4F715898">
            <w:pPr>
              <w:jc w:val="center"/>
              <w:rPr>
                <w:szCs w:val="21"/>
              </w:rPr>
            </w:pPr>
            <w:r>
              <w:rPr>
                <w:szCs w:val="21"/>
              </w:rPr>
              <w:t>0.6368</w:t>
            </w:r>
          </w:p>
        </w:tc>
      </w:tr>
      <w:tr w14:paraId="5C3E9F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143C23D9">
            <w:pPr>
              <w:jc w:val="center"/>
              <w:rPr>
                <w:szCs w:val="21"/>
              </w:rPr>
            </w:pPr>
            <w:r>
              <w:rPr>
                <w:szCs w:val="21"/>
              </w:rPr>
              <w:t>1400.0</w:t>
            </w:r>
          </w:p>
        </w:tc>
        <w:tc>
          <w:tcPr>
            <w:tcW w:w="1898" w:type="dxa"/>
            <w:vAlign w:val="center"/>
          </w:tcPr>
          <w:p w14:paraId="05ACF190">
            <w:pPr>
              <w:jc w:val="center"/>
              <w:rPr>
                <w:szCs w:val="21"/>
              </w:rPr>
            </w:pPr>
            <w:r>
              <w:rPr>
                <w:szCs w:val="21"/>
              </w:rPr>
              <w:t>33.1800</w:t>
            </w:r>
          </w:p>
        </w:tc>
        <w:tc>
          <w:tcPr>
            <w:tcW w:w="1513" w:type="dxa"/>
            <w:vAlign w:val="center"/>
          </w:tcPr>
          <w:p w14:paraId="6D214B22">
            <w:pPr>
              <w:jc w:val="center"/>
              <w:rPr>
                <w:szCs w:val="21"/>
              </w:rPr>
            </w:pPr>
            <w:r>
              <w:rPr>
                <w:szCs w:val="21"/>
              </w:rPr>
              <w:t>1.6590</w:t>
            </w:r>
          </w:p>
        </w:tc>
        <w:tc>
          <w:tcPr>
            <w:tcW w:w="1897" w:type="dxa"/>
            <w:vAlign w:val="center"/>
          </w:tcPr>
          <w:p w14:paraId="0AE45E5E">
            <w:pPr>
              <w:jc w:val="center"/>
              <w:rPr>
                <w:szCs w:val="21"/>
              </w:rPr>
            </w:pPr>
            <w:r>
              <w:rPr>
                <w:szCs w:val="21"/>
              </w:rPr>
              <w:t>4.9129</w:t>
            </w:r>
          </w:p>
        </w:tc>
        <w:tc>
          <w:tcPr>
            <w:tcW w:w="1513" w:type="dxa"/>
            <w:vAlign w:val="center"/>
          </w:tcPr>
          <w:p w14:paraId="4E38F084">
            <w:pPr>
              <w:jc w:val="center"/>
              <w:rPr>
                <w:szCs w:val="21"/>
              </w:rPr>
            </w:pPr>
            <w:r>
              <w:rPr>
                <w:szCs w:val="21"/>
              </w:rPr>
              <w:t>0.5459</w:t>
            </w:r>
          </w:p>
        </w:tc>
      </w:tr>
      <w:tr w14:paraId="04E7EC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0DF7065B">
            <w:pPr>
              <w:jc w:val="center"/>
              <w:rPr>
                <w:szCs w:val="21"/>
              </w:rPr>
            </w:pPr>
            <w:r>
              <w:rPr>
                <w:szCs w:val="21"/>
              </w:rPr>
              <w:t>1600.0</w:t>
            </w:r>
          </w:p>
        </w:tc>
        <w:tc>
          <w:tcPr>
            <w:tcW w:w="1898" w:type="dxa"/>
            <w:vAlign w:val="center"/>
          </w:tcPr>
          <w:p w14:paraId="051E7919">
            <w:pPr>
              <w:jc w:val="center"/>
              <w:rPr>
                <w:szCs w:val="21"/>
              </w:rPr>
            </w:pPr>
            <w:r>
              <w:rPr>
                <w:szCs w:val="21"/>
              </w:rPr>
              <w:t>29.4420</w:t>
            </w:r>
          </w:p>
        </w:tc>
        <w:tc>
          <w:tcPr>
            <w:tcW w:w="1513" w:type="dxa"/>
            <w:vAlign w:val="center"/>
          </w:tcPr>
          <w:p w14:paraId="766BBA6E">
            <w:pPr>
              <w:jc w:val="center"/>
              <w:rPr>
                <w:szCs w:val="21"/>
              </w:rPr>
            </w:pPr>
            <w:r>
              <w:rPr>
                <w:szCs w:val="21"/>
              </w:rPr>
              <w:t>1.4721</w:t>
            </w:r>
          </w:p>
        </w:tc>
        <w:tc>
          <w:tcPr>
            <w:tcW w:w="1897" w:type="dxa"/>
            <w:vAlign w:val="center"/>
          </w:tcPr>
          <w:p w14:paraId="62DC8554">
            <w:pPr>
              <w:jc w:val="center"/>
              <w:rPr>
                <w:szCs w:val="21"/>
              </w:rPr>
            </w:pPr>
            <w:r>
              <w:rPr>
                <w:szCs w:val="21"/>
              </w:rPr>
              <w:t>4.3595</w:t>
            </w:r>
          </w:p>
        </w:tc>
        <w:tc>
          <w:tcPr>
            <w:tcW w:w="1513" w:type="dxa"/>
            <w:vAlign w:val="center"/>
          </w:tcPr>
          <w:p w14:paraId="386FFEBE">
            <w:pPr>
              <w:jc w:val="center"/>
              <w:rPr>
                <w:szCs w:val="21"/>
              </w:rPr>
            </w:pPr>
            <w:r>
              <w:rPr>
                <w:szCs w:val="21"/>
              </w:rPr>
              <w:t>0.4844</w:t>
            </w:r>
          </w:p>
        </w:tc>
      </w:tr>
      <w:tr w14:paraId="3BD04A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07DC4876">
            <w:pPr>
              <w:jc w:val="center"/>
              <w:rPr>
                <w:szCs w:val="21"/>
              </w:rPr>
            </w:pPr>
            <w:r>
              <w:rPr>
                <w:szCs w:val="21"/>
              </w:rPr>
              <w:t>1800.0</w:t>
            </w:r>
          </w:p>
        </w:tc>
        <w:tc>
          <w:tcPr>
            <w:tcW w:w="1898" w:type="dxa"/>
            <w:vAlign w:val="center"/>
          </w:tcPr>
          <w:p w14:paraId="77AED2A2">
            <w:pPr>
              <w:jc w:val="center"/>
              <w:rPr>
                <w:szCs w:val="21"/>
              </w:rPr>
            </w:pPr>
            <w:r>
              <w:rPr>
                <w:szCs w:val="21"/>
              </w:rPr>
              <w:t>22.8620</w:t>
            </w:r>
          </w:p>
        </w:tc>
        <w:tc>
          <w:tcPr>
            <w:tcW w:w="1513" w:type="dxa"/>
            <w:vAlign w:val="center"/>
          </w:tcPr>
          <w:p w14:paraId="12F8B3F7">
            <w:pPr>
              <w:jc w:val="center"/>
              <w:rPr>
                <w:szCs w:val="21"/>
              </w:rPr>
            </w:pPr>
            <w:r>
              <w:rPr>
                <w:szCs w:val="21"/>
              </w:rPr>
              <w:t>1.1431</w:t>
            </w:r>
          </w:p>
        </w:tc>
        <w:tc>
          <w:tcPr>
            <w:tcW w:w="1897" w:type="dxa"/>
            <w:vAlign w:val="center"/>
          </w:tcPr>
          <w:p w14:paraId="45C8C64F">
            <w:pPr>
              <w:jc w:val="center"/>
              <w:rPr>
                <w:szCs w:val="21"/>
              </w:rPr>
            </w:pPr>
            <w:r>
              <w:rPr>
                <w:szCs w:val="21"/>
              </w:rPr>
              <w:t>3.3852</w:t>
            </w:r>
          </w:p>
        </w:tc>
        <w:tc>
          <w:tcPr>
            <w:tcW w:w="1513" w:type="dxa"/>
            <w:vAlign w:val="center"/>
          </w:tcPr>
          <w:p w14:paraId="5C759CC0">
            <w:pPr>
              <w:jc w:val="center"/>
              <w:rPr>
                <w:szCs w:val="21"/>
              </w:rPr>
            </w:pPr>
            <w:r>
              <w:rPr>
                <w:szCs w:val="21"/>
              </w:rPr>
              <w:t>0.3761</w:t>
            </w:r>
          </w:p>
        </w:tc>
      </w:tr>
      <w:tr w14:paraId="5BDA2D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20866E7B">
            <w:pPr>
              <w:jc w:val="center"/>
              <w:rPr>
                <w:szCs w:val="21"/>
              </w:rPr>
            </w:pPr>
            <w:r>
              <w:rPr>
                <w:szCs w:val="21"/>
              </w:rPr>
              <w:t>2000.0</w:t>
            </w:r>
          </w:p>
        </w:tc>
        <w:tc>
          <w:tcPr>
            <w:tcW w:w="1898" w:type="dxa"/>
            <w:vAlign w:val="center"/>
          </w:tcPr>
          <w:p w14:paraId="3EFC3C1F">
            <w:pPr>
              <w:jc w:val="center"/>
              <w:rPr>
                <w:szCs w:val="21"/>
              </w:rPr>
            </w:pPr>
            <w:r>
              <w:rPr>
                <w:szCs w:val="21"/>
              </w:rPr>
              <w:t>21.7760</w:t>
            </w:r>
          </w:p>
        </w:tc>
        <w:tc>
          <w:tcPr>
            <w:tcW w:w="1513" w:type="dxa"/>
            <w:vAlign w:val="center"/>
          </w:tcPr>
          <w:p w14:paraId="0F652CB9">
            <w:pPr>
              <w:jc w:val="center"/>
              <w:rPr>
                <w:szCs w:val="21"/>
              </w:rPr>
            </w:pPr>
            <w:r>
              <w:rPr>
                <w:szCs w:val="21"/>
              </w:rPr>
              <w:t>1.0888</w:t>
            </w:r>
          </w:p>
        </w:tc>
        <w:tc>
          <w:tcPr>
            <w:tcW w:w="1897" w:type="dxa"/>
            <w:vAlign w:val="center"/>
          </w:tcPr>
          <w:p w14:paraId="4B7F6EE5">
            <w:pPr>
              <w:jc w:val="center"/>
              <w:rPr>
                <w:szCs w:val="21"/>
              </w:rPr>
            </w:pPr>
            <w:r>
              <w:rPr>
                <w:szCs w:val="21"/>
              </w:rPr>
              <w:t>3.2244</w:t>
            </w:r>
          </w:p>
        </w:tc>
        <w:tc>
          <w:tcPr>
            <w:tcW w:w="1513" w:type="dxa"/>
            <w:vAlign w:val="center"/>
          </w:tcPr>
          <w:p w14:paraId="40378A28">
            <w:pPr>
              <w:jc w:val="center"/>
              <w:rPr>
                <w:szCs w:val="21"/>
              </w:rPr>
            </w:pPr>
            <w:r>
              <w:rPr>
                <w:szCs w:val="21"/>
              </w:rPr>
              <w:t>0.3583</w:t>
            </w:r>
          </w:p>
        </w:tc>
      </w:tr>
      <w:tr w14:paraId="0B76F0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63A1D65D">
            <w:pPr>
              <w:jc w:val="center"/>
              <w:rPr>
                <w:szCs w:val="21"/>
              </w:rPr>
            </w:pPr>
            <w:r>
              <w:rPr>
                <w:szCs w:val="21"/>
              </w:rPr>
              <w:t>2500.0</w:t>
            </w:r>
          </w:p>
        </w:tc>
        <w:tc>
          <w:tcPr>
            <w:tcW w:w="1898" w:type="dxa"/>
            <w:vAlign w:val="center"/>
          </w:tcPr>
          <w:p w14:paraId="3C5C6F0C">
            <w:pPr>
              <w:jc w:val="center"/>
              <w:rPr>
                <w:szCs w:val="21"/>
              </w:rPr>
            </w:pPr>
            <w:r>
              <w:rPr>
                <w:szCs w:val="21"/>
              </w:rPr>
              <w:t>17.2870</w:t>
            </w:r>
          </w:p>
        </w:tc>
        <w:tc>
          <w:tcPr>
            <w:tcW w:w="1513" w:type="dxa"/>
            <w:vAlign w:val="center"/>
          </w:tcPr>
          <w:p w14:paraId="72C16FC6">
            <w:pPr>
              <w:jc w:val="center"/>
              <w:rPr>
                <w:szCs w:val="21"/>
              </w:rPr>
            </w:pPr>
            <w:r>
              <w:rPr>
                <w:szCs w:val="21"/>
              </w:rPr>
              <w:t>0.8644</w:t>
            </w:r>
          </w:p>
        </w:tc>
        <w:tc>
          <w:tcPr>
            <w:tcW w:w="1897" w:type="dxa"/>
            <w:vAlign w:val="center"/>
          </w:tcPr>
          <w:p w14:paraId="1EDCD0D2">
            <w:pPr>
              <w:jc w:val="center"/>
              <w:rPr>
                <w:szCs w:val="21"/>
              </w:rPr>
            </w:pPr>
            <w:r>
              <w:rPr>
                <w:szCs w:val="21"/>
              </w:rPr>
              <w:t>2.5597</w:t>
            </w:r>
          </w:p>
        </w:tc>
        <w:tc>
          <w:tcPr>
            <w:tcW w:w="1513" w:type="dxa"/>
            <w:vAlign w:val="center"/>
          </w:tcPr>
          <w:p w14:paraId="31921FEF">
            <w:pPr>
              <w:jc w:val="center"/>
              <w:rPr>
                <w:szCs w:val="21"/>
              </w:rPr>
            </w:pPr>
            <w:r>
              <w:rPr>
                <w:szCs w:val="21"/>
              </w:rPr>
              <w:t>0.2844</w:t>
            </w:r>
          </w:p>
        </w:tc>
      </w:tr>
      <w:tr w14:paraId="299606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2A8ABCB9">
            <w:pPr>
              <w:jc w:val="center"/>
              <w:rPr>
                <w:szCs w:val="21"/>
              </w:rPr>
            </w:pPr>
            <w:r>
              <w:rPr>
                <w:szCs w:val="21"/>
              </w:rPr>
              <w:t>下风向最大浓度</w:t>
            </w:r>
          </w:p>
        </w:tc>
        <w:tc>
          <w:tcPr>
            <w:tcW w:w="1898" w:type="dxa"/>
            <w:vAlign w:val="center"/>
          </w:tcPr>
          <w:p w14:paraId="60A022D4">
            <w:pPr>
              <w:jc w:val="center"/>
              <w:rPr>
                <w:szCs w:val="21"/>
              </w:rPr>
            </w:pPr>
            <w:r>
              <w:rPr>
                <w:szCs w:val="21"/>
              </w:rPr>
              <w:t>180.6000</w:t>
            </w:r>
          </w:p>
        </w:tc>
        <w:tc>
          <w:tcPr>
            <w:tcW w:w="1513" w:type="dxa"/>
            <w:vAlign w:val="center"/>
          </w:tcPr>
          <w:p w14:paraId="64A378AF">
            <w:pPr>
              <w:jc w:val="center"/>
              <w:rPr>
                <w:szCs w:val="21"/>
              </w:rPr>
            </w:pPr>
            <w:r>
              <w:rPr>
                <w:szCs w:val="21"/>
              </w:rPr>
              <w:t>9.0300</w:t>
            </w:r>
          </w:p>
        </w:tc>
        <w:tc>
          <w:tcPr>
            <w:tcW w:w="1897" w:type="dxa"/>
            <w:vAlign w:val="center"/>
          </w:tcPr>
          <w:p w14:paraId="27D19F84">
            <w:pPr>
              <w:jc w:val="center"/>
              <w:rPr>
                <w:szCs w:val="21"/>
              </w:rPr>
            </w:pPr>
            <w:r>
              <w:rPr>
                <w:szCs w:val="21"/>
              </w:rPr>
              <w:t>26.7413</w:t>
            </w:r>
          </w:p>
        </w:tc>
        <w:tc>
          <w:tcPr>
            <w:tcW w:w="1513" w:type="dxa"/>
            <w:vAlign w:val="center"/>
          </w:tcPr>
          <w:p w14:paraId="0C781EA1">
            <w:pPr>
              <w:jc w:val="center"/>
              <w:rPr>
                <w:szCs w:val="21"/>
              </w:rPr>
            </w:pPr>
            <w:r>
              <w:rPr>
                <w:szCs w:val="21"/>
              </w:rPr>
              <w:t>2.9713</w:t>
            </w:r>
          </w:p>
        </w:tc>
      </w:tr>
      <w:tr w14:paraId="2E1B70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2A23F33B">
            <w:pPr>
              <w:jc w:val="center"/>
              <w:rPr>
                <w:szCs w:val="21"/>
              </w:rPr>
            </w:pPr>
            <w:r>
              <w:rPr>
                <w:szCs w:val="21"/>
              </w:rPr>
              <w:t>下风向最大浓度出现距离</w:t>
            </w:r>
          </w:p>
        </w:tc>
        <w:tc>
          <w:tcPr>
            <w:tcW w:w="1898" w:type="dxa"/>
            <w:vAlign w:val="center"/>
          </w:tcPr>
          <w:p w14:paraId="29CA11EF">
            <w:pPr>
              <w:jc w:val="center"/>
              <w:rPr>
                <w:color w:val="000000" w:themeColor="text1"/>
                <w:szCs w:val="21"/>
              </w:rPr>
            </w:pPr>
            <w:r>
              <w:rPr>
                <w:color w:val="000000" w:themeColor="text1"/>
                <w:szCs w:val="21"/>
              </w:rPr>
              <w:t>152.0</w:t>
            </w:r>
          </w:p>
        </w:tc>
        <w:tc>
          <w:tcPr>
            <w:tcW w:w="1513" w:type="dxa"/>
            <w:vAlign w:val="center"/>
          </w:tcPr>
          <w:p w14:paraId="7659944D">
            <w:pPr>
              <w:jc w:val="center"/>
              <w:rPr>
                <w:color w:val="000000" w:themeColor="text1"/>
                <w:szCs w:val="21"/>
              </w:rPr>
            </w:pPr>
            <w:r>
              <w:rPr>
                <w:color w:val="000000" w:themeColor="text1"/>
                <w:szCs w:val="21"/>
              </w:rPr>
              <w:t>152.0</w:t>
            </w:r>
          </w:p>
        </w:tc>
        <w:tc>
          <w:tcPr>
            <w:tcW w:w="1897" w:type="dxa"/>
            <w:vAlign w:val="center"/>
          </w:tcPr>
          <w:p w14:paraId="72305F95">
            <w:pPr>
              <w:jc w:val="center"/>
              <w:rPr>
                <w:color w:val="000000" w:themeColor="text1"/>
                <w:szCs w:val="21"/>
              </w:rPr>
            </w:pPr>
            <w:r>
              <w:rPr>
                <w:color w:val="000000" w:themeColor="text1"/>
                <w:szCs w:val="21"/>
              </w:rPr>
              <w:t>152.0</w:t>
            </w:r>
          </w:p>
        </w:tc>
        <w:tc>
          <w:tcPr>
            <w:tcW w:w="1513" w:type="dxa"/>
            <w:vAlign w:val="center"/>
          </w:tcPr>
          <w:p w14:paraId="6CA0D860">
            <w:pPr>
              <w:jc w:val="center"/>
              <w:rPr>
                <w:color w:val="000000" w:themeColor="text1"/>
                <w:szCs w:val="21"/>
              </w:rPr>
            </w:pPr>
            <w:r>
              <w:rPr>
                <w:color w:val="000000" w:themeColor="text1"/>
                <w:szCs w:val="21"/>
              </w:rPr>
              <w:t>152.0</w:t>
            </w:r>
          </w:p>
        </w:tc>
      </w:tr>
      <w:tr w14:paraId="5515E9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6" w:type="dxa"/>
            <w:vAlign w:val="center"/>
          </w:tcPr>
          <w:p w14:paraId="003C329B">
            <w:pPr>
              <w:jc w:val="center"/>
              <w:rPr>
                <w:szCs w:val="21"/>
              </w:rPr>
            </w:pPr>
            <w:r>
              <w:rPr>
                <w:szCs w:val="21"/>
              </w:rPr>
              <w:t>D10%最远距离</w:t>
            </w:r>
          </w:p>
        </w:tc>
        <w:tc>
          <w:tcPr>
            <w:tcW w:w="1898" w:type="dxa"/>
            <w:vAlign w:val="center"/>
          </w:tcPr>
          <w:p w14:paraId="50070AE0">
            <w:pPr>
              <w:jc w:val="center"/>
              <w:rPr>
                <w:szCs w:val="21"/>
              </w:rPr>
            </w:pPr>
            <w:r>
              <w:rPr>
                <w:szCs w:val="21"/>
              </w:rPr>
              <w:t>/</w:t>
            </w:r>
          </w:p>
        </w:tc>
        <w:tc>
          <w:tcPr>
            <w:tcW w:w="1513" w:type="dxa"/>
            <w:vAlign w:val="center"/>
          </w:tcPr>
          <w:p w14:paraId="77C91A34">
            <w:pPr>
              <w:jc w:val="center"/>
              <w:rPr>
                <w:szCs w:val="21"/>
              </w:rPr>
            </w:pPr>
            <w:r>
              <w:rPr>
                <w:szCs w:val="21"/>
              </w:rPr>
              <w:t>/</w:t>
            </w:r>
          </w:p>
        </w:tc>
        <w:tc>
          <w:tcPr>
            <w:tcW w:w="1897" w:type="dxa"/>
            <w:vAlign w:val="center"/>
          </w:tcPr>
          <w:p w14:paraId="46ECF982">
            <w:pPr>
              <w:jc w:val="center"/>
              <w:rPr>
                <w:szCs w:val="21"/>
              </w:rPr>
            </w:pPr>
            <w:r>
              <w:rPr>
                <w:szCs w:val="21"/>
              </w:rPr>
              <w:t>/</w:t>
            </w:r>
          </w:p>
        </w:tc>
        <w:tc>
          <w:tcPr>
            <w:tcW w:w="1513" w:type="dxa"/>
            <w:vAlign w:val="center"/>
          </w:tcPr>
          <w:p w14:paraId="67EBA56F">
            <w:pPr>
              <w:jc w:val="center"/>
              <w:rPr>
                <w:szCs w:val="21"/>
              </w:rPr>
            </w:pPr>
            <w:r>
              <w:rPr>
                <w:szCs w:val="21"/>
              </w:rPr>
              <w:t>/</w:t>
            </w:r>
          </w:p>
        </w:tc>
      </w:tr>
    </w:tbl>
    <w:p w14:paraId="0EE920C6">
      <w:pPr>
        <w:autoSpaceDE w:val="0"/>
        <w:autoSpaceDN w:val="0"/>
        <w:adjustRightInd w:val="0"/>
        <w:jc w:val="center"/>
        <w:rPr>
          <w:b/>
          <w:color w:val="000000" w:themeColor="text1"/>
          <w:sz w:val="24"/>
        </w:rPr>
      </w:pPr>
    </w:p>
    <w:p w14:paraId="6855AC5C">
      <w:pPr>
        <w:spacing w:line="360" w:lineRule="auto"/>
        <w:ind w:firstLine="480" w:firstLineChars="200"/>
        <w:jc w:val="left"/>
        <w:rPr>
          <w:color w:val="000000" w:themeColor="text1"/>
          <w:sz w:val="24"/>
        </w:rPr>
      </w:pPr>
      <w:r>
        <w:rPr>
          <w:color w:val="000000" w:themeColor="text1"/>
          <w:sz w:val="24"/>
        </w:rPr>
        <w:t>废气非正常排放情况下，根据预测表明，非甲烷总烃下风向预测最大浓度为0.0267413mg/m</w:t>
      </w:r>
      <w:r>
        <w:rPr>
          <w:color w:val="000000" w:themeColor="text1"/>
          <w:sz w:val="24"/>
          <w:vertAlign w:val="superscript"/>
        </w:rPr>
        <w:t>3</w:t>
      </w:r>
      <w:r>
        <w:rPr>
          <w:color w:val="000000" w:themeColor="text1"/>
          <w:sz w:val="24"/>
        </w:rPr>
        <w:t>，</w:t>
      </w:r>
      <w:r>
        <w:rPr>
          <w:color w:val="000000" w:themeColor="text1"/>
          <w:kern w:val="0"/>
          <w:sz w:val="24"/>
        </w:rPr>
        <w:t>最大浓度占标率为2.9713%</w:t>
      </w:r>
      <w:r>
        <w:rPr>
          <w:color w:val="000000" w:themeColor="text1"/>
          <w:sz w:val="24"/>
        </w:rPr>
        <w:t>，颗粒物下风向预测最大浓度为0.1806mg/m</w:t>
      </w:r>
      <w:r>
        <w:rPr>
          <w:color w:val="000000" w:themeColor="text1"/>
          <w:sz w:val="24"/>
          <w:vertAlign w:val="superscript"/>
        </w:rPr>
        <w:t>3</w:t>
      </w:r>
      <w:r>
        <w:rPr>
          <w:color w:val="000000" w:themeColor="text1"/>
          <w:sz w:val="24"/>
        </w:rPr>
        <w:t>，</w:t>
      </w:r>
      <w:r>
        <w:rPr>
          <w:color w:val="000000" w:themeColor="text1"/>
          <w:kern w:val="0"/>
          <w:sz w:val="24"/>
        </w:rPr>
        <w:t>最大浓度占标率为9.03%</w:t>
      </w:r>
      <w:r>
        <w:rPr>
          <w:color w:val="000000" w:themeColor="text1"/>
          <w:sz w:val="24"/>
        </w:rPr>
        <w:t>，出现在污染源下风向196m处，颗粒物满足GB3095－2012《环境空气质量标准》二级标准，非甲烷总烃污染物预测值能满足《大气污染物综合排放标准详解》中2mg/m</w:t>
      </w:r>
      <w:r>
        <w:rPr>
          <w:color w:val="000000" w:themeColor="text1"/>
          <w:sz w:val="24"/>
          <w:vertAlign w:val="superscript"/>
        </w:rPr>
        <w:t>3</w:t>
      </w:r>
      <w:r>
        <w:rPr>
          <w:color w:val="000000" w:themeColor="text1"/>
          <w:sz w:val="24"/>
        </w:rPr>
        <w:t>要求。</w:t>
      </w:r>
    </w:p>
    <w:p w14:paraId="3D491FA7">
      <w:pPr>
        <w:spacing w:line="360" w:lineRule="auto"/>
        <w:ind w:firstLine="480" w:firstLineChars="200"/>
        <w:jc w:val="left"/>
        <w:rPr>
          <w:color w:val="000000" w:themeColor="text1"/>
          <w:sz w:val="24"/>
        </w:rPr>
      </w:pPr>
      <w:r>
        <w:rPr>
          <w:color w:val="000000" w:themeColor="text1"/>
          <w:sz w:val="24"/>
        </w:rPr>
        <w:t>但颗粒物、非甲烷总烃落地排放浓度较正常工况增加几倍，因此本项目应该加强废气治理设施的日常维护和检修，保证各污染治理设施高效率正常运转；应制定严格的生产管理制度和责任制度，发现故障及时修复处理，若出现异常情况必须立即停止生产，杜绝废气非正常排放，有效防止废气污染物排放事故发生。</w:t>
      </w:r>
    </w:p>
    <w:p w14:paraId="5D852EC3">
      <w:pPr>
        <w:pStyle w:val="105"/>
        <w:rPr>
          <w:rFonts w:cs="Times New Roman"/>
          <w:color w:val="FF0000"/>
        </w:rPr>
      </w:pPr>
      <w:bookmarkStart w:id="394" w:name="_Toc482952950"/>
      <w:bookmarkStart w:id="395" w:name="_Toc484069847"/>
      <w:r>
        <w:rPr>
          <w:rFonts w:cs="Times New Roman"/>
          <w:color w:val="FF0000"/>
        </w:rPr>
        <w:t>6.1.5环境防护距离</w:t>
      </w:r>
      <w:bookmarkEnd w:id="394"/>
      <w:bookmarkEnd w:id="395"/>
    </w:p>
    <w:p w14:paraId="5384F3E6">
      <w:pPr>
        <w:spacing w:line="360" w:lineRule="auto"/>
        <w:ind w:firstLine="480"/>
        <w:jc w:val="left"/>
        <w:rPr>
          <w:color w:val="FF0000"/>
          <w:sz w:val="24"/>
        </w:rPr>
      </w:pPr>
      <w:r>
        <w:rPr>
          <w:color w:val="FF0000"/>
          <w:sz w:val="24"/>
        </w:rPr>
        <w:t>根据HJ/T2.2-2018《环境影响评价技术导则－大气环境》，”8.7.5章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1F8B9D60">
      <w:pPr>
        <w:autoSpaceDE w:val="0"/>
        <w:autoSpaceDN w:val="0"/>
        <w:adjustRightInd w:val="0"/>
        <w:spacing w:line="360" w:lineRule="auto"/>
        <w:ind w:firstLine="480"/>
        <w:jc w:val="left"/>
        <w:rPr>
          <w:color w:val="FF0000"/>
          <w:sz w:val="24"/>
        </w:rPr>
      </w:pPr>
      <w:r>
        <w:rPr>
          <w:color w:val="FF0000"/>
          <w:sz w:val="24"/>
        </w:rPr>
        <w:t>根据上述预测分析，本项目颗粒物、非甲烷总烃厂界落地浓度满足《合成树脂工业污染物排放标准》（GB31572-2015）颗粒物1.0 mg/m</w:t>
      </w:r>
      <w:r>
        <w:rPr>
          <w:color w:val="FF0000"/>
          <w:sz w:val="24"/>
          <w:vertAlign w:val="superscript"/>
        </w:rPr>
        <w:t>3</w:t>
      </w:r>
      <w:r>
        <w:rPr>
          <w:color w:val="FF0000"/>
          <w:sz w:val="24"/>
        </w:rPr>
        <w:t>、非甲烷总烃4.0mg/m</w:t>
      </w:r>
      <w:r>
        <w:rPr>
          <w:color w:val="FF0000"/>
          <w:sz w:val="24"/>
          <w:vertAlign w:val="superscript"/>
        </w:rPr>
        <w:t>3</w:t>
      </w:r>
      <w:r>
        <w:rPr>
          <w:color w:val="FF0000"/>
          <w:sz w:val="24"/>
        </w:rPr>
        <w:t>的要求，同时颗粒物满足</w:t>
      </w:r>
      <w:r>
        <w:rPr>
          <w:color w:val="000000" w:themeColor="text1"/>
          <w:sz w:val="24"/>
        </w:rPr>
        <w:t>GB3095－2012《环境空气质量标准》二级标准，非甲烷总烃污染物预测值能</w:t>
      </w:r>
      <w:r>
        <w:rPr>
          <w:color w:val="FF0000"/>
          <w:sz w:val="24"/>
        </w:rPr>
        <w:t>满足《大气污染物综合排放标准详解》中2mg/m</w:t>
      </w:r>
      <w:r>
        <w:rPr>
          <w:color w:val="FF0000"/>
          <w:sz w:val="24"/>
          <w:vertAlign w:val="superscript"/>
        </w:rPr>
        <w:t>3</w:t>
      </w:r>
      <w:r>
        <w:rPr>
          <w:color w:val="FF0000"/>
          <w:sz w:val="24"/>
        </w:rPr>
        <w:t>，要求因此无需设置大气环境防护距离。</w:t>
      </w:r>
    </w:p>
    <w:p w14:paraId="7D57C0AC">
      <w:pPr>
        <w:pStyle w:val="105"/>
        <w:rPr>
          <w:rFonts w:cs="Times New Roman"/>
          <w:color w:val="FF0000"/>
        </w:rPr>
      </w:pPr>
      <w:r>
        <w:rPr>
          <w:rFonts w:cs="Times New Roman"/>
          <w:color w:val="FF0000"/>
        </w:rPr>
        <w:t>6.1.6污染物排放量核算</w:t>
      </w:r>
    </w:p>
    <w:p w14:paraId="2697DAE1">
      <w:pPr>
        <w:autoSpaceDE w:val="0"/>
        <w:autoSpaceDN w:val="0"/>
        <w:adjustRightInd w:val="0"/>
        <w:spacing w:line="360" w:lineRule="auto"/>
        <w:ind w:firstLine="480"/>
        <w:jc w:val="left"/>
        <w:rPr>
          <w:color w:val="000000" w:themeColor="text1"/>
          <w:sz w:val="24"/>
        </w:rPr>
      </w:pPr>
      <w:r>
        <w:rPr>
          <w:color w:val="000000" w:themeColor="text1"/>
          <w:sz w:val="24"/>
        </w:rPr>
        <w:t>根据《环境影响评价技术导则 大气环境》（HJ2.2-2018）中 8.1.2”二级评价项目不进行进一步预测与评价，只对污染物排放量进行核算”，本项目为二级评价，因此主要对项目污染物排放量进行核算。</w:t>
      </w:r>
    </w:p>
    <w:p w14:paraId="40B94FF1">
      <w:pPr>
        <w:autoSpaceDE w:val="0"/>
        <w:autoSpaceDN w:val="0"/>
        <w:adjustRightInd w:val="0"/>
        <w:spacing w:line="360" w:lineRule="auto"/>
        <w:ind w:firstLine="480"/>
        <w:jc w:val="left"/>
        <w:rPr>
          <w:b/>
          <w:color w:val="000000" w:themeColor="text1"/>
          <w:sz w:val="24"/>
        </w:rPr>
      </w:pPr>
      <w:r>
        <w:rPr>
          <w:b/>
          <w:color w:val="000000" w:themeColor="text1"/>
          <w:sz w:val="24"/>
        </w:rPr>
        <w:t>1、有组织排放量核算</w:t>
      </w:r>
    </w:p>
    <w:p w14:paraId="5C978BEE">
      <w:pPr>
        <w:autoSpaceDE w:val="0"/>
        <w:autoSpaceDN w:val="0"/>
        <w:adjustRightInd w:val="0"/>
        <w:spacing w:line="360" w:lineRule="auto"/>
        <w:ind w:firstLine="480"/>
        <w:jc w:val="left"/>
        <w:rPr>
          <w:color w:val="000000" w:themeColor="text1"/>
          <w:sz w:val="24"/>
        </w:rPr>
      </w:pPr>
      <w:r>
        <w:rPr>
          <w:color w:val="000000" w:themeColor="text1"/>
          <w:sz w:val="24"/>
        </w:rPr>
        <w:t>根据工程分析，项目污染物有组织排放量核算见表6.1-10。</w:t>
      </w:r>
    </w:p>
    <w:p w14:paraId="3A122A80">
      <w:pPr>
        <w:adjustRightInd w:val="0"/>
        <w:snapToGrid w:val="0"/>
        <w:jc w:val="center"/>
        <w:rPr>
          <w:b/>
          <w:color w:val="000000" w:themeColor="text1"/>
          <w:sz w:val="24"/>
        </w:rPr>
      </w:pPr>
      <w:r>
        <w:rPr>
          <w:b/>
          <w:color w:val="000000" w:themeColor="text1"/>
          <w:sz w:val="24"/>
        </w:rPr>
        <w:t>表6.1-10   项目大气污染物有组织排放量核算表</w:t>
      </w:r>
    </w:p>
    <w:tbl>
      <w:tblPr>
        <w:tblStyle w:val="29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83"/>
        <w:gridCol w:w="1695"/>
        <w:gridCol w:w="1922"/>
        <w:gridCol w:w="1922"/>
        <w:gridCol w:w="1918"/>
      </w:tblGrid>
      <w:tr w14:paraId="25FCC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5" w:type="pct"/>
            <w:shd w:val="clear" w:color="auto" w:fill="auto"/>
            <w:vAlign w:val="center"/>
          </w:tcPr>
          <w:p w14:paraId="498829D3">
            <w:pPr>
              <w:autoSpaceDE w:val="0"/>
              <w:autoSpaceDN w:val="0"/>
              <w:ind w:left="105" w:leftChars="50" w:right="105" w:rightChars="50"/>
              <w:jc w:val="center"/>
              <w:rPr>
                <w:rFonts w:ascii="Times New Roman" w:hAnsi="Times New Roman"/>
                <w:b/>
                <w:color w:val="000000" w:themeColor="text1"/>
                <w:kern w:val="0"/>
                <w:sz w:val="21"/>
                <w:szCs w:val="21"/>
                <w:lang w:eastAsia="en-US"/>
              </w:rPr>
            </w:pPr>
            <w:r>
              <w:rPr>
                <w:rFonts w:ascii="Times New Roman" w:hAnsi="Times New Roman"/>
                <w:b/>
                <w:color w:val="000000" w:themeColor="text1"/>
                <w:kern w:val="0"/>
                <w:sz w:val="21"/>
                <w:szCs w:val="21"/>
                <w:lang w:eastAsia="en-US"/>
              </w:rPr>
              <w:t>污染源</w:t>
            </w:r>
          </w:p>
        </w:tc>
        <w:tc>
          <w:tcPr>
            <w:tcW w:w="981" w:type="pct"/>
            <w:shd w:val="clear" w:color="auto" w:fill="auto"/>
            <w:vAlign w:val="center"/>
          </w:tcPr>
          <w:p w14:paraId="43546F7B">
            <w:pPr>
              <w:autoSpaceDE w:val="0"/>
              <w:autoSpaceDN w:val="0"/>
              <w:ind w:left="105" w:leftChars="50" w:right="105" w:rightChars="50"/>
              <w:jc w:val="center"/>
              <w:rPr>
                <w:rFonts w:ascii="Times New Roman" w:hAnsi="Times New Roman"/>
                <w:b/>
                <w:color w:val="000000" w:themeColor="text1"/>
                <w:kern w:val="0"/>
                <w:sz w:val="21"/>
                <w:szCs w:val="21"/>
                <w:lang w:eastAsia="en-US"/>
              </w:rPr>
            </w:pPr>
            <w:r>
              <w:rPr>
                <w:rFonts w:ascii="Times New Roman" w:hAnsi="Times New Roman"/>
                <w:b/>
                <w:color w:val="000000" w:themeColor="text1"/>
                <w:kern w:val="0"/>
                <w:sz w:val="21"/>
                <w:szCs w:val="21"/>
                <w:lang w:eastAsia="en-US"/>
              </w:rPr>
              <w:t>污染物</w:t>
            </w:r>
          </w:p>
        </w:tc>
        <w:tc>
          <w:tcPr>
            <w:tcW w:w="1112" w:type="pct"/>
            <w:shd w:val="clear" w:color="auto" w:fill="auto"/>
            <w:vAlign w:val="center"/>
          </w:tcPr>
          <w:p w14:paraId="49DB9FBD">
            <w:pPr>
              <w:autoSpaceDE/>
              <w:autoSpaceDN/>
              <w:jc w:val="center"/>
              <w:rPr>
                <w:rFonts w:ascii="Times New Roman" w:hAnsi="Times New Roman" w:eastAsia="Times New Roman"/>
                <w:b/>
                <w:color w:val="000000" w:themeColor="text1"/>
                <w:kern w:val="0"/>
                <w:sz w:val="21"/>
                <w:szCs w:val="21"/>
                <w:lang w:eastAsia="zh-CN"/>
              </w:rPr>
            </w:pPr>
            <w:r>
              <w:rPr>
                <w:rFonts w:ascii="Times New Roman" w:hAnsi="Times New Roman"/>
                <w:b/>
                <w:color w:val="000000" w:themeColor="text1"/>
                <w:kern w:val="0"/>
                <w:sz w:val="21"/>
                <w:szCs w:val="21"/>
                <w:lang w:eastAsia="zh-CN"/>
              </w:rPr>
              <w:t>核算排放浓度</w:t>
            </w:r>
          </w:p>
          <w:p w14:paraId="7082C2E6">
            <w:pPr>
              <w:autoSpaceDE w:val="0"/>
              <w:autoSpaceDN w:val="0"/>
              <w:ind w:left="105" w:leftChars="50" w:right="105" w:rightChars="50"/>
              <w:jc w:val="center"/>
              <w:rPr>
                <w:rFonts w:ascii="Times New Roman" w:hAnsi="Times New Roman"/>
                <w:b/>
                <w:color w:val="000000" w:themeColor="text1"/>
                <w:kern w:val="0"/>
                <w:sz w:val="21"/>
                <w:szCs w:val="21"/>
                <w:lang w:eastAsia="zh-CN"/>
              </w:rPr>
            </w:pPr>
            <w:r>
              <w:rPr>
                <w:rFonts w:ascii="Times New Roman" w:hAnsi="Times New Roman"/>
                <w:b/>
                <w:color w:val="000000" w:themeColor="text1"/>
                <w:kern w:val="0"/>
                <w:sz w:val="21"/>
                <w:szCs w:val="21"/>
                <w:lang w:eastAsia="zh-CN"/>
              </w:rPr>
              <w:t>（</w:t>
            </w:r>
            <w:r>
              <w:rPr>
                <w:rFonts w:ascii="Times New Roman" w:hAnsi="Times New Roman" w:eastAsia="Times New Roman"/>
                <w:b/>
                <w:color w:val="000000" w:themeColor="text1"/>
                <w:kern w:val="0"/>
                <w:sz w:val="21"/>
                <w:szCs w:val="21"/>
                <w:lang w:eastAsia="zh-CN"/>
              </w:rPr>
              <w:t>mg/m</w:t>
            </w:r>
            <w:r>
              <w:rPr>
                <w:rFonts w:ascii="Times New Roman" w:hAnsi="Times New Roman" w:eastAsia="Times New Roman"/>
                <w:b/>
                <w:color w:val="000000" w:themeColor="text1"/>
                <w:kern w:val="0"/>
                <w:sz w:val="21"/>
                <w:szCs w:val="21"/>
                <w:vertAlign w:val="superscript"/>
                <w:lang w:eastAsia="zh-CN"/>
              </w:rPr>
              <w:t>3</w:t>
            </w:r>
            <w:r>
              <w:rPr>
                <w:rFonts w:ascii="Times New Roman" w:hAnsi="Times New Roman"/>
                <w:b/>
                <w:color w:val="000000" w:themeColor="text1"/>
                <w:kern w:val="0"/>
                <w:sz w:val="21"/>
                <w:szCs w:val="21"/>
                <w:lang w:eastAsia="zh-CN"/>
              </w:rPr>
              <w:t>）</w:t>
            </w:r>
          </w:p>
        </w:tc>
        <w:tc>
          <w:tcPr>
            <w:tcW w:w="1112" w:type="pct"/>
            <w:shd w:val="clear" w:color="auto" w:fill="auto"/>
            <w:vAlign w:val="center"/>
          </w:tcPr>
          <w:p w14:paraId="40322368">
            <w:pPr>
              <w:autoSpaceDE w:val="0"/>
              <w:autoSpaceDN w:val="0"/>
              <w:ind w:left="105" w:leftChars="50" w:right="105" w:rightChars="50"/>
              <w:jc w:val="center"/>
              <w:rPr>
                <w:rFonts w:ascii="Times New Roman" w:hAnsi="Times New Roman"/>
                <w:b/>
                <w:color w:val="000000" w:themeColor="text1"/>
                <w:kern w:val="0"/>
                <w:sz w:val="21"/>
                <w:szCs w:val="21"/>
                <w:lang w:eastAsia="en-US"/>
              </w:rPr>
            </w:pPr>
            <w:r>
              <w:rPr>
                <w:rFonts w:ascii="Times New Roman" w:hAnsi="Times New Roman"/>
                <w:b/>
                <w:color w:val="000000" w:themeColor="text1"/>
                <w:kern w:val="0"/>
                <w:sz w:val="21"/>
                <w:szCs w:val="21"/>
                <w:lang w:eastAsia="en-US"/>
              </w:rPr>
              <w:t>核算排放速率</w:t>
            </w:r>
          </w:p>
          <w:p w14:paraId="0BB36AED">
            <w:pPr>
              <w:autoSpaceDE w:val="0"/>
              <w:autoSpaceDN w:val="0"/>
              <w:ind w:left="105" w:leftChars="50" w:right="105" w:rightChars="50"/>
              <w:jc w:val="center"/>
              <w:rPr>
                <w:rFonts w:ascii="Times New Roman" w:hAnsi="Times New Roman"/>
                <w:b/>
                <w:color w:val="000000" w:themeColor="text1"/>
                <w:kern w:val="0"/>
                <w:sz w:val="21"/>
                <w:szCs w:val="21"/>
                <w:lang w:eastAsia="en-US"/>
              </w:rPr>
            </w:pPr>
            <w:r>
              <w:rPr>
                <w:rFonts w:ascii="Times New Roman" w:hAnsi="Times New Roman"/>
                <w:b/>
                <w:color w:val="000000" w:themeColor="text1"/>
                <w:kern w:val="0"/>
                <w:sz w:val="21"/>
                <w:szCs w:val="21"/>
                <w:lang w:eastAsia="en-US"/>
              </w:rPr>
              <w:t>（</w:t>
            </w:r>
            <w:r>
              <w:rPr>
                <w:rFonts w:ascii="Times New Roman" w:hAnsi="Times New Roman" w:eastAsia="Times New Roman"/>
                <w:b/>
                <w:color w:val="000000" w:themeColor="text1"/>
                <w:kern w:val="0"/>
                <w:sz w:val="21"/>
                <w:szCs w:val="21"/>
                <w:lang w:eastAsia="en-US"/>
              </w:rPr>
              <w:t>kg/h</w:t>
            </w:r>
            <w:r>
              <w:rPr>
                <w:rFonts w:ascii="Times New Roman" w:hAnsi="Times New Roman"/>
                <w:b/>
                <w:color w:val="000000" w:themeColor="text1"/>
                <w:kern w:val="0"/>
                <w:sz w:val="21"/>
                <w:szCs w:val="21"/>
                <w:lang w:eastAsia="en-US"/>
              </w:rPr>
              <w:t>）</w:t>
            </w:r>
          </w:p>
        </w:tc>
        <w:tc>
          <w:tcPr>
            <w:tcW w:w="1110" w:type="pct"/>
            <w:shd w:val="clear" w:color="auto" w:fill="auto"/>
            <w:vAlign w:val="center"/>
          </w:tcPr>
          <w:p w14:paraId="09FB230B">
            <w:pPr>
              <w:autoSpaceDE w:val="0"/>
              <w:autoSpaceDN w:val="0"/>
              <w:ind w:left="105" w:leftChars="50" w:right="105" w:rightChars="50"/>
              <w:jc w:val="center"/>
              <w:rPr>
                <w:rFonts w:ascii="Times New Roman" w:hAnsi="Times New Roman"/>
                <w:b/>
                <w:color w:val="000000" w:themeColor="text1"/>
                <w:kern w:val="0"/>
                <w:sz w:val="21"/>
                <w:szCs w:val="21"/>
                <w:lang w:eastAsia="en-US"/>
              </w:rPr>
            </w:pPr>
            <w:r>
              <w:rPr>
                <w:rFonts w:ascii="Times New Roman" w:hAnsi="Times New Roman"/>
                <w:b/>
                <w:color w:val="000000" w:themeColor="text1"/>
                <w:kern w:val="0"/>
                <w:sz w:val="21"/>
                <w:szCs w:val="21"/>
                <w:lang w:eastAsia="en-US"/>
              </w:rPr>
              <w:t>核算年排放量（</w:t>
            </w:r>
            <w:r>
              <w:rPr>
                <w:rFonts w:ascii="Times New Roman" w:hAnsi="Times New Roman" w:eastAsia="Times New Roman"/>
                <w:b/>
                <w:color w:val="000000" w:themeColor="text1"/>
                <w:kern w:val="0"/>
                <w:sz w:val="21"/>
                <w:szCs w:val="21"/>
                <w:lang w:eastAsia="en-US"/>
              </w:rPr>
              <w:t>t/a</w:t>
            </w:r>
            <w:r>
              <w:rPr>
                <w:rFonts w:ascii="Times New Roman" w:hAnsi="Times New Roman"/>
                <w:b/>
                <w:color w:val="000000" w:themeColor="text1"/>
                <w:kern w:val="0"/>
                <w:sz w:val="21"/>
                <w:szCs w:val="21"/>
                <w:lang w:eastAsia="en-US"/>
              </w:rPr>
              <w:t>）</w:t>
            </w:r>
          </w:p>
        </w:tc>
      </w:tr>
      <w:tr w14:paraId="7483D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5" w:type="pct"/>
            <w:vMerge w:val="restart"/>
            <w:shd w:val="clear" w:color="auto" w:fill="auto"/>
            <w:vAlign w:val="center"/>
          </w:tcPr>
          <w:p w14:paraId="73D87B3F">
            <w:pPr>
              <w:autoSpaceDE w:val="0"/>
              <w:autoSpaceDN w:val="0"/>
              <w:ind w:left="105" w:leftChars="50" w:right="105" w:rightChars="50"/>
              <w:jc w:val="center"/>
              <w:rPr>
                <w:rFonts w:ascii="Times New Roman" w:hAnsi="Times New Roman"/>
                <w:color w:val="000000" w:themeColor="text1"/>
                <w:kern w:val="0"/>
                <w:sz w:val="21"/>
                <w:szCs w:val="21"/>
                <w:lang w:eastAsia="zh-CN"/>
              </w:rPr>
            </w:pPr>
            <w:r>
              <w:rPr>
                <w:rFonts w:ascii="Times New Roman" w:hAnsi="Times New Roman"/>
                <w:color w:val="000000" w:themeColor="text1"/>
                <w:kern w:val="0"/>
                <w:sz w:val="21"/>
                <w:szCs w:val="21"/>
                <w:lang w:eastAsia="zh-CN"/>
              </w:rPr>
              <w:t>造粒工序</w:t>
            </w:r>
          </w:p>
        </w:tc>
        <w:tc>
          <w:tcPr>
            <w:tcW w:w="981" w:type="pct"/>
            <w:shd w:val="clear" w:color="auto" w:fill="auto"/>
            <w:vAlign w:val="center"/>
          </w:tcPr>
          <w:p w14:paraId="6FCD87A5">
            <w:pPr>
              <w:autoSpaceDE w:val="0"/>
              <w:autoSpaceDN w:val="0"/>
              <w:ind w:left="105" w:leftChars="50" w:right="105" w:rightChars="50"/>
              <w:jc w:val="center"/>
              <w:rPr>
                <w:rFonts w:ascii="Times New Roman" w:hAnsi="Times New Roman"/>
                <w:color w:val="000000" w:themeColor="text1"/>
                <w:kern w:val="0"/>
                <w:sz w:val="21"/>
                <w:szCs w:val="21"/>
                <w:lang w:eastAsia="en-US"/>
              </w:rPr>
            </w:pPr>
            <w:r>
              <w:rPr>
                <w:rFonts w:ascii="Times New Roman" w:hAnsi="Times New Roman"/>
                <w:color w:val="000000" w:themeColor="text1"/>
                <w:sz w:val="21"/>
                <w:szCs w:val="21"/>
                <w:lang w:eastAsia="en-US"/>
              </w:rPr>
              <w:t>颗粒物</w:t>
            </w:r>
          </w:p>
        </w:tc>
        <w:tc>
          <w:tcPr>
            <w:tcW w:w="1112" w:type="pct"/>
            <w:shd w:val="clear" w:color="auto" w:fill="auto"/>
            <w:vAlign w:val="center"/>
          </w:tcPr>
          <w:p w14:paraId="06653DB3">
            <w:pPr>
              <w:autoSpaceDE w:val="0"/>
              <w:autoSpaceDN w:val="0"/>
              <w:ind w:left="105" w:leftChars="50" w:right="105" w:rightChars="50"/>
              <w:jc w:val="center"/>
              <w:rPr>
                <w:rFonts w:ascii="Times New Roman" w:hAnsi="Times New Roman"/>
                <w:color w:val="000000" w:themeColor="text1"/>
                <w:kern w:val="0"/>
                <w:sz w:val="21"/>
                <w:szCs w:val="21"/>
                <w:lang w:eastAsia="en-US"/>
              </w:rPr>
            </w:pPr>
            <w:r>
              <w:rPr>
                <w:rFonts w:ascii="Times New Roman" w:hAnsi="Times New Roman" w:eastAsia="等线"/>
                <w:color w:val="000000"/>
                <w:sz w:val="21"/>
                <w:szCs w:val="21"/>
                <w:lang w:eastAsia="en-US"/>
              </w:rPr>
              <w:t xml:space="preserve">0.61 </w:t>
            </w:r>
          </w:p>
        </w:tc>
        <w:tc>
          <w:tcPr>
            <w:tcW w:w="1112" w:type="pct"/>
            <w:shd w:val="clear" w:color="auto" w:fill="auto"/>
            <w:vAlign w:val="center"/>
          </w:tcPr>
          <w:p w14:paraId="5936F3DA">
            <w:pPr>
              <w:autoSpaceDE w:val="0"/>
              <w:autoSpaceDN w:val="0"/>
              <w:ind w:left="105" w:leftChars="50" w:right="105" w:rightChars="50"/>
              <w:jc w:val="center"/>
              <w:rPr>
                <w:rFonts w:ascii="Times New Roman" w:hAnsi="Times New Roman"/>
                <w:color w:val="000000" w:themeColor="text1"/>
                <w:kern w:val="0"/>
                <w:sz w:val="21"/>
                <w:szCs w:val="21"/>
                <w:lang w:eastAsia="zh-CN"/>
              </w:rPr>
            </w:pPr>
            <w:r>
              <w:rPr>
                <w:rFonts w:ascii="Times New Roman" w:hAnsi="Times New Roman" w:eastAsia="等线"/>
                <w:color w:val="000000"/>
                <w:sz w:val="21"/>
                <w:szCs w:val="21"/>
                <w:lang w:eastAsia="en-US"/>
              </w:rPr>
              <w:t xml:space="preserve">0.0049 </w:t>
            </w:r>
          </w:p>
        </w:tc>
        <w:tc>
          <w:tcPr>
            <w:tcW w:w="1110" w:type="pct"/>
            <w:shd w:val="clear" w:color="auto" w:fill="auto"/>
            <w:vAlign w:val="center"/>
          </w:tcPr>
          <w:p w14:paraId="3523A27B">
            <w:pPr>
              <w:autoSpaceDE w:val="0"/>
              <w:autoSpaceDN w:val="0"/>
              <w:ind w:left="105" w:leftChars="50" w:right="105" w:rightChars="50"/>
              <w:jc w:val="center"/>
              <w:rPr>
                <w:rFonts w:ascii="Times New Roman" w:hAnsi="Times New Roman"/>
                <w:color w:val="000000" w:themeColor="text1"/>
                <w:kern w:val="0"/>
                <w:sz w:val="21"/>
                <w:szCs w:val="21"/>
                <w:lang w:eastAsia="zh-CN"/>
              </w:rPr>
            </w:pPr>
            <w:r>
              <w:rPr>
                <w:rFonts w:ascii="Times New Roman" w:hAnsi="Times New Roman" w:eastAsia="等线"/>
                <w:color w:val="000000"/>
                <w:sz w:val="21"/>
                <w:szCs w:val="21"/>
                <w:lang w:eastAsia="en-US"/>
              </w:rPr>
              <w:t xml:space="preserve">0.012 </w:t>
            </w:r>
          </w:p>
        </w:tc>
      </w:tr>
      <w:tr w14:paraId="1E2C3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5" w:type="pct"/>
            <w:vMerge w:val="continue"/>
            <w:shd w:val="clear" w:color="auto" w:fill="auto"/>
            <w:vAlign w:val="center"/>
          </w:tcPr>
          <w:p w14:paraId="46DD27E8">
            <w:pPr>
              <w:autoSpaceDE w:val="0"/>
              <w:autoSpaceDN w:val="0"/>
              <w:ind w:left="105" w:leftChars="50" w:right="105" w:rightChars="50"/>
              <w:jc w:val="center"/>
              <w:rPr>
                <w:rFonts w:ascii="Times New Roman" w:hAnsi="Times New Roman"/>
                <w:color w:val="000000" w:themeColor="text1"/>
                <w:kern w:val="0"/>
                <w:sz w:val="21"/>
                <w:szCs w:val="21"/>
                <w:lang w:eastAsia="en-US"/>
              </w:rPr>
            </w:pPr>
          </w:p>
        </w:tc>
        <w:tc>
          <w:tcPr>
            <w:tcW w:w="981" w:type="pct"/>
            <w:shd w:val="clear" w:color="auto" w:fill="auto"/>
            <w:vAlign w:val="center"/>
          </w:tcPr>
          <w:p w14:paraId="3DB59B6D">
            <w:pPr>
              <w:autoSpaceDE w:val="0"/>
              <w:autoSpaceDN w:val="0"/>
              <w:ind w:left="105" w:leftChars="50" w:right="105" w:rightChars="50"/>
              <w:jc w:val="center"/>
              <w:rPr>
                <w:rFonts w:ascii="Times New Roman" w:hAnsi="Times New Roman"/>
                <w:color w:val="000000" w:themeColor="text1"/>
                <w:kern w:val="0"/>
                <w:sz w:val="21"/>
                <w:szCs w:val="21"/>
                <w:lang w:eastAsia="en-US"/>
              </w:rPr>
            </w:pPr>
            <w:r>
              <w:rPr>
                <w:rFonts w:ascii="Times New Roman" w:hAnsi="Times New Roman"/>
                <w:color w:val="000000" w:themeColor="text1"/>
                <w:sz w:val="21"/>
                <w:szCs w:val="21"/>
                <w:lang w:eastAsia="en-US"/>
              </w:rPr>
              <w:t>非甲烷总烃</w:t>
            </w:r>
          </w:p>
        </w:tc>
        <w:tc>
          <w:tcPr>
            <w:tcW w:w="1112" w:type="pct"/>
            <w:shd w:val="clear" w:color="auto" w:fill="auto"/>
            <w:vAlign w:val="center"/>
          </w:tcPr>
          <w:p w14:paraId="78F111E5">
            <w:pPr>
              <w:autoSpaceDE w:val="0"/>
              <w:autoSpaceDN w:val="0"/>
              <w:ind w:left="105" w:leftChars="50" w:right="105" w:rightChars="50"/>
              <w:jc w:val="center"/>
              <w:rPr>
                <w:rFonts w:ascii="Times New Roman" w:hAnsi="Times New Roman"/>
                <w:color w:val="000000" w:themeColor="text1"/>
                <w:kern w:val="0"/>
                <w:sz w:val="21"/>
                <w:szCs w:val="21"/>
                <w:lang w:eastAsia="en-US"/>
              </w:rPr>
            </w:pPr>
            <w:r>
              <w:rPr>
                <w:rFonts w:ascii="Times New Roman" w:hAnsi="Times New Roman" w:eastAsia="等线"/>
                <w:color w:val="000000"/>
                <w:sz w:val="21"/>
                <w:szCs w:val="21"/>
                <w:lang w:eastAsia="en-US"/>
              </w:rPr>
              <w:t xml:space="preserve">4.11 </w:t>
            </w:r>
          </w:p>
        </w:tc>
        <w:tc>
          <w:tcPr>
            <w:tcW w:w="1112" w:type="pct"/>
            <w:shd w:val="clear" w:color="auto" w:fill="auto"/>
            <w:vAlign w:val="center"/>
          </w:tcPr>
          <w:p w14:paraId="66542AB4">
            <w:pPr>
              <w:autoSpaceDE w:val="0"/>
              <w:autoSpaceDN w:val="0"/>
              <w:ind w:left="105" w:leftChars="50" w:right="105" w:rightChars="50"/>
              <w:jc w:val="center"/>
              <w:rPr>
                <w:rFonts w:ascii="Times New Roman" w:hAnsi="Times New Roman"/>
                <w:color w:val="000000" w:themeColor="text1"/>
                <w:kern w:val="0"/>
                <w:sz w:val="21"/>
                <w:szCs w:val="21"/>
                <w:lang w:eastAsia="zh-CN"/>
              </w:rPr>
            </w:pPr>
            <w:r>
              <w:rPr>
                <w:rFonts w:ascii="Times New Roman" w:hAnsi="Times New Roman" w:eastAsia="等线"/>
                <w:color w:val="000000"/>
                <w:sz w:val="21"/>
                <w:szCs w:val="21"/>
                <w:lang w:eastAsia="en-US"/>
              </w:rPr>
              <w:t xml:space="preserve">0.0329 </w:t>
            </w:r>
          </w:p>
        </w:tc>
        <w:tc>
          <w:tcPr>
            <w:tcW w:w="1110" w:type="pct"/>
            <w:shd w:val="clear" w:color="auto" w:fill="auto"/>
            <w:vAlign w:val="center"/>
          </w:tcPr>
          <w:p w14:paraId="52FFC4A9">
            <w:pPr>
              <w:autoSpaceDE w:val="0"/>
              <w:autoSpaceDN w:val="0"/>
              <w:ind w:left="105" w:leftChars="50" w:right="105" w:rightChars="50"/>
              <w:jc w:val="center"/>
              <w:rPr>
                <w:rFonts w:ascii="Times New Roman" w:hAnsi="Times New Roman"/>
                <w:color w:val="000000" w:themeColor="text1"/>
                <w:kern w:val="0"/>
                <w:sz w:val="21"/>
                <w:szCs w:val="21"/>
                <w:lang w:eastAsia="zh-CN"/>
              </w:rPr>
            </w:pPr>
            <w:r>
              <w:rPr>
                <w:rFonts w:ascii="Times New Roman" w:hAnsi="Times New Roman" w:eastAsia="等线"/>
                <w:color w:val="000000"/>
                <w:sz w:val="21"/>
                <w:szCs w:val="21"/>
                <w:lang w:eastAsia="en-US"/>
              </w:rPr>
              <w:t xml:space="preserve">0.079 </w:t>
            </w:r>
          </w:p>
        </w:tc>
      </w:tr>
      <w:tr w14:paraId="2C9A2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5" w:type="pct"/>
            <w:vMerge w:val="restart"/>
            <w:shd w:val="clear" w:color="auto" w:fill="auto"/>
            <w:vAlign w:val="center"/>
          </w:tcPr>
          <w:p w14:paraId="679AFF0D">
            <w:pPr>
              <w:autoSpaceDE w:val="0"/>
              <w:autoSpaceDN w:val="0"/>
              <w:ind w:left="105" w:leftChars="50" w:right="105" w:rightChars="50"/>
              <w:jc w:val="center"/>
              <w:rPr>
                <w:rFonts w:ascii="Times New Roman" w:hAnsi="Times New Roman"/>
                <w:color w:val="000000" w:themeColor="text1"/>
                <w:kern w:val="0"/>
                <w:sz w:val="21"/>
                <w:szCs w:val="21"/>
                <w:lang w:eastAsia="en-US"/>
              </w:rPr>
            </w:pPr>
            <w:r>
              <w:rPr>
                <w:rFonts w:ascii="Times New Roman" w:hAnsi="Times New Roman"/>
                <w:color w:val="000000" w:themeColor="text1"/>
                <w:kern w:val="0"/>
                <w:sz w:val="21"/>
                <w:szCs w:val="21"/>
                <w:lang w:eastAsia="zh-CN"/>
              </w:rPr>
              <w:t>编织袋工序</w:t>
            </w:r>
          </w:p>
        </w:tc>
        <w:tc>
          <w:tcPr>
            <w:tcW w:w="981" w:type="pct"/>
            <w:shd w:val="clear" w:color="auto" w:fill="auto"/>
            <w:vAlign w:val="center"/>
          </w:tcPr>
          <w:p w14:paraId="560D52FF">
            <w:pPr>
              <w:autoSpaceDE w:val="0"/>
              <w:autoSpaceDN w:val="0"/>
              <w:ind w:left="105" w:leftChars="50" w:right="105" w:rightChars="50"/>
              <w:jc w:val="center"/>
              <w:rPr>
                <w:rFonts w:ascii="Times New Roman" w:hAnsi="Times New Roman"/>
                <w:color w:val="000000" w:themeColor="text1"/>
                <w:sz w:val="21"/>
                <w:szCs w:val="21"/>
                <w:lang w:eastAsia="en-US"/>
              </w:rPr>
            </w:pPr>
            <w:r>
              <w:rPr>
                <w:rFonts w:ascii="Times New Roman" w:hAnsi="Times New Roman"/>
                <w:color w:val="000000" w:themeColor="text1"/>
                <w:sz w:val="21"/>
                <w:szCs w:val="21"/>
                <w:lang w:eastAsia="en-US"/>
              </w:rPr>
              <w:t>颗粒物</w:t>
            </w:r>
          </w:p>
        </w:tc>
        <w:tc>
          <w:tcPr>
            <w:tcW w:w="1112" w:type="pct"/>
            <w:shd w:val="clear" w:color="auto" w:fill="auto"/>
            <w:vAlign w:val="center"/>
          </w:tcPr>
          <w:p w14:paraId="4365968B">
            <w:pPr>
              <w:autoSpaceDE w:val="0"/>
              <w:autoSpaceDN w:val="0"/>
              <w:ind w:left="105" w:leftChars="50" w:right="105" w:rightChars="50"/>
              <w:jc w:val="center"/>
              <w:rPr>
                <w:rFonts w:ascii="Times New Roman" w:hAnsi="Times New Roman"/>
                <w:color w:val="000000" w:themeColor="text1"/>
                <w:kern w:val="0"/>
                <w:sz w:val="21"/>
                <w:szCs w:val="21"/>
                <w:lang w:eastAsia="en-US"/>
              </w:rPr>
            </w:pPr>
            <w:r>
              <w:rPr>
                <w:rFonts w:ascii="Times New Roman" w:hAnsi="Times New Roman" w:eastAsia="等线"/>
                <w:color w:val="000000"/>
                <w:sz w:val="21"/>
                <w:szCs w:val="21"/>
                <w:lang w:eastAsia="en-US"/>
              </w:rPr>
              <w:t xml:space="preserve">0.35 </w:t>
            </w:r>
          </w:p>
        </w:tc>
        <w:tc>
          <w:tcPr>
            <w:tcW w:w="1112" w:type="pct"/>
            <w:shd w:val="clear" w:color="auto" w:fill="auto"/>
            <w:vAlign w:val="center"/>
          </w:tcPr>
          <w:p w14:paraId="573420EE">
            <w:pPr>
              <w:autoSpaceDE w:val="0"/>
              <w:autoSpaceDN w:val="0"/>
              <w:ind w:left="105" w:leftChars="50" w:right="105" w:rightChars="50"/>
              <w:jc w:val="center"/>
              <w:rPr>
                <w:rFonts w:ascii="Times New Roman" w:hAnsi="Times New Roman"/>
                <w:color w:val="000000" w:themeColor="text1"/>
                <w:kern w:val="0"/>
                <w:sz w:val="21"/>
                <w:szCs w:val="21"/>
                <w:lang w:eastAsia="en-US"/>
              </w:rPr>
            </w:pPr>
            <w:r>
              <w:rPr>
                <w:rFonts w:ascii="Times New Roman" w:hAnsi="Times New Roman" w:eastAsia="等线"/>
                <w:color w:val="000000"/>
                <w:sz w:val="21"/>
                <w:szCs w:val="21"/>
                <w:lang w:eastAsia="en-US"/>
              </w:rPr>
              <w:t xml:space="preserve">0.0028 </w:t>
            </w:r>
          </w:p>
        </w:tc>
        <w:tc>
          <w:tcPr>
            <w:tcW w:w="1110" w:type="pct"/>
            <w:shd w:val="clear" w:color="auto" w:fill="auto"/>
            <w:vAlign w:val="center"/>
          </w:tcPr>
          <w:p w14:paraId="4F2F59DA">
            <w:pPr>
              <w:autoSpaceDE w:val="0"/>
              <w:autoSpaceDN w:val="0"/>
              <w:ind w:left="105" w:leftChars="50" w:right="105" w:rightChars="50"/>
              <w:jc w:val="center"/>
              <w:rPr>
                <w:rFonts w:ascii="Times New Roman" w:hAnsi="Times New Roman"/>
                <w:color w:val="000000" w:themeColor="text1"/>
                <w:kern w:val="0"/>
                <w:sz w:val="21"/>
                <w:szCs w:val="21"/>
                <w:lang w:eastAsia="en-US"/>
              </w:rPr>
            </w:pPr>
            <w:r>
              <w:rPr>
                <w:rFonts w:ascii="Times New Roman" w:hAnsi="Times New Roman" w:eastAsia="等线"/>
                <w:color w:val="000000"/>
                <w:sz w:val="21"/>
                <w:szCs w:val="21"/>
                <w:lang w:eastAsia="en-US"/>
              </w:rPr>
              <w:t xml:space="preserve">0.007 </w:t>
            </w:r>
          </w:p>
        </w:tc>
      </w:tr>
      <w:tr w14:paraId="634E7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685" w:type="pct"/>
            <w:vMerge w:val="continue"/>
            <w:shd w:val="clear" w:color="auto" w:fill="auto"/>
            <w:vAlign w:val="center"/>
          </w:tcPr>
          <w:p w14:paraId="745CF031">
            <w:pPr>
              <w:autoSpaceDE w:val="0"/>
              <w:autoSpaceDN w:val="0"/>
              <w:ind w:left="105" w:leftChars="50" w:right="105" w:rightChars="50"/>
              <w:jc w:val="center"/>
              <w:rPr>
                <w:rFonts w:ascii="Times New Roman" w:hAnsi="Times New Roman"/>
                <w:color w:val="000000" w:themeColor="text1"/>
                <w:kern w:val="0"/>
                <w:sz w:val="21"/>
                <w:szCs w:val="21"/>
                <w:lang w:eastAsia="en-US"/>
              </w:rPr>
            </w:pPr>
          </w:p>
        </w:tc>
        <w:tc>
          <w:tcPr>
            <w:tcW w:w="981" w:type="pct"/>
            <w:shd w:val="clear" w:color="auto" w:fill="auto"/>
            <w:vAlign w:val="center"/>
          </w:tcPr>
          <w:p w14:paraId="1A75B82B">
            <w:pPr>
              <w:autoSpaceDE w:val="0"/>
              <w:autoSpaceDN w:val="0"/>
              <w:ind w:left="105" w:leftChars="50" w:right="105" w:rightChars="50"/>
              <w:jc w:val="center"/>
              <w:rPr>
                <w:rFonts w:ascii="Times New Roman" w:hAnsi="Times New Roman"/>
                <w:color w:val="000000" w:themeColor="text1"/>
                <w:sz w:val="21"/>
                <w:szCs w:val="21"/>
                <w:lang w:eastAsia="en-US"/>
              </w:rPr>
            </w:pPr>
            <w:r>
              <w:rPr>
                <w:rFonts w:ascii="Times New Roman" w:hAnsi="Times New Roman"/>
                <w:color w:val="000000" w:themeColor="text1"/>
                <w:sz w:val="21"/>
                <w:szCs w:val="21"/>
                <w:lang w:eastAsia="en-US"/>
              </w:rPr>
              <w:t>非甲烷总烃</w:t>
            </w:r>
          </w:p>
        </w:tc>
        <w:tc>
          <w:tcPr>
            <w:tcW w:w="1112" w:type="pct"/>
            <w:shd w:val="clear" w:color="auto" w:fill="auto"/>
            <w:vAlign w:val="center"/>
          </w:tcPr>
          <w:p w14:paraId="3166F6EF">
            <w:pPr>
              <w:autoSpaceDE w:val="0"/>
              <w:autoSpaceDN w:val="0"/>
              <w:ind w:left="105" w:leftChars="50" w:right="105" w:rightChars="50"/>
              <w:jc w:val="center"/>
              <w:rPr>
                <w:rFonts w:ascii="Times New Roman" w:hAnsi="Times New Roman"/>
                <w:color w:val="000000" w:themeColor="text1"/>
                <w:kern w:val="0"/>
                <w:sz w:val="21"/>
                <w:szCs w:val="21"/>
                <w:lang w:eastAsia="en-US"/>
              </w:rPr>
            </w:pPr>
            <w:r>
              <w:rPr>
                <w:rFonts w:ascii="Times New Roman" w:hAnsi="Times New Roman" w:eastAsia="等线"/>
                <w:color w:val="000000"/>
                <w:sz w:val="21"/>
                <w:szCs w:val="21"/>
                <w:lang w:eastAsia="en-US"/>
              </w:rPr>
              <w:t xml:space="preserve">2.46 </w:t>
            </w:r>
          </w:p>
        </w:tc>
        <w:tc>
          <w:tcPr>
            <w:tcW w:w="1112" w:type="pct"/>
            <w:shd w:val="clear" w:color="auto" w:fill="auto"/>
            <w:vAlign w:val="center"/>
          </w:tcPr>
          <w:p w14:paraId="29C2B293">
            <w:pPr>
              <w:autoSpaceDE w:val="0"/>
              <w:autoSpaceDN w:val="0"/>
              <w:ind w:left="105" w:leftChars="50" w:right="105" w:rightChars="50"/>
              <w:jc w:val="center"/>
              <w:rPr>
                <w:rFonts w:ascii="Times New Roman" w:hAnsi="Times New Roman"/>
                <w:color w:val="000000" w:themeColor="text1"/>
                <w:kern w:val="0"/>
                <w:sz w:val="21"/>
                <w:szCs w:val="21"/>
                <w:lang w:eastAsia="en-US"/>
              </w:rPr>
            </w:pPr>
            <w:r>
              <w:rPr>
                <w:rFonts w:ascii="Times New Roman" w:hAnsi="Times New Roman" w:eastAsia="等线"/>
                <w:color w:val="000000"/>
                <w:sz w:val="21"/>
                <w:szCs w:val="21"/>
                <w:lang w:eastAsia="en-US"/>
              </w:rPr>
              <w:t xml:space="preserve">0.0197 </w:t>
            </w:r>
          </w:p>
        </w:tc>
        <w:tc>
          <w:tcPr>
            <w:tcW w:w="1110" w:type="pct"/>
            <w:shd w:val="clear" w:color="auto" w:fill="auto"/>
            <w:vAlign w:val="center"/>
          </w:tcPr>
          <w:p w14:paraId="517CAB7E">
            <w:pPr>
              <w:autoSpaceDE w:val="0"/>
              <w:autoSpaceDN w:val="0"/>
              <w:ind w:left="105" w:leftChars="50" w:right="105" w:rightChars="50"/>
              <w:jc w:val="center"/>
              <w:rPr>
                <w:rFonts w:ascii="Times New Roman" w:hAnsi="Times New Roman"/>
                <w:color w:val="000000" w:themeColor="text1"/>
                <w:kern w:val="0"/>
                <w:sz w:val="21"/>
                <w:szCs w:val="21"/>
                <w:lang w:eastAsia="en-US"/>
              </w:rPr>
            </w:pPr>
            <w:r>
              <w:rPr>
                <w:rFonts w:ascii="Times New Roman" w:hAnsi="Times New Roman" w:eastAsia="等线"/>
                <w:color w:val="000000"/>
                <w:sz w:val="21"/>
                <w:szCs w:val="21"/>
                <w:lang w:eastAsia="en-US"/>
              </w:rPr>
              <w:t xml:space="preserve">0.047 </w:t>
            </w:r>
          </w:p>
        </w:tc>
      </w:tr>
    </w:tbl>
    <w:p w14:paraId="71039B3C">
      <w:pPr>
        <w:autoSpaceDE w:val="0"/>
        <w:autoSpaceDN w:val="0"/>
        <w:adjustRightInd w:val="0"/>
        <w:spacing w:line="360" w:lineRule="auto"/>
        <w:ind w:firstLine="480"/>
        <w:jc w:val="left"/>
        <w:rPr>
          <w:b/>
          <w:color w:val="000000" w:themeColor="text1"/>
          <w:sz w:val="24"/>
        </w:rPr>
      </w:pPr>
      <w:r>
        <w:rPr>
          <w:b/>
          <w:color w:val="000000" w:themeColor="text1"/>
          <w:sz w:val="24"/>
        </w:rPr>
        <w:t>2、无组织排放量核算</w:t>
      </w:r>
    </w:p>
    <w:p w14:paraId="4C387689">
      <w:pPr>
        <w:autoSpaceDE w:val="0"/>
        <w:autoSpaceDN w:val="0"/>
        <w:adjustRightInd w:val="0"/>
        <w:spacing w:line="360" w:lineRule="auto"/>
        <w:ind w:firstLine="480"/>
        <w:jc w:val="left"/>
        <w:rPr>
          <w:color w:val="000000" w:themeColor="text1"/>
          <w:sz w:val="24"/>
        </w:rPr>
      </w:pPr>
      <w:r>
        <w:rPr>
          <w:color w:val="000000" w:themeColor="text1"/>
          <w:sz w:val="24"/>
        </w:rPr>
        <w:t>根据工程分析，项目污染物无组织排放量核算见表 6.1-11。</w:t>
      </w:r>
    </w:p>
    <w:p w14:paraId="3FB4FB91">
      <w:pPr>
        <w:adjustRightInd w:val="0"/>
        <w:snapToGrid w:val="0"/>
        <w:jc w:val="center"/>
        <w:rPr>
          <w:b/>
          <w:color w:val="000000" w:themeColor="text1"/>
          <w:sz w:val="24"/>
        </w:rPr>
      </w:pPr>
      <w:r>
        <w:rPr>
          <w:b/>
          <w:color w:val="000000" w:themeColor="text1"/>
          <w:sz w:val="24"/>
        </w:rPr>
        <w:t>表 6.1-11  项目大气污染物无组织排放量核算表</w:t>
      </w:r>
    </w:p>
    <w:tbl>
      <w:tblPr>
        <w:tblStyle w:val="29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861"/>
        <w:gridCol w:w="2663"/>
        <w:gridCol w:w="3116"/>
      </w:tblGrid>
      <w:tr w14:paraId="17B10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56" w:type="pct"/>
            <w:shd w:val="clear" w:color="auto" w:fill="auto"/>
            <w:vAlign w:val="center"/>
          </w:tcPr>
          <w:p w14:paraId="1040EBE2">
            <w:pPr>
              <w:autoSpaceDE w:val="0"/>
              <w:autoSpaceDN w:val="0"/>
              <w:ind w:left="105" w:leftChars="50" w:right="105" w:rightChars="50"/>
              <w:jc w:val="center"/>
              <w:rPr>
                <w:rFonts w:ascii="Times New Roman" w:hAnsi="Times New Roman"/>
                <w:color w:val="000000" w:themeColor="text1"/>
                <w:sz w:val="21"/>
                <w:szCs w:val="21"/>
                <w:lang w:eastAsia="en-US"/>
              </w:rPr>
            </w:pPr>
            <w:r>
              <w:rPr>
                <w:rFonts w:ascii="Times New Roman" w:hAnsi="Times New Roman"/>
                <w:color w:val="000000" w:themeColor="text1"/>
                <w:sz w:val="21"/>
                <w:szCs w:val="21"/>
                <w:lang w:eastAsia="en-US"/>
              </w:rPr>
              <w:t>污染源</w:t>
            </w:r>
          </w:p>
        </w:tc>
        <w:tc>
          <w:tcPr>
            <w:tcW w:w="1541" w:type="pct"/>
            <w:shd w:val="clear" w:color="auto" w:fill="auto"/>
            <w:vAlign w:val="center"/>
          </w:tcPr>
          <w:p w14:paraId="6F405A0A">
            <w:pPr>
              <w:autoSpaceDE w:val="0"/>
              <w:autoSpaceDN w:val="0"/>
              <w:ind w:left="105" w:leftChars="50" w:right="105" w:rightChars="50"/>
              <w:jc w:val="center"/>
              <w:rPr>
                <w:rFonts w:ascii="Times New Roman" w:hAnsi="Times New Roman"/>
                <w:color w:val="000000" w:themeColor="text1"/>
                <w:sz w:val="21"/>
                <w:szCs w:val="21"/>
                <w:lang w:eastAsia="en-US"/>
              </w:rPr>
            </w:pPr>
            <w:r>
              <w:rPr>
                <w:rFonts w:ascii="Times New Roman" w:hAnsi="Times New Roman"/>
                <w:color w:val="000000" w:themeColor="text1"/>
                <w:sz w:val="21"/>
                <w:szCs w:val="21"/>
                <w:lang w:eastAsia="en-US"/>
              </w:rPr>
              <w:t>污染物</w:t>
            </w:r>
          </w:p>
        </w:tc>
        <w:tc>
          <w:tcPr>
            <w:tcW w:w="1803" w:type="pct"/>
            <w:shd w:val="clear" w:color="auto" w:fill="auto"/>
            <w:vAlign w:val="center"/>
          </w:tcPr>
          <w:p w14:paraId="784237C5">
            <w:pPr>
              <w:autoSpaceDE w:val="0"/>
              <w:autoSpaceDN w:val="0"/>
              <w:ind w:left="105" w:leftChars="50" w:right="105" w:rightChars="50"/>
              <w:jc w:val="center"/>
              <w:rPr>
                <w:rFonts w:ascii="Times New Roman" w:hAnsi="Times New Roman"/>
                <w:color w:val="000000" w:themeColor="text1"/>
                <w:sz w:val="21"/>
                <w:szCs w:val="21"/>
                <w:lang w:eastAsia="en-US"/>
              </w:rPr>
            </w:pPr>
            <w:r>
              <w:rPr>
                <w:rFonts w:ascii="Times New Roman" w:hAnsi="Times New Roman"/>
                <w:color w:val="000000" w:themeColor="text1"/>
                <w:sz w:val="21"/>
                <w:szCs w:val="21"/>
                <w:lang w:eastAsia="en-US"/>
              </w:rPr>
              <w:t>核算年排放量（t/a）</w:t>
            </w:r>
          </w:p>
        </w:tc>
      </w:tr>
      <w:tr w14:paraId="07473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56" w:type="pct"/>
            <w:vMerge w:val="restart"/>
            <w:shd w:val="clear" w:color="auto" w:fill="auto"/>
            <w:vAlign w:val="center"/>
          </w:tcPr>
          <w:p w14:paraId="4AC1F9BE">
            <w:pPr>
              <w:autoSpaceDE w:val="0"/>
              <w:autoSpaceDN w:val="0"/>
              <w:ind w:left="105" w:leftChars="50" w:right="105" w:rightChars="50"/>
              <w:jc w:val="center"/>
              <w:rPr>
                <w:rFonts w:ascii="Times New Roman" w:hAnsi="Times New Roman"/>
                <w:color w:val="000000" w:themeColor="text1"/>
                <w:sz w:val="21"/>
                <w:szCs w:val="21"/>
                <w:lang w:eastAsia="zh-CN"/>
              </w:rPr>
            </w:pPr>
            <w:r>
              <w:rPr>
                <w:rFonts w:ascii="Times New Roman" w:hAnsi="Times New Roman"/>
                <w:color w:val="000000" w:themeColor="text1"/>
                <w:kern w:val="0"/>
                <w:sz w:val="21"/>
                <w:szCs w:val="21"/>
                <w:lang w:eastAsia="zh-CN"/>
              </w:rPr>
              <w:t>造粒工序</w:t>
            </w:r>
          </w:p>
        </w:tc>
        <w:tc>
          <w:tcPr>
            <w:tcW w:w="1541" w:type="pct"/>
            <w:shd w:val="clear" w:color="auto" w:fill="auto"/>
            <w:vAlign w:val="center"/>
          </w:tcPr>
          <w:p w14:paraId="60C61DAF">
            <w:pPr>
              <w:autoSpaceDE w:val="0"/>
              <w:autoSpaceDN w:val="0"/>
              <w:ind w:left="105" w:leftChars="50" w:right="105" w:rightChars="50"/>
              <w:jc w:val="center"/>
              <w:rPr>
                <w:rFonts w:ascii="Times New Roman" w:hAnsi="Times New Roman"/>
                <w:color w:val="000000" w:themeColor="text1"/>
                <w:sz w:val="21"/>
                <w:szCs w:val="21"/>
                <w:lang w:eastAsia="en-US"/>
              </w:rPr>
            </w:pPr>
            <w:r>
              <w:rPr>
                <w:rFonts w:ascii="Times New Roman" w:hAnsi="Times New Roman"/>
                <w:color w:val="000000" w:themeColor="text1"/>
                <w:sz w:val="21"/>
                <w:szCs w:val="21"/>
                <w:lang w:eastAsia="en-US"/>
              </w:rPr>
              <w:t>颗粒物</w:t>
            </w:r>
          </w:p>
        </w:tc>
        <w:tc>
          <w:tcPr>
            <w:tcW w:w="1803" w:type="pct"/>
            <w:shd w:val="clear" w:color="auto" w:fill="auto"/>
            <w:vAlign w:val="center"/>
          </w:tcPr>
          <w:p w14:paraId="1A8CC7A5">
            <w:pPr>
              <w:autoSpaceDE w:val="0"/>
              <w:autoSpaceDN w:val="0"/>
              <w:ind w:left="105" w:leftChars="50" w:right="105" w:rightChars="50"/>
              <w:jc w:val="center"/>
              <w:rPr>
                <w:rFonts w:ascii="Times New Roman" w:hAnsi="Times New Roman"/>
                <w:color w:val="000000" w:themeColor="text1"/>
                <w:sz w:val="21"/>
                <w:szCs w:val="21"/>
                <w:lang w:eastAsia="en-US"/>
              </w:rPr>
            </w:pPr>
            <w:r>
              <w:rPr>
                <w:rFonts w:ascii="Times New Roman" w:hAnsi="Times New Roman" w:eastAsia="等线"/>
                <w:color w:val="000000"/>
                <w:sz w:val="21"/>
                <w:szCs w:val="21"/>
                <w:lang w:eastAsia="en-US"/>
              </w:rPr>
              <w:t xml:space="preserve">0.0026 </w:t>
            </w:r>
          </w:p>
        </w:tc>
      </w:tr>
      <w:tr w14:paraId="12F02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56" w:type="pct"/>
            <w:vMerge w:val="continue"/>
            <w:shd w:val="clear" w:color="auto" w:fill="auto"/>
            <w:vAlign w:val="center"/>
          </w:tcPr>
          <w:p w14:paraId="1728A409">
            <w:pPr>
              <w:autoSpaceDE w:val="0"/>
              <w:autoSpaceDN w:val="0"/>
              <w:ind w:left="105" w:leftChars="50" w:right="105" w:rightChars="50"/>
              <w:jc w:val="center"/>
              <w:rPr>
                <w:rFonts w:ascii="Times New Roman" w:hAnsi="Times New Roman"/>
                <w:color w:val="000000" w:themeColor="text1"/>
                <w:sz w:val="21"/>
                <w:szCs w:val="21"/>
                <w:lang w:eastAsia="en-US"/>
              </w:rPr>
            </w:pPr>
          </w:p>
        </w:tc>
        <w:tc>
          <w:tcPr>
            <w:tcW w:w="1541" w:type="pct"/>
            <w:shd w:val="clear" w:color="auto" w:fill="auto"/>
            <w:vAlign w:val="center"/>
          </w:tcPr>
          <w:p w14:paraId="43D56601">
            <w:pPr>
              <w:autoSpaceDE w:val="0"/>
              <w:autoSpaceDN w:val="0"/>
              <w:ind w:left="105" w:leftChars="50" w:right="105" w:rightChars="50"/>
              <w:jc w:val="center"/>
              <w:rPr>
                <w:rFonts w:ascii="Times New Roman" w:hAnsi="Times New Roman"/>
                <w:color w:val="000000" w:themeColor="text1"/>
                <w:sz w:val="21"/>
                <w:szCs w:val="21"/>
                <w:lang w:eastAsia="en-US"/>
              </w:rPr>
            </w:pPr>
            <w:r>
              <w:rPr>
                <w:rFonts w:ascii="Times New Roman" w:hAnsi="Times New Roman"/>
                <w:color w:val="000000" w:themeColor="text1"/>
                <w:sz w:val="21"/>
                <w:szCs w:val="21"/>
                <w:lang w:eastAsia="en-US"/>
              </w:rPr>
              <w:t>非甲烷总烃</w:t>
            </w:r>
          </w:p>
        </w:tc>
        <w:tc>
          <w:tcPr>
            <w:tcW w:w="1803" w:type="pct"/>
            <w:shd w:val="clear" w:color="auto" w:fill="auto"/>
            <w:vAlign w:val="center"/>
          </w:tcPr>
          <w:p w14:paraId="32CD1B47">
            <w:pPr>
              <w:autoSpaceDE w:val="0"/>
              <w:autoSpaceDN w:val="0"/>
              <w:ind w:left="105" w:leftChars="50" w:right="105" w:rightChars="50"/>
              <w:jc w:val="center"/>
              <w:rPr>
                <w:rFonts w:ascii="Times New Roman" w:hAnsi="Times New Roman"/>
                <w:color w:val="000000" w:themeColor="text1"/>
                <w:sz w:val="21"/>
                <w:szCs w:val="21"/>
                <w:lang w:eastAsia="en-US"/>
              </w:rPr>
            </w:pPr>
            <w:r>
              <w:rPr>
                <w:rFonts w:ascii="Times New Roman" w:hAnsi="Times New Roman" w:eastAsia="等线"/>
                <w:color w:val="000000"/>
                <w:sz w:val="21"/>
                <w:szCs w:val="21"/>
                <w:lang w:eastAsia="en-US"/>
              </w:rPr>
              <w:t xml:space="preserve">0.0175 </w:t>
            </w:r>
          </w:p>
        </w:tc>
      </w:tr>
      <w:tr w14:paraId="5972F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56" w:type="pct"/>
            <w:vMerge w:val="restart"/>
            <w:shd w:val="clear" w:color="auto" w:fill="auto"/>
            <w:vAlign w:val="center"/>
          </w:tcPr>
          <w:p w14:paraId="3C9E6B64">
            <w:pPr>
              <w:autoSpaceDE w:val="0"/>
              <w:autoSpaceDN w:val="0"/>
              <w:ind w:left="105" w:leftChars="50" w:right="105" w:rightChars="50"/>
              <w:jc w:val="center"/>
              <w:rPr>
                <w:rFonts w:ascii="Times New Roman" w:hAnsi="Times New Roman"/>
                <w:color w:val="000000" w:themeColor="text1"/>
                <w:sz w:val="21"/>
                <w:szCs w:val="21"/>
                <w:lang w:eastAsia="en-US"/>
              </w:rPr>
            </w:pPr>
            <w:r>
              <w:rPr>
                <w:rFonts w:ascii="Times New Roman" w:hAnsi="Times New Roman"/>
                <w:color w:val="000000" w:themeColor="text1"/>
                <w:kern w:val="0"/>
                <w:sz w:val="21"/>
                <w:szCs w:val="21"/>
                <w:lang w:eastAsia="zh-CN"/>
              </w:rPr>
              <w:t>编织袋工序</w:t>
            </w:r>
          </w:p>
        </w:tc>
        <w:tc>
          <w:tcPr>
            <w:tcW w:w="1541" w:type="pct"/>
            <w:shd w:val="clear" w:color="auto" w:fill="auto"/>
            <w:vAlign w:val="center"/>
          </w:tcPr>
          <w:p w14:paraId="732F7A0E">
            <w:pPr>
              <w:autoSpaceDE w:val="0"/>
              <w:autoSpaceDN w:val="0"/>
              <w:ind w:left="105" w:leftChars="50" w:right="105" w:rightChars="50"/>
              <w:jc w:val="center"/>
              <w:rPr>
                <w:rFonts w:ascii="Times New Roman" w:hAnsi="Times New Roman"/>
                <w:color w:val="000000" w:themeColor="text1"/>
                <w:sz w:val="21"/>
                <w:szCs w:val="21"/>
                <w:lang w:eastAsia="en-US"/>
              </w:rPr>
            </w:pPr>
            <w:r>
              <w:rPr>
                <w:rFonts w:ascii="Times New Roman" w:hAnsi="Times New Roman"/>
                <w:color w:val="000000" w:themeColor="text1"/>
                <w:sz w:val="21"/>
                <w:szCs w:val="21"/>
                <w:lang w:eastAsia="en-US"/>
              </w:rPr>
              <w:t>颗粒物</w:t>
            </w:r>
          </w:p>
        </w:tc>
        <w:tc>
          <w:tcPr>
            <w:tcW w:w="1803" w:type="pct"/>
            <w:shd w:val="clear" w:color="auto" w:fill="auto"/>
            <w:vAlign w:val="center"/>
          </w:tcPr>
          <w:p w14:paraId="46548793">
            <w:pPr>
              <w:autoSpaceDE w:val="0"/>
              <w:autoSpaceDN w:val="0"/>
              <w:ind w:left="105" w:leftChars="50" w:right="105" w:rightChars="50"/>
              <w:jc w:val="center"/>
              <w:rPr>
                <w:rFonts w:ascii="Times New Roman" w:hAnsi="Times New Roman"/>
                <w:color w:val="000000" w:themeColor="text1"/>
                <w:sz w:val="21"/>
                <w:szCs w:val="21"/>
                <w:lang w:eastAsia="en-US"/>
              </w:rPr>
            </w:pPr>
            <w:r>
              <w:rPr>
                <w:rFonts w:ascii="Times New Roman" w:hAnsi="Times New Roman" w:eastAsia="等线"/>
                <w:color w:val="000000"/>
                <w:sz w:val="21"/>
                <w:szCs w:val="21"/>
                <w:lang w:eastAsia="en-US"/>
              </w:rPr>
              <w:t xml:space="preserve">0.0015 </w:t>
            </w:r>
          </w:p>
        </w:tc>
      </w:tr>
      <w:tr w14:paraId="3D5A8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656" w:type="pct"/>
            <w:vMerge w:val="continue"/>
            <w:shd w:val="clear" w:color="auto" w:fill="auto"/>
            <w:vAlign w:val="center"/>
          </w:tcPr>
          <w:p w14:paraId="5040CF30">
            <w:pPr>
              <w:autoSpaceDE w:val="0"/>
              <w:autoSpaceDN w:val="0"/>
              <w:ind w:left="105" w:leftChars="50" w:right="105" w:rightChars="50"/>
              <w:jc w:val="center"/>
              <w:rPr>
                <w:rFonts w:ascii="Times New Roman" w:hAnsi="Times New Roman"/>
                <w:color w:val="000000" w:themeColor="text1"/>
                <w:sz w:val="21"/>
                <w:szCs w:val="21"/>
                <w:lang w:eastAsia="en-US"/>
              </w:rPr>
            </w:pPr>
          </w:p>
        </w:tc>
        <w:tc>
          <w:tcPr>
            <w:tcW w:w="1541" w:type="pct"/>
            <w:shd w:val="clear" w:color="auto" w:fill="auto"/>
            <w:vAlign w:val="center"/>
          </w:tcPr>
          <w:p w14:paraId="4B6506D8">
            <w:pPr>
              <w:autoSpaceDE w:val="0"/>
              <w:autoSpaceDN w:val="0"/>
              <w:ind w:left="105" w:leftChars="50" w:right="105" w:rightChars="50"/>
              <w:jc w:val="center"/>
              <w:rPr>
                <w:rFonts w:ascii="Times New Roman" w:hAnsi="Times New Roman"/>
                <w:color w:val="000000" w:themeColor="text1"/>
                <w:sz w:val="21"/>
                <w:szCs w:val="21"/>
                <w:lang w:eastAsia="en-US"/>
              </w:rPr>
            </w:pPr>
            <w:r>
              <w:rPr>
                <w:rFonts w:ascii="Times New Roman" w:hAnsi="Times New Roman"/>
                <w:color w:val="000000" w:themeColor="text1"/>
                <w:sz w:val="21"/>
                <w:szCs w:val="21"/>
                <w:lang w:eastAsia="en-US"/>
              </w:rPr>
              <w:t>非甲烷总烃</w:t>
            </w:r>
          </w:p>
        </w:tc>
        <w:tc>
          <w:tcPr>
            <w:tcW w:w="1803" w:type="pct"/>
            <w:shd w:val="clear" w:color="auto" w:fill="auto"/>
            <w:vAlign w:val="center"/>
          </w:tcPr>
          <w:p w14:paraId="1F78F107">
            <w:pPr>
              <w:autoSpaceDE w:val="0"/>
              <w:autoSpaceDN w:val="0"/>
              <w:ind w:left="105" w:leftChars="50" w:right="105" w:rightChars="50"/>
              <w:jc w:val="center"/>
              <w:rPr>
                <w:rFonts w:ascii="Times New Roman" w:hAnsi="Times New Roman"/>
                <w:color w:val="000000" w:themeColor="text1"/>
                <w:sz w:val="21"/>
                <w:szCs w:val="21"/>
                <w:lang w:eastAsia="en-US"/>
              </w:rPr>
            </w:pPr>
            <w:r>
              <w:rPr>
                <w:rFonts w:ascii="Times New Roman" w:hAnsi="Times New Roman" w:eastAsia="等线"/>
                <w:color w:val="000000"/>
                <w:sz w:val="21"/>
                <w:szCs w:val="21"/>
                <w:lang w:eastAsia="en-US"/>
              </w:rPr>
              <w:t xml:space="preserve">0.0105 </w:t>
            </w:r>
          </w:p>
        </w:tc>
      </w:tr>
    </w:tbl>
    <w:p w14:paraId="0D9684A7">
      <w:pPr>
        <w:autoSpaceDE w:val="0"/>
        <w:autoSpaceDN w:val="0"/>
        <w:adjustRightInd w:val="0"/>
        <w:spacing w:line="360" w:lineRule="auto"/>
        <w:ind w:firstLine="480"/>
        <w:jc w:val="left"/>
        <w:rPr>
          <w:b/>
          <w:color w:val="000000" w:themeColor="text1"/>
          <w:sz w:val="24"/>
        </w:rPr>
      </w:pPr>
      <w:r>
        <w:rPr>
          <w:b/>
          <w:color w:val="000000" w:themeColor="text1"/>
          <w:sz w:val="24"/>
        </w:rPr>
        <w:t>3、项目大气污染物年排放量核算</w:t>
      </w:r>
    </w:p>
    <w:p w14:paraId="53316779">
      <w:pPr>
        <w:autoSpaceDE w:val="0"/>
        <w:autoSpaceDN w:val="0"/>
        <w:spacing w:before="135"/>
        <w:ind w:left="699"/>
        <w:jc w:val="left"/>
        <w:rPr>
          <w:color w:val="000000" w:themeColor="text1"/>
          <w:kern w:val="0"/>
          <w:sz w:val="24"/>
        </w:rPr>
      </w:pPr>
      <w:r>
        <w:rPr>
          <w:color w:val="000000" w:themeColor="text1"/>
          <w:kern w:val="0"/>
          <w:sz w:val="24"/>
        </w:rPr>
        <w:t xml:space="preserve">根据工程分析，项目污染物年排放量核算见表 </w:t>
      </w:r>
      <w:r>
        <w:rPr>
          <w:rFonts w:eastAsia="Times New Roman"/>
          <w:color w:val="000000" w:themeColor="text1"/>
          <w:kern w:val="0"/>
          <w:sz w:val="24"/>
        </w:rPr>
        <w:t>6.2-12</w:t>
      </w:r>
      <w:r>
        <w:rPr>
          <w:color w:val="000000" w:themeColor="text1"/>
          <w:kern w:val="0"/>
          <w:sz w:val="24"/>
        </w:rPr>
        <w:t>。</w:t>
      </w:r>
    </w:p>
    <w:p w14:paraId="1AE93CD2">
      <w:pPr>
        <w:adjustRightInd w:val="0"/>
        <w:snapToGrid w:val="0"/>
        <w:jc w:val="center"/>
        <w:rPr>
          <w:b/>
          <w:color w:val="000000" w:themeColor="text1"/>
          <w:sz w:val="24"/>
        </w:rPr>
      </w:pPr>
      <w:r>
        <w:rPr>
          <w:b/>
          <w:color w:val="000000" w:themeColor="text1"/>
          <w:sz w:val="24"/>
        </w:rPr>
        <w:t>表 6.2-12  项目大气污染物年排放量核算表</w:t>
      </w:r>
    </w:p>
    <w:tbl>
      <w:tblPr>
        <w:tblStyle w:val="29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981"/>
        <w:gridCol w:w="4659"/>
      </w:tblGrid>
      <w:tr w14:paraId="6A039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2304" w:type="pct"/>
            <w:shd w:val="clear" w:color="auto" w:fill="auto"/>
            <w:vAlign w:val="center"/>
          </w:tcPr>
          <w:p w14:paraId="61910E17">
            <w:pPr>
              <w:autoSpaceDE w:val="0"/>
              <w:autoSpaceDN w:val="0"/>
              <w:ind w:left="65" w:right="65"/>
              <w:jc w:val="center"/>
              <w:rPr>
                <w:rFonts w:ascii="Times New Roman" w:hAnsi="Times New Roman"/>
                <w:b/>
                <w:color w:val="000000" w:themeColor="text1"/>
                <w:kern w:val="0"/>
                <w:sz w:val="21"/>
                <w:szCs w:val="21"/>
                <w:lang w:eastAsia="en-US"/>
              </w:rPr>
            </w:pPr>
            <w:r>
              <w:rPr>
                <w:rFonts w:ascii="Times New Roman" w:hAnsi="Times New Roman"/>
                <w:b/>
                <w:color w:val="000000" w:themeColor="text1"/>
                <w:kern w:val="0"/>
                <w:sz w:val="21"/>
                <w:szCs w:val="21"/>
                <w:lang w:eastAsia="en-US"/>
              </w:rPr>
              <w:t>污染物</w:t>
            </w:r>
          </w:p>
        </w:tc>
        <w:tc>
          <w:tcPr>
            <w:tcW w:w="2696" w:type="pct"/>
            <w:shd w:val="clear" w:color="auto" w:fill="auto"/>
            <w:vAlign w:val="center"/>
          </w:tcPr>
          <w:p w14:paraId="76AD554E">
            <w:pPr>
              <w:autoSpaceDE w:val="0"/>
              <w:autoSpaceDN w:val="0"/>
              <w:ind w:left="552" w:right="552"/>
              <w:jc w:val="center"/>
              <w:rPr>
                <w:rFonts w:ascii="Times New Roman" w:hAnsi="Times New Roman"/>
                <w:b/>
                <w:color w:val="000000" w:themeColor="text1"/>
                <w:kern w:val="0"/>
                <w:sz w:val="21"/>
                <w:szCs w:val="21"/>
                <w:lang w:eastAsia="en-US"/>
              </w:rPr>
            </w:pPr>
            <w:r>
              <w:rPr>
                <w:rFonts w:ascii="Times New Roman" w:hAnsi="Times New Roman"/>
                <w:b/>
                <w:color w:val="000000" w:themeColor="text1"/>
                <w:kern w:val="0"/>
                <w:sz w:val="21"/>
                <w:szCs w:val="21"/>
                <w:lang w:eastAsia="en-US"/>
              </w:rPr>
              <w:t>核算年排放量（</w:t>
            </w:r>
            <w:r>
              <w:rPr>
                <w:rFonts w:ascii="Times New Roman" w:hAnsi="Times New Roman" w:eastAsia="Times New Roman"/>
                <w:b/>
                <w:color w:val="000000" w:themeColor="text1"/>
                <w:kern w:val="0"/>
                <w:sz w:val="21"/>
                <w:szCs w:val="21"/>
                <w:lang w:eastAsia="en-US"/>
              </w:rPr>
              <w:t>t/a</w:t>
            </w:r>
            <w:r>
              <w:rPr>
                <w:rFonts w:ascii="Times New Roman" w:hAnsi="Times New Roman"/>
                <w:b/>
                <w:color w:val="000000" w:themeColor="text1"/>
                <w:kern w:val="0"/>
                <w:sz w:val="21"/>
                <w:szCs w:val="21"/>
                <w:lang w:eastAsia="en-US"/>
              </w:rPr>
              <w:t>）</w:t>
            </w:r>
          </w:p>
        </w:tc>
      </w:tr>
      <w:tr w14:paraId="0D6C5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2304" w:type="pct"/>
            <w:shd w:val="clear" w:color="auto" w:fill="auto"/>
            <w:vAlign w:val="center"/>
          </w:tcPr>
          <w:p w14:paraId="7871ADC0">
            <w:pPr>
              <w:autoSpaceDE w:val="0"/>
              <w:autoSpaceDN w:val="0"/>
              <w:spacing w:before="27"/>
              <w:ind w:left="65" w:right="65"/>
              <w:jc w:val="center"/>
              <w:rPr>
                <w:rFonts w:ascii="Times New Roman" w:hAnsi="Times New Roman"/>
                <w:color w:val="000000" w:themeColor="text1"/>
                <w:kern w:val="0"/>
                <w:sz w:val="21"/>
                <w:szCs w:val="21"/>
                <w:lang w:eastAsia="en-US"/>
              </w:rPr>
            </w:pPr>
            <w:r>
              <w:rPr>
                <w:rFonts w:ascii="Times New Roman" w:hAnsi="Times New Roman"/>
                <w:color w:val="000000" w:themeColor="text1"/>
                <w:sz w:val="21"/>
                <w:szCs w:val="21"/>
                <w:lang w:eastAsia="en-US"/>
              </w:rPr>
              <w:t>颗粒物</w:t>
            </w:r>
          </w:p>
        </w:tc>
        <w:tc>
          <w:tcPr>
            <w:tcW w:w="2696" w:type="pct"/>
            <w:shd w:val="clear" w:color="auto" w:fill="auto"/>
            <w:vAlign w:val="bottom"/>
          </w:tcPr>
          <w:p w14:paraId="4E35B4EB">
            <w:pPr>
              <w:autoSpaceDE w:val="0"/>
              <w:autoSpaceDN w:val="0"/>
              <w:ind w:left="105" w:leftChars="50" w:right="105" w:rightChars="50"/>
              <w:jc w:val="center"/>
              <w:rPr>
                <w:rFonts w:ascii="Times New Roman" w:hAnsi="Times New Roman"/>
                <w:color w:val="000000" w:themeColor="text1"/>
                <w:sz w:val="21"/>
                <w:szCs w:val="21"/>
                <w:lang w:eastAsia="en-US"/>
              </w:rPr>
            </w:pPr>
            <w:r>
              <w:rPr>
                <w:rFonts w:ascii="Times New Roman" w:hAnsi="Times New Roman"/>
                <w:color w:val="000000" w:themeColor="text1"/>
                <w:sz w:val="21"/>
                <w:szCs w:val="21"/>
                <w:lang w:eastAsia="zh-CN"/>
              </w:rPr>
              <w:t>0.0231</w:t>
            </w:r>
          </w:p>
        </w:tc>
      </w:tr>
      <w:tr w14:paraId="4C3D4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2304" w:type="pct"/>
            <w:shd w:val="clear" w:color="auto" w:fill="auto"/>
            <w:vAlign w:val="center"/>
          </w:tcPr>
          <w:p w14:paraId="4F9BD493">
            <w:pPr>
              <w:autoSpaceDE w:val="0"/>
              <w:autoSpaceDN w:val="0"/>
              <w:spacing w:before="27"/>
              <w:ind w:left="65" w:right="65"/>
              <w:jc w:val="center"/>
              <w:rPr>
                <w:rFonts w:ascii="Times New Roman" w:hAnsi="Times New Roman"/>
                <w:color w:val="000000" w:themeColor="text1"/>
                <w:kern w:val="0"/>
                <w:sz w:val="21"/>
                <w:szCs w:val="21"/>
                <w:lang w:eastAsia="en-US"/>
              </w:rPr>
            </w:pPr>
            <w:r>
              <w:rPr>
                <w:rFonts w:ascii="Times New Roman" w:hAnsi="Times New Roman"/>
                <w:color w:val="000000" w:themeColor="text1"/>
                <w:sz w:val="21"/>
                <w:szCs w:val="21"/>
                <w:lang w:eastAsia="en-US"/>
              </w:rPr>
              <w:t>非甲烷总烃</w:t>
            </w:r>
          </w:p>
        </w:tc>
        <w:tc>
          <w:tcPr>
            <w:tcW w:w="2696" w:type="pct"/>
            <w:shd w:val="clear" w:color="auto" w:fill="auto"/>
            <w:vAlign w:val="bottom"/>
          </w:tcPr>
          <w:p w14:paraId="035656DC">
            <w:pPr>
              <w:autoSpaceDE w:val="0"/>
              <w:autoSpaceDN w:val="0"/>
              <w:ind w:left="105" w:leftChars="50" w:right="105" w:rightChars="50"/>
              <w:jc w:val="center"/>
              <w:rPr>
                <w:rFonts w:ascii="Times New Roman" w:hAnsi="Times New Roman"/>
                <w:color w:val="000000" w:themeColor="text1"/>
                <w:sz w:val="21"/>
                <w:szCs w:val="21"/>
                <w:lang w:eastAsia="en-US"/>
              </w:rPr>
            </w:pPr>
            <w:r>
              <w:rPr>
                <w:rFonts w:ascii="Times New Roman" w:hAnsi="Times New Roman"/>
                <w:color w:val="000000" w:themeColor="text1"/>
                <w:sz w:val="21"/>
                <w:szCs w:val="21"/>
                <w:lang w:eastAsia="zh-CN"/>
              </w:rPr>
              <w:t>0.154</w:t>
            </w:r>
          </w:p>
        </w:tc>
      </w:tr>
    </w:tbl>
    <w:p w14:paraId="0BAA5515">
      <w:pPr>
        <w:pStyle w:val="105"/>
        <w:rPr>
          <w:rFonts w:cs="Times New Roman"/>
        </w:rPr>
      </w:pPr>
      <w:r>
        <w:rPr>
          <w:rFonts w:cs="Times New Roman"/>
        </w:rPr>
        <w:t>6.1.7自查表</w:t>
      </w:r>
    </w:p>
    <w:p w14:paraId="7BDA13F3">
      <w:pPr>
        <w:widowControl/>
        <w:jc w:val="center"/>
        <w:rPr>
          <w:b/>
          <w:kern w:val="0"/>
          <w:sz w:val="24"/>
        </w:rPr>
      </w:pPr>
      <w:r>
        <w:rPr>
          <w:b/>
          <w:kern w:val="0"/>
          <w:sz w:val="24"/>
        </w:rPr>
        <w:t>表 6.1-13  建设项目大气环影响评价自查表</w:t>
      </w:r>
    </w:p>
    <w:tbl>
      <w:tblPr>
        <w:tblStyle w:val="301"/>
        <w:tblW w:w="8662" w:type="dxa"/>
        <w:tblInd w:w="11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61"/>
        <w:gridCol w:w="1410"/>
        <w:gridCol w:w="913"/>
        <w:gridCol w:w="684"/>
        <w:gridCol w:w="116"/>
        <w:gridCol w:w="113"/>
        <w:gridCol w:w="913"/>
        <w:gridCol w:w="456"/>
        <w:gridCol w:w="786"/>
        <w:gridCol w:w="812"/>
        <w:gridCol w:w="39"/>
        <w:gridCol w:w="567"/>
        <w:gridCol w:w="79"/>
        <w:gridCol w:w="913"/>
      </w:tblGrid>
      <w:tr w14:paraId="54D2B9F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2271" w:type="dxa"/>
            <w:gridSpan w:val="2"/>
            <w:tcBorders>
              <w:bottom w:val="single" w:color="000000" w:sz="6" w:space="0"/>
              <w:right w:val="single" w:color="000000" w:sz="6" w:space="0"/>
            </w:tcBorders>
            <w:vAlign w:val="center"/>
          </w:tcPr>
          <w:p w14:paraId="171A1043">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工作内容</w:t>
            </w:r>
          </w:p>
        </w:tc>
        <w:tc>
          <w:tcPr>
            <w:tcW w:w="6391" w:type="dxa"/>
            <w:gridSpan w:val="12"/>
            <w:tcBorders>
              <w:left w:val="single" w:color="000000" w:sz="6" w:space="0"/>
              <w:bottom w:val="single" w:color="000000" w:sz="6" w:space="0"/>
            </w:tcBorders>
            <w:vAlign w:val="center"/>
          </w:tcPr>
          <w:p w14:paraId="4581D163">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自查项目</w:t>
            </w:r>
          </w:p>
        </w:tc>
      </w:tr>
      <w:tr w14:paraId="37AFC2E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restart"/>
            <w:tcBorders>
              <w:top w:val="single" w:color="000000" w:sz="6" w:space="0"/>
              <w:right w:val="single" w:color="000000" w:sz="6" w:space="0"/>
            </w:tcBorders>
            <w:vAlign w:val="center"/>
          </w:tcPr>
          <w:p w14:paraId="494EC413">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评价等级与范围</w:t>
            </w:r>
          </w:p>
        </w:tc>
        <w:tc>
          <w:tcPr>
            <w:tcW w:w="1410" w:type="dxa"/>
            <w:tcBorders>
              <w:top w:val="single" w:color="000000" w:sz="6" w:space="0"/>
              <w:left w:val="single" w:color="000000" w:sz="6" w:space="0"/>
              <w:bottom w:val="single" w:color="000000" w:sz="6" w:space="0"/>
              <w:right w:val="single" w:color="000000" w:sz="6" w:space="0"/>
            </w:tcBorders>
            <w:vAlign w:val="center"/>
          </w:tcPr>
          <w:p w14:paraId="64346E61">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评价等级</w:t>
            </w:r>
          </w:p>
        </w:tc>
        <w:tc>
          <w:tcPr>
            <w:tcW w:w="1713" w:type="dxa"/>
            <w:gridSpan w:val="3"/>
            <w:tcBorders>
              <w:top w:val="single" w:color="000000" w:sz="6" w:space="0"/>
              <w:left w:val="single" w:color="000000" w:sz="6" w:space="0"/>
              <w:bottom w:val="single" w:color="000000" w:sz="6" w:space="0"/>
              <w:right w:val="single" w:color="000000" w:sz="6" w:space="0"/>
            </w:tcBorders>
            <w:vAlign w:val="center"/>
          </w:tcPr>
          <w:p w14:paraId="53BBCD6B">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一级□</w:t>
            </w:r>
          </w:p>
        </w:tc>
        <w:tc>
          <w:tcPr>
            <w:tcW w:w="2268" w:type="dxa"/>
            <w:gridSpan w:val="4"/>
            <w:tcBorders>
              <w:top w:val="single" w:color="000000" w:sz="6" w:space="0"/>
              <w:left w:val="single" w:color="000000" w:sz="6" w:space="0"/>
              <w:bottom w:val="single" w:color="000000" w:sz="6" w:space="0"/>
              <w:right w:val="single" w:color="000000" w:sz="6" w:space="0"/>
            </w:tcBorders>
            <w:vAlign w:val="center"/>
          </w:tcPr>
          <w:p w14:paraId="498272BF">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二级</w:t>
            </w:r>
            <w:r>
              <w:rPr>
                <w:rFonts w:ascii="Times New Roman" w:hAnsi="Times New Roman"/>
                <w:spacing w:val="-3"/>
                <w:kern w:val="0"/>
                <w:sz w:val="21"/>
                <w:szCs w:val="21"/>
                <w:lang w:eastAsia="zh-CN"/>
              </w:rPr>
              <w:t>√</w:t>
            </w:r>
          </w:p>
        </w:tc>
        <w:tc>
          <w:tcPr>
            <w:tcW w:w="2410" w:type="dxa"/>
            <w:gridSpan w:val="5"/>
            <w:tcBorders>
              <w:top w:val="single" w:color="000000" w:sz="6" w:space="0"/>
              <w:left w:val="single" w:color="000000" w:sz="6" w:space="0"/>
              <w:bottom w:val="single" w:color="000000" w:sz="6" w:space="0"/>
            </w:tcBorders>
            <w:vAlign w:val="center"/>
          </w:tcPr>
          <w:p w14:paraId="17C6D5D4">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三级□</w:t>
            </w:r>
          </w:p>
        </w:tc>
      </w:tr>
      <w:tr w14:paraId="2DBB42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continue"/>
            <w:tcBorders>
              <w:bottom w:val="single" w:color="000000" w:sz="6" w:space="0"/>
              <w:right w:val="single" w:color="000000" w:sz="6" w:space="0"/>
            </w:tcBorders>
            <w:vAlign w:val="center"/>
          </w:tcPr>
          <w:p w14:paraId="79366BCC">
            <w:pPr>
              <w:autoSpaceDE w:val="0"/>
              <w:autoSpaceDN w:val="0"/>
              <w:jc w:val="center"/>
              <w:rPr>
                <w:rFonts w:ascii="Times New Roman" w:hAnsi="Times New Roman"/>
                <w:kern w:val="0"/>
                <w:sz w:val="21"/>
                <w:szCs w:val="21"/>
                <w:lang w:eastAsia="en-US"/>
              </w:rPr>
            </w:pPr>
          </w:p>
        </w:tc>
        <w:tc>
          <w:tcPr>
            <w:tcW w:w="1410" w:type="dxa"/>
            <w:tcBorders>
              <w:top w:val="single" w:color="000000" w:sz="6" w:space="0"/>
              <w:left w:val="single" w:color="000000" w:sz="6" w:space="0"/>
              <w:bottom w:val="single" w:color="000000" w:sz="6" w:space="0"/>
              <w:right w:val="single" w:color="000000" w:sz="6" w:space="0"/>
            </w:tcBorders>
            <w:vAlign w:val="center"/>
          </w:tcPr>
          <w:p w14:paraId="5678E10F">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评价范围</w:t>
            </w:r>
          </w:p>
        </w:tc>
        <w:tc>
          <w:tcPr>
            <w:tcW w:w="1713" w:type="dxa"/>
            <w:gridSpan w:val="3"/>
            <w:tcBorders>
              <w:top w:val="single" w:color="000000" w:sz="6" w:space="0"/>
              <w:left w:val="single" w:color="000000" w:sz="6" w:space="0"/>
              <w:bottom w:val="single" w:color="000000" w:sz="6" w:space="0"/>
              <w:right w:val="single" w:color="000000" w:sz="6" w:space="0"/>
            </w:tcBorders>
            <w:vAlign w:val="center"/>
          </w:tcPr>
          <w:p w14:paraId="0E46C279">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边长=50km□</w:t>
            </w:r>
          </w:p>
        </w:tc>
        <w:tc>
          <w:tcPr>
            <w:tcW w:w="2268" w:type="dxa"/>
            <w:gridSpan w:val="4"/>
            <w:tcBorders>
              <w:top w:val="single" w:color="000000" w:sz="6" w:space="0"/>
              <w:left w:val="single" w:color="000000" w:sz="6" w:space="0"/>
              <w:bottom w:val="single" w:color="000000" w:sz="6" w:space="0"/>
              <w:right w:val="single" w:color="000000" w:sz="6" w:space="0"/>
            </w:tcBorders>
            <w:vAlign w:val="center"/>
          </w:tcPr>
          <w:p w14:paraId="6410F126">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边长 5～50km□</w:t>
            </w:r>
          </w:p>
        </w:tc>
        <w:tc>
          <w:tcPr>
            <w:tcW w:w="2410" w:type="dxa"/>
            <w:gridSpan w:val="5"/>
            <w:tcBorders>
              <w:top w:val="single" w:color="000000" w:sz="6" w:space="0"/>
              <w:left w:val="single" w:color="000000" w:sz="6" w:space="0"/>
              <w:bottom w:val="single" w:color="000000" w:sz="6" w:space="0"/>
            </w:tcBorders>
            <w:vAlign w:val="center"/>
          </w:tcPr>
          <w:p w14:paraId="54384218">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边长=5 km</w:t>
            </w:r>
            <w:r>
              <w:rPr>
                <w:rFonts w:ascii="Times New Roman" w:hAnsi="Times New Roman"/>
                <w:spacing w:val="-3"/>
                <w:kern w:val="0"/>
                <w:sz w:val="21"/>
                <w:szCs w:val="21"/>
                <w:lang w:eastAsia="zh-CN"/>
              </w:rPr>
              <w:t>√</w:t>
            </w:r>
          </w:p>
        </w:tc>
      </w:tr>
      <w:tr w14:paraId="5CFB37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restart"/>
            <w:tcBorders>
              <w:top w:val="single" w:color="000000" w:sz="6" w:space="0"/>
              <w:right w:val="single" w:color="000000" w:sz="6" w:space="0"/>
            </w:tcBorders>
            <w:vAlign w:val="center"/>
          </w:tcPr>
          <w:p w14:paraId="052BEC2F">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评价因子</w:t>
            </w:r>
          </w:p>
        </w:tc>
        <w:tc>
          <w:tcPr>
            <w:tcW w:w="1410" w:type="dxa"/>
            <w:tcBorders>
              <w:top w:val="single" w:color="000000" w:sz="6" w:space="0"/>
              <w:left w:val="single" w:color="000000" w:sz="6" w:space="0"/>
              <w:bottom w:val="single" w:color="000000" w:sz="6" w:space="0"/>
              <w:right w:val="single" w:color="000000" w:sz="6" w:space="0"/>
            </w:tcBorders>
            <w:vAlign w:val="center"/>
          </w:tcPr>
          <w:p w14:paraId="640B171E">
            <w:pPr>
              <w:autoSpaceDE w:val="0"/>
              <w:autoSpaceDN w:val="0"/>
              <w:jc w:val="center"/>
              <w:rPr>
                <w:rFonts w:ascii="Times New Roman" w:hAnsi="Times New Roman"/>
                <w:kern w:val="0"/>
                <w:sz w:val="21"/>
                <w:szCs w:val="21"/>
                <w:lang w:eastAsia="en-US"/>
              </w:rPr>
            </w:pPr>
            <w:r>
              <w:rPr>
                <w:rFonts w:ascii="Times New Roman" w:hAnsi="Times New Roman"/>
                <w:kern w:val="0"/>
                <w:position w:val="1"/>
                <w:sz w:val="21"/>
                <w:szCs w:val="21"/>
                <w:lang w:eastAsia="en-US"/>
              </w:rPr>
              <w:t>SO</w:t>
            </w:r>
            <w:r>
              <w:rPr>
                <w:rFonts w:ascii="Times New Roman" w:hAnsi="Times New Roman"/>
                <w:kern w:val="0"/>
                <w:sz w:val="21"/>
                <w:szCs w:val="21"/>
                <w:vertAlign w:val="subscript"/>
                <w:lang w:eastAsia="en-US"/>
              </w:rPr>
              <w:t>2</w:t>
            </w:r>
            <w:r>
              <w:rPr>
                <w:rFonts w:ascii="Times New Roman" w:hAnsi="Times New Roman"/>
                <w:kern w:val="0"/>
                <w:sz w:val="21"/>
                <w:szCs w:val="21"/>
                <w:lang w:eastAsia="en-US"/>
              </w:rPr>
              <w:t xml:space="preserve"> </w:t>
            </w:r>
            <w:r>
              <w:rPr>
                <w:rFonts w:ascii="Times New Roman" w:hAnsi="Times New Roman"/>
                <w:kern w:val="0"/>
                <w:position w:val="1"/>
                <w:sz w:val="21"/>
                <w:szCs w:val="21"/>
                <w:lang w:eastAsia="en-US"/>
              </w:rPr>
              <w:t>+NO</w:t>
            </w:r>
            <w:r>
              <w:rPr>
                <w:rFonts w:ascii="Times New Roman" w:hAnsi="Times New Roman"/>
                <w:kern w:val="0"/>
                <w:sz w:val="21"/>
                <w:szCs w:val="21"/>
                <w:lang w:eastAsia="en-US"/>
              </w:rPr>
              <w:t xml:space="preserve">x </w:t>
            </w:r>
            <w:r>
              <w:rPr>
                <w:rFonts w:ascii="Times New Roman" w:hAnsi="Times New Roman"/>
                <w:kern w:val="0"/>
                <w:position w:val="1"/>
                <w:sz w:val="21"/>
                <w:szCs w:val="21"/>
                <w:lang w:eastAsia="en-US"/>
              </w:rPr>
              <w:t>排放量</w:t>
            </w:r>
          </w:p>
        </w:tc>
        <w:tc>
          <w:tcPr>
            <w:tcW w:w="1713" w:type="dxa"/>
            <w:gridSpan w:val="3"/>
            <w:tcBorders>
              <w:top w:val="single" w:color="000000" w:sz="6" w:space="0"/>
              <w:left w:val="single" w:color="000000" w:sz="6" w:space="0"/>
              <w:bottom w:val="single" w:color="000000" w:sz="6" w:space="0"/>
              <w:right w:val="single" w:color="000000" w:sz="6" w:space="0"/>
            </w:tcBorders>
            <w:vAlign w:val="center"/>
          </w:tcPr>
          <w:p w14:paraId="1B1D9F05">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 2000t/a□</w:t>
            </w:r>
          </w:p>
        </w:tc>
        <w:tc>
          <w:tcPr>
            <w:tcW w:w="2268" w:type="dxa"/>
            <w:gridSpan w:val="4"/>
            <w:tcBorders>
              <w:top w:val="single" w:color="000000" w:sz="6" w:space="0"/>
              <w:left w:val="single" w:color="000000" w:sz="6" w:space="0"/>
              <w:bottom w:val="single" w:color="000000" w:sz="6" w:space="0"/>
              <w:right w:val="single" w:color="000000" w:sz="6" w:space="0"/>
            </w:tcBorders>
            <w:vAlign w:val="center"/>
          </w:tcPr>
          <w:p w14:paraId="639CDA00">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500 ~ 2000t/a□</w:t>
            </w:r>
          </w:p>
        </w:tc>
        <w:tc>
          <w:tcPr>
            <w:tcW w:w="2410" w:type="dxa"/>
            <w:gridSpan w:val="5"/>
            <w:tcBorders>
              <w:top w:val="single" w:color="000000" w:sz="6" w:space="0"/>
              <w:left w:val="single" w:color="000000" w:sz="6" w:space="0"/>
              <w:bottom w:val="single" w:color="000000" w:sz="6" w:space="0"/>
            </w:tcBorders>
            <w:vAlign w:val="center"/>
          </w:tcPr>
          <w:p w14:paraId="226BF66B">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＜500 t/a</w:t>
            </w:r>
            <w:r>
              <w:rPr>
                <w:rFonts w:ascii="Times New Roman" w:hAnsi="Times New Roman"/>
                <w:spacing w:val="-3"/>
                <w:kern w:val="0"/>
                <w:sz w:val="21"/>
                <w:szCs w:val="21"/>
                <w:lang w:eastAsia="zh-CN"/>
              </w:rPr>
              <w:t>√</w:t>
            </w:r>
          </w:p>
        </w:tc>
      </w:tr>
      <w:tr w14:paraId="48B327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continue"/>
            <w:tcBorders>
              <w:bottom w:val="single" w:color="000000" w:sz="6" w:space="0"/>
              <w:right w:val="single" w:color="000000" w:sz="6" w:space="0"/>
            </w:tcBorders>
            <w:vAlign w:val="center"/>
          </w:tcPr>
          <w:p w14:paraId="4C75EA88">
            <w:pPr>
              <w:autoSpaceDE w:val="0"/>
              <w:autoSpaceDN w:val="0"/>
              <w:jc w:val="center"/>
              <w:rPr>
                <w:rFonts w:ascii="Times New Roman" w:hAnsi="Times New Roman"/>
                <w:kern w:val="0"/>
                <w:sz w:val="21"/>
                <w:szCs w:val="21"/>
                <w:lang w:eastAsia="en-US"/>
              </w:rPr>
            </w:pPr>
          </w:p>
        </w:tc>
        <w:tc>
          <w:tcPr>
            <w:tcW w:w="1410" w:type="dxa"/>
            <w:tcBorders>
              <w:top w:val="single" w:color="000000" w:sz="6" w:space="0"/>
              <w:left w:val="single" w:color="000000" w:sz="6" w:space="0"/>
              <w:bottom w:val="single" w:color="000000" w:sz="6" w:space="0"/>
              <w:right w:val="single" w:color="000000" w:sz="6" w:space="0"/>
            </w:tcBorders>
            <w:vAlign w:val="center"/>
          </w:tcPr>
          <w:p w14:paraId="088BFD04">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评价因子</w:t>
            </w:r>
          </w:p>
        </w:tc>
        <w:tc>
          <w:tcPr>
            <w:tcW w:w="3981" w:type="dxa"/>
            <w:gridSpan w:val="7"/>
            <w:tcBorders>
              <w:top w:val="single" w:color="000000" w:sz="6" w:space="0"/>
              <w:left w:val="single" w:color="000000" w:sz="6" w:space="0"/>
              <w:bottom w:val="single" w:color="000000" w:sz="6" w:space="0"/>
              <w:right w:val="single" w:color="000000" w:sz="6" w:space="0"/>
            </w:tcBorders>
            <w:vAlign w:val="center"/>
          </w:tcPr>
          <w:p w14:paraId="382EB91C">
            <w:pPr>
              <w:tabs>
                <w:tab w:val="left" w:pos="3065"/>
              </w:tabs>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基本污染物</w:t>
            </w:r>
            <w:r>
              <w:rPr>
                <w:rFonts w:ascii="Times New Roman" w:hAnsi="Times New Roman"/>
                <w:spacing w:val="1"/>
                <w:kern w:val="0"/>
                <w:sz w:val="21"/>
                <w:szCs w:val="21"/>
                <w:lang w:eastAsia="zh-CN"/>
              </w:rPr>
              <w:t xml:space="preserve"> </w:t>
            </w:r>
            <w:r>
              <w:rPr>
                <w:rFonts w:ascii="Times New Roman" w:hAnsi="Times New Roman"/>
                <w:kern w:val="0"/>
                <w:sz w:val="21"/>
                <w:szCs w:val="21"/>
                <w:lang w:eastAsia="zh-CN"/>
              </w:rPr>
              <w:t>(无)</w:t>
            </w:r>
          </w:p>
          <w:p w14:paraId="749EC60C">
            <w:pPr>
              <w:tabs>
                <w:tab w:val="left" w:pos="3065"/>
              </w:tabs>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其他污染物</w:t>
            </w:r>
            <w:r>
              <w:rPr>
                <w:rFonts w:ascii="Times New Roman" w:hAnsi="Times New Roman"/>
                <w:spacing w:val="1"/>
                <w:kern w:val="0"/>
                <w:sz w:val="21"/>
                <w:szCs w:val="21"/>
                <w:lang w:eastAsia="zh-CN"/>
              </w:rPr>
              <w:t xml:space="preserve"> </w:t>
            </w:r>
            <w:r>
              <w:rPr>
                <w:rFonts w:ascii="Times New Roman" w:hAnsi="Times New Roman"/>
                <w:kern w:val="0"/>
                <w:sz w:val="21"/>
                <w:szCs w:val="21"/>
                <w:lang w:eastAsia="zh-CN"/>
              </w:rPr>
              <w:t>(TSP、非甲烷总烃)</w:t>
            </w:r>
          </w:p>
        </w:tc>
        <w:tc>
          <w:tcPr>
            <w:tcW w:w="2410" w:type="dxa"/>
            <w:gridSpan w:val="5"/>
            <w:tcBorders>
              <w:top w:val="single" w:color="000000" w:sz="6" w:space="0"/>
              <w:left w:val="single" w:color="000000" w:sz="6" w:space="0"/>
              <w:bottom w:val="single" w:color="000000" w:sz="6" w:space="0"/>
            </w:tcBorders>
            <w:vAlign w:val="center"/>
          </w:tcPr>
          <w:p w14:paraId="431B9549">
            <w:pPr>
              <w:autoSpaceDE w:val="0"/>
              <w:autoSpaceDN w:val="0"/>
              <w:jc w:val="center"/>
              <w:rPr>
                <w:rFonts w:ascii="Times New Roman" w:hAnsi="Times New Roman"/>
                <w:kern w:val="0"/>
                <w:sz w:val="21"/>
                <w:szCs w:val="21"/>
                <w:lang w:eastAsia="en-US"/>
              </w:rPr>
            </w:pPr>
            <w:r>
              <w:rPr>
                <w:rFonts w:ascii="Times New Roman" w:hAnsi="Times New Roman"/>
                <w:kern w:val="0"/>
                <w:position w:val="1"/>
                <w:sz w:val="21"/>
                <w:szCs w:val="21"/>
                <w:lang w:eastAsia="en-US"/>
              </w:rPr>
              <w:t>包括二次PM</w:t>
            </w:r>
            <w:r>
              <w:rPr>
                <w:rFonts w:ascii="Times New Roman" w:hAnsi="Times New Roman"/>
                <w:kern w:val="0"/>
                <w:sz w:val="21"/>
                <w:szCs w:val="21"/>
                <w:lang w:eastAsia="en-US"/>
              </w:rPr>
              <w:t>2.5</w:t>
            </w:r>
            <w:r>
              <w:rPr>
                <w:rFonts w:ascii="Times New Roman" w:hAnsi="Times New Roman"/>
                <w:kern w:val="0"/>
                <w:position w:val="1"/>
                <w:sz w:val="21"/>
                <w:szCs w:val="21"/>
                <w:lang w:eastAsia="en-US"/>
              </w:rPr>
              <w:t>□</w:t>
            </w:r>
          </w:p>
          <w:p w14:paraId="3B01E834">
            <w:pPr>
              <w:autoSpaceDE w:val="0"/>
              <w:autoSpaceDN w:val="0"/>
              <w:jc w:val="center"/>
              <w:rPr>
                <w:rFonts w:ascii="Times New Roman" w:hAnsi="Times New Roman"/>
                <w:kern w:val="0"/>
                <w:sz w:val="21"/>
                <w:szCs w:val="21"/>
                <w:lang w:eastAsia="en-US"/>
              </w:rPr>
            </w:pPr>
            <w:r>
              <w:rPr>
                <w:rFonts w:ascii="Times New Roman" w:hAnsi="Times New Roman"/>
                <w:kern w:val="0"/>
                <w:position w:val="1"/>
                <w:sz w:val="21"/>
                <w:szCs w:val="21"/>
                <w:lang w:eastAsia="en-US"/>
              </w:rPr>
              <w:t>不包括二次PM</w:t>
            </w:r>
            <w:r>
              <w:rPr>
                <w:rFonts w:ascii="Times New Roman" w:hAnsi="Times New Roman"/>
                <w:kern w:val="0"/>
                <w:sz w:val="21"/>
                <w:szCs w:val="21"/>
                <w:lang w:eastAsia="en-US"/>
              </w:rPr>
              <w:t>2.5</w:t>
            </w:r>
            <w:r>
              <w:rPr>
                <w:rFonts w:ascii="Times New Roman" w:hAnsi="Times New Roman"/>
                <w:spacing w:val="-3"/>
                <w:kern w:val="0"/>
                <w:sz w:val="21"/>
                <w:szCs w:val="21"/>
                <w:lang w:eastAsia="zh-CN"/>
              </w:rPr>
              <w:t>√</w:t>
            </w:r>
          </w:p>
        </w:tc>
      </w:tr>
      <w:tr w14:paraId="0FCF501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tcBorders>
              <w:top w:val="single" w:color="000000" w:sz="6" w:space="0"/>
              <w:bottom w:val="single" w:color="000000" w:sz="6" w:space="0"/>
              <w:right w:val="single" w:color="000000" w:sz="6" w:space="0"/>
            </w:tcBorders>
            <w:vAlign w:val="center"/>
          </w:tcPr>
          <w:p w14:paraId="00F891FE">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评价标准</w:t>
            </w:r>
          </w:p>
        </w:tc>
        <w:tc>
          <w:tcPr>
            <w:tcW w:w="1410" w:type="dxa"/>
            <w:tcBorders>
              <w:top w:val="single" w:color="000000" w:sz="6" w:space="0"/>
              <w:left w:val="single" w:color="000000" w:sz="6" w:space="0"/>
              <w:bottom w:val="single" w:color="000000" w:sz="6" w:space="0"/>
              <w:right w:val="single" w:color="000000" w:sz="6" w:space="0"/>
            </w:tcBorders>
            <w:vAlign w:val="center"/>
          </w:tcPr>
          <w:p w14:paraId="3D65D94E">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评价标准</w:t>
            </w:r>
          </w:p>
        </w:tc>
        <w:tc>
          <w:tcPr>
            <w:tcW w:w="1713" w:type="dxa"/>
            <w:gridSpan w:val="3"/>
            <w:tcBorders>
              <w:top w:val="single" w:color="000000" w:sz="6" w:space="0"/>
              <w:left w:val="single" w:color="000000" w:sz="6" w:space="0"/>
              <w:bottom w:val="single" w:color="000000" w:sz="6" w:space="0"/>
              <w:right w:val="single" w:color="000000" w:sz="6" w:space="0"/>
            </w:tcBorders>
            <w:vAlign w:val="center"/>
          </w:tcPr>
          <w:p w14:paraId="3AFF820E">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国家标准</w:t>
            </w:r>
            <w:r>
              <w:rPr>
                <w:rFonts w:ascii="Times New Roman" w:hAnsi="Times New Roman"/>
                <w:spacing w:val="-3"/>
                <w:kern w:val="0"/>
                <w:sz w:val="21"/>
                <w:szCs w:val="21"/>
                <w:lang w:eastAsia="zh-CN"/>
              </w:rPr>
              <w:t>√</w:t>
            </w:r>
          </w:p>
        </w:tc>
        <w:tc>
          <w:tcPr>
            <w:tcW w:w="2268" w:type="dxa"/>
            <w:gridSpan w:val="4"/>
            <w:tcBorders>
              <w:top w:val="single" w:color="000000" w:sz="6" w:space="0"/>
              <w:left w:val="single" w:color="000000" w:sz="6" w:space="0"/>
              <w:bottom w:val="single" w:color="000000" w:sz="6" w:space="0"/>
              <w:right w:val="single" w:color="000000" w:sz="6" w:space="0"/>
            </w:tcBorders>
            <w:vAlign w:val="center"/>
          </w:tcPr>
          <w:p w14:paraId="1A998922">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地方标准 □</w:t>
            </w:r>
          </w:p>
        </w:tc>
        <w:tc>
          <w:tcPr>
            <w:tcW w:w="1418" w:type="dxa"/>
            <w:gridSpan w:val="3"/>
            <w:tcBorders>
              <w:top w:val="single" w:color="000000" w:sz="6" w:space="0"/>
              <w:left w:val="single" w:color="000000" w:sz="6" w:space="0"/>
              <w:bottom w:val="single" w:color="000000" w:sz="6" w:space="0"/>
              <w:right w:val="single" w:color="000000" w:sz="6" w:space="0"/>
            </w:tcBorders>
            <w:vAlign w:val="center"/>
          </w:tcPr>
          <w:p w14:paraId="00FDD6CC">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 xml:space="preserve">附录 D </w:t>
            </w:r>
            <w:r>
              <w:rPr>
                <w:rFonts w:ascii="Times New Roman" w:hAnsi="Times New Roman"/>
                <w:spacing w:val="-3"/>
                <w:kern w:val="0"/>
                <w:sz w:val="21"/>
                <w:szCs w:val="21"/>
                <w:lang w:eastAsia="zh-CN"/>
              </w:rPr>
              <w:t>√</w:t>
            </w:r>
          </w:p>
        </w:tc>
        <w:tc>
          <w:tcPr>
            <w:tcW w:w="992" w:type="dxa"/>
            <w:gridSpan w:val="2"/>
            <w:tcBorders>
              <w:top w:val="single" w:color="000000" w:sz="6" w:space="0"/>
              <w:left w:val="single" w:color="000000" w:sz="6" w:space="0"/>
              <w:bottom w:val="single" w:color="000000" w:sz="6" w:space="0"/>
            </w:tcBorders>
            <w:vAlign w:val="center"/>
          </w:tcPr>
          <w:p w14:paraId="7996E628">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其他标准 □</w:t>
            </w:r>
          </w:p>
        </w:tc>
      </w:tr>
      <w:tr w14:paraId="3F500CB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restart"/>
            <w:tcBorders>
              <w:top w:val="single" w:color="000000" w:sz="6" w:space="0"/>
              <w:right w:val="single" w:color="000000" w:sz="6" w:space="0"/>
            </w:tcBorders>
            <w:vAlign w:val="center"/>
          </w:tcPr>
          <w:p w14:paraId="40A7C904">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现状评价</w:t>
            </w:r>
          </w:p>
        </w:tc>
        <w:tc>
          <w:tcPr>
            <w:tcW w:w="1410" w:type="dxa"/>
            <w:tcBorders>
              <w:top w:val="single" w:color="000000" w:sz="6" w:space="0"/>
              <w:left w:val="single" w:color="000000" w:sz="6" w:space="0"/>
              <w:bottom w:val="single" w:color="000000" w:sz="6" w:space="0"/>
              <w:right w:val="single" w:color="000000" w:sz="6" w:space="0"/>
            </w:tcBorders>
            <w:vAlign w:val="center"/>
          </w:tcPr>
          <w:p w14:paraId="5D372FB7">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环境功能区</w:t>
            </w:r>
          </w:p>
        </w:tc>
        <w:tc>
          <w:tcPr>
            <w:tcW w:w="1713" w:type="dxa"/>
            <w:gridSpan w:val="3"/>
            <w:tcBorders>
              <w:top w:val="single" w:color="000000" w:sz="6" w:space="0"/>
              <w:left w:val="single" w:color="000000" w:sz="6" w:space="0"/>
              <w:bottom w:val="single" w:color="000000" w:sz="6" w:space="0"/>
              <w:right w:val="single" w:color="000000" w:sz="6" w:space="0"/>
            </w:tcBorders>
            <w:vAlign w:val="center"/>
          </w:tcPr>
          <w:p w14:paraId="71F89AA1">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一类区□</w:t>
            </w:r>
          </w:p>
        </w:tc>
        <w:tc>
          <w:tcPr>
            <w:tcW w:w="2268" w:type="dxa"/>
            <w:gridSpan w:val="4"/>
            <w:tcBorders>
              <w:top w:val="single" w:color="000000" w:sz="6" w:space="0"/>
              <w:left w:val="single" w:color="000000" w:sz="6" w:space="0"/>
              <w:bottom w:val="single" w:color="000000" w:sz="6" w:space="0"/>
              <w:right w:val="single" w:color="000000" w:sz="6" w:space="0"/>
            </w:tcBorders>
            <w:vAlign w:val="center"/>
          </w:tcPr>
          <w:p w14:paraId="578DD5BB">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二类区</w:t>
            </w:r>
            <w:r>
              <w:rPr>
                <w:rFonts w:ascii="Times New Roman" w:hAnsi="Times New Roman"/>
                <w:spacing w:val="-3"/>
                <w:kern w:val="0"/>
                <w:sz w:val="21"/>
                <w:szCs w:val="21"/>
                <w:lang w:eastAsia="zh-CN"/>
              </w:rPr>
              <w:t>√</w:t>
            </w:r>
          </w:p>
        </w:tc>
        <w:tc>
          <w:tcPr>
            <w:tcW w:w="2410" w:type="dxa"/>
            <w:gridSpan w:val="5"/>
            <w:tcBorders>
              <w:top w:val="single" w:color="000000" w:sz="6" w:space="0"/>
              <w:left w:val="single" w:color="000000" w:sz="6" w:space="0"/>
              <w:bottom w:val="single" w:color="000000" w:sz="6" w:space="0"/>
            </w:tcBorders>
            <w:vAlign w:val="center"/>
          </w:tcPr>
          <w:p w14:paraId="7A279A6D">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一类区和二类区□</w:t>
            </w:r>
          </w:p>
        </w:tc>
      </w:tr>
      <w:tr w14:paraId="3FE227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continue"/>
            <w:tcBorders>
              <w:right w:val="single" w:color="000000" w:sz="6" w:space="0"/>
            </w:tcBorders>
            <w:vAlign w:val="center"/>
          </w:tcPr>
          <w:p w14:paraId="452277C0">
            <w:pPr>
              <w:autoSpaceDE w:val="0"/>
              <w:autoSpaceDN w:val="0"/>
              <w:jc w:val="center"/>
              <w:rPr>
                <w:rFonts w:ascii="Times New Roman" w:hAnsi="Times New Roman"/>
                <w:kern w:val="0"/>
                <w:sz w:val="21"/>
                <w:szCs w:val="21"/>
                <w:lang w:eastAsia="en-US"/>
              </w:rPr>
            </w:pPr>
          </w:p>
        </w:tc>
        <w:tc>
          <w:tcPr>
            <w:tcW w:w="1410" w:type="dxa"/>
            <w:tcBorders>
              <w:top w:val="single" w:color="000000" w:sz="6" w:space="0"/>
              <w:left w:val="single" w:color="000000" w:sz="6" w:space="0"/>
              <w:bottom w:val="single" w:color="000000" w:sz="6" w:space="0"/>
              <w:right w:val="single" w:color="000000" w:sz="6" w:space="0"/>
            </w:tcBorders>
            <w:vAlign w:val="center"/>
          </w:tcPr>
          <w:p w14:paraId="0DA0CC29">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评价基准年</w:t>
            </w:r>
          </w:p>
        </w:tc>
        <w:tc>
          <w:tcPr>
            <w:tcW w:w="6391" w:type="dxa"/>
            <w:gridSpan w:val="12"/>
            <w:tcBorders>
              <w:top w:val="single" w:color="000000" w:sz="6" w:space="0"/>
              <w:left w:val="single" w:color="000000" w:sz="6" w:space="0"/>
              <w:bottom w:val="single" w:color="000000" w:sz="6" w:space="0"/>
            </w:tcBorders>
            <w:vAlign w:val="center"/>
          </w:tcPr>
          <w:p w14:paraId="71B50872">
            <w:pPr>
              <w:tabs>
                <w:tab w:val="left" w:pos="642"/>
              </w:tabs>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w:t>
            </w:r>
            <w:r>
              <w:rPr>
                <w:rFonts w:ascii="Times New Roman" w:hAnsi="Times New Roman"/>
                <w:kern w:val="0"/>
                <w:sz w:val="21"/>
                <w:szCs w:val="21"/>
                <w:lang w:eastAsia="zh-CN"/>
              </w:rPr>
              <w:t>2018</w:t>
            </w:r>
            <w:r>
              <w:rPr>
                <w:rFonts w:ascii="Times New Roman" w:hAnsi="Times New Roman"/>
                <w:kern w:val="0"/>
                <w:sz w:val="21"/>
                <w:szCs w:val="21"/>
                <w:lang w:eastAsia="en-US"/>
              </w:rPr>
              <w:t>）年</w:t>
            </w:r>
          </w:p>
        </w:tc>
      </w:tr>
      <w:tr w14:paraId="230E5DB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continue"/>
            <w:tcBorders>
              <w:right w:val="single" w:color="000000" w:sz="6" w:space="0"/>
            </w:tcBorders>
            <w:vAlign w:val="center"/>
          </w:tcPr>
          <w:p w14:paraId="02D3A406">
            <w:pPr>
              <w:autoSpaceDE w:val="0"/>
              <w:autoSpaceDN w:val="0"/>
              <w:jc w:val="center"/>
              <w:rPr>
                <w:rFonts w:ascii="Times New Roman" w:hAnsi="Times New Roman"/>
                <w:kern w:val="0"/>
                <w:sz w:val="21"/>
                <w:szCs w:val="21"/>
                <w:lang w:eastAsia="en-US"/>
              </w:rPr>
            </w:pPr>
          </w:p>
        </w:tc>
        <w:tc>
          <w:tcPr>
            <w:tcW w:w="1410" w:type="dxa"/>
            <w:tcBorders>
              <w:top w:val="single" w:color="000000" w:sz="6" w:space="0"/>
              <w:left w:val="single" w:color="000000" w:sz="6" w:space="0"/>
              <w:bottom w:val="single" w:color="000000" w:sz="6" w:space="0"/>
              <w:right w:val="single" w:color="000000" w:sz="6" w:space="0"/>
            </w:tcBorders>
            <w:vAlign w:val="center"/>
          </w:tcPr>
          <w:p w14:paraId="31D35500">
            <w:pPr>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环境空气质量 现状调查数据来源</w:t>
            </w:r>
          </w:p>
        </w:tc>
        <w:tc>
          <w:tcPr>
            <w:tcW w:w="1713" w:type="dxa"/>
            <w:gridSpan w:val="3"/>
            <w:tcBorders>
              <w:top w:val="single" w:color="000000" w:sz="6" w:space="0"/>
              <w:left w:val="single" w:color="000000" w:sz="6" w:space="0"/>
              <w:bottom w:val="single" w:color="000000" w:sz="6" w:space="0"/>
              <w:right w:val="single" w:color="000000" w:sz="6" w:space="0"/>
            </w:tcBorders>
            <w:vAlign w:val="center"/>
          </w:tcPr>
          <w:p w14:paraId="1B489509">
            <w:pPr>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长期例行监测数据□</w:t>
            </w:r>
          </w:p>
        </w:tc>
        <w:tc>
          <w:tcPr>
            <w:tcW w:w="2268" w:type="dxa"/>
            <w:gridSpan w:val="4"/>
            <w:tcBorders>
              <w:top w:val="single" w:color="000000" w:sz="6" w:space="0"/>
              <w:left w:val="single" w:color="000000" w:sz="6" w:space="0"/>
              <w:bottom w:val="single" w:color="000000" w:sz="6" w:space="0"/>
              <w:right w:val="single" w:color="000000" w:sz="6" w:space="0"/>
            </w:tcBorders>
            <w:vAlign w:val="center"/>
          </w:tcPr>
          <w:p w14:paraId="12EBD527">
            <w:pPr>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主管部门发布的数据</w:t>
            </w:r>
            <w:r>
              <w:rPr>
                <w:rFonts w:ascii="Times New Roman" w:hAnsi="Times New Roman"/>
                <w:spacing w:val="-3"/>
                <w:kern w:val="0"/>
                <w:sz w:val="21"/>
                <w:szCs w:val="21"/>
                <w:lang w:eastAsia="zh-CN"/>
              </w:rPr>
              <w:t>√</w:t>
            </w:r>
          </w:p>
        </w:tc>
        <w:tc>
          <w:tcPr>
            <w:tcW w:w="2410" w:type="dxa"/>
            <w:gridSpan w:val="5"/>
            <w:tcBorders>
              <w:top w:val="single" w:color="000000" w:sz="6" w:space="0"/>
              <w:left w:val="single" w:color="000000" w:sz="6" w:space="0"/>
              <w:bottom w:val="single" w:color="000000" w:sz="6" w:space="0"/>
            </w:tcBorders>
            <w:vAlign w:val="center"/>
          </w:tcPr>
          <w:p w14:paraId="1BE13C41">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现状补充监测</w:t>
            </w:r>
            <w:r>
              <w:rPr>
                <w:rFonts w:ascii="Times New Roman" w:hAnsi="Times New Roman"/>
                <w:spacing w:val="-3"/>
                <w:kern w:val="0"/>
                <w:sz w:val="21"/>
                <w:szCs w:val="21"/>
                <w:lang w:eastAsia="zh-CN"/>
              </w:rPr>
              <w:t>√</w:t>
            </w:r>
          </w:p>
        </w:tc>
      </w:tr>
      <w:tr w14:paraId="1F3B51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continue"/>
            <w:tcBorders>
              <w:bottom w:val="single" w:color="000000" w:sz="6" w:space="0"/>
              <w:right w:val="single" w:color="000000" w:sz="6" w:space="0"/>
            </w:tcBorders>
            <w:vAlign w:val="center"/>
          </w:tcPr>
          <w:p w14:paraId="3BE2BCD7">
            <w:pPr>
              <w:autoSpaceDE w:val="0"/>
              <w:autoSpaceDN w:val="0"/>
              <w:jc w:val="center"/>
              <w:rPr>
                <w:rFonts w:ascii="Times New Roman" w:hAnsi="Times New Roman"/>
                <w:kern w:val="0"/>
                <w:sz w:val="21"/>
                <w:szCs w:val="21"/>
                <w:lang w:eastAsia="en-US"/>
              </w:rPr>
            </w:pPr>
          </w:p>
        </w:tc>
        <w:tc>
          <w:tcPr>
            <w:tcW w:w="1410" w:type="dxa"/>
            <w:tcBorders>
              <w:top w:val="single" w:color="000000" w:sz="6" w:space="0"/>
              <w:left w:val="single" w:color="000000" w:sz="6" w:space="0"/>
              <w:bottom w:val="single" w:color="000000" w:sz="6" w:space="0"/>
              <w:right w:val="single" w:color="000000" w:sz="6" w:space="0"/>
            </w:tcBorders>
            <w:vAlign w:val="center"/>
          </w:tcPr>
          <w:p w14:paraId="5B133CCC">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现状评价</w:t>
            </w:r>
          </w:p>
        </w:tc>
        <w:tc>
          <w:tcPr>
            <w:tcW w:w="3981" w:type="dxa"/>
            <w:gridSpan w:val="7"/>
            <w:tcBorders>
              <w:top w:val="single" w:color="000000" w:sz="6" w:space="0"/>
              <w:left w:val="single" w:color="000000" w:sz="6" w:space="0"/>
              <w:bottom w:val="single" w:color="000000" w:sz="6" w:space="0"/>
              <w:right w:val="single" w:color="000000" w:sz="6" w:space="0"/>
            </w:tcBorders>
            <w:vAlign w:val="center"/>
          </w:tcPr>
          <w:p w14:paraId="1DE623AD">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达标区</w:t>
            </w:r>
            <w:r>
              <w:rPr>
                <w:rFonts w:ascii="Times New Roman" w:hAnsi="Times New Roman"/>
                <w:spacing w:val="-3"/>
                <w:kern w:val="0"/>
                <w:sz w:val="21"/>
                <w:szCs w:val="21"/>
                <w:lang w:eastAsia="zh-CN"/>
              </w:rPr>
              <w:t>√</w:t>
            </w:r>
          </w:p>
        </w:tc>
        <w:tc>
          <w:tcPr>
            <w:tcW w:w="2410" w:type="dxa"/>
            <w:gridSpan w:val="5"/>
            <w:tcBorders>
              <w:top w:val="single" w:color="000000" w:sz="6" w:space="0"/>
              <w:left w:val="single" w:color="000000" w:sz="6" w:space="0"/>
              <w:bottom w:val="single" w:color="000000" w:sz="6" w:space="0"/>
            </w:tcBorders>
            <w:vAlign w:val="center"/>
          </w:tcPr>
          <w:p w14:paraId="3DE90C07">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不达标区□</w:t>
            </w:r>
          </w:p>
        </w:tc>
      </w:tr>
      <w:tr w14:paraId="3C75818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tcBorders>
              <w:top w:val="single" w:color="000000" w:sz="6" w:space="0"/>
              <w:bottom w:val="single" w:color="000000" w:sz="6" w:space="0"/>
              <w:right w:val="single" w:color="000000" w:sz="6" w:space="0"/>
            </w:tcBorders>
            <w:vAlign w:val="center"/>
          </w:tcPr>
          <w:p w14:paraId="00CD6C47">
            <w:pPr>
              <w:autoSpaceDE w:val="0"/>
              <w:autoSpaceDN w:val="0"/>
              <w:jc w:val="left"/>
              <w:rPr>
                <w:rFonts w:ascii="Times New Roman" w:hAnsi="Times New Roman"/>
                <w:kern w:val="0"/>
                <w:sz w:val="21"/>
                <w:szCs w:val="21"/>
                <w:lang w:eastAsia="en-US"/>
              </w:rPr>
            </w:pPr>
            <w:r>
              <w:rPr>
                <w:rFonts w:ascii="Times New Roman" w:hAnsi="Times New Roman"/>
                <w:kern w:val="0"/>
                <w:sz w:val="21"/>
                <w:szCs w:val="21"/>
                <w:lang w:eastAsia="en-US"/>
              </w:rPr>
              <w:t>污染源调查</w:t>
            </w:r>
          </w:p>
        </w:tc>
        <w:tc>
          <w:tcPr>
            <w:tcW w:w="1410" w:type="dxa"/>
            <w:tcBorders>
              <w:top w:val="single" w:color="000000" w:sz="6" w:space="0"/>
              <w:left w:val="single" w:color="000000" w:sz="6" w:space="0"/>
              <w:bottom w:val="single" w:color="000000" w:sz="6" w:space="0"/>
              <w:right w:val="single" w:color="000000" w:sz="6" w:space="0"/>
            </w:tcBorders>
            <w:vAlign w:val="center"/>
          </w:tcPr>
          <w:p w14:paraId="52478B08">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调查内容</w:t>
            </w:r>
          </w:p>
        </w:tc>
        <w:tc>
          <w:tcPr>
            <w:tcW w:w="1597" w:type="dxa"/>
            <w:gridSpan w:val="2"/>
            <w:tcBorders>
              <w:top w:val="single" w:color="000000" w:sz="6" w:space="0"/>
              <w:left w:val="single" w:color="000000" w:sz="6" w:space="0"/>
              <w:bottom w:val="single" w:color="000000" w:sz="6" w:space="0"/>
              <w:right w:val="single" w:color="000000" w:sz="6" w:space="0"/>
            </w:tcBorders>
            <w:vAlign w:val="center"/>
          </w:tcPr>
          <w:p w14:paraId="6875ED36">
            <w:pPr>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本项目正常排放源</w:t>
            </w:r>
            <w:r>
              <w:rPr>
                <w:rFonts w:ascii="Times New Roman" w:hAnsi="Times New Roman"/>
                <w:spacing w:val="-3"/>
                <w:kern w:val="0"/>
                <w:sz w:val="21"/>
                <w:szCs w:val="21"/>
                <w:lang w:eastAsia="zh-CN"/>
              </w:rPr>
              <w:t>√</w:t>
            </w:r>
          </w:p>
          <w:p w14:paraId="19DB5F07">
            <w:pPr>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本项目非正常排放源</w:t>
            </w:r>
            <w:r>
              <w:rPr>
                <w:rFonts w:ascii="Times New Roman" w:hAnsi="Times New Roman"/>
                <w:spacing w:val="-3"/>
                <w:kern w:val="0"/>
                <w:sz w:val="21"/>
                <w:szCs w:val="21"/>
                <w:lang w:eastAsia="zh-CN"/>
              </w:rPr>
              <w:t>√</w:t>
            </w:r>
          </w:p>
          <w:p w14:paraId="00403DD4">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现有污染源 □</w:t>
            </w:r>
          </w:p>
        </w:tc>
        <w:tc>
          <w:tcPr>
            <w:tcW w:w="1598" w:type="dxa"/>
            <w:gridSpan w:val="4"/>
            <w:tcBorders>
              <w:top w:val="single" w:color="000000" w:sz="6" w:space="0"/>
              <w:left w:val="single" w:color="000000" w:sz="6" w:space="0"/>
              <w:bottom w:val="single" w:color="000000" w:sz="6" w:space="0"/>
              <w:right w:val="single" w:color="000000" w:sz="6" w:space="0"/>
            </w:tcBorders>
            <w:vAlign w:val="center"/>
          </w:tcPr>
          <w:p w14:paraId="7C89EEC3">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拟替代的污染源□</w:t>
            </w:r>
          </w:p>
        </w:tc>
        <w:tc>
          <w:tcPr>
            <w:tcW w:w="1598" w:type="dxa"/>
            <w:gridSpan w:val="2"/>
            <w:tcBorders>
              <w:top w:val="single" w:color="000000" w:sz="6" w:space="0"/>
              <w:left w:val="single" w:color="000000" w:sz="6" w:space="0"/>
              <w:bottom w:val="single" w:color="000000" w:sz="6" w:space="0"/>
              <w:right w:val="single" w:color="000000" w:sz="6" w:space="0"/>
            </w:tcBorders>
            <w:vAlign w:val="center"/>
          </w:tcPr>
          <w:p w14:paraId="661F1866">
            <w:pPr>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其他在建、拟建项目污染源□</w:t>
            </w:r>
          </w:p>
        </w:tc>
        <w:tc>
          <w:tcPr>
            <w:tcW w:w="1598" w:type="dxa"/>
            <w:gridSpan w:val="4"/>
            <w:tcBorders>
              <w:top w:val="single" w:color="000000" w:sz="6" w:space="0"/>
              <w:left w:val="single" w:color="000000" w:sz="6" w:space="0"/>
              <w:bottom w:val="single" w:color="000000" w:sz="6" w:space="0"/>
            </w:tcBorders>
            <w:vAlign w:val="center"/>
          </w:tcPr>
          <w:p w14:paraId="41272E4C">
            <w:pPr>
              <w:autoSpaceDE w:val="0"/>
              <w:autoSpaceDN w:val="0"/>
              <w:jc w:val="center"/>
              <w:rPr>
                <w:rFonts w:ascii="Times New Roman" w:hAnsi="Times New Roman"/>
                <w:kern w:val="0"/>
                <w:sz w:val="21"/>
                <w:szCs w:val="21"/>
                <w:lang w:eastAsia="zh-CN"/>
              </w:rPr>
            </w:pPr>
          </w:p>
          <w:p w14:paraId="298E9E8C">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区域污染源□</w:t>
            </w:r>
          </w:p>
        </w:tc>
      </w:tr>
      <w:tr w14:paraId="12D1E6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restart"/>
            <w:tcBorders>
              <w:top w:val="single" w:color="000000" w:sz="6" w:space="0"/>
              <w:right w:val="single" w:color="000000" w:sz="6" w:space="0"/>
            </w:tcBorders>
            <w:vAlign w:val="center"/>
          </w:tcPr>
          <w:p w14:paraId="40A5271E">
            <w:pPr>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大气环境影响预测与评价</w:t>
            </w:r>
          </w:p>
        </w:tc>
        <w:tc>
          <w:tcPr>
            <w:tcW w:w="1410" w:type="dxa"/>
            <w:tcBorders>
              <w:top w:val="single" w:color="000000" w:sz="6" w:space="0"/>
              <w:left w:val="single" w:color="000000" w:sz="6" w:space="0"/>
              <w:bottom w:val="single" w:color="000000" w:sz="6" w:space="0"/>
              <w:right w:val="single" w:color="000000" w:sz="6" w:space="0"/>
            </w:tcBorders>
            <w:vAlign w:val="center"/>
          </w:tcPr>
          <w:p w14:paraId="0AA48486">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预测模型</w:t>
            </w:r>
          </w:p>
        </w:tc>
        <w:tc>
          <w:tcPr>
            <w:tcW w:w="913" w:type="dxa"/>
            <w:tcBorders>
              <w:top w:val="single" w:color="000000" w:sz="6" w:space="0"/>
              <w:left w:val="single" w:color="000000" w:sz="6" w:space="0"/>
              <w:bottom w:val="single" w:color="000000" w:sz="6" w:space="0"/>
              <w:right w:val="single" w:color="000000" w:sz="6" w:space="0"/>
            </w:tcBorders>
            <w:vAlign w:val="center"/>
          </w:tcPr>
          <w:p w14:paraId="144E59F2">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AERMOD□</w:t>
            </w:r>
          </w:p>
        </w:tc>
        <w:tc>
          <w:tcPr>
            <w:tcW w:w="913" w:type="dxa"/>
            <w:gridSpan w:val="3"/>
            <w:tcBorders>
              <w:top w:val="single" w:color="000000" w:sz="6" w:space="0"/>
              <w:left w:val="single" w:color="000000" w:sz="6" w:space="0"/>
              <w:bottom w:val="single" w:color="000000" w:sz="6" w:space="0"/>
              <w:right w:val="single" w:color="000000" w:sz="6" w:space="0"/>
            </w:tcBorders>
            <w:vAlign w:val="center"/>
          </w:tcPr>
          <w:p w14:paraId="5A527D3A">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ADMS□</w:t>
            </w:r>
          </w:p>
        </w:tc>
        <w:tc>
          <w:tcPr>
            <w:tcW w:w="913" w:type="dxa"/>
            <w:tcBorders>
              <w:top w:val="single" w:color="000000" w:sz="6" w:space="0"/>
              <w:left w:val="single" w:color="000000" w:sz="6" w:space="0"/>
              <w:bottom w:val="single" w:color="000000" w:sz="6" w:space="0"/>
              <w:right w:val="single" w:color="000000" w:sz="6" w:space="0"/>
            </w:tcBorders>
            <w:vAlign w:val="center"/>
          </w:tcPr>
          <w:p w14:paraId="3FBD31BE">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AUSTAL2000</w:t>
            </w:r>
          </w:p>
          <w:p w14:paraId="30800F0E">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w:t>
            </w:r>
          </w:p>
        </w:tc>
        <w:tc>
          <w:tcPr>
            <w:tcW w:w="1242" w:type="dxa"/>
            <w:gridSpan w:val="2"/>
            <w:tcBorders>
              <w:top w:val="single" w:color="000000" w:sz="6" w:space="0"/>
              <w:left w:val="single" w:color="000000" w:sz="6" w:space="0"/>
              <w:bottom w:val="single" w:color="000000" w:sz="6" w:space="0"/>
              <w:right w:val="single" w:color="000000" w:sz="6" w:space="0"/>
            </w:tcBorders>
            <w:vAlign w:val="center"/>
          </w:tcPr>
          <w:p w14:paraId="179BEE15">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EDMS/AEDT</w:t>
            </w:r>
          </w:p>
          <w:p w14:paraId="01C156A7">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w:t>
            </w:r>
          </w:p>
        </w:tc>
        <w:tc>
          <w:tcPr>
            <w:tcW w:w="851" w:type="dxa"/>
            <w:gridSpan w:val="2"/>
            <w:tcBorders>
              <w:top w:val="single" w:color="000000" w:sz="6" w:space="0"/>
              <w:left w:val="single" w:color="000000" w:sz="6" w:space="0"/>
              <w:bottom w:val="single" w:color="000000" w:sz="6" w:space="0"/>
              <w:right w:val="single" w:color="000000" w:sz="6" w:space="0"/>
            </w:tcBorders>
            <w:vAlign w:val="center"/>
          </w:tcPr>
          <w:p w14:paraId="63AF26D9">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CALPUFF</w:t>
            </w:r>
          </w:p>
          <w:p w14:paraId="441BDEE6">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w:t>
            </w:r>
          </w:p>
        </w:tc>
        <w:tc>
          <w:tcPr>
            <w:tcW w:w="646" w:type="dxa"/>
            <w:gridSpan w:val="2"/>
            <w:tcBorders>
              <w:top w:val="single" w:color="000000" w:sz="6" w:space="0"/>
              <w:left w:val="single" w:color="000000" w:sz="6" w:space="0"/>
              <w:bottom w:val="single" w:color="000000" w:sz="6" w:space="0"/>
              <w:right w:val="single" w:color="000000" w:sz="6" w:space="0"/>
            </w:tcBorders>
            <w:vAlign w:val="center"/>
          </w:tcPr>
          <w:p w14:paraId="06C68BA2">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网格模型</w:t>
            </w:r>
          </w:p>
          <w:p w14:paraId="07A13FAF">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w:t>
            </w:r>
          </w:p>
        </w:tc>
        <w:tc>
          <w:tcPr>
            <w:tcW w:w="913" w:type="dxa"/>
            <w:tcBorders>
              <w:top w:val="single" w:color="000000" w:sz="6" w:space="0"/>
              <w:left w:val="single" w:color="000000" w:sz="6" w:space="0"/>
              <w:bottom w:val="single" w:color="000000" w:sz="6" w:space="0"/>
            </w:tcBorders>
            <w:vAlign w:val="center"/>
          </w:tcPr>
          <w:p w14:paraId="29900156">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其他</w:t>
            </w:r>
            <w:r>
              <w:rPr>
                <w:rFonts w:ascii="Times New Roman" w:hAnsi="Times New Roman"/>
                <w:spacing w:val="-3"/>
                <w:kern w:val="0"/>
                <w:sz w:val="21"/>
                <w:szCs w:val="21"/>
                <w:lang w:eastAsia="zh-CN"/>
              </w:rPr>
              <w:t>√</w:t>
            </w:r>
            <w:r>
              <w:rPr>
                <w:rFonts w:ascii="Times New Roman" w:hAnsi="Times New Roman"/>
                <w:kern w:val="0"/>
                <w:sz w:val="21"/>
                <w:szCs w:val="21"/>
                <w:lang w:eastAsia="en-US"/>
              </w:rPr>
              <w:t>□</w:t>
            </w:r>
          </w:p>
        </w:tc>
      </w:tr>
      <w:tr w14:paraId="4B2F8C7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continue"/>
            <w:tcBorders>
              <w:right w:val="single" w:color="000000" w:sz="6" w:space="0"/>
            </w:tcBorders>
            <w:vAlign w:val="center"/>
          </w:tcPr>
          <w:p w14:paraId="618CC7FB">
            <w:pPr>
              <w:autoSpaceDE w:val="0"/>
              <w:autoSpaceDN w:val="0"/>
              <w:jc w:val="center"/>
              <w:rPr>
                <w:rFonts w:ascii="Times New Roman" w:hAnsi="Times New Roman"/>
                <w:kern w:val="0"/>
                <w:sz w:val="21"/>
                <w:szCs w:val="21"/>
                <w:lang w:eastAsia="en-US"/>
              </w:rPr>
            </w:pPr>
          </w:p>
        </w:tc>
        <w:tc>
          <w:tcPr>
            <w:tcW w:w="1410" w:type="dxa"/>
            <w:tcBorders>
              <w:top w:val="single" w:color="000000" w:sz="6" w:space="0"/>
              <w:left w:val="single" w:color="000000" w:sz="6" w:space="0"/>
              <w:bottom w:val="single" w:color="000000" w:sz="6" w:space="0"/>
              <w:right w:val="single" w:color="000000" w:sz="6" w:space="0"/>
            </w:tcBorders>
            <w:vAlign w:val="center"/>
          </w:tcPr>
          <w:p w14:paraId="740BD755">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预测范围</w:t>
            </w:r>
          </w:p>
        </w:tc>
        <w:tc>
          <w:tcPr>
            <w:tcW w:w="1713" w:type="dxa"/>
            <w:gridSpan w:val="3"/>
            <w:tcBorders>
              <w:top w:val="single" w:color="000000" w:sz="6" w:space="0"/>
              <w:left w:val="single" w:color="000000" w:sz="6" w:space="0"/>
              <w:bottom w:val="single" w:color="000000" w:sz="6" w:space="0"/>
              <w:right w:val="single" w:color="000000" w:sz="6" w:space="0"/>
            </w:tcBorders>
            <w:vAlign w:val="center"/>
          </w:tcPr>
          <w:p w14:paraId="57B98CB0">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边长≥ 50km□</w:t>
            </w:r>
          </w:p>
        </w:tc>
        <w:tc>
          <w:tcPr>
            <w:tcW w:w="2268" w:type="dxa"/>
            <w:gridSpan w:val="4"/>
            <w:tcBorders>
              <w:top w:val="single" w:color="000000" w:sz="6" w:space="0"/>
              <w:left w:val="single" w:color="000000" w:sz="6" w:space="0"/>
              <w:bottom w:val="single" w:color="000000" w:sz="6" w:space="0"/>
              <w:right w:val="single" w:color="000000" w:sz="6" w:space="0"/>
            </w:tcBorders>
            <w:vAlign w:val="center"/>
          </w:tcPr>
          <w:p w14:paraId="565EDEFC">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边长 5～50km □</w:t>
            </w:r>
          </w:p>
        </w:tc>
        <w:tc>
          <w:tcPr>
            <w:tcW w:w="2410" w:type="dxa"/>
            <w:gridSpan w:val="5"/>
            <w:tcBorders>
              <w:top w:val="single" w:color="000000" w:sz="6" w:space="0"/>
              <w:left w:val="single" w:color="000000" w:sz="6" w:space="0"/>
              <w:bottom w:val="single" w:color="000000" w:sz="6" w:space="0"/>
            </w:tcBorders>
            <w:vAlign w:val="center"/>
          </w:tcPr>
          <w:p w14:paraId="6A32701D">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 xml:space="preserve">边 长 = 5 km </w:t>
            </w:r>
            <w:r>
              <w:rPr>
                <w:rFonts w:ascii="Times New Roman" w:hAnsi="Times New Roman"/>
                <w:spacing w:val="-3"/>
                <w:kern w:val="0"/>
                <w:sz w:val="21"/>
                <w:szCs w:val="21"/>
                <w:lang w:eastAsia="zh-CN"/>
              </w:rPr>
              <w:t>√</w:t>
            </w:r>
          </w:p>
        </w:tc>
      </w:tr>
      <w:tr w14:paraId="26C33C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continue"/>
            <w:tcBorders>
              <w:right w:val="single" w:color="000000" w:sz="6" w:space="0"/>
            </w:tcBorders>
            <w:vAlign w:val="center"/>
          </w:tcPr>
          <w:p w14:paraId="6984F527">
            <w:pPr>
              <w:autoSpaceDE w:val="0"/>
              <w:autoSpaceDN w:val="0"/>
              <w:jc w:val="center"/>
              <w:rPr>
                <w:rFonts w:ascii="Times New Roman" w:hAnsi="Times New Roman"/>
                <w:kern w:val="0"/>
                <w:sz w:val="21"/>
                <w:szCs w:val="21"/>
                <w:lang w:eastAsia="en-US"/>
              </w:rPr>
            </w:pPr>
          </w:p>
        </w:tc>
        <w:tc>
          <w:tcPr>
            <w:tcW w:w="1410" w:type="dxa"/>
            <w:tcBorders>
              <w:top w:val="single" w:color="000000" w:sz="6" w:space="0"/>
              <w:left w:val="single" w:color="000000" w:sz="6" w:space="0"/>
              <w:bottom w:val="single" w:color="000000" w:sz="6" w:space="0"/>
              <w:right w:val="single" w:color="000000" w:sz="6" w:space="0"/>
            </w:tcBorders>
            <w:vAlign w:val="center"/>
          </w:tcPr>
          <w:p w14:paraId="05FF9715">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预测因子</w:t>
            </w:r>
          </w:p>
        </w:tc>
        <w:tc>
          <w:tcPr>
            <w:tcW w:w="3981" w:type="dxa"/>
            <w:gridSpan w:val="7"/>
            <w:tcBorders>
              <w:top w:val="single" w:color="000000" w:sz="6" w:space="0"/>
              <w:left w:val="single" w:color="000000" w:sz="6" w:space="0"/>
              <w:bottom w:val="single" w:color="000000" w:sz="6" w:space="0"/>
              <w:right w:val="single" w:color="000000" w:sz="6" w:space="0"/>
            </w:tcBorders>
            <w:vAlign w:val="center"/>
          </w:tcPr>
          <w:p w14:paraId="7F25EB90">
            <w:pPr>
              <w:tabs>
                <w:tab w:val="left" w:pos="3065"/>
              </w:tabs>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预测因子(TSP、非甲烷总烃)</w:t>
            </w:r>
          </w:p>
        </w:tc>
        <w:tc>
          <w:tcPr>
            <w:tcW w:w="2410" w:type="dxa"/>
            <w:gridSpan w:val="5"/>
            <w:tcBorders>
              <w:top w:val="single" w:color="000000" w:sz="6" w:space="0"/>
              <w:left w:val="single" w:color="000000" w:sz="6" w:space="0"/>
              <w:bottom w:val="single" w:color="000000" w:sz="6" w:space="0"/>
            </w:tcBorders>
            <w:vAlign w:val="center"/>
          </w:tcPr>
          <w:p w14:paraId="2D39FB4D">
            <w:pPr>
              <w:autoSpaceDE w:val="0"/>
              <w:autoSpaceDN w:val="0"/>
              <w:jc w:val="center"/>
              <w:rPr>
                <w:rFonts w:ascii="Times New Roman" w:hAnsi="Times New Roman"/>
                <w:kern w:val="0"/>
                <w:sz w:val="21"/>
                <w:szCs w:val="21"/>
                <w:lang w:eastAsia="en-US"/>
              </w:rPr>
            </w:pPr>
            <w:r>
              <w:rPr>
                <w:rFonts w:ascii="Times New Roman" w:hAnsi="Times New Roman"/>
                <w:kern w:val="0"/>
                <w:position w:val="1"/>
                <w:sz w:val="21"/>
                <w:szCs w:val="21"/>
                <w:lang w:eastAsia="en-US"/>
              </w:rPr>
              <w:t>包括二次PM</w:t>
            </w:r>
            <w:r>
              <w:rPr>
                <w:rFonts w:ascii="Times New Roman" w:hAnsi="Times New Roman"/>
                <w:kern w:val="0"/>
                <w:sz w:val="21"/>
                <w:szCs w:val="21"/>
                <w:lang w:eastAsia="en-US"/>
              </w:rPr>
              <w:t xml:space="preserve">2.5  </w:t>
            </w:r>
            <w:r>
              <w:rPr>
                <w:rFonts w:ascii="Times New Roman" w:hAnsi="Times New Roman"/>
                <w:kern w:val="0"/>
                <w:position w:val="1"/>
                <w:sz w:val="21"/>
                <w:szCs w:val="21"/>
                <w:lang w:eastAsia="en-US"/>
              </w:rPr>
              <w:t>□</w:t>
            </w:r>
          </w:p>
          <w:p w14:paraId="0B46E721">
            <w:pPr>
              <w:autoSpaceDE w:val="0"/>
              <w:autoSpaceDN w:val="0"/>
              <w:jc w:val="center"/>
              <w:rPr>
                <w:rFonts w:ascii="Times New Roman" w:hAnsi="Times New Roman"/>
                <w:kern w:val="0"/>
                <w:sz w:val="21"/>
                <w:szCs w:val="21"/>
                <w:lang w:eastAsia="en-US"/>
              </w:rPr>
            </w:pPr>
            <w:r>
              <w:rPr>
                <w:rFonts w:ascii="Times New Roman" w:hAnsi="Times New Roman"/>
                <w:kern w:val="0"/>
                <w:position w:val="1"/>
                <w:sz w:val="21"/>
                <w:szCs w:val="21"/>
                <w:lang w:eastAsia="en-US"/>
              </w:rPr>
              <w:t>不包括二次PM</w:t>
            </w:r>
            <w:r>
              <w:rPr>
                <w:rFonts w:ascii="Times New Roman" w:hAnsi="Times New Roman"/>
                <w:kern w:val="0"/>
                <w:sz w:val="21"/>
                <w:szCs w:val="21"/>
                <w:lang w:eastAsia="en-US"/>
              </w:rPr>
              <w:t xml:space="preserve">2.5  </w:t>
            </w:r>
            <w:r>
              <w:rPr>
                <w:rFonts w:ascii="Times New Roman" w:hAnsi="Times New Roman"/>
                <w:spacing w:val="-3"/>
                <w:kern w:val="0"/>
                <w:sz w:val="21"/>
                <w:szCs w:val="21"/>
                <w:lang w:eastAsia="zh-CN"/>
              </w:rPr>
              <w:t>√</w:t>
            </w:r>
          </w:p>
        </w:tc>
      </w:tr>
      <w:tr w14:paraId="64A858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continue"/>
            <w:tcBorders>
              <w:right w:val="single" w:color="000000" w:sz="6" w:space="0"/>
            </w:tcBorders>
            <w:vAlign w:val="center"/>
          </w:tcPr>
          <w:p w14:paraId="72274514">
            <w:pPr>
              <w:autoSpaceDE w:val="0"/>
              <w:autoSpaceDN w:val="0"/>
              <w:jc w:val="center"/>
              <w:rPr>
                <w:rFonts w:ascii="Times New Roman" w:hAnsi="Times New Roman"/>
                <w:kern w:val="0"/>
                <w:sz w:val="21"/>
                <w:szCs w:val="21"/>
                <w:lang w:eastAsia="en-US"/>
              </w:rPr>
            </w:pPr>
          </w:p>
        </w:tc>
        <w:tc>
          <w:tcPr>
            <w:tcW w:w="1410" w:type="dxa"/>
            <w:tcBorders>
              <w:top w:val="single" w:color="000000" w:sz="6" w:space="0"/>
              <w:left w:val="single" w:color="000000" w:sz="6" w:space="0"/>
              <w:bottom w:val="single" w:color="000000" w:sz="6" w:space="0"/>
              <w:right w:val="single" w:color="000000" w:sz="6" w:space="0"/>
            </w:tcBorders>
            <w:vAlign w:val="center"/>
          </w:tcPr>
          <w:p w14:paraId="38B94D33">
            <w:pPr>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正常排放短期浓度贡献值</w:t>
            </w:r>
          </w:p>
        </w:tc>
        <w:tc>
          <w:tcPr>
            <w:tcW w:w="3981" w:type="dxa"/>
            <w:gridSpan w:val="7"/>
            <w:tcBorders>
              <w:top w:val="single" w:color="000000" w:sz="6" w:space="0"/>
              <w:left w:val="single" w:color="000000" w:sz="6" w:space="0"/>
              <w:bottom w:val="single" w:color="000000" w:sz="6" w:space="0"/>
              <w:right w:val="single" w:color="000000" w:sz="6" w:space="0"/>
            </w:tcBorders>
            <w:vAlign w:val="center"/>
          </w:tcPr>
          <w:p w14:paraId="758C99A9">
            <w:pPr>
              <w:autoSpaceDE w:val="0"/>
              <w:autoSpaceDN w:val="0"/>
              <w:jc w:val="center"/>
              <w:rPr>
                <w:rFonts w:ascii="Times New Roman" w:hAnsi="Times New Roman" w:eastAsiaTheme="minorEastAsia"/>
                <w:kern w:val="0"/>
                <w:sz w:val="21"/>
                <w:szCs w:val="21"/>
                <w:lang w:eastAsia="zh-CN"/>
              </w:rPr>
            </w:pPr>
            <w:r>
              <w:rPr>
                <w:rFonts w:ascii="Cambria Math" w:hAnsi="Cambria Math" w:cs="Cambria Math" w:eastAsiaTheme="minorEastAsia"/>
                <w:w w:val="95"/>
                <w:kern w:val="0"/>
                <w:sz w:val="21"/>
                <w:szCs w:val="21"/>
                <w:lang w:eastAsia="zh-CN"/>
              </w:rPr>
              <w:t>𝐶</w:t>
            </w:r>
            <w:r>
              <w:rPr>
                <w:rFonts w:ascii="Times New Roman" w:hAnsi="Times New Roman" w:eastAsiaTheme="minorEastAsia"/>
                <w:w w:val="95"/>
                <w:kern w:val="0"/>
                <w:sz w:val="21"/>
                <w:szCs w:val="21"/>
                <w:lang w:eastAsia="zh-CN"/>
              </w:rPr>
              <w:t>本项目最大占标率≤100%</w:t>
            </w:r>
            <w:r>
              <w:rPr>
                <w:rFonts w:ascii="Times New Roman" w:hAnsi="Times New Roman" w:eastAsiaTheme="minorEastAsia"/>
                <w:spacing w:val="-3"/>
                <w:kern w:val="0"/>
                <w:sz w:val="21"/>
                <w:szCs w:val="21"/>
                <w:lang w:eastAsia="zh-CN"/>
              </w:rPr>
              <w:t>√</w:t>
            </w:r>
          </w:p>
        </w:tc>
        <w:tc>
          <w:tcPr>
            <w:tcW w:w="2410" w:type="dxa"/>
            <w:gridSpan w:val="5"/>
            <w:tcBorders>
              <w:top w:val="single" w:color="000000" w:sz="6" w:space="0"/>
              <w:left w:val="single" w:color="000000" w:sz="6" w:space="0"/>
              <w:bottom w:val="single" w:color="000000" w:sz="6" w:space="0"/>
            </w:tcBorders>
            <w:vAlign w:val="center"/>
          </w:tcPr>
          <w:p w14:paraId="30044710">
            <w:pPr>
              <w:autoSpaceDE w:val="0"/>
              <w:autoSpaceDN w:val="0"/>
              <w:jc w:val="center"/>
              <w:rPr>
                <w:rFonts w:ascii="Times New Roman" w:hAnsi="Times New Roman" w:eastAsiaTheme="minorEastAsia"/>
                <w:kern w:val="0"/>
                <w:sz w:val="21"/>
                <w:szCs w:val="21"/>
                <w:lang w:eastAsia="zh-CN"/>
              </w:rPr>
            </w:pPr>
            <w:r>
              <w:rPr>
                <w:rFonts w:ascii="Cambria Math" w:hAnsi="Cambria Math" w:cs="Cambria Math" w:eastAsiaTheme="minorEastAsia"/>
                <w:kern w:val="0"/>
                <w:sz w:val="21"/>
                <w:szCs w:val="21"/>
                <w:lang w:eastAsia="zh-CN"/>
              </w:rPr>
              <w:t>𝐶</w:t>
            </w:r>
            <w:r>
              <w:rPr>
                <w:rFonts w:ascii="Times New Roman" w:hAnsi="Times New Roman" w:eastAsiaTheme="minorEastAsia"/>
                <w:kern w:val="0"/>
                <w:position w:val="-5"/>
                <w:sz w:val="21"/>
                <w:szCs w:val="21"/>
                <w:lang w:eastAsia="zh-CN"/>
              </w:rPr>
              <w:t>本项目</w:t>
            </w:r>
            <w:r>
              <w:rPr>
                <w:rFonts w:ascii="Times New Roman" w:hAnsi="Times New Roman" w:eastAsiaTheme="minorEastAsia"/>
                <w:kern w:val="0"/>
                <w:sz w:val="21"/>
                <w:szCs w:val="21"/>
                <w:lang w:eastAsia="zh-CN"/>
              </w:rPr>
              <w:t>最大占标率＞100% □</w:t>
            </w:r>
          </w:p>
        </w:tc>
      </w:tr>
      <w:tr w14:paraId="4C212D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continue"/>
            <w:tcBorders>
              <w:right w:val="single" w:color="000000" w:sz="6" w:space="0"/>
            </w:tcBorders>
            <w:vAlign w:val="center"/>
          </w:tcPr>
          <w:p w14:paraId="528E9C22">
            <w:pPr>
              <w:autoSpaceDE w:val="0"/>
              <w:autoSpaceDN w:val="0"/>
              <w:jc w:val="center"/>
              <w:rPr>
                <w:rFonts w:ascii="Times New Roman" w:hAnsi="Times New Roman"/>
                <w:kern w:val="0"/>
                <w:sz w:val="21"/>
                <w:szCs w:val="21"/>
                <w:lang w:eastAsia="zh-CN"/>
              </w:rPr>
            </w:pPr>
          </w:p>
        </w:tc>
        <w:tc>
          <w:tcPr>
            <w:tcW w:w="1410" w:type="dxa"/>
            <w:vMerge w:val="restart"/>
            <w:tcBorders>
              <w:top w:val="single" w:color="000000" w:sz="6" w:space="0"/>
              <w:left w:val="single" w:color="000000" w:sz="6" w:space="0"/>
              <w:right w:val="single" w:color="000000" w:sz="6" w:space="0"/>
            </w:tcBorders>
            <w:vAlign w:val="center"/>
          </w:tcPr>
          <w:p w14:paraId="1D47D373">
            <w:pPr>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正常排放年均浓度贡献值</w:t>
            </w:r>
          </w:p>
        </w:tc>
        <w:tc>
          <w:tcPr>
            <w:tcW w:w="1713" w:type="dxa"/>
            <w:gridSpan w:val="3"/>
            <w:tcBorders>
              <w:top w:val="single" w:color="000000" w:sz="6" w:space="0"/>
              <w:left w:val="single" w:color="000000" w:sz="6" w:space="0"/>
              <w:bottom w:val="single" w:color="000000" w:sz="6" w:space="0"/>
              <w:right w:val="single" w:color="000000" w:sz="4" w:space="0"/>
            </w:tcBorders>
            <w:vAlign w:val="center"/>
          </w:tcPr>
          <w:p w14:paraId="3AA2E65F">
            <w:pPr>
              <w:tabs>
                <w:tab w:val="left" w:pos="3065"/>
              </w:tabs>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一类区</w:t>
            </w:r>
          </w:p>
        </w:tc>
        <w:tc>
          <w:tcPr>
            <w:tcW w:w="2268" w:type="dxa"/>
            <w:gridSpan w:val="4"/>
            <w:tcBorders>
              <w:top w:val="single" w:color="000000" w:sz="6" w:space="0"/>
              <w:left w:val="single" w:color="000000" w:sz="4" w:space="0"/>
              <w:bottom w:val="single" w:color="000000" w:sz="6" w:space="0"/>
              <w:right w:val="single" w:color="000000" w:sz="6" w:space="0"/>
            </w:tcBorders>
            <w:vAlign w:val="center"/>
          </w:tcPr>
          <w:p w14:paraId="78F42A33">
            <w:pPr>
              <w:tabs>
                <w:tab w:val="left" w:pos="3065"/>
              </w:tabs>
              <w:autoSpaceDE w:val="0"/>
              <w:autoSpaceDN w:val="0"/>
              <w:jc w:val="center"/>
              <w:rPr>
                <w:rFonts w:ascii="Times New Roman" w:hAnsi="Times New Roman"/>
                <w:kern w:val="0"/>
                <w:sz w:val="21"/>
                <w:szCs w:val="21"/>
                <w:lang w:eastAsia="zh-CN"/>
              </w:rPr>
            </w:pPr>
            <w:r>
              <w:rPr>
                <w:rFonts w:ascii="Cambria Math" w:hAnsi="Cambria Math" w:cs="Cambria Math"/>
                <w:kern w:val="0"/>
                <w:sz w:val="21"/>
                <w:szCs w:val="21"/>
                <w:lang w:eastAsia="zh-CN"/>
              </w:rPr>
              <w:t>𝐶</w:t>
            </w:r>
            <w:r>
              <w:rPr>
                <w:rFonts w:ascii="Times New Roman" w:hAnsi="Times New Roman"/>
                <w:kern w:val="0"/>
                <w:sz w:val="21"/>
                <w:szCs w:val="21"/>
                <w:lang w:eastAsia="zh-CN"/>
              </w:rPr>
              <w:t>本项目最大占标率≤10%□</w:t>
            </w:r>
          </w:p>
        </w:tc>
        <w:tc>
          <w:tcPr>
            <w:tcW w:w="2410" w:type="dxa"/>
            <w:gridSpan w:val="5"/>
            <w:tcBorders>
              <w:top w:val="single" w:color="000000" w:sz="6" w:space="0"/>
              <w:left w:val="single" w:color="000000" w:sz="6" w:space="0"/>
              <w:bottom w:val="single" w:color="000000" w:sz="6" w:space="0"/>
            </w:tcBorders>
            <w:vAlign w:val="center"/>
          </w:tcPr>
          <w:p w14:paraId="459EAB2F">
            <w:pPr>
              <w:tabs>
                <w:tab w:val="left" w:pos="3065"/>
              </w:tabs>
              <w:autoSpaceDE w:val="0"/>
              <w:autoSpaceDN w:val="0"/>
              <w:jc w:val="center"/>
              <w:rPr>
                <w:rFonts w:ascii="Times New Roman" w:hAnsi="Times New Roman"/>
                <w:kern w:val="0"/>
                <w:sz w:val="21"/>
                <w:szCs w:val="21"/>
                <w:lang w:eastAsia="zh-CN"/>
              </w:rPr>
            </w:pPr>
            <w:r>
              <w:rPr>
                <w:rFonts w:ascii="Cambria Math" w:hAnsi="Cambria Math" w:cs="Cambria Math"/>
                <w:kern w:val="0"/>
                <w:sz w:val="21"/>
                <w:szCs w:val="21"/>
                <w:lang w:eastAsia="zh-CN"/>
              </w:rPr>
              <w:t>𝐶</w:t>
            </w:r>
            <w:r>
              <w:rPr>
                <w:rFonts w:ascii="Times New Roman" w:hAnsi="Times New Roman"/>
                <w:kern w:val="0"/>
                <w:sz w:val="21"/>
                <w:szCs w:val="21"/>
                <w:lang w:eastAsia="zh-CN"/>
              </w:rPr>
              <w:t>本项目最大标率＞10% □</w:t>
            </w:r>
          </w:p>
        </w:tc>
      </w:tr>
      <w:tr w14:paraId="268E5BF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continue"/>
            <w:tcBorders>
              <w:right w:val="single" w:color="000000" w:sz="6" w:space="0"/>
            </w:tcBorders>
            <w:vAlign w:val="center"/>
          </w:tcPr>
          <w:p w14:paraId="68C51572">
            <w:pPr>
              <w:autoSpaceDE w:val="0"/>
              <w:autoSpaceDN w:val="0"/>
              <w:jc w:val="center"/>
              <w:rPr>
                <w:rFonts w:ascii="Times New Roman" w:hAnsi="Times New Roman"/>
                <w:kern w:val="0"/>
                <w:sz w:val="21"/>
                <w:szCs w:val="21"/>
                <w:lang w:eastAsia="zh-CN"/>
              </w:rPr>
            </w:pPr>
          </w:p>
        </w:tc>
        <w:tc>
          <w:tcPr>
            <w:tcW w:w="1410" w:type="dxa"/>
            <w:vMerge w:val="continue"/>
            <w:tcBorders>
              <w:left w:val="single" w:color="000000" w:sz="6" w:space="0"/>
              <w:bottom w:val="single" w:color="000000" w:sz="6" w:space="0"/>
              <w:right w:val="single" w:color="000000" w:sz="6" w:space="0"/>
            </w:tcBorders>
            <w:vAlign w:val="center"/>
          </w:tcPr>
          <w:p w14:paraId="6C8BB655">
            <w:pPr>
              <w:autoSpaceDE w:val="0"/>
              <w:autoSpaceDN w:val="0"/>
              <w:jc w:val="center"/>
              <w:rPr>
                <w:rFonts w:ascii="Times New Roman" w:hAnsi="Times New Roman"/>
                <w:kern w:val="0"/>
                <w:sz w:val="21"/>
                <w:szCs w:val="21"/>
                <w:lang w:eastAsia="zh-CN"/>
              </w:rPr>
            </w:pPr>
          </w:p>
        </w:tc>
        <w:tc>
          <w:tcPr>
            <w:tcW w:w="1713" w:type="dxa"/>
            <w:gridSpan w:val="3"/>
            <w:tcBorders>
              <w:top w:val="single" w:color="000000" w:sz="6" w:space="0"/>
              <w:left w:val="single" w:color="000000" w:sz="6" w:space="0"/>
              <w:bottom w:val="single" w:color="000000" w:sz="6" w:space="0"/>
              <w:right w:val="single" w:color="000000" w:sz="4" w:space="0"/>
            </w:tcBorders>
            <w:vAlign w:val="center"/>
          </w:tcPr>
          <w:p w14:paraId="494FE716">
            <w:pPr>
              <w:tabs>
                <w:tab w:val="left" w:pos="3065"/>
              </w:tabs>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二类区</w:t>
            </w:r>
          </w:p>
        </w:tc>
        <w:tc>
          <w:tcPr>
            <w:tcW w:w="2268" w:type="dxa"/>
            <w:gridSpan w:val="4"/>
            <w:tcBorders>
              <w:top w:val="single" w:color="000000" w:sz="6" w:space="0"/>
              <w:left w:val="single" w:color="000000" w:sz="4" w:space="0"/>
              <w:bottom w:val="single" w:color="000000" w:sz="6" w:space="0"/>
              <w:right w:val="single" w:color="000000" w:sz="6" w:space="0"/>
            </w:tcBorders>
            <w:vAlign w:val="center"/>
          </w:tcPr>
          <w:p w14:paraId="2C0261B5">
            <w:pPr>
              <w:tabs>
                <w:tab w:val="left" w:pos="3065"/>
              </w:tabs>
              <w:autoSpaceDE w:val="0"/>
              <w:autoSpaceDN w:val="0"/>
              <w:jc w:val="center"/>
              <w:rPr>
                <w:rFonts w:ascii="Times New Roman" w:hAnsi="Times New Roman"/>
                <w:kern w:val="0"/>
                <w:sz w:val="21"/>
                <w:szCs w:val="21"/>
                <w:lang w:eastAsia="zh-CN"/>
              </w:rPr>
            </w:pPr>
            <w:r>
              <w:rPr>
                <w:rFonts w:ascii="Cambria Math" w:hAnsi="Cambria Math" w:cs="Cambria Math"/>
                <w:kern w:val="0"/>
                <w:sz w:val="21"/>
                <w:szCs w:val="21"/>
                <w:lang w:eastAsia="zh-CN"/>
              </w:rPr>
              <w:t>𝐶</w:t>
            </w:r>
            <w:r>
              <w:rPr>
                <w:rFonts w:ascii="Times New Roman" w:hAnsi="Times New Roman"/>
                <w:kern w:val="0"/>
                <w:sz w:val="21"/>
                <w:szCs w:val="21"/>
                <w:lang w:eastAsia="zh-CN"/>
              </w:rPr>
              <w:t>本项目最大占标率≤30%□</w:t>
            </w:r>
          </w:p>
        </w:tc>
        <w:tc>
          <w:tcPr>
            <w:tcW w:w="2410" w:type="dxa"/>
            <w:gridSpan w:val="5"/>
            <w:tcBorders>
              <w:top w:val="single" w:color="000000" w:sz="6" w:space="0"/>
              <w:left w:val="single" w:color="000000" w:sz="6" w:space="0"/>
              <w:bottom w:val="single" w:color="000000" w:sz="6" w:space="0"/>
            </w:tcBorders>
            <w:vAlign w:val="center"/>
          </w:tcPr>
          <w:p w14:paraId="02DA564E">
            <w:pPr>
              <w:tabs>
                <w:tab w:val="left" w:pos="3065"/>
              </w:tabs>
              <w:autoSpaceDE w:val="0"/>
              <w:autoSpaceDN w:val="0"/>
              <w:jc w:val="center"/>
              <w:rPr>
                <w:rFonts w:ascii="Times New Roman" w:hAnsi="Times New Roman"/>
                <w:kern w:val="0"/>
                <w:sz w:val="21"/>
                <w:szCs w:val="21"/>
                <w:lang w:eastAsia="zh-CN"/>
              </w:rPr>
            </w:pPr>
            <w:r>
              <w:rPr>
                <w:rFonts w:ascii="Cambria Math" w:hAnsi="Cambria Math" w:cs="Cambria Math"/>
                <w:kern w:val="0"/>
                <w:sz w:val="21"/>
                <w:szCs w:val="21"/>
                <w:lang w:eastAsia="zh-CN"/>
              </w:rPr>
              <w:t>𝐶</w:t>
            </w:r>
            <w:r>
              <w:rPr>
                <w:rFonts w:ascii="Times New Roman" w:hAnsi="Times New Roman"/>
                <w:kern w:val="0"/>
                <w:sz w:val="21"/>
                <w:szCs w:val="21"/>
                <w:lang w:eastAsia="zh-CN"/>
              </w:rPr>
              <w:t>本项目最大标率＞30% □</w:t>
            </w:r>
          </w:p>
        </w:tc>
      </w:tr>
      <w:tr w14:paraId="3743927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continue"/>
            <w:tcBorders>
              <w:right w:val="single" w:color="000000" w:sz="6" w:space="0"/>
            </w:tcBorders>
            <w:vAlign w:val="center"/>
          </w:tcPr>
          <w:p w14:paraId="4CE96323">
            <w:pPr>
              <w:autoSpaceDE w:val="0"/>
              <w:autoSpaceDN w:val="0"/>
              <w:jc w:val="center"/>
              <w:rPr>
                <w:rFonts w:ascii="Times New Roman" w:hAnsi="Times New Roman"/>
                <w:kern w:val="0"/>
                <w:sz w:val="21"/>
                <w:szCs w:val="21"/>
                <w:lang w:eastAsia="zh-CN"/>
              </w:rPr>
            </w:pPr>
          </w:p>
        </w:tc>
        <w:tc>
          <w:tcPr>
            <w:tcW w:w="1410" w:type="dxa"/>
            <w:tcBorders>
              <w:top w:val="single" w:color="000000" w:sz="6" w:space="0"/>
              <w:left w:val="single" w:color="000000" w:sz="6" w:space="0"/>
              <w:bottom w:val="single" w:color="000000" w:sz="6" w:space="0"/>
              <w:right w:val="single" w:color="000000" w:sz="6" w:space="0"/>
            </w:tcBorders>
            <w:vAlign w:val="center"/>
          </w:tcPr>
          <w:p w14:paraId="050E549C">
            <w:pPr>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非正常排放 1h 浓度贡献值</w:t>
            </w:r>
          </w:p>
        </w:tc>
        <w:tc>
          <w:tcPr>
            <w:tcW w:w="1713" w:type="dxa"/>
            <w:gridSpan w:val="3"/>
            <w:tcBorders>
              <w:top w:val="single" w:color="000000" w:sz="6" w:space="0"/>
              <w:left w:val="single" w:color="000000" w:sz="6" w:space="0"/>
              <w:bottom w:val="single" w:color="000000" w:sz="6" w:space="0"/>
              <w:right w:val="single" w:color="000000" w:sz="4" w:space="0"/>
            </w:tcBorders>
            <w:vAlign w:val="center"/>
          </w:tcPr>
          <w:p w14:paraId="56F8B2C6">
            <w:pPr>
              <w:tabs>
                <w:tab w:val="left" w:pos="3065"/>
              </w:tabs>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非正常持续时长</w:t>
            </w:r>
          </w:p>
          <w:p w14:paraId="783AC674">
            <w:pPr>
              <w:tabs>
                <w:tab w:val="left" w:pos="3065"/>
              </w:tabs>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（1）h</w:t>
            </w:r>
          </w:p>
        </w:tc>
        <w:tc>
          <w:tcPr>
            <w:tcW w:w="2268" w:type="dxa"/>
            <w:gridSpan w:val="4"/>
            <w:tcBorders>
              <w:top w:val="single" w:color="000000" w:sz="6" w:space="0"/>
              <w:left w:val="single" w:color="000000" w:sz="4" w:space="0"/>
              <w:bottom w:val="single" w:color="000000" w:sz="6" w:space="0"/>
              <w:right w:val="single" w:color="000000" w:sz="6" w:space="0"/>
            </w:tcBorders>
            <w:vAlign w:val="center"/>
          </w:tcPr>
          <w:p w14:paraId="28F7DB3D">
            <w:pPr>
              <w:tabs>
                <w:tab w:val="left" w:pos="3065"/>
              </w:tabs>
              <w:autoSpaceDE w:val="0"/>
              <w:autoSpaceDN w:val="0"/>
              <w:jc w:val="center"/>
              <w:rPr>
                <w:rFonts w:ascii="Times New Roman" w:hAnsi="Times New Roman"/>
                <w:kern w:val="0"/>
                <w:sz w:val="21"/>
                <w:szCs w:val="21"/>
                <w:lang w:eastAsia="en-US"/>
              </w:rPr>
            </w:pPr>
            <w:r>
              <w:rPr>
                <w:rFonts w:ascii="Cambria Math" w:hAnsi="Cambria Math" w:cs="Cambria Math"/>
                <w:kern w:val="0"/>
                <w:sz w:val="21"/>
                <w:szCs w:val="21"/>
                <w:lang w:eastAsia="en-US"/>
              </w:rPr>
              <w:t>𝐶</w:t>
            </w:r>
            <w:r>
              <w:rPr>
                <w:rFonts w:ascii="Times New Roman" w:hAnsi="Times New Roman"/>
                <w:kern w:val="0"/>
                <w:sz w:val="21"/>
                <w:szCs w:val="21"/>
                <w:lang w:eastAsia="en-US"/>
              </w:rPr>
              <w:t>非正常占标率≤100% √</w:t>
            </w:r>
          </w:p>
        </w:tc>
        <w:tc>
          <w:tcPr>
            <w:tcW w:w="2410" w:type="dxa"/>
            <w:gridSpan w:val="5"/>
            <w:tcBorders>
              <w:top w:val="single" w:color="000000" w:sz="6" w:space="0"/>
              <w:left w:val="single" w:color="000000" w:sz="6" w:space="0"/>
              <w:bottom w:val="single" w:color="000000" w:sz="6" w:space="0"/>
            </w:tcBorders>
            <w:vAlign w:val="center"/>
          </w:tcPr>
          <w:p w14:paraId="2219382B">
            <w:pPr>
              <w:tabs>
                <w:tab w:val="left" w:pos="3065"/>
              </w:tabs>
              <w:autoSpaceDE w:val="0"/>
              <w:autoSpaceDN w:val="0"/>
              <w:jc w:val="center"/>
              <w:rPr>
                <w:rFonts w:ascii="Times New Roman" w:hAnsi="Times New Roman"/>
                <w:kern w:val="0"/>
                <w:sz w:val="21"/>
                <w:szCs w:val="21"/>
                <w:lang w:eastAsia="en-US"/>
              </w:rPr>
            </w:pPr>
            <w:r>
              <w:rPr>
                <w:rFonts w:ascii="Cambria Math" w:hAnsi="Cambria Math" w:cs="Cambria Math"/>
                <w:kern w:val="0"/>
                <w:sz w:val="21"/>
                <w:szCs w:val="21"/>
                <w:lang w:eastAsia="en-US"/>
              </w:rPr>
              <w:t>𝐶</w:t>
            </w:r>
            <w:r>
              <w:rPr>
                <w:rFonts w:ascii="Times New Roman" w:hAnsi="Times New Roman"/>
                <w:kern w:val="0"/>
                <w:sz w:val="21"/>
                <w:szCs w:val="21"/>
                <w:lang w:eastAsia="en-US"/>
              </w:rPr>
              <w:t>非正常占标率＞100%□</w:t>
            </w:r>
          </w:p>
        </w:tc>
      </w:tr>
      <w:tr w14:paraId="291C43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continue"/>
            <w:tcBorders>
              <w:right w:val="single" w:color="000000" w:sz="6" w:space="0"/>
            </w:tcBorders>
            <w:vAlign w:val="center"/>
          </w:tcPr>
          <w:p w14:paraId="0EC7A4F6">
            <w:pPr>
              <w:autoSpaceDE w:val="0"/>
              <w:autoSpaceDN w:val="0"/>
              <w:jc w:val="center"/>
              <w:rPr>
                <w:rFonts w:ascii="Times New Roman" w:hAnsi="Times New Roman"/>
                <w:kern w:val="0"/>
                <w:sz w:val="21"/>
                <w:szCs w:val="21"/>
                <w:lang w:eastAsia="en-US"/>
              </w:rPr>
            </w:pPr>
          </w:p>
        </w:tc>
        <w:tc>
          <w:tcPr>
            <w:tcW w:w="1410" w:type="dxa"/>
            <w:tcBorders>
              <w:top w:val="single" w:color="000000" w:sz="6" w:space="0"/>
              <w:left w:val="single" w:color="000000" w:sz="6" w:space="0"/>
              <w:bottom w:val="single" w:color="000000" w:sz="6" w:space="0"/>
              <w:right w:val="single" w:color="000000" w:sz="6" w:space="0"/>
            </w:tcBorders>
            <w:vAlign w:val="center"/>
          </w:tcPr>
          <w:p w14:paraId="7F93AFC7">
            <w:pPr>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保证率日平均浓度和年平均浓度叠加值</w:t>
            </w:r>
          </w:p>
        </w:tc>
        <w:tc>
          <w:tcPr>
            <w:tcW w:w="3981" w:type="dxa"/>
            <w:gridSpan w:val="7"/>
            <w:tcBorders>
              <w:top w:val="single" w:color="000000" w:sz="6" w:space="0"/>
              <w:left w:val="single" w:color="000000" w:sz="6" w:space="0"/>
              <w:bottom w:val="single" w:color="000000" w:sz="6" w:space="0"/>
              <w:right w:val="single" w:color="000000" w:sz="6" w:space="0"/>
            </w:tcBorders>
            <w:vAlign w:val="center"/>
          </w:tcPr>
          <w:p w14:paraId="47F86E2E">
            <w:pPr>
              <w:tabs>
                <w:tab w:val="left" w:pos="3065"/>
              </w:tabs>
              <w:autoSpaceDE w:val="0"/>
              <w:autoSpaceDN w:val="0"/>
              <w:jc w:val="center"/>
              <w:rPr>
                <w:rFonts w:ascii="Times New Roman" w:hAnsi="Times New Roman"/>
                <w:kern w:val="0"/>
                <w:sz w:val="21"/>
                <w:szCs w:val="21"/>
                <w:lang w:eastAsia="en-US"/>
              </w:rPr>
            </w:pPr>
            <w:r>
              <w:rPr>
                <w:rFonts w:ascii="Cambria Math" w:hAnsi="Cambria Math" w:cs="Cambria Math"/>
                <w:kern w:val="0"/>
                <w:sz w:val="21"/>
                <w:szCs w:val="21"/>
                <w:lang w:eastAsia="en-US"/>
              </w:rPr>
              <w:t>𝐶</w:t>
            </w:r>
            <w:r>
              <w:rPr>
                <w:rFonts w:ascii="Times New Roman" w:hAnsi="Times New Roman"/>
                <w:kern w:val="0"/>
                <w:sz w:val="21"/>
                <w:szCs w:val="21"/>
                <w:lang w:eastAsia="en-US"/>
              </w:rPr>
              <w:t>叠加达标□</w:t>
            </w:r>
          </w:p>
        </w:tc>
        <w:tc>
          <w:tcPr>
            <w:tcW w:w="2410" w:type="dxa"/>
            <w:gridSpan w:val="5"/>
            <w:tcBorders>
              <w:top w:val="single" w:color="000000" w:sz="6" w:space="0"/>
              <w:left w:val="single" w:color="000000" w:sz="6" w:space="0"/>
              <w:bottom w:val="single" w:color="000000" w:sz="6" w:space="0"/>
            </w:tcBorders>
            <w:vAlign w:val="center"/>
          </w:tcPr>
          <w:p w14:paraId="0C59602F">
            <w:pPr>
              <w:tabs>
                <w:tab w:val="left" w:pos="3065"/>
              </w:tabs>
              <w:autoSpaceDE w:val="0"/>
              <w:autoSpaceDN w:val="0"/>
              <w:jc w:val="center"/>
              <w:rPr>
                <w:rFonts w:ascii="Times New Roman" w:hAnsi="Times New Roman"/>
                <w:kern w:val="0"/>
                <w:sz w:val="21"/>
                <w:szCs w:val="21"/>
                <w:lang w:eastAsia="en-US"/>
              </w:rPr>
            </w:pPr>
            <w:r>
              <w:rPr>
                <w:rFonts w:ascii="Cambria Math" w:hAnsi="Cambria Math" w:cs="Cambria Math"/>
                <w:kern w:val="0"/>
                <w:sz w:val="21"/>
                <w:szCs w:val="21"/>
                <w:lang w:eastAsia="en-US"/>
              </w:rPr>
              <w:t>𝐶</w:t>
            </w:r>
            <w:r>
              <w:rPr>
                <w:rFonts w:ascii="Times New Roman" w:hAnsi="Times New Roman"/>
                <w:kern w:val="0"/>
                <w:sz w:val="21"/>
                <w:szCs w:val="21"/>
                <w:lang w:eastAsia="en-US"/>
              </w:rPr>
              <w:t>叠加不达标 □</w:t>
            </w:r>
          </w:p>
        </w:tc>
      </w:tr>
      <w:tr w14:paraId="406142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continue"/>
            <w:tcBorders>
              <w:bottom w:val="single" w:color="000000" w:sz="6" w:space="0"/>
              <w:right w:val="single" w:color="000000" w:sz="6" w:space="0"/>
            </w:tcBorders>
            <w:vAlign w:val="center"/>
          </w:tcPr>
          <w:p w14:paraId="6F6C513A">
            <w:pPr>
              <w:autoSpaceDE w:val="0"/>
              <w:autoSpaceDN w:val="0"/>
              <w:jc w:val="center"/>
              <w:rPr>
                <w:rFonts w:ascii="Times New Roman" w:hAnsi="Times New Roman"/>
                <w:kern w:val="0"/>
                <w:sz w:val="21"/>
                <w:szCs w:val="21"/>
                <w:lang w:eastAsia="en-US"/>
              </w:rPr>
            </w:pPr>
          </w:p>
        </w:tc>
        <w:tc>
          <w:tcPr>
            <w:tcW w:w="1410" w:type="dxa"/>
            <w:tcBorders>
              <w:top w:val="single" w:color="000000" w:sz="6" w:space="0"/>
              <w:left w:val="single" w:color="000000" w:sz="6" w:space="0"/>
              <w:bottom w:val="single" w:color="000000" w:sz="6" w:space="0"/>
              <w:right w:val="single" w:color="000000" w:sz="6" w:space="0"/>
            </w:tcBorders>
            <w:vAlign w:val="center"/>
          </w:tcPr>
          <w:p w14:paraId="2520B9CD">
            <w:pPr>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区域环境质量的整体变化情况</w:t>
            </w:r>
          </w:p>
        </w:tc>
        <w:tc>
          <w:tcPr>
            <w:tcW w:w="3981" w:type="dxa"/>
            <w:gridSpan w:val="7"/>
            <w:tcBorders>
              <w:top w:val="single" w:color="000000" w:sz="6" w:space="0"/>
              <w:left w:val="single" w:color="000000" w:sz="6" w:space="0"/>
              <w:bottom w:val="single" w:color="000000" w:sz="6" w:space="0"/>
              <w:right w:val="single" w:color="000000" w:sz="6" w:space="0"/>
            </w:tcBorders>
            <w:vAlign w:val="center"/>
          </w:tcPr>
          <w:p w14:paraId="7F286DB8">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k  ≤-20% □</w:t>
            </w:r>
          </w:p>
        </w:tc>
        <w:tc>
          <w:tcPr>
            <w:tcW w:w="2410" w:type="dxa"/>
            <w:gridSpan w:val="5"/>
            <w:tcBorders>
              <w:top w:val="single" w:color="000000" w:sz="6" w:space="0"/>
              <w:left w:val="single" w:color="000000" w:sz="6" w:space="0"/>
              <w:bottom w:val="single" w:color="000000" w:sz="6" w:space="0"/>
            </w:tcBorders>
            <w:vAlign w:val="center"/>
          </w:tcPr>
          <w:p w14:paraId="7C4E0676">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k  ＞-20% □</w:t>
            </w:r>
          </w:p>
        </w:tc>
      </w:tr>
      <w:tr w14:paraId="76FED4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restart"/>
            <w:tcBorders>
              <w:top w:val="single" w:color="000000" w:sz="6" w:space="0"/>
              <w:right w:val="single" w:color="000000" w:sz="6" w:space="0"/>
            </w:tcBorders>
            <w:vAlign w:val="center"/>
          </w:tcPr>
          <w:p w14:paraId="21B34A31">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环境监测计划</w:t>
            </w:r>
          </w:p>
        </w:tc>
        <w:tc>
          <w:tcPr>
            <w:tcW w:w="1410" w:type="dxa"/>
            <w:tcBorders>
              <w:top w:val="single" w:color="000000" w:sz="6" w:space="0"/>
              <w:left w:val="single" w:color="000000" w:sz="6" w:space="0"/>
              <w:bottom w:val="single" w:color="000000" w:sz="6" w:space="0"/>
              <w:right w:val="single" w:color="000000" w:sz="6" w:space="0"/>
            </w:tcBorders>
            <w:vAlign w:val="center"/>
          </w:tcPr>
          <w:p w14:paraId="452FBB37">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污染源监测</w:t>
            </w:r>
          </w:p>
        </w:tc>
        <w:tc>
          <w:tcPr>
            <w:tcW w:w="1713" w:type="dxa"/>
            <w:gridSpan w:val="3"/>
            <w:tcBorders>
              <w:top w:val="single" w:color="000000" w:sz="6" w:space="0"/>
              <w:left w:val="single" w:color="000000" w:sz="6" w:space="0"/>
              <w:bottom w:val="single" w:color="000000" w:sz="6" w:space="0"/>
              <w:right w:val="single" w:color="000000" w:sz="6" w:space="0"/>
            </w:tcBorders>
            <w:vAlign w:val="center"/>
          </w:tcPr>
          <w:p w14:paraId="4984B62A">
            <w:pPr>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监测因子：（颗粒物、臭气、非甲烷总烃）</w:t>
            </w:r>
          </w:p>
        </w:tc>
        <w:tc>
          <w:tcPr>
            <w:tcW w:w="2268" w:type="dxa"/>
            <w:gridSpan w:val="4"/>
            <w:tcBorders>
              <w:top w:val="single" w:color="000000" w:sz="6" w:space="0"/>
              <w:left w:val="single" w:color="000000" w:sz="6" w:space="0"/>
              <w:bottom w:val="single" w:color="000000" w:sz="6" w:space="0"/>
              <w:right w:val="single" w:color="000000" w:sz="6" w:space="0"/>
            </w:tcBorders>
            <w:vAlign w:val="center"/>
          </w:tcPr>
          <w:p w14:paraId="39A708BC">
            <w:pPr>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 xml:space="preserve">有组织废气监测 </w:t>
            </w:r>
            <w:r>
              <w:rPr>
                <w:rFonts w:ascii="Times New Roman" w:hAnsi="Times New Roman"/>
                <w:spacing w:val="-3"/>
                <w:kern w:val="0"/>
                <w:sz w:val="21"/>
                <w:szCs w:val="21"/>
                <w:lang w:eastAsia="zh-CN"/>
              </w:rPr>
              <w:t>√</w:t>
            </w:r>
          </w:p>
          <w:p w14:paraId="3F3644EA">
            <w:pPr>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无组织废气监测</w:t>
            </w:r>
            <w:r>
              <w:rPr>
                <w:rFonts w:ascii="Times New Roman" w:hAnsi="Times New Roman"/>
                <w:spacing w:val="-3"/>
                <w:kern w:val="0"/>
                <w:sz w:val="21"/>
                <w:szCs w:val="21"/>
                <w:lang w:eastAsia="zh-CN"/>
              </w:rPr>
              <w:t>√</w:t>
            </w:r>
          </w:p>
        </w:tc>
        <w:tc>
          <w:tcPr>
            <w:tcW w:w="2410" w:type="dxa"/>
            <w:gridSpan w:val="5"/>
            <w:tcBorders>
              <w:top w:val="single" w:color="000000" w:sz="6" w:space="0"/>
              <w:left w:val="single" w:color="000000" w:sz="6" w:space="0"/>
              <w:bottom w:val="single" w:color="000000" w:sz="6" w:space="0"/>
            </w:tcBorders>
            <w:vAlign w:val="center"/>
          </w:tcPr>
          <w:p w14:paraId="12E9FB73">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无监测□</w:t>
            </w:r>
          </w:p>
        </w:tc>
      </w:tr>
      <w:tr w14:paraId="0B17F5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continue"/>
            <w:tcBorders>
              <w:bottom w:val="single" w:color="000000" w:sz="6" w:space="0"/>
              <w:right w:val="single" w:color="000000" w:sz="6" w:space="0"/>
            </w:tcBorders>
            <w:vAlign w:val="center"/>
          </w:tcPr>
          <w:p w14:paraId="28335E92">
            <w:pPr>
              <w:autoSpaceDE w:val="0"/>
              <w:autoSpaceDN w:val="0"/>
              <w:jc w:val="left"/>
              <w:rPr>
                <w:rFonts w:ascii="Times New Roman" w:hAnsi="Times New Roman"/>
                <w:kern w:val="0"/>
                <w:sz w:val="21"/>
                <w:szCs w:val="21"/>
                <w:lang w:eastAsia="en-US"/>
              </w:rPr>
            </w:pPr>
          </w:p>
        </w:tc>
        <w:tc>
          <w:tcPr>
            <w:tcW w:w="1410" w:type="dxa"/>
            <w:tcBorders>
              <w:top w:val="single" w:color="000000" w:sz="6" w:space="0"/>
              <w:left w:val="single" w:color="000000" w:sz="6" w:space="0"/>
              <w:bottom w:val="single" w:color="000000" w:sz="6" w:space="0"/>
              <w:right w:val="single" w:color="000000" w:sz="6" w:space="0"/>
            </w:tcBorders>
            <w:vAlign w:val="center"/>
          </w:tcPr>
          <w:p w14:paraId="017D0E6A">
            <w:pPr>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环境质量监测</w:t>
            </w:r>
          </w:p>
        </w:tc>
        <w:tc>
          <w:tcPr>
            <w:tcW w:w="1713" w:type="dxa"/>
            <w:gridSpan w:val="3"/>
            <w:tcBorders>
              <w:top w:val="single" w:color="000000" w:sz="6" w:space="0"/>
              <w:left w:val="single" w:color="000000" w:sz="6" w:space="0"/>
              <w:bottom w:val="single" w:color="000000" w:sz="6" w:space="0"/>
              <w:right w:val="single" w:color="000000" w:sz="6" w:space="0"/>
            </w:tcBorders>
            <w:vAlign w:val="center"/>
          </w:tcPr>
          <w:p w14:paraId="2AC81554">
            <w:pPr>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监测因子：（  ）</w:t>
            </w:r>
          </w:p>
        </w:tc>
        <w:tc>
          <w:tcPr>
            <w:tcW w:w="2268" w:type="dxa"/>
            <w:gridSpan w:val="4"/>
            <w:tcBorders>
              <w:top w:val="single" w:color="000000" w:sz="6" w:space="0"/>
              <w:left w:val="single" w:color="000000" w:sz="6" w:space="0"/>
              <w:bottom w:val="single" w:color="000000" w:sz="6" w:space="0"/>
              <w:right w:val="single" w:color="000000" w:sz="6" w:space="0"/>
            </w:tcBorders>
            <w:vAlign w:val="center"/>
          </w:tcPr>
          <w:p w14:paraId="6E67B583">
            <w:pPr>
              <w:tabs>
                <w:tab w:val="left" w:pos="1918"/>
              </w:tabs>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监测点位数（</w:t>
            </w:r>
            <w:r>
              <w:rPr>
                <w:rFonts w:ascii="Times New Roman" w:hAnsi="Times New Roman"/>
                <w:kern w:val="0"/>
                <w:sz w:val="21"/>
                <w:szCs w:val="21"/>
                <w:lang w:eastAsia="zh-CN"/>
              </w:rPr>
              <w:t xml:space="preserve"> </w:t>
            </w:r>
            <w:r>
              <w:rPr>
                <w:rFonts w:ascii="Times New Roman" w:hAnsi="Times New Roman"/>
                <w:kern w:val="0"/>
                <w:sz w:val="21"/>
                <w:szCs w:val="21"/>
                <w:lang w:eastAsia="en-US"/>
              </w:rPr>
              <w:t>）</w:t>
            </w:r>
          </w:p>
        </w:tc>
        <w:tc>
          <w:tcPr>
            <w:tcW w:w="2410" w:type="dxa"/>
            <w:gridSpan w:val="5"/>
            <w:tcBorders>
              <w:top w:val="single" w:color="000000" w:sz="6" w:space="0"/>
              <w:left w:val="single" w:color="000000" w:sz="6" w:space="0"/>
              <w:bottom w:val="single" w:color="000000" w:sz="6" w:space="0"/>
            </w:tcBorders>
            <w:vAlign w:val="center"/>
          </w:tcPr>
          <w:p w14:paraId="67ACD798">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无监测</w:t>
            </w:r>
            <w:r>
              <w:rPr>
                <w:rFonts w:ascii="Times New Roman" w:hAnsi="Times New Roman"/>
                <w:spacing w:val="-3"/>
                <w:kern w:val="0"/>
                <w:sz w:val="21"/>
                <w:szCs w:val="21"/>
                <w:lang w:eastAsia="zh-CN"/>
              </w:rPr>
              <w:t>√</w:t>
            </w:r>
          </w:p>
        </w:tc>
      </w:tr>
      <w:tr w14:paraId="04F1C32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restart"/>
            <w:tcBorders>
              <w:top w:val="single" w:color="000000" w:sz="6" w:space="0"/>
              <w:right w:val="single" w:color="000000" w:sz="6" w:space="0"/>
            </w:tcBorders>
            <w:vAlign w:val="center"/>
          </w:tcPr>
          <w:p w14:paraId="79DC93FC">
            <w:pPr>
              <w:autoSpaceDE w:val="0"/>
              <w:autoSpaceDN w:val="0"/>
              <w:jc w:val="left"/>
              <w:rPr>
                <w:rFonts w:ascii="Times New Roman" w:hAnsi="Times New Roman"/>
                <w:kern w:val="0"/>
                <w:sz w:val="21"/>
                <w:szCs w:val="21"/>
                <w:lang w:eastAsia="en-US"/>
              </w:rPr>
            </w:pPr>
            <w:r>
              <w:rPr>
                <w:rFonts w:ascii="Times New Roman" w:hAnsi="Times New Roman"/>
                <w:kern w:val="0"/>
                <w:sz w:val="21"/>
                <w:szCs w:val="21"/>
                <w:lang w:eastAsia="en-US"/>
              </w:rPr>
              <w:t>评价结论</w:t>
            </w:r>
          </w:p>
        </w:tc>
        <w:tc>
          <w:tcPr>
            <w:tcW w:w="1410" w:type="dxa"/>
            <w:tcBorders>
              <w:top w:val="single" w:color="000000" w:sz="6" w:space="0"/>
              <w:left w:val="single" w:color="000000" w:sz="6" w:space="0"/>
              <w:bottom w:val="single" w:color="000000" w:sz="6" w:space="0"/>
              <w:right w:val="single" w:color="000000" w:sz="6" w:space="0"/>
            </w:tcBorders>
            <w:vAlign w:val="center"/>
          </w:tcPr>
          <w:p w14:paraId="6E894F08">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环境影响</w:t>
            </w:r>
          </w:p>
        </w:tc>
        <w:tc>
          <w:tcPr>
            <w:tcW w:w="6391" w:type="dxa"/>
            <w:gridSpan w:val="12"/>
            <w:tcBorders>
              <w:top w:val="single" w:color="000000" w:sz="6" w:space="0"/>
              <w:left w:val="single" w:color="000000" w:sz="6" w:space="0"/>
              <w:bottom w:val="single" w:color="000000" w:sz="6" w:space="0"/>
            </w:tcBorders>
            <w:vAlign w:val="center"/>
          </w:tcPr>
          <w:p w14:paraId="35A2882B">
            <w:pPr>
              <w:tabs>
                <w:tab w:val="left" w:pos="3569"/>
              </w:tabs>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可以接受</w:t>
            </w:r>
            <w:r>
              <w:rPr>
                <w:rFonts w:ascii="Times New Roman" w:hAnsi="Times New Roman"/>
                <w:spacing w:val="-3"/>
                <w:kern w:val="0"/>
                <w:sz w:val="21"/>
                <w:szCs w:val="21"/>
                <w:lang w:eastAsia="zh-CN"/>
              </w:rPr>
              <w:t>√</w:t>
            </w:r>
            <w:r>
              <w:rPr>
                <w:rFonts w:ascii="Times New Roman" w:hAnsi="Times New Roman"/>
                <w:kern w:val="0"/>
                <w:sz w:val="21"/>
                <w:szCs w:val="21"/>
                <w:lang w:eastAsia="en-US"/>
              </w:rPr>
              <w:tab/>
            </w:r>
            <w:r>
              <w:rPr>
                <w:rFonts w:ascii="Times New Roman" w:hAnsi="Times New Roman"/>
                <w:kern w:val="0"/>
                <w:sz w:val="21"/>
                <w:szCs w:val="21"/>
                <w:lang w:eastAsia="en-US"/>
              </w:rPr>
              <w:t>不可以</w:t>
            </w:r>
            <w:r>
              <w:rPr>
                <w:rFonts w:ascii="Times New Roman" w:hAnsi="Times New Roman"/>
                <w:spacing w:val="-3"/>
                <w:kern w:val="0"/>
                <w:sz w:val="21"/>
                <w:szCs w:val="21"/>
                <w:lang w:eastAsia="en-US"/>
              </w:rPr>
              <w:t>接</w:t>
            </w:r>
            <w:r>
              <w:rPr>
                <w:rFonts w:ascii="Times New Roman" w:hAnsi="Times New Roman"/>
                <w:kern w:val="0"/>
                <w:sz w:val="21"/>
                <w:szCs w:val="21"/>
                <w:lang w:eastAsia="en-US"/>
              </w:rPr>
              <w:t>受</w:t>
            </w:r>
            <w:r>
              <w:rPr>
                <w:rFonts w:ascii="Times New Roman" w:hAnsi="Times New Roman"/>
                <w:spacing w:val="1"/>
                <w:kern w:val="0"/>
                <w:sz w:val="21"/>
                <w:szCs w:val="21"/>
                <w:lang w:eastAsia="en-US"/>
              </w:rPr>
              <w:t xml:space="preserve"> </w:t>
            </w:r>
            <w:r>
              <w:rPr>
                <w:rFonts w:ascii="Times New Roman" w:hAnsi="Times New Roman"/>
                <w:kern w:val="0"/>
                <w:sz w:val="21"/>
                <w:szCs w:val="21"/>
                <w:lang w:eastAsia="en-US"/>
              </w:rPr>
              <w:t>□</w:t>
            </w:r>
          </w:p>
        </w:tc>
      </w:tr>
      <w:tr w14:paraId="7DE2509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continue"/>
            <w:tcBorders>
              <w:right w:val="single" w:color="000000" w:sz="6" w:space="0"/>
            </w:tcBorders>
            <w:vAlign w:val="center"/>
          </w:tcPr>
          <w:p w14:paraId="2A7958DC">
            <w:pPr>
              <w:autoSpaceDE w:val="0"/>
              <w:autoSpaceDN w:val="0"/>
              <w:jc w:val="left"/>
              <w:rPr>
                <w:rFonts w:ascii="Times New Roman" w:hAnsi="Times New Roman"/>
                <w:kern w:val="0"/>
                <w:sz w:val="21"/>
                <w:szCs w:val="21"/>
                <w:lang w:eastAsia="en-US"/>
              </w:rPr>
            </w:pPr>
          </w:p>
        </w:tc>
        <w:tc>
          <w:tcPr>
            <w:tcW w:w="1410" w:type="dxa"/>
            <w:tcBorders>
              <w:top w:val="single" w:color="000000" w:sz="6" w:space="0"/>
              <w:left w:val="single" w:color="000000" w:sz="6" w:space="0"/>
              <w:bottom w:val="single" w:color="000000" w:sz="6" w:space="0"/>
              <w:right w:val="single" w:color="000000" w:sz="6" w:space="0"/>
            </w:tcBorders>
            <w:vAlign w:val="center"/>
          </w:tcPr>
          <w:p w14:paraId="4186A533">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大气环境防护距离</w:t>
            </w:r>
          </w:p>
        </w:tc>
        <w:tc>
          <w:tcPr>
            <w:tcW w:w="6391" w:type="dxa"/>
            <w:gridSpan w:val="12"/>
            <w:tcBorders>
              <w:top w:val="single" w:color="000000" w:sz="6" w:space="0"/>
              <w:left w:val="single" w:color="000000" w:sz="6" w:space="0"/>
              <w:bottom w:val="single" w:color="000000" w:sz="6" w:space="0"/>
            </w:tcBorders>
            <w:vAlign w:val="center"/>
          </w:tcPr>
          <w:p w14:paraId="391B61CD">
            <w:pPr>
              <w:tabs>
                <w:tab w:val="left" w:pos="2827"/>
                <w:tab w:val="left" w:pos="4354"/>
              </w:tabs>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无</w:t>
            </w:r>
          </w:p>
        </w:tc>
      </w:tr>
      <w:tr w14:paraId="1ADD69E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1" w:type="dxa"/>
            <w:vMerge w:val="continue"/>
            <w:tcBorders>
              <w:bottom w:val="single" w:color="000000" w:sz="6" w:space="0"/>
              <w:right w:val="single" w:color="000000" w:sz="6" w:space="0"/>
            </w:tcBorders>
            <w:vAlign w:val="center"/>
          </w:tcPr>
          <w:p w14:paraId="7E201397">
            <w:pPr>
              <w:autoSpaceDE w:val="0"/>
              <w:autoSpaceDN w:val="0"/>
              <w:jc w:val="left"/>
              <w:rPr>
                <w:rFonts w:ascii="Times New Roman" w:hAnsi="Times New Roman"/>
                <w:kern w:val="0"/>
                <w:sz w:val="21"/>
                <w:szCs w:val="21"/>
                <w:lang w:eastAsia="zh-CN"/>
              </w:rPr>
            </w:pPr>
          </w:p>
        </w:tc>
        <w:tc>
          <w:tcPr>
            <w:tcW w:w="1410" w:type="dxa"/>
            <w:tcBorders>
              <w:top w:val="single" w:color="000000" w:sz="6" w:space="0"/>
              <w:left w:val="single" w:color="000000" w:sz="6" w:space="0"/>
              <w:bottom w:val="single" w:color="000000" w:sz="6" w:space="0"/>
              <w:right w:val="single" w:color="000000" w:sz="6" w:space="0"/>
            </w:tcBorders>
            <w:vAlign w:val="center"/>
          </w:tcPr>
          <w:p w14:paraId="407363D9">
            <w:pPr>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污染源年排放量</w:t>
            </w:r>
          </w:p>
        </w:tc>
        <w:tc>
          <w:tcPr>
            <w:tcW w:w="1597" w:type="dxa"/>
            <w:gridSpan w:val="2"/>
            <w:tcBorders>
              <w:top w:val="single" w:color="000000" w:sz="6" w:space="0"/>
              <w:left w:val="single" w:color="000000" w:sz="6" w:space="0"/>
              <w:bottom w:val="single" w:color="000000" w:sz="6" w:space="0"/>
              <w:right w:val="single" w:color="000000" w:sz="6" w:space="0"/>
            </w:tcBorders>
            <w:vAlign w:val="center"/>
          </w:tcPr>
          <w:p w14:paraId="3730138D">
            <w:pPr>
              <w:tabs>
                <w:tab w:val="left" w:pos="1115"/>
              </w:tabs>
              <w:autoSpaceDE w:val="0"/>
              <w:autoSpaceDN w:val="0"/>
              <w:jc w:val="center"/>
              <w:rPr>
                <w:rFonts w:ascii="Times New Roman" w:hAnsi="Times New Roman"/>
                <w:kern w:val="0"/>
                <w:sz w:val="21"/>
                <w:szCs w:val="21"/>
                <w:lang w:eastAsia="en-US"/>
              </w:rPr>
            </w:pPr>
            <w:r>
              <w:rPr>
                <w:rFonts w:ascii="Times New Roman" w:hAnsi="Times New Roman"/>
                <w:kern w:val="0"/>
                <w:position w:val="1"/>
                <w:sz w:val="21"/>
                <w:szCs w:val="21"/>
                <w:lang w:eastAsia="en-US"/>
              </w:rPr>
              <w:t>SO</w:t>
            </w:r>
            <w:r>
              <w:rPr>
                <w:rFonts w:ascii="Times New Roman" w:hAnsi="Times New Roman"/>
                <w:kern w:val="0"/>
                <w:sz w:val="21"/>
                <w:szCs w:val="21"/>
                <w:vertAlign w:val="subscript"/>
                <w:lang w:eastAsia="en-US"/>
              </w:rPr>
              <w:t>2</w:t>
            </w:r>
            <w:r>
              <w:rPr>
                <w:rFonts w:ascii="Times New Roman" w:hAnsi="Times New Roman"/>
                <w:kern w:val="0"/>
                <w:position w:val="1"/>
                <w:sz w:val="21"/>
                <w:szCs w:val="21"/>
                <w:lang w:eastAsia="en-US"/>
              </w:rPr>
              <w:t>:（</w:t>
            </w:r>
            <w:r>
              <w:rPr>
                <w:rFonts w:ascii="Times New Roman" w:hAnsi="Times New Roman"/>
                <w:kern w:val="0"/>
                <w:position w:val="1"/>
                <w:sz w:val="21"/>
                <w:szCs w:val="21"/>
                <w:lang w:eastAsia="zh-CN"/>
              </w:rPr>
              <w:t>0</w:t>
            </w:r>
            <w:r>
              <w:rPr>
                <w:rFonts w:ascii="Times New Roman" w:hAnsi="Times New Roman"/>
                <w:kern w:val="0"/>
                <w:position w:val="1"/>
                <w:sz w:val="21"/>
                <w:szCs w:val="21"/>
                <w:lang w:eastAsia="en-US"/>
              </w:rPr>
              <w:t>）t/a</w:t>
            </w:r>
          </w:p>
        </w:tc>
        <w:tc>
          <w:tcPr>
            <w:tcW w:w="1598" w:type="dxa"/>
            <w:gridSpan w:val="4"/>
            <w:tcBorders>
              <w:top w:val="single" w:color="000000" w:sz="6" w:space="0"/>
              <w:left w:val="single" w:color="000000" w:sz="6" w:space="0"/>
              <w:bottom w:val="single" w:color="000000" w:sz="6" w:space="0"/>
              <w:right w:val="single" w:color="000000" w:sz="6" w:space="0"/>
            </w:tcBorders>
            <w:vAlign w:val="center"/>
          </w:tcPr>
          <w:p w14:paraId="56CD2375">
            <w:pPr>
              <w:tabs>
                <w:tab w:val="left" w:pos="1169"/>
              </w:tabs>
              <w:autoSpaceDE w:val="0"/>
              <w:autoSpaceDN w:val="0"/>
              <w:jc w:val="center"/>
              <w:rPr>
                <w:rFonts w:ascii="Times New Roman" w:hAnsi="Times New Roman"/>
                <w:kern w:val="0"/>
                <w:sz w:val="21"/>
                <w:szCs w:val="21"/>
                <w:lang w:eastAsia="en-US"/>
              </w:rPr>
            </w:pPr>
            <w:r>
              <w:rPr>
                <w:rFonts w:ascii="Times New Roman" w:hAnsi="Times New Roman"/>
                <w:kern w:val="0"/>
                <w:position w:val="1"/>
                <w:sz w:val="21"/>
                <w:szCs w:val="21"/>
                <w:lang w:eastAsia="en-US"/>
              </w:rPr>
              <w:t>NO</w:t>
            </w:r>
            <w:r>
              <w:rPr>
                <w:rFonts w:ascii="Times New Roman" w:hAnsi="Times New Roman"/>
                <w:kern w:val="0"/>
                <w:sz w:val="21"/>
                <w:szCs w:val="21"/>
                <w:lang w:eastAsia="en-US"/>
              </w:rPr>
              <w:t>x</w:t>
            </w:r>
            <w:r>
              <w:rPr>
                <w:rFonts w:ascii="Times New Roman" w:hAnsi="Times New Roman"/>
                <w:kern w:val="0"/>
                <w:position w:val="1"/>
                <w:sz w:val="21"/>
                <w:szCs w:val="21"/>
                <w:lang w:eastAsia="en-US"/>
              </w:rPr>
              <w:t>:（</w:t>
            </w:r>
            <w:r>
              <w:rPr>
                <w:rFonts w:ascii="Times New Roman" w:hAnsi="Times New Roman"/>
                <w:kern w:val="0"/>
                <w:position w:val="1"/>
                <w:sz w:val="21"/>
                <w:szCs w:val="21"/>
                <w:lang w:eastAsia="zh-CN"/>
              </w:rPr>
              <w:t>0</w:t>
            </w:r>
            <w:r>
              <w:rPr>
                <w:rFonts w:ascii="Times New Roman" w:hAnsi="Times New Roman"/>
                <w:kern w:val="0"/>
                <w:position w:val="1"/>
                <w:sz w:val="21"/>
                <w:szCs w:val="21"/>
                <w:lang w:eastAsia="en-US"/>
              </w:rPr>
              <w:t>）t/a</w:t>
            </w:r>
          </w:p>
        </w:tc>
        <w:tc>
          <w:tcPr>
            <w:tcW w:w="1598" w:type="dxa"/>
            <w:gridSpan w:val="2"/>
            <w:tcBorders>
              <w:top w:val="single" w:color="000000" w:sz="6" w:space="0"/>
              <w:left w:val="single" w:color="000000" w:sz="6" w:space="0"/>
              <w:bottom w:val="single" w:color="000000" w:sz="6" w:space="0"/>
              <w:right w:val="single" w:color="000000" w:sz="6" w:space="0"/>
            </w:tcBorders>
            <w:vAlign w:val="center"/>
          </w:tcPr>
          <w:p w14:paraId="7A4CD7A0">
            <w:pPr>
              <w:tabs>
                <w:tab w:val="left" w:pos="1073"/>
              </w:tabs>
              <w:autoSpaceDE w:val="0"/>
              <w:autoSpaceDN w:val="0"/>
              <w:jc w:val="center"/>
              <w:rPr>
                <w:rFonts w:ascii="Times New Roman" w:hAnsi="Times New Roman"/>
                <w:kern w:val="0"/>
                <w:sz w:val="21"/>
                <w:szCs w:val="21"/>
                <w:lang w:eastAsia="en-US"/>
              </w:rPr>
            </w:pPr>
            <w:r>
              <w:rPr>
                <w:rFonts w:ascii="Times New Roman" w:hAnsi="Times New Roman"/>
                <w:kern w:val="0"/>
                <w:sz w:val="21"/>
                <w:szCs w:val="21"/>
                <w:lang w:eastAsia="en-US"/>
              </w:rPr>
              <w:t>颗粒物:（</w:t>
            </w:r>
            <w:r>
              <w:rPr>
                <w:rFonts w:ascii="Times New Roman" w:hAnsi="Times New Roman"/>
                <w:kern w:val="0"/>
                <w:sz w:val="21"/>
                <w:szCs w:val="21"/>
                <w:lang w:eastAsia="zh-CN"/>
              </w:rPr>
              <w:t>0.0231</w:t>
            </w:r>
            <w:r>
              <w:rPr>
                <w:rFonts w:ascii="Times New Roman" w:hAnsi="Times New Roman"/>
                <w:kern w:val="0"/>
                <w:sz w:val="21"/>
                <w:szCs w:val="21"/>
                <w:lang w:eastAsia="en-US"/>
              </w:rPr>
              <w:t>）t/a</w:t>
            </w:r>
          </w:p>
        </w:tc>
        <w:tc>
          <w:tcPr>
            <w:tcW w:w="1598" w:type="dxa"/>
            <w:gridSpan w:val="4"/>
            <w:tcBorders>
              <w:top w:val="single" w:color="000000" w:sz="6" w:space="0"/>
              <w:left w:val="single" w:color="000000" w:sz="6" w:space="0"/>
              <w:bottom w:val="single" w:color="000000" w:sz="6" w:space="0"/>
            </w:tcBorders>
            <w:vAlign w:val="center"/>
          </w:tcPr>
          <w:p w14:paraId="61749C3B">
            <w:pPr>
              <w:tabs>
                <w:tab w:val="left" w:pos="1036"/>
              </w:tabs>
              <w:autoSpaceDE w:val="0"/>
              <w:autoSpaceDN w:val="0"/>
              <w:jc w:val="left"/>
              <w:rPr>
                <w:rFonts w:ascii="Times New Roman" w:hAnsi="Times New Roman"/>
                <w:kern w:val="0"/>
                <w:sz w:val="21"/>
                <w:szCs w:val="21"/>
                <w:lang w:eastAsia="en-US"/>
              </w:rPr>
            </w:pPr>
            <w:r>
              <w:rPr>
                <w:rFonts w:ascii="Times New Roman" w:hAnsi="Times New Roman"/>
                <w:kern w:val="0"/>
                <w:position w:val="1"/>
                <w:sz w:val="21"/>
                <w:szCs w:val="21"/>
                <w:lang w:eastAsia="zh-CN"/>
              </w:rPr>
              <w:t>非甲烷总烃</w:t>
            </w:r>
            <w:r>
              <w:rPr>
                <w:rFonts w:ascii="Times New Roman" w:hAnsi="Times New Roman"/>
                <w:kern w:val="0"/>
                <w:position w:val="1"/>
                <w:sz w:val="21"/>
                <w:szCs w:val="21"/>
                <w:lang w:eastAsia="en-US"/>
              </w:rPr>
              <w:t>:（</w:t>
            </w:r>
            <w:r>
              <w:rPr>
                <w:rFonts w:ascii="Times New Roman" w:hAnsi="Times New Roman"/>
                <w:kern w:val="0"/>
                <w:position w:val="1"/>
                <w:sz w:val="21"/>
                <w:szCs w:val="21"/>
                <w:lang w:eastAsia="zh-CN"/>
              </w:rPr>
              <w:t>0.154</w:t>
            </w:r>
            <w:r>
              <w:rPr>
                <w:rFonts w:ascii="Times New Roman" w:hAnsi="Times New Roman"/>
                <w:kern w:val="0"/>
                <w:position w:val="1"/>
                <w:sz w:val="21"/>
                <w:szCs w:val="21"/>
                <w:lang w:eastAsia="en-US"/>
              </w:rPr>
              <w:t>）t/a</w:t>
            </w:r>
          </w:p>
        </w:tc>
      </w:tr>
      <w:tr w14:paraId="2764B86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 w:hRule="atLeast"/>
        </w:trPr>
        <w:tc>
          <w:tcPr>
            <w:tcW w:w="8662" w:type="dxa"/>
            <w:gridSpan w:val="14"/>
            <w:tcBorders>
              <w:top w:val="single" w:color="000000" w:sz="6" w:space="0"/>
            </w:tcBorders>
            <w:vAlign w:val="center"/>
          </w:tcPr>
          <w:p w14:paraId="35D3BC0C">
            <w:pPr>
              <w:tabs>
                <w:tab w:val="left" w:pos="3425"/>
              </w:tabs>
              <w:autoSpaceDE w:val="0"/>
              <w:autoSpaceDN w:val="0"/>
              <w:jc w:val="center"/>
              <w:rPr>
                <w:rFonts w:ascii="Times New Roman" w:hAnsi="Times New Roman"/>
                <w:kern w:val="0"/>
                <w:sz w:val="21"/>
                <w:szCs w:val="21"/>
                <w:lang w:eastAsia="zh-CN"/>
              </w:rPr>
            </w:pPr>
            <w:r>
              <w:rPr>
                <w:rFonts w:ascii="Times New Roman" w:hAnsi="Times New Roman"/>
                <w:kern w:val="0"/>
                <w:sz w:val="21"/>
                <w:szCs w:val="21"/>
                <w:lang w:eastAsia="zh-CN"/>
              </w:rPr>
              <w:t>注</w:t>
            </w:r>
            <w:r>
              <w:rPr>
                <w:rFonts w:ascii="Times New Roman" w:hAnsi="Times New Roman"/>
                <w:spacing w:val="-92"/>
                <w:kern w:val="0"/>
                <w:sz w:val="21"/>
                <w:szCs w:val="21"/>
                <w:lang w:eastAsia="zh-CN"/>
              </w:rPr>
              <w:t>：</w:t>
            </w:r>
            <w:r>
              <w:rPr>
                <w:rFonts w:ascii="Times New Roman" w:hAnsi="Times New Roman"/>
                <w:kern w:val="0"/>
                <w:sz w:val="21"/>
                <w:szCs w:val="21"/>
                <w:lang w:eastAsia="zh-CN"/>
              </w:rPr>
              <w:t>“</w:t>
            </w:r>
            <w:r>
              <w:rPr>
                <w:rFonts w:ascii="Times New Roman" w:hAnsi="Times New Roman"/>
                <w:spacing w:val="2"/>
                <w:kern w:val="0"/>
                <w:sz w:val="21"/>
                <w:szCs w:val="21"/>
                <w:lang w:eastAsia="zh-CN"/>
              </w:rPr>
              <w:t>□</w:t>
            </w:r>
            <w:r>
              <w:rPr>
                <w:rFonts w:ascii="Times New Roman" w:hAnsi="Times New Roman"/>
                <w:kern w:val="0"/>
                <w:sz w:val="21"/>
                <w:szCs w:val="21"/>
                <w:lang w:eastAsia="zh-CN"/>
              </w:rPr>
              <w:t>”</w:t>
            </w:r>
            <w:r>
              <w:rPr>
                <w:rFonts w:ascii="Times New Roman" w:hAnsi="Times New Roman"/>
                <w:spacing w:val="1"/>
                <w:kern w:val="0"/>
                <w:sz w:val="21"/>
                <w:szCs w:val="21"/>
                <w:lang w:eastAsia="zh-CN"/>
              </w:rPr>
              <w:t xml:space="preserve"> </w:t>
            </w:r>
            <w:r>
              <w:rPr>
                <w:rFonts w:ascii="Times New Roman" w:hAnsi="Times New Roman"/>
                <w:kern w:val="0"/>
                <w:sz w:val="21"/>
                <w:szCs w:val="21"/>
                <w:lang w:eastAsia="zh-CN"/>
              </w:rPr>
              <w:t>为勾选项</w:t>
            </w:r>
            <w:r>
              <w:rPr>
                <w:rFonts w:ascii="Times New Roman" w:hAnsi="Times New Roman"/>
                <w:spacing w:val="1"/>
                <w:kern w:val="0"/>
                <w:sz w:val="21"/>
                <w:szCs w:val="21"/>
                <w:lang w:eastAsia="zh-CN"/>
              </w:rPr>
              <w:t xml:space="preserve"> </w:t>
            </w:r>
            <w:r>
              <w:rPr>
                <w:rFonts w:ascii="Times New Roman" w:hAnsi="Times New Roman"/>
                <w:kern w:val="0"/>
                <w:sz w:val="21"/>
                <w:szCs w:val="21"/>
                <w:lang w:eastAsia="zh-CN"/>
              </w:rPr>
              <w:t>，填“</w:t>
            </w:r>
            <w:r>
              <w:rPr>
                <w:rFonts w:ascii="Times New Roman" w:hAnsi="Times New Roman"/>
                <w:spacing w:val="-3"/>
                <w:kern w:val="0"/>
                <w:sz w:val="21"/>
                <w:szCs w:val="21"/>
                <w:lang w:eastAsia="zh-CN"/>
              </w:rPr>
              <w:t>√</w:t>
            </w:r>
            <w:r>
              <w:rPr>
                <w:rFonts w:ascii="Times New Roman" w:hAnsi="Times New Roman"/>
                <w:kern w:val="0"/>
                <w:sz w:val="21"/>
                <w:szCs w:val="21"/>
                <w:lang w:eastAsia="zh-CN"/>
              </w:rPr>
              <w:t>”</w:t>
            </w:r>
            <w:r>
              <w:rPr>
                <w:rFonts w:ascii="Times New Roman" w:hAnsi="Times New Roman"/>
                <w:spacing w:val="1"/>
                <w:kern w:val="0"/>
                <w:sz w:val="21"/>
                <w:szCs w:val="21"/>
                <w:lang w:eastAsia="zh-CN"/>
              </w:rPr>
              <w:t xml:space="preserve"> </w:t>
            </w:r>
            <w:r>
              <w:rPr>
                <w:rFonts w:ascii="Times New Roman" w:hAnsi="Times New Roman"/>
                <w:kern w:val="0"/>
                <w:sz w:val="21"/>
                <w:szCs w:val="21"/>
                <w:lang w:eastAsia="zh-CN"/>
              </w:rPr>
              <w:t>；</w:t>
            </w:r>
            <w:r>
              <w:rPr>
                <w:rFonts w:ascii="Times New Roman" w:hAnsi="Times New Roman"/>
                <w:spacing w:val="-1"/>
                <w:kern w:val="0"/>
                <w:sz w:val="21"/>
                <w:szCs w:val="21"/>
                <w:lang w:eastAsia="zh-CN"/>
              </w:rPr>
              <w:t>“</w:t>
            </w:r>
            <w:r>
              <w:rPr>
                <w:rFonts w:ascii="Times New Roman" w:hAnsi="Times New Roman"/>
                <w:kern w:val="0"/>
                <w:sz w:val="21"/>
                <w:szCs w:val="21"/>
                <w:lang w:eastAsia="zh-CN"/>
              </w:rPr>
              <w:t>（   ）”  为内容填写项</w:t>
            </w:r>
          </w:p>
        </w:tc>
      </w:tr>
    </w:tbl>
    <w:p w14:paraId="6C5DD763"/>
    <w:p w14:paraId="52C6F462">
      <w:pPr>
        <w:widowControl/>
        <w:jc w:val="left"/>
        <w:rPr>
          <w:rFonts w:eastAsia="黑体"/>
          <w:b/>
          <w:bCs/>
          <w:color w:val="000000" w:themeColor="text1"/>
          <w:sz w:val="30"/>
          <w:szCs w:val="32"/>
        </w:rPr>
      </w:pPr>
      <w:r>
        <w:rPr>
          <w:color w:val="000000" w:themeColor="text1"/>
        </w:rPr>
        <w:br w:type="page"/>
      </w:r>
    </w:p>
    <w:p w14:paraId="4A2F1FE9">
      <w:pPr>
        <w:pStyle w:val="4"/>
        <w:rPr>
          <w:rFonts w:ascii="Times New Roman" w:hAnsi="Times New Roman"/>
          <w:color w:val="000000" w:themeColor="text1"/>
        </w:rPr>
      </w:pPr>
      <w:bookmarkStart w:id="396" w:name="_Toc28117712"/>
      <w:r>
        <w:rPr>
          <w:rFonts w:ascii="Times New Roman" w:hAnsi="Times New Roman"/>
          <w:color w:val="000000" w:themeColor="text1"/>
        </w:rPr>
        <w:t>6.2地表水环境影响预测及评价</w:t>
      </w:r>
      <w:bookmarkEnd w:id="396"/>
    </w:p>
    <w:p w14:paraId="7393E458">
      <w:pPr>
        <w:pStyle w:val="105"/>
        <w:rPr>
          <w:rFonts w:cs="Times New Roman"/>
          <w:color w:val="000000" w:themeColor="text1"/>
        </w:rPr>
      </w:pPr>
      <w:r>
        <w:rPr>
          <w:rFonts w:cs="Times New Roman"/>
          <w:color w:val="000000" w:themeColor="text1"/>
        </w:rPr>
        <w:t>6.2.1废水产排情况</w:t>
      </w:r>
    </w:p>
    <w:p w14:paraId="2EC824EC">
      <w:pPr>
        <w:pStyle w:val="15"/>
        <w:adjustRightInd w:val="0"/>
        <w:snapToGrid w:val="0"/>
        <w:spacing w:line="360" w:lineRule="auto"/>
        <w:ind w:firstLine="480" w:firstLineChars="200"/>
        <w:rPr>
          <w:color w:val="000000" w:themeColor="text1"/>
          <w:kern w:val="0"/>
          <w:sz w:val="24"/>
        </w:rPr>
      </w:pPr>
      <w:r>
        <w:rPr>
          <w:color w:val="000000" w:themeColor="text1"/>
          <w:kern w:val="0"/>
          <w:sz w:val="24"/>
        </w:rPr>
        <w:t>项目采用雨污分流的排水方式，</w:t>
      </w:r>
      <w:r>
        <w:rPr>
          <w:color w:val="000000" w:themeColor="text1"/>
          <w:sz w:val="24"/>
        </w:rPr>
        <w:t>收集前1h的雨水进入本项目</w:t>
      </w:r>
      <w:r>
        <w:rPr>
          <w:bCs/>
          <w:color w:val="000000" w:themeColor="text1"/>
          <w:sz w:val="24"/>
        </w:rPr>
        <w:t>雨水收集池</w:t>
      </w:r>
      <w:r>
        <w:rPr>
          <w:color w:val="000000" w:themeColor="text1"/>
          <w:sz w:val="24"/>
        </w:rPr>
        <w:t>进行处理，回用于生产，其余经沉淀后外排</w:t>
      </w:r>
      <w:r>
        <w:rPr>
          <w:color w:val="000000" w:themeColor="text1"/>
          <w:kern w:val="0"/>
          <w:sz w:val="24"/>
        </w:rPr>
        <w:t>。</w:t>
      </w:r>
    </w:p>
    <w:p w14:paraId="4A9EC3F0">
      <w:pPr>
        <w:spacing w:line="360" w:lineRule="auto"/>
        <w:ind w:firstLine="480" w:firstLineChars="200"/>
        <w:rPr>
          <w:color w:val="000000" w:themeColor="text1"/>
          <w:sz w:val="24"/>
        </w:rPr>
      </w:pPr>
      <w:r>
        <w:rPr>
          <w:color w:val="000000" w:themeColor="text1"/>
          <w:sz w:val="24"/>
        </w:rPr>
        <w:t>根据第3章用排水核算，项目总废水产生量为31.42m</w:t>
      </w:r>
      <w:r>
        <w:rPr>
          <w:color w:val="000000" w:themeColor="text1"/>
          <w:sz w:val="24"/>
          <w:vertAlign w:val="superscript"/>
        </w:rPr>
        <w:t>3</w:t>
      </w:r>
      <w:r>
        <w:rPr>
          <w:color w:val="000000" w:themeColor="text1"/>
          <w:sz w:val="24"/>
        </w:rPr>
        <w:t>/d；</w:t>
      </w:r>
    </w:p>
    <w:p w14:paraId="469FE4C5">
      <w:pPr>
        <w:adjustRightInd w:val="0"/>
        <w:spacing w:line="360" w:lineRule="auto"/>
        <w:ind w:firstLine="480" w:firstLineChars="200"/>
        <w:rPr>
          <w:snapToGrid w:val="0"/>
          <w:color w:val="000000" w:themeColor="text1"/>
          <w:kern w:val="0"/>
          <w:sz w:val="24"/>
          <w:szCs w:val="20"/>
        </w:rPr>
      </w:pPr>
      <w:r>
        <w:rPr>
          <w:color w:val="000000" w:themeColor="text1"/>
          <w:sz w:val="24"/>
        </w:rPr>
        <w:t>其中</w:t>
      </w:r>
      <w:r>
        <w:rPr>
          <w:b/>
          <w:color w:val="000000" w:themeColor="text1"/>
          <w:sz w:val="24"/>
        </w:rPr>
        <w:t>生产废水</w:t>
      </w:r>
      <w:r>
        <w:rPr>
          <w:color w:val="000000" w:themeColor="text1"/>
          <w:sz w:val="24"/>
        </w:rPr>
        <w:t>：清洗破碎废水产生量为29.66m</w:t>
      </w:r>
      <w:r>
        <w:rPr>
          <w:color w:val="000000" w:themeColor="text1"/>
          <w:sz w:val="24"/>
          <w:vertAlign w:val="superscript"/>
        </w:rPr>
        <w:t>3</w:t>
      </w:r>
      <w:r>
        <w:rPr>
          <w:color w:val="000000" w:themeColor="text1"/>
          <w:sz w:val="24"/>
        </w:rPr>
        <w:t>/d，</w:t>
      </w:r>
      <w:r>
        <w:rPr>
          <w:snapToGrid w:val="0"/>
          <w:color w:val="000000" w:themeColor="text1"/>
          <w:kern w:val="0"/>
          <w:sz w:val="24"/>
          <w:szCs w:val="20"/>
        </w:rPr>
        <w:t>经污水处理设施（隔油池+沉淀池）处理后，回用于生产。</w:t>
      </w:r>
    </w:p>
    <w:p w14:paraId="4FF2BDAF">
      <w:pPr>
        <w:adjustRightInd w:val="0"/>
        <w:spacing w:line="360" w:lineRule="auto"/>
        <w:ind w:firstLine="480" w:firstLineChars="200"/>
        <w:rPr>
          <w:snapToGrid w:val="0"/>
          <w:color w:val="000000" w:themeColor="text1"/>
          <w:kern w:val="0"/>
          <w:sz w:val="24"/>
          <w:szCs w:val="20"/>
        </w:rPr>
      </w:pPr>
      <w:r>
        <w:rPr>
          <w:snapToGrid w:val="0"/>
          <w:color w:val="000000" w:themeColor="text1"/>
          <w:kern w:val="0"/>
          <w:sz w:val="24"/>
          <w:szCs w:val="20"/>
        </w:rPr>
        <w:t>造粒、编织袋拉丝冷却水循环使用，不外排。</w:t>
      </w:r>
    </w:p>
    <w:p w14:paraId="34787503">
      <w:pPr>
        <w:spacing w:line="360" w:lineRule="auto"/>
        <w:ind w:firstLine="482" w:firstLineChars="200"/>
        <w:rPr>
          <w:color w:val="000000" w:themeColor="text1"/>
          <w:sz w:val="24"/>
        </w:rPr>
      </w:pPr>
      <w:r>
        <w:rPr>
          <w:b/>
          <w:color w:val="000000" w:themeColor="text1"/>
          <w:sz w:val="24"/>
        </w:rPr>
        <w:t>生活废水</w:t>
      </w:r>
      <w:r>
        <w:rPr>
          <w:color w:val="000000" w:themeColor="text1"/>
          <w:sz w:val="24"/>
        </w:rPr>
        <w:t>：产生量为1.76m</w:t>
      </w:r>
      <w:r>
        <w:rPr>
          <w:color w:val="000000" w:themeColor="text1"/>
          <w:sz w:val="24"/>
          <w:vertAlign w:val="superscript"/>
        </w:rPr>
        <w:t>3</w:t>
      </w:r>
      <w:r>
        <w:rPr>
          <w:color w:val="000000" w:themeColor="text1"/>
          <w:sz w:val="24"/>
        </w:rPr>
        <w:t>/d，</w:t>
      </w:r>
      <w:r>
        <w:rPr>
          <w:snapToGrid w:val="0"/>
          <w:color w:val="000000" w:themeColor="text1"/>
          <w:kern w:val="0"/>
          <w:sz w:val="24"/>
          <w:szCs w:val="20"/>
        </w:rPr>
        <w:t>经化粪池、隔油池处理后，定期委托周边村民清掏，用于农作物施肥。</w:t>
      </w:r>
    </w:p>
    <w:p w14:paraId="388FEED5">
      <w:pPr>
        <w:pStyle w:val="105"/>
        <w:rPr>
          <w:rFonts w:cs="Times New Roman"/>
          <w:color w:val="000000" w:themeColor="text1"/>
        </w:rPr>
      </w:pPr>
      <w:r>
        <w:rPr>
          <w:rFonts w:cs="Times New Roman"/>
          <w:color w:val="000000" w:themeColor="text1"/>
        </w:rPr>
        <w:t>6.2.2废水处置措施规模及可行性分析</w:t>
      </w:r>
    </w:p>
    <w:p w14:paraId="3D4C1049">
      <w:pPr>
        <w:spacing w:line="360" w:lineRule="auto"/>
        <w:ind w:firstLine="480"/>
        <w:jc w:val="left"/>
        <w:rPr>
          <w:color w:val="000000" w:themeColor="text1"/>
          <w:sz w:val="24"/>
        </w:rPr>
      </w:pPr>
      <w:r>
        <w:rPr>
          <w:color w:val="000000" w:themeColor="text1"/>
          <w:sz w:val="24"/>
        </w:rPr>
        <w:t>项目采用雨污分流的排水方式，收集前1h的雨水进入本项目雨水收集池进行处理，回用于生产，其余经沉淀后外排。</w:t>
      </w:r>
    </w:p>
    <w:p w14:paraId="5AE2BBB5">
      <w:pPr>
        <w:spacing w:line="360" w:lineRule="auto"/>
        <w:ind w:firstLine="480"/>
        <w:jc w:val="left"/>
        <w:rPr>
          <w:color w:val="000000" w:themeColor="text1"/>
          <w:sz w:val="24"/>
        </w:rPr>
      </w:pPr>
      <w:r>
        <w:rPr>
          <w:color w:val="000000" w:themeColor="text1"/>
          <w:sz w:val="24"/>
        </w:rPr>
        <w:t>本项目废水主要为生产废水和生活废水。</w:t>
      </w:r>
    </w:p>
    <w:p w14:paraId="1087F323">
      <w:pPr>
        <w:spacing w:line="360" w:lineRule="auto"/>
        <w:ind w:firstLine="480"/>
        <w:jc w:val="left"/>
        <w:rPr>
          <w:b/>
          <w:color w:val="000000" w:themeColor="text1"/>
          <w:sz w:val="24"/>
        </w:rPr>
      </w:pPr>
      <w:r>
        <w:rPr>
          <w:b/>
          <w:color w:val="000000" w:themeColor="text1"/>
          <w:sz w:val="24"/>
        </w:rPr>
        <w:t>1、雨水处置措施规模及可行性</w:t>
      </w:r>
    </w:p>
    <w:p w14:paraId="6B2CB623">
      <w:pPr>
        <w:adjustRightInd w:val="0"/>
        <w:snapToGrid w:val="0"/>
        <w:spacing w:line="360" w:lineRule="auto"/>
        <w:ind w:right="-13" w:rightChars="-6" w:firstLine="480" w:firstLineChars="200"/>
        <w:rPr>
          <w:color w:val="000000" w:themeColor="text1"/>
          <w:sz w:val="24"/>
        </w:rPr>
      </w:pPr>
      <w:r>
        <w:rPr>
          <w:color w:val="000000" w:themeColor="text1"/>
          <w:sz w:val="24"/>
        </w:rPr>
        <w:t>本项目厂区地面全部硬化处理，在生产及原料储存过程中，当下雨形成地表径流，污染物粉尘（沉降项目区）会随径流带入周边的水体（主要为SS、少量油类等），如无序排放，造成一定的环境污染。</w:t>
      </w:r>
    </w:p>
    <w:p w14:paraId="2393AD7C">
      <w:pPr>
        <w:spacing w:line="360" w:lineRule="auto"/>
        <w:ind w:firstLine="480"/>
        <w:jc w:val="left"/>
        <w:rPr>
          <w:color w:val="000000" w:themeColor="text1"/>
          <w:sz w:val="24"/>
        </w:rPr>
      </w:pPr>
      <w:r>
        <w:rPr>
          <w:color w:val="000000" w:themeColor="text1"/>
          <w:sz w:val="24"/>
        </w:rPr>
        <w:t>根据3.3.2章节分析，收集前1h的雨水进入本项目雨水收集池进行处理，回用于生产，其余经沉淀后外排，1h的雨水量为2.917</w:t>
      </w:r>
      <w:r>
        <w:rPr>
          <w:rFonts w:eastAsia="??"/>
          <w:color w:val="000000" w:themeColor="text1"/>
          <w:sz w:val="24"/>
        </w:rPr>
        <w:t>m</w:t>
      </w:r>
      <w:r>
        <w:rPr>
          <w:rFonts w:eastAsia="??"/>
          <w:color w:val="000000" w:themeColor="text1"/>
          <w:sz w:val="24"/>
          <w:vertAlign w:val="superscript"/>
        </w:rPr>
        <w:t>3</w:t>
      </w:r>
      <w:r>
        <w:rPr>
          <w:color w:val="000000" w:themeColor="text1"/>
          <w:sz w:val="24"/>
        </w:rPr>
        <w:t>。</w:t>
      </w:r>
    </w:p>
    <w:p w14:paraId="6F703818">
      <w:pPr>
        <w:pStyle w:val="174"/>
        <w:ind w:left="0" w:firstLine="480" w:firstLineChars="200"/>
        <w:rPr>
          <w:rFonts w:ascii="Times New Roman" w:hAnsi="Times New Roman" w:cs="Times New Roman"/>
          <w:color w:val="000000" w:themeColor="text1"/>
        </w:rPr>
      </w:pPr>
      <w:r>
        <w:rPr>
          <w:rFonts w:ascii="Times New Roman" w:hAnsi="Times New Roman" w:cs="Times New Roman"/>
          <w:color w:val="000000" w:themeColor="text1"/>
        </w:rPr>
        <w:t>因此，本环评要求在项目区西侧场地最低处设置一个雨水收集池（3m</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），用于收集前1h的雨水，此部分雨水因含SS、油类等，为防止对周边环境造成影响，此部分废水进入沉淀池处理后，回用于生产清洗用水。</w:t>
      </w:r>
    </w:p>
    <w:p w14:paraId="51219045">
      <w:pPr>
        <w:pStyle w:val="174"/>
        <w:ind w:left="0" w:firstLine="480" w:firstLineChars="200"/>
        <w:rPr>
          <w:rFonts w:ascii="Times New Roman" w:hAnsi="Times New Roman" w:cs="Times New Roman"/>
          <w:color w:val="000000" w:themeColor="text1"/>
        </w:rPr>
      </w:pPr>
      <w:r>
        <w:rPr>
          <w:rFonts w:ascii="Times New Roman" w:hAnsi="Times New Roman" w:cs="Times New Roman"/>
          <w:color w:val="000000" w:themeColor="text1"/>
        </w:rPr>
        <w:t>同时为防止原料塑料瓶中的剩余废油、废饮料等泄漏，雨天冲刷进入地表水体，本环评要求按照《废塑料综合利用行业规范条件》要求，建设</w:t>
      </w:r>
      <w:r>
        <w:rPr>
          <w:rFonts w:ascii="Times New Roman" w:hAnsi="Times New Roman" w:cs="Times New Roman"/>
          <w:color w:val="000000" w:themeColor="text1"/>
          <w:szCs w:val="21"/>
        </w:rPr>
        <w:t>具有防雨、防风、防渗等功能的厂房或加盖雨棚的原料仓库，尽量避免露天堆放。</w:t>
      </w:r>
    </w:p>
    <w:p w14:paraId="23BDA3F3">
      <w:pPr>
        <w:spacing w:line="360" w:lineRule="auto"/>
        <w:ind w:firstLine="482" w:firstLineChars="200"/>
        <w:rPr>
          <w:b/>
          <w:color w:val="000000" w:themeColor="text1"/>
          <w:sz w:val="24"/>
        </w:rPr>
      </w:pPr>
      <w:r>
        <w:rPr>
          <w:b/>
          <w:color w:val="000000" w:themeColor="text1"/>
          <w:sz w:val="24"/>
        </w:rPr>
        <w:t>2、生产废水处置措施</w:t>
      </w:r>
    </w:p>
    <w:p w14:paraId="39A545DA">
      <w:pPr>
        <w:adjustRightInd w:val="0"/>
        <w:snapToGrid w:val="0"/>
        <w:spacing w:line="360" w:lineRule="auto"/>
        <w:ind w:firstLine="482" w:firstLineChars="200"/>
        <w:rPr>
          <w:b/>
          <w:color w:val="000000" w:themeColor="text1"/>
          <w:sz w:val="24"/>
        </w:rPr>
      </w:pPr>
      <w:r>
        <w:rPr>
          <w:b/>
          <w:color w:val="000000" w:themeColor="text1"/>
          <w:sz w:val="24"/>
        </w:rPr>
        <w:t>（1）破碎清洗废水治理措施及不外排可行性</w:t>
      </w:r>
    </w:p>
    <w:p w14:paraId="24B58C3B">
      <w:pPr>
        <w:adjustRightInd w:val="0"/>
        <w:snapToGrid w:val="0"/>
        <w:spacing w:line="360" w:lineRule="auto"/>
        <w:ind w:firstLine="482" w:firstLineChars="200"/>
        <w:rPr>
          <w:color w:val="000000" w:themeColor="text1"/>
          <w:kern w:val="0"/>
          <w:sz w:val="24"/>
        </w:rPr>
      </w:pPr>
      <w:r>
        <w:rPr>
          <w:b/>
          <w:color w:val="000000" w:themeColor="text1"/>
          <w:sz w:val="24"/>
        </w:rPr>
        <w:t>破碎清洗废水治理措施可行性分析：</w:t>
      </w:r>
      <w:r>
        <w:rPr>
          <w:color w:val="000000" w:themeColor="text1"/>
          <w:sz w:val="24"/>
        </w:rPr>
        <w:t>本项目生产废水通过自建的隔油池+沉淀池处理后，回用于生产，本项目</w:t>
      </w:r>
      <w:r>
        <w:rPr>
          <w:color w:val="000000" w:themeColor="text1"/>
          <w:kern w:val="0"/>
          <w:sz w:val="24"/>
        </w:rPr>
        <w:t>主要清洗对象为塑料瓶，编织袋等，本项目只进行简单的清洗、破碎，主要污染物为SS等；</w:t>
      </w:r>
    </w:p>
    <w:p w14:paraId="5129C662">
      <w:pPr>
        <w:adjustRightInd w:val="0"/>
        <w:snapToGrid w:val="0"/>
        <w:spacing w:line="360" w:lineRule="auto"/>
        <w:ind w:firstLine="482" w:firstLineChars="200"/>
        <w:rPr>
          <w:color w:val="000000" w:themeColor="text1"/>
          <w:sz w:val="24"/>
        </w:rPr>
      </w:pPr>
      <w:r>
        <w:rPr>
          <w:b/>
          <w:color w:val="000000" w:themeColor="text1"/>
          <w:sz w:val="24"/>
        </w:rPr>
        <w:t>破碎清洗废水不外排可行性分析：</w:t>
      </w:r>
      <w:r>
        <w:rPr>
          <w:snapToGrid w:val="0"/>
          <w:color w:val="000000" w:themeColor="text1"/>
          <w:kern w:val="0"/>
          <w:sz w:val="24"/>
          <w:szCs w:val="20"/>
        </w:rPr>
        <w:t>本项目废水产生量为29.66m</w:t>
      </w:r>
      <w:r>
        <w:rPr>
          <w:snapToGrid w:val="0"/>
          <w:color w:val="000000" w:themeColor="text1"/>
          <w:kern w:val="0"/>
          <w:sz w:val="24"/>
          <w:szCs w:val="20"/>
          <w:vertAlign w:val="superscript"/>
        </w:rPr>
        <w:t>3</w:t>
      </w:r>
      <w:r>
        <w:rPr>
          <w:snapToGrid w:val="0"/>
          <w:color w:val="000000" w:themeColor="text1"/>
          <w:kern w:val="0"/>
          <w:sz w:val="24"/>
          <w:szCs w:val="20"/>
        </w:rPr>
        <w:t>/d，</w:t>
      </w:r>
      <w:r>
        <w:rPr>
          <w:color w:val="000000" w:themeColor="text1"/>
          <w:sz w:val="24"/>
        </w:rPr>
        <w:t>本项目生产过程中清洗、破碎用水量为32.05</w:t>
      </w:r>
      <w:r>
        <w:rPr>
          <w:snapToGrid w:val="0"/>
          <w:color w:val="000000" w:themeColor="text1"/>
          <w:kern w:val="0"/>
          <w:sz w:val="24"/>
          <w:szCs w:val="20"/>
        </w:rPr>
        <w:t>m</w:t>
      </w:r>
      <w:r>
        <w:rPr>
          <w:snapToGrid w:val="0"/>
          <w:color w:val="000000" w:themeColor="text1"/>
          <w:kern w:val="0"/>
          <w:sz w:val="24"/>
          <w:szCs w:val="20"/>
          <w:vertAlign w:val="superscript"/>
        </w:rPr>
        <w:t>3</w:t>
      </w:r>
      <w:r>
        <w:rPr>
          <w:snapToGrid w:val="0"/>
          <w:color w:val="000000" w:themeColor="text1"/>
          <w:kern w:val="0"/>
          <w:sz w:val="24"/>
          <w:szCs w:val="20"/>
        </w:rPr>
        <w:t>/d，因此，经处理后，能全部回用至生产过程中，不外排。</w:t>
      </w:r>
    </w:p>
    <w:p w14:paraId="2DEB67AC">
      <w:pPr>
        <w:adjustRightInd w:val="0"/>
        <w:snapToGrid w:val="0"/>
        <w:spacing w:line="360" w:lineRule="auto"/>
        <w:ind w:firstLine="482" w:firstLineChars="200"/>
        <w:rPr>
          <w:b/>
          <w:color w:val="000000" w:themeColor="text1"/>
          <w:sz w:val="24"/>
        </w:rPr>
      </w:pPr>
      <w:r>
        <w:rPr>
          <w:rFonts w:hint="eastAsia" w:ascii="宋体" w:hAnsi="宋体" w:cs="宋体"/>
          <w:b/>
          <w:color w:val="000000" w:themeColor="text1"/>
          <w:sz w:val="24"/>
        </w:rPr>
        <w:t>②</w:t>
      </w:r>
      <w:r>
        <w:rPr>
          <w:b/>
          <w:color w:val="000000" w:themeColor="text1"/>
          <w:sz w:val="24"/>
        </w:rPr>
        <w:t>破碎清洗废水隔油池、沉淀池规模</w:t>
      </w:r>
    </w:p>
    <w:p w14:paraId="78491A64">
      <w:pPr>
        <w:adjustRightInd w:val="0"/>
        <w:snapToGrid w:val="0"/>
        <w:spacing w:line="360" w:lineRule="auto"/>
        <w:ind w:firstLine="482" w:firstLineChars="200"/>
        <w:rPr>
          <w:b/>
          <w:color w:val="000000" w:themeColor="text1"/>
          <w:sz w:val="24"/>
        </w:rPr>
      </w:pPr>
      <w:r>
        <w:rPr>
          <w:b/>
          <w:color w:val="000000" w:themeColor="text1"/>
          <w:sz w:val="24"/>
        </w:rPr>
        <w:t>A、隔油池处理规模</w:t>
      </w:r>
    </w:p>
    <w:p w14:paraId="2C5217C1">
      <w:pPr>
        <w:jc w:val="center"/>
        <w:rPr>
          <w:b/>
          <w:color w:val="000000" w:themeColor="text1"/>
          <w:sz w:val="24"/>
        </w:rPr>
      </w:pPr>
      <w:r>
        <w:rPr>
          <w:b/>
          <w:color w:val="000000" w:themeColor="text1"/>
          <w:sz w:val="24"/>
        </w:rPr>
        <w:drawing>
          <wp:inline distT="0" distB="0" distL="0" distR="0">
            <wp:extent cx="4318635" cy="2604770"/>
            <wp:effectExtent l="0" t="0" r="5715" b="5080"/>
            <wp:docPr id="23" name="图片 23" descr="QQ截图2013102814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1310281433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18635" cy="2604770"/>
                    </a:xfrm>
                    <a:prstGeom prst="rect">
                      <a:avLst/>
                    </a:prstGeom>
                    <a:noFill/>
                    <a:ln w="9525">
                      <a:noFill/>
                      <a:miter lim="800000"/>
                      <a:headEnd/>
                      <a:tailEnd/>
                    </a:ln>
                  </pic:spPr>
                </pic:pic>
              </a:graphicData>
            </a:graphic>
          </wp:inline>
        </w:drawing>
      </w:r>
    </w:p>
    <w:p w14:paraId="2F3DF823">
      <w:pPr>
        <w:jc w:val="center"/>
        <w:rPr>
          <w:b/>
          <w:color w:val="000000" w:themeColor="text1"/>
          <w:sz w:val="24"/>
        </w:rPr>
      </w:pPr>
      <w:r>
        <w:rPr>
          <w:b/>
          <w:color w:val="000000" w:themeColor="text1"/>
          <w:sz w:val="24"/>
        </w:rPr>
        <w:t>表6.2-1  项目隔油池示意图</w:t>
      </w:r>
    </w:p>
    <w:p w14:paraId="07523127">
      <w:pPr>
        <w:spacing w:line="360" w:lineRule="auto"/>
        <w:ind w:left="50" w:right="50" w:firstLine="482" w:firstLineChars="200"/>
        <w:rPr>
          <w:color w:val="000000" w:themeColor="text1"/>
          <w:sz w:val="24"/>
        </w:rPr>
      </w:pPr>
      <w:r>
        <w:rPr>
          <w:b/>
          <w:color w:val="000000" w:themeColor="text1"/>
          <w:sz w:val="24"/>
        </w:rPr>
        <w:t>隔油池原理：</w:t>
      </w:r>
      <w:r>
        <w:rPr>
          <w:color w:val="000000" w:themeColor="text1"/>
          <w:sz w:val="24"/>
        </w:rPr>
        <w:t>水流沿进水区进入斜管沉淀墙，水中的颗粒悬浮物下沉到斜管下壁后滑落到进水区下部的集泥区，水中的油上浮进入集油区，后一级斜管沉淀墙主要是除油，水流沿斜管向下流的同时，水中的油会上浮，聚集到中间的集油区，最后经过沉淀除油的水进入项目区的隔油池。</w:t>
      </w:r>
    </w:p>
    <w:p w14:paraId="4EA747BD">
      <w:pPr>
        <w:widowControl/>
        <w:spacing w:line="360" w:lineRule="auto"/>
        <w:ind w:firstLine="482" w:firstLineChars="200"/>
        <w:jc w:val="left"/>
        <w:rPr>
          <w:color w:val="000000" w:themeColor="text1"/>
          <w:sz w:val="24"/>
        </w:rPr>
      </w:pPr>
      <w:r>
        <w:rPr>
          <w:b/>
          <w:color w:val="000000" w:themeColor="text1"/>
          <w:sz w:val="24"/>
        </w:rPr>
        <w:t>处理规模：</w:t>
      </w:r>
      <w:r>
        <w:rPr>
          <w:color w:val="000000" w:themeColor="text1"/>
          <w:sz w:val="24"/>
        </w:rPr>
        <w:t>停留时间不宜小于0.5h，本项目清洗废水按每日产生时间8小时计，则每小时废水量为3.707m</w:t>
      </w:r>
      <w:r>
        <w:rPr>
          <w:color w:val="000000" w:themeColor="text1"/>
          <w:sz w:val="24"/>
          <w:vertAlign w:val="superscript"/>
        </w:rPr>
        <w:t>3</w:t>
      </w:r>
      <w:r>
        <w:rPr>
          <w:color w:val="000000" w:themeColor="text1"/>
          <w:sz w:val="24"/>
        </w:rPr>
        <w:t>/h，污水在池内的停留时间均为30min，则应设置不小于2m</w:t>
      </w:r>
      <w:r>
        <w:rPr>
          <w:color w:val="000000" w:themeColor="text1"/>
          <w:sz w:val="24"/>
          <w:vertAlign w:val="superscript"/>
        </w:rPr>
        <w:t>3</w:t>
      </w:r>
      <w:r>
        <w:rPr>
          <w:color w:val="000000" w:themeColor="text1"/>
          <w:sz w:val="24"/>
        </w:rPr>
        <w:t>的隔油池；</w:t>
      </w:r>
    </w:p>
    <w:p w14:paraId="7E26E031">
      <w:pPr>
        <w:adjustRightInd w:val="0"/>
        <w:snapToGrid w:val="0"/>
        <w:spacing w:line="360" w:lineRule="auto"/>
        <w:ind w:firstLine="482" w:firstLineChars="200"/>
        <w:rPr>
          <w:b/>
          <w:color w:val="000000" w:themeColor="text1"/>
          <w:sz w:val="24"/>
        </w:rPr>
      </w:pPr>
      <w:r>
        <w:rPr>
          <w:b/>
          <w:color w:val="000000" w:themeColor="text1"/>
          <w:sz w:val="24"/>
        </w:rPr>
        <w:t>B、破碎清洗废水三级沉淀池规模</w:t>
      </w:r>
    </w:p>
    <w:p w14:paraId="25118692">
      <w:pPr>
        <w:adjustRightInd w:val="0"/>
        <w:snapToGrid w:val="0"/>
        <w:rPr>
          <w:b/>
          <w:color w:val="000000" w:themeColor="text1"/>
          <w:sz w:val="24"/>
        </w:rPr>
      </w:pPr>
      <w:r>
        <w:rPr>
          <w:b/>
          <w:color w:val="000000" w:themeColor="text1"/>
          <w:sz w:val="24"/>
        </w:rPr>
        <w:drawing>
          <wp:inline distT="0" distB="0" distL="0" distR="0">
            <wp:extent cx="5271770" cy="1155700"/>
            <wp:effectExtent l="0" t="0" r="5080" b="6350"/>
            <wp:docPr id="21" name="图片 21" descr="C:\Users\ASUS\Desktop\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SUS\Desktop\1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81905" cy="1157867"/>
                    </a:xfrm>
                    <a:prstGeom prst="rect">
                      <a:avLst/>
                    </a:prstGeom>
                    <a:noFill/>
                    <a:ln>
                      <a:noFill/>
                    </a:ln>
                  </pic:spPr>
                </pic:pic>
              </a:graphicData>
            </a:graphic>
          </wp:inline>
        </w:drawing>
      </w:r>
    </w:p>
    <w:p w14:paraId="1C6FDF1F">
      <w:pPr>
        <w:jc w:val="center"/>
        <w:rPr>
          <w:b/>
          <w:color w:val="000000" w:themeColor="text1"/>
          <w:sz w:val="24"/>
        </w:rPr>
      </w:pPr>
      <w:r>
        <w:rPr>
          <w:b/>
          <w:color w:val="000000" w:themeColor="text1"/>
          <w:sz w:val="24"/>
        </w:rPr>
        <w:t>表6.2-2  项目废水处理示意图</w:t>
      </w:r>
    </w:p>
    <w:p w14:paraId="3CB8AC0A">
      <w:pPr>
        <w:jc w:val="center"/>
        <w:rPr>
          <w:b/>
          <w:color w:val="000000" w:themeColor="text1"/>
          <w:sz w:val="24"/>
        </w:rPr>
      </w:pPr>
    </w:p>
    <w:p w14:paraId="793DB9AE">
      <w:pPr>
        <w:adjustRightInd w:val="0"/>
        <w:snapToGrid w:val="0"/>
        <w:spacing w:line="360" w:lineRule="auto"/>
        <w:ind w:firstLine="480" w:firstLineChars="200"/>
        <w:jc w:val="left"/>
        <w:rPr>
          <w:snapToGrid w:val="0"/>
          <w:color w:val="FF0000"/>
          <w:kern w:val="0"/>
          <w:sz w:val="24"/>
          <w:szCs w:val="20"/>
        </w:rPr>
      </w:pPr>
      <w:r>
        <w:rPr>
          <w:snapToGrid w:val="0"/>
          <w:color w:val="FF0000"/>
          <w:kern w:val="0"/>
          <w:sz w:val="24"/>
          <w:szCs w:val="20"/>
        </w:rPr>
        <w:t>清洗废水通过格栅和筛网果过滤后进入初沉池，格栅和筛网将粒径较大的废物隔离出来，然后通过隔油池；</w:t>
      </w:r>
    </w:p>
    <w:p w14:paraId="368A3A36">
      <w:pPr>
        <w:adjustRightInd w:val="0"/>
        <w:snapToGrid w:val="0"/>
        <w:spacing w:line="360" w:lineRule="auto"/>
        <w:ind w:firstLine="480" w:firstLineChars="200"/>
        <w:jc w:val="left"/>
        <w:rPr>
          <w:snapToGrid w:val="0"/>
          <w:color w:val="FF0000"/>
          <w:kern w:val="0"/>
          <w:sz w:val="24"/>
          <w:szCs w:val="20"/>
        </w:rPr>
      </w:pPr>
      <w:r>
        <w:rPr>
          <w:snapToGrid w:val="0"/>
          <w:color w:val="FF0000"/>
          <w:kern w:val="0"/>
          <w:sz w:val="24"/>
          <w:szCs w:val="20"/>
        </w:rPr>
        <w:t>项目设置多个沉淀池，增加污泥水力停留时间，加快污泥的沉降速率，保证沉降效果；初步沉淀后进入折流沉淀池，经过折流沉淀池沉淀后，项目的污泥基本沉淀完成，废水在清水池由水泵抽取至清洗池作为清洗用水。</w:t>
      </w:r>
    </w:p>
    <w:p w14:paraId="342E7CAE">
      <w:pPr>
        <w:adjustRightInd w:val="0"/>
        <w:snapToGrid w:val="0"/>
        <w:spacing w:line="360" w:lineRule="auto"/>
        <w:ind w:firstLine="480" w:firstLineChars="200"/>
        <w:jc w:val="left"/>
        <w:rPr>
          <w:snapToGrid w:val="0"/>
          <w:color w:val="FF0000"/>
          <w:kern w:val="0"/>
          <w:sz w:val="24"/>
          <w:szCs w:val="20"/>
        </w:rPr>
      </w:pPr>
      <w:r>
        <w:rPr>
          <w:snapToGrid w:val="0"/>
          <w:color w:val="FF0000"/>
          <w:kern w:val="0"/>
          <w:sz w:val="24"/>
          <w:szCs w:val="20"/>
        </w:rPr>
        <w:t>建设单位拟建多级沉淀池总容积为1000m</w:t>
      </w:r>
      <w:r>
        <w:rPr>
          <w:snapToGrid w:val="0"/>
          <w:color w:val="FF0000"/>
          <w:kern w:val="0"/>
          <w:sz w:val="24"/>
          <w:szCs w:val="20"/>
          <w:vertAlign w:val="superscript"/>
        </w:rPr>
        <w:t>3</w:t>
      </w:r>
      <w:r>
        <w:rPr>
          <w:snapToGrid w:val="0"/>
          <w:color w:val="FF0000"/>
          <w:kern w:val="0"/>
          <w:sz w:val="24"/>
          <w:szCs w:val="20"/>
        </w:rPr>
        <w:t>，每天进入沉淀池的废水29.66m</w:t>
      </w:r>
      <w:r>
        <w:rPr>
          <w:snapToGrid w:val="0"/>
          <w:color w:val="FF0000"/>
          <w:kern w:val="0"/>
          <w:sz w:val="24"/>
          <w:szCs w:val="20"/>
          <w:vertAlign w:val="superscript"/>
        </w:rPr>
        <w:t>3</w:t>
      </w:r>
      <w:r>
        <w:rPr>
          <w:snapToGrid w:val="0"/>
          <w:color w:val="FF0000"/>
          <w:kern w:val="0"/>
          <w:sz w:val="24"/>
          <w:szCs w:val="20"/>
        </w:rPr>
        <w:t>/d，沉淀池能确保每天产生的生产废水得到全部收集；</w:t>
      </w:r>
    </w:p>
    <w:p w14:paraId="299F42B5">
      <w:pPr>
        <w:adjustRightInd w:val="0"/>
        <w:snapToGrid w:val="0"/>
        <w:spacing w:line="360" w:lineRule="auto"/>
        <w:ind w:firstLine="480" w:firstLineChars="200"/>
        <w:jc w:val="left"/>
        <w:rPr>
          <w:snapToGrid w:val="0"/>
          <w:color w:val="FF0000"/>
          <w:kern w:val="0"/>
          <w:sz w:val="24"/>
          <w:szCs w:val="20"/>
        </w:rPr>
      </w:pPr>
      <w:r>
        <w:rPr>
          <w:snapToGrid w:val="0"/>
          <w:color w:val="FF0000"/>
          <w:kern w:val="0"/>
          <w:sz w:val="24"/>
          <w:szCs w:val="20"/>
        </w:rPr>
        <w:t>清洗原料废水在沉淀池水力停留时间约33天，根据陈振坤发表在《绿色科技》2012 年第七期中《废塑料再生利用过程中对环境影响分析》的论文中及类比《临沂鸿泰塑业有限公司废旧塑料回收综合利用项目环保竣工验收报告》，可知，清洗废水经过多级沉淀池处理后，沉淀池对 SS 的去除效率达到 90%以上，可有效的去除废水中的 SS；</w:t>
      </w:r>
    </w:p>
    <w:p w14:paraId="63D2168F">
      <w:pPr>
        <w:adjustRightInd w:val="0"/>
        <w:snapToGrid w:val="0"/>
        <w:spacing w:line="360" w:lineRule="auto"/>
        <w:ind w:firstLine="480" w:firstLineChars="200"/>
        <w:jc w:val="left"/>
        <w:rPr>
          <w:snapToGrid w:val="0"/>
          <w:color w:val="FF0000"/>
          <w:kern w:val="0"/>
          <w:sz w:val="24"/>
          <w:szCs w:val="20"/>
        </w:rPr>
      </w:pPr>
      <w:r>
        <w:rPr>
          <w:snapToGrid w:val="0"/>
          <w:color w:val="FF0000"/>
          <w:kern w:val="0"/>
          <w:sz w:val="24"/>
          <w:szCs w:val="20"/>
        </w:rPr>
        <w:t>同时添加新鲜水可有效的降低废水浓度，使回用清洗水污染物浓度降低，可以满足废旧塑料回用清洗水的要求。</w:t>
      </w:r>
    </w:p>
    <w:p w14:paraId="6210AD58">
      <w:pPr>
        <w:adjustRightInd w:val="0"/>
        <w:snapToGrid w:val="0"/>
        <w:spacing w:line="360" w:lineRule="auto"/>
        <w:ind w:firstLine="482" w:firstLineChars="200"/>
        <w:rPr>
          <w:b/>
          <w:color w:val="000000" w:themeColor="text1"/>
          <w:sz w:val="24"/>
        </w:rPr>
      </w:pPr>
      <w:r>
        <w:rPr>
          <w:b/>
          <w:color w:val="000000" w:themeColor="text1"/>
          <w:sz w:val="24"/>
        </w:rPr>
        <w:t>（2）造粒、编织袋生产冷却水循环可行性</w:t>
      </w:r>
    </w:p>
    <w:p w14:paraId="14D5442F">
      <w:pPr>
        <w:adjustRightInd w:val="0"/>
        <w:snapToGrid w:val="0"/>
        <w:spacing w:line="360" w:lineRule="auto"/>
        <w:ind w:firstLine="480" w:firstLineChars="200"/>
        <w:rPr>
          <w:bCs/>
          <w:color w:val="000000" w:themeColor="text1"/>
          <w:sz w:val="24"/>
        </w:rPr>
      </w:pPr>
      <w:r>
        <w:rPr>
          <w:bCs/>
          <w:color w:val="000000" w:themeColor="text1"/>
          <w:sz w:val="24"/>
        </w:rPr>
        <w:t>根据建设方提供的设计资料，本项目设置两台造粒机，各配套一个冷却水槽，共用一个冷却水循环系统（循环冷却水池1m</w:t>
      </w:r>
      <w:r>
        <w:rPr>
          <w:bCs/>
          <w:color w:val="000000" w:themeColor="text1"/>
          <w:sz w:val="24"/>
          <w:vertAlign w:val="superscript"/>
        </w:rPr>
        <w:t>3</w:t>
      </w:r>
      <w:r>
        <w:rPr>
          <w:bCs/>
          <w:color w:val="000000" w:themeColor="text1"/>
          <w:sz w:val="24"/>
        </w:rPr>
        <w:t>）；</w:t>
      </w:r>
    </w:p>
    <w:p w14:paraId="589F7AD1">
      <w:pPr>
        <w:adjustRightInd w:val="0"/>
        <w:snapToGrid w:val="0"/>
        <w:spacing w:line="360" w:lineRule="auto"/>
        <w:ind w:firstLine="480" w:firstLineChars="200"/>
        <w:rPr>
          <w:bCs/>
          <w:color w:val="000000" w:themeColor="text1"/>
          <w:sz w:val="24"/>
        </w:rPr>
      </w:pPr>
      <w:r>
        <w:rPr>
          <w:bCs/>
          <w:color w:val="000000" w:themeColor="text1"/>
          <w:sz w:val="24"/>
        </w:rPr>
        <w:t>本项目编织袋生产配套一个冷却水循环系统（循环冷却水池0.5m</w:t>
      </w:r>
      <w:r>
        <w:rPr>
          <w:bCs/>
          <w:color w:val="000000" w:themeColor="text1"/>
          <w:sz w:val="24"/>
          <w:vertAlign w:val="superscript"/>
        </w:rPr>
        <w:t>3</w:t>
      </w:r>
      <w:r>
        <w:rPr>
          <w:bCs/>
          <w:color w:val="000000" w:themeColor="text1"/>
          <w:sz w:val="24"/>
        </w:rPr>
        <w:t>）；</w:t>
      </w:r>
    </w:p>
    <w:p w14:paraId="0A69D9E4">
      <w:pPr>
        <w:adjustRightInd w:val="0"/>
        <w:snapToGrid w:val="0"/>
        <w:spacing w:line="360" w:lineRule="auto"/>
        <w:ind w:firstLine="480" w:firstLineChars="200"/>
        <w:rPr>
          <w:b/>
          <w:color w:val="000000" w:themeColor="text1"/>
          <w:sz w:val="24"/>
        </w:rPr>
      </w:pPr>
      <w:r>
        <w:rPr>
          <w:bCs/>
          <w:color w:val="000000" w:themeColor="text1"/>
          <w:sz w:val="24"/>
        </w:rPr>
        <w:t>本项目冷却水主要污染物为少量的SS</w:t>
      </w:r>
      <w:r>
        <w:rPr>
          <w:rFonts w:eastAsiaTheme="minorEastAsia"/>
          <w:bCs/>
          <w:color w:val="000000" w:themeColor="text1"/>
          <w:sz w:val="24"/>
          <w:szCs w:val="28"/>
        </w:rPr>
        <w:t>，此部分废水经冷却循环池冷却及沉淀后，可用于生产中。</w:t>
      </w:r>
    </w:p>
    <w:p w14:paraId="12882DE1">
      <w:pPr>
        <w:spacing w:line="360" w:lineRule="auto"/>
        <w:ind w:firstLine="482" w:firstLineChars="200"/>
        <w:rPr>
          <w:b/>
          <w:color w:val="000000" w:themeColor="text1"/>
          <w:sz w:val="24"/>
        </w:rPr>
      </w:pPr>
      <w:r>
        <w:rPr>
          <w:b/>
          <w:color w:val="000000" w:themeColor="text1"/>
          <w:sz w:val="24"/>
        </w:rPr>
        <w:t>3、生活废水处置措施</w:t>
      </w:r>
    </w:p>
    <w:p w14:paraId="66B66719">
      <w:pPr>
        <w:adjustRightInd w:val="0"/>
        <w:snapToGrid w:val="0"/>
        <w:spacing w:line="360" w:lineRule="auto"/>
        <w:ind w:firstLine="482" w:firstLineChars="200"/>
        <w:rPr>
          <w:b/>
          <w:color w:val="000000" w:themeColor="text1"/>
          <w:sz w:val="24"/>
        </w:rPr>
      </w:pPr>
      <w:r>
        <w:rPr>
          <w:rFonts w:hint="eastAsia" w:ascii="宋体" w:hAnsi="宋体" w:cs="宋体"/>
          <w:b/>
          <w:color w:val="000000" w:themeColor="text1"/>
          <w:sz w:val="24"/>
        </w:rPr>
        <w:t>①</w:t>
      </w:r>
      <w:r>
        <w:rPr>
          <w:b/>
          <w:color w:val="000000" w:themeColor="text1"/>
          <w:sz w:val="24"/>
        </w:rPr>
        <w:t>隔油池设置合理性分析</w:t>
      </w:r>
    </w:p>
    <w:p w14:paraId="6C581D33">
      <w:pPr>
        <w:adjustRightInd w:val="0"/>
        <w:snapToGrid w:val="0"/>
        <w:spacing w:line="360" w:lineRule="auto"/>
        <w:ind w:firstLine="480" w:firstLineChars="200"/>
        <w:rPr>
          <w:color w:val="000000" w:themeColor="text1"/>
          <w:sz w:val="24"/>
        </w:rPr>
      </w:pPr>
      <w:r>
        <w:rPr>
          <w:color w:val="000000" w:themeColor="text1"/>
          <w:sz w:val="24"/>
        </w:rPr>
        <w:t>根据上述废水处置措施，食堂废水量为0.32m</w:t>
      </w:r>
      <w:r>
        <w:rPr>
          <w:color w:val="000000" w:themeColor="text1"/>
          <w:sz w:val="24"/>
          <w:vertAlign w:val="superscript"/>
        </w:rPr>
        <w:t>3</w:t>
      </w:r>
      <w:r>
        <w:rPr>
          <w:color w:val="000000" w:themeColor="text1"/>
          <w:sz w:val="24"/>
        </w:rPr>
        <w:t>/d；</w:t>
      </w:r>
    </w:p>
    <w:p w14:paraId="3B4EE36F">
      <w:pPr>
        <w:widowControl/>
        <w:spacing w:line="360" w:lineRule="auto"/>
        <w:ind w:firstLine="480" w:firstLineChars="200"/>
        <w:jc w:val="left"/>
        <w:rPr>
          <w:color w:val="000000" w:themeColor="text1"/>
          <w:sz w:val="24"/>
        </w:rPr>
      </w:pPr>
      <w:r>
        <w:rPr>
          <w:color w:val="000000" w:themeColor="text1"/>
          <w:sz w:val="24"/>
        </w:rPr>
        <w:t>根据中华人民共和国国家环境保护标准HJ554-2010《饮食业环境保护技术规范》，隔油池设计符合下列规定：</w:t>
      </w:r>
    </w:p>
    <w:p w14:paraId="03C58258">
      <w:pPr>
        <w:widowControl/>
        <w:spacing w:line="360" w:lineRule="auto"/>
        <w:ind w:firstLine="480" w:firstLineChars="200"/>
        <w:jc w:val="left"/>
        <w:rPr>
          <w:color w:val="000000" w:themeColor="text1"/>
          <w:sz w:val="24"/>
        </w:rPr>
      </w:pPr>
      <w:r>
        <w:rPr>
          <w:rFonts w:hint="eastAsia" w:ascii="宋体" w:hAnsi="宋体" w:cs="宋体"/>
          <w:color w:val="000000" w:themeColor="text1"/>
          <w:sz w:val="24"/>
        </w:rPr>
        <w:t>①</w:t>
      </w:r>
      <w:r>
        <w:rPr>
          <w:color w:val="000000" w:themeColor="text1"/>
          <w:sz w:val="24"/>
        </w:rPr>
        <w:t>含油污水的水力停留时间不宜小于0.5h；</w:t>
      </w:r>
    </w:p>
    <w:p w14:paraId="3689F7E3">
      <w:pPr>
        <w:widowControl/>
        <w:spacing w:line="360" w:lineRule="auto"/>
        <w:ind w:firstLine="480" w:firstLineChars="200"/>
        <w:jc w:val="left"/>
        <w:rPr>
          <w:color w:val="000000" w:themeColor="text1"/>
          <w:sz w:val="24"/>
        </w:rPr>
      </w:pPr>
      <w:r>
        <w:rPr>
          <w:rFonts w:hint="eastAsia" w:ascii="宋体" w:hAnsi="宋体" w:cs="宋体"/>
          <w:color w:val="000000" w:themeColor="text1"/>
          <w:sz w:val="24"/>
        </w:rPr>
        <w:t>②</w:t>
      </w:r>
      <w:r>
        <w:rPr>
          <w:color w:val="000000" w:themeColor="text1"/>
          <w:sz w:val="24"/>
        </w:rPr>
        <w:t>池内水流流速不宜大于0.005m/s；</w:t>
      </w:r>
    </w:p>
    <w:p w14:paraId="126BB5FF">
      <w:pPr>
        <w:widowControl/>
        <w:spacing w:line="360" w:lineRule="auto"/>
        <w:ind w:firstLine="480" w:firstLineChars="200"/>
        <w:jc w:val="left"/>
        <w:rPr>
          <w:color w:val="000000" w:themeColor="text1"/>
          <w:sz w:val="24"/>
        </w:rPr>
      </w:pPr>
      <w:r>
        <w:rPr>
          <w:rFonts w:hint="eastAsia" w:ascii="宋体" w:hAnsi="宋体" w:cs="宋体"/>
          <w:color w:val="000000" w:themeColor="text1"/>
          <w:sz w:val="24"/>
        </w:rPr>
        <w:t>③</w:t>
      </w:r>
      <w:r>
        <w:rPr>
          <w:color w:val="000000" w:themeColor="text1"/>
          <w:sz w:val="24"/>
        </w:rPr>
        <w:t>池内分格宜取两档三格；</w:t>
      </w:r>
    </w:p>
    <w:p w14:paraId="39E255D4">
      <w:pPr>
        <w:widowControl/>
        <w:spacing w:line="360" w:lineRule="auto"/>
        <w:ind w:firstLine="480" w:firstLineChars="200"/>
        <w:jc w:val="left"/>
        <w:rPr>
          <w:color w:val="000000" w:themeColor="text1"/>
          <w:sz w:val="24"/>
        </w:rPr>
      </w:pPr>
      <w:r>
        <w:rPr>
          <w:rFonts w:hint="eastAsia" w:ascii="宋体" w:hAnsi="宋体" w:cs="宋体"/>
          <w:color w:val="000000" w:themeColor="text1"/>
          <w:sz w:val="24"/>
        </w:rPr>
        <w:t>④</w:t>
      </w:r>
      <w:r>
        <w:rPr>
          <w:color w:val="000000" w:themeColor="text1"/>
          <w:sz w:val="24"/>
        </w:rPr>
        <w:t>人工除油的隔油池内存油部分的容积不得小于该池有效容积的25％，隔油池出水管管底至池底的深度，不得小于0.6m。</w:t>
      </w:r>
    </w:p>
    <w:p w14:paraId="2D25B1D3">
      <w:pPr>
        <w:widowControl/>
        <w:spacing w:line="360" w:lineRule="auto"/>
        <w:ind w:firstLine="480" w:firstLineChars="200"/>
        <w:jc w:val="left"/>
        <w:rPr>
          <w:color w:val="000000" w:themeColor="text1"/>
          <w:sz w:val="24"/>
        </w:rPr>
      </w:pPr>
      <w:r>
        <w:rPr>
          <w:color w:val="000000" w:themeColor="text1"/>
          <w:sz w:val="24"/>
        </w:rPr>
        <w:t>本项目食堂废水按每日产生时间2小时计，含油污水在池内的停留时间均为30min，则食堂应设置不小于0.2m</w:t>
      </w:r>
      <w:r>
        <w:rPr>
          <w:color w:val="000000" w:themeColor="text1"/>
          <w:sz w:val="24"/>
          <w:vertAlign w:val="superscript"/>
        </w:rPr>
        <w:t>3</w:t>
      </w:r>
      <w:r>
        <w:rPr>
          <w:color w:val="000000" w:themeColor="text1"/>
          <w:sz w:val="24"/>
        </w:rPr>
        <w:t>的隔油池。</w:t>
      </w:r>
    </w:p>
    <w:p w14:paraId="786BB191">
      <w:pPr>
        <w:adjustRightInd w:val="0"/>
        <w:snapToGrid w:val="0"/>
        <w:spacing w:line="360" w:lineRule="auto"/>
        <w:ind w:firstLine="482" w:firstLineChars="200"/>
        <w:rPr>
          <w:b/>
          <w:color w:val="000000" w:themeColor="text1"/>
          <w:sz w:val="24"/>
        </w:rPr>
      </w:pPr>
      <w:r>
        <w:rPr>
          <w:rFonts w:hint="eastAsia" w:ascii="宋体" w:hAnsi="宋体" w:cs="宋体"/>
          <w:b/>
          <w:color w:val="000000" w:themeColor="text1"/>
          <w:sz w:val="24"/>
        </w:rPr>
        <w:t>②</w:t>
      </w:r>
      <w:r>
        <w:rPr>
          <w:b/>
          <w:color w:val="000000" w:themeColor="text1"/>
          <w:sz w:val="24"/>
        </w:rPr>
        <w:t>化粪池容积合理性分析</w:t>
      </w:r>
    </w:p>
    <w:p w14:paraId="6DD28398">
      <w:pPr>
        <w:adjustRightInd w:val="0"/>
        <w:snapToGrid w:val="0"/>
        <w:spacing w:line="360" w:lineRule="auto"/>
        <w:ind w:firstLine="480" w:firstLineChars="200"/>
        <w:rPr>
          <w:color w:val="000000" w:themeColor="text1"/>
          <w:sz w:val="24"/>
        </w:rPr>
      </w:pPr>
      <w:r>
        <w:rPr>
          <w:color w:val="000000" w:themeColor="text1"/>
          <w:sz w:val="24"/>
        </w:rPr>
        <w:t>本项目生活废水量为1.76m</w:t>
      </w:r>
      <w:r>
        <w:rPr>
          <w:color w:val="000000" w:themeColor="text1"/>
          <w:sz w:val="24"/>
          <w:vertAlign w:val="superscript"/>
        </w:rPr>
        <w:t>3</w:t>
      </w:r>
      <w:r>
        <w:rPr>
          <w:color w:val="000000" w:themeColor="text1"/>
          <w:sz w:val="24"/>
        </w:rPr>
        <w:t>/d，满足半个月左右废水储存量，应设置不小于26m</w:t>
      </w:r>
      <w:r>
        <w:rPr>
          <w:color w:val="000000" w:themeColor="text1"/>
          <w:sz w:val="24"/>
          <w:vertAlign w:val="superscript"/>
        </w:rPr>
        <w:t>3</w:t>
      </w:r>
      <w:r>
        <w:rPr>
          <w:color w:val="000000" w:themeColor="text1"/>
          <w:sz w:val="24"/>
        </w:rPr>
        <w:t>的化粪池，定期委托周边村民清运，用于农作物施肥，是可行的。</w:t>
      </w:r>
    </w:p>
    <w:p w14:paraId="688EFD3B">
      <w:pPr>
        <w:pStyle w:val="105"/>
        <w:rPr>
          <w:rFonts w:cs="Times New Roman"/>
          <w:color w:val="000000" w:themeColor="text1"/>
        </w:rPr>
      </w:pPr>
      <w:r>
        <w:rPr>
          <w:rFonts w:cs="Times New Roman"/>
          <w:color w:val="000000" w:themeColor="text1"/>
        </w:rPr>
        <w:t>6.2.5地表水环境影响分析</w:t>
      </w:r>
    </w:p>
    <w:p w14:paraId="6B5A966C">
      <w:pPr>
        <w:spacing w:line="360" w:lineRule="auto"/>
        <w:ind w:firstLine="480" w:firstLineChars="200"/>
        <w:rPr>
          <w:color w:val="000000" w:themeColor="text1"/>
          <w:sz w:val="24"/>
        </w:rPr>
      </w:pPr>
      <w:r>
        <w:rPr>
          <w:snapToGrid w:val="0"/>
          <w:color w:val="000000" w:themeColor="text1"/>
          <w:kern w:val="0"/>
          <w:sz w:val="24"/>
          <w:szCs w:val="20"/>
        </w:rPr>
        <w:t>本项目排水方案为雨污分流，</w:t>
      </w:r>
      <w:r>
        <w:rPr>
          <w:color w:val="000000" w:themeColor="text1"/>
          <w:sz w:val="24"/>
        </w:rPr>
        <w:t>本项目厂区设置雨水沟，收集前1h的雨水进入本项目雨水收集池（3m</w:t>
      </w:r>
      <w:r>
        <w:rPr>
          <w:color w:val="000000" w:themeColor="text1"/>
          <w:sz w:val="24"/>
          <w:vertAlign w:val="superscript"/>
        </w:rPr>
        <w:t>3</w:t>
      </w:r>
      <w:r>
        <w:rPr>
          <w:color w:val="000000" w:themeColor="text1"/>
          <w:sz w:val="24"/>
        </w:rPr>
        <w:t>）处理，回用于生产，其余经沉淀后外排。</w:t>
      </w:r>
      <w:r>
        <w:rPr>
          <w:rFonts w:eastAsia="??"/>
          <w:color w:val="000000" w:themeColor="text1"/>
          <w:sz w:val="24"/>
        </w:rPr>
        <w:t xml:space="preserve"> </w:t>
      </w:r>
    </w:p>
    <w:p w14:paraId="40AF8580">
      <w:pPr>
        <w:spacing w:line="360" w:lineRule="auto"/>
        <w:ind w:firstLine="480" w:firstLineChars="200"/>
        <w:rPr>
          <w:bCs/>
          <w:color w:val="000000" w:themeColor="text1"/>
          <w:sz w:val="24"/>
        </w:rPr>
      </w:pPr>
      <w:r>
        <w:rPr>
          <w:snapToGrid w:val="0"/>
          <w:color w:val="000000" w:themeColor="text1"/>
          <w:kern w:val="0"/>
          <w:sz w:val="24"/>
          <w:szCs w:val="20"/>
        </w:rPr>
        <w:t>生活污水中</w:t>
      </w:r>
      <w:r>
        <w:rPr>
          <w:bCs/>
          <w:color w:val="000000" w:themeColor="text1"/>
          <w:sz w:val="24"/>
        </w:rPr>
        <w:t>厨房废水经1个隔油池（0.2m</w:t>
      </w:r>
      <w:r>
        <w:rPr>
          <w:bCs/>
          <w:color w:val="000000" w:themeColor="text1"/>
          <w:sz w:val="24"/>
          <w:vertAlign w:val="superscript"/>
        </w:rPr>
        <w:t>3</w:t>
      </w:r>
      <w:r>
        <w:rPr>
          <w:bCs/>
          <w:color w:val="000000" w:themeColor="text1"/>
          <w:sz w:val="24"/>
        </w:rPr>
        <w:t>）处理后，与其它生活废水排入化粪池（26m</w:t>
      </w:r>
      <w:r>
        <w:rPr>
          <w:bCs/>
          <w:color w:val="000000" w:themeColor="text1"/>
          <w:sz w:val="24"/>
          <w:vertAlign w:val="superscript"/>
        </w:rPr>
        <w:t>3</w:t>
      </w:r>
      <w:r>
        <w:rPr>
          <w:bCs/>
          <w:color w:val="000000" w:themeColor="text1"/>
          <w:sz w:val="24"/>
        </w:rPr>
        <w:t>）处理，定期委托周边村民清运，用于农作物施肥。</w:t>
      </w:r>
    </w:p>
    <w:p w14:paraId="03F7E6D9">
      <w:pPr>
        <w:spacing w:line="360" w:lineRule="auto"/>
        <w:ind w:firstLine="480" w:firstLineChars="200"/>
        <w:rPr>
          <w:bCs/>
          <w:color w:val="000000" w:themeColor="text1"/>
          <w:sz w:val="24"/>
          <w:szCs w:val="32"/>
        </w:rPr>
      </w:pPr>
      <w:r>
        <w:rPr>
          <w:bCs/>
          <w:color w:val="FF0000"/>
          <w:sz w:val="24"/>
          <w:szCs w:val="32"/>
        </w:rPr>
        <w:t>生产废水中清洗、破碎废水通过</w:t>
      </w:r>
      <w:r>
        <w:rPr>
          <w:color w:val="000000" w:themeColor="text1"/>
          <w:sz w:val="24"/>
        </w:rPr>
        <w:t>污水处理设施（</w:t>
      </w:r>
      <w:r>
        <w:rPr>
          <w:bCs/>
          <w:color w:val="000000" w:themeColor="text1"/>
          <w:sz w:val="24"/>
        </w:rPr>
        <w:t>1个2m</w:t>
      </w:r>
      <w:r>
        <w:rPr>
          <w:bCs/>
          <w:color w:val="000000" w:themeColor="text1"/>
          <w:sz w:val="24"/>
          <w:vertAlign w:val="superscript"/>
        </w:rPr>
        <w:t>3</w:t>
      </w:r>
      <w:r>
        <w:rPr>
          <w:bCs/>
          <w:color w:val="000000" w:themeColor="text1"/>
          <w:sz w:val="24"/>
        </w:rPr>
        <w:t>隔油池+1000m</w:t>
      </w:r>
      <w:r>
        <w:rPr>
          <w:bCs/>
          <w:color w:val="000000" w:themeColor="text1"/>
          <w:sz w:val="24"/>
          <w:vertAlign w:val="superscript"/>
        </w:rPr>
        <w:t>3</w:t>
      </w:r>
      <w:r>
        <w:rPr>
          <w:bCs/>
          <w:color w:val="000000" w:themeColor="text1"/>
          <w:sz w:val="24"/>
        </w:rPr>
        <w:t>沉淀池</w:t>
      </w:r>
      <w:r>
        <w:rPr>
          <w:color w:val="000000" w:themeColor="text1"/>
          <w:sz w:val="24"/>
        </w:rPr>
        <w:t>）处理</w:t>
      </w:r>
      <w:r>
        <w:rPr>
          <w:bCs/>
          <w:color w:val="FF0000"/>
          <w:sz w:val="24"/>
          <w:szCs w:val="32"/>
        </w:rPr>
        <w:t>后，</w:t>
      </w:r>
      <w:r>
        <w:rPr>
          <w:bCs/>
          <w:color w:val="000000" w:themeColor="text1"/>
          <w:sz w:val="24"/>
          <w:szCs w:val="32"/>
        </w:rPr>
        <w:t>储存于蓄水池回用于生产，不外排；</w:t>
      </w:r>
      <w:r>
        <w:rPr>
          <w:bCs/>
          <w:color w:val="000000" w:themeColor="text1"/>
          <w:sz w:val="24"/>
        </w:rPr>
        <w:t>造粒工序设置两台造粒机，各配套一个冷却水槽，共用一个冷却水循环系统（循环冷却水池1m</w:t>
      </w:r>
      <w:r>
        <w:rPr>
          <w:bCs/>
          <w:color w:val="000000" w:themeColor="text1"/>
          <w:sz w:val="24"/>
          <w:vertAlign w:val="superscript"/>
        </w:rPr>
        <w:t>3</w:t>
      </w:r>
      <w:r>
        <w:rPr>
          <w:bCs/>
          <w:color w:val="000000" w:themeColor="text1"/>
          <w:sz w:val="24"/>
        </w:rPr>
        <w:t>），本项目编织袋生产配套一个冷却水循环系统（循环冷却水池0.5m</w:t>
      </w:r>
      <w:r>
        <w:rPr>
          <w:bCs/>
          <w:color w:val="000000" w:themeColor="text1"/>
          <w:sz w:val="24"/>
          <w:vertAlign w:val="superscript"/>
        </w:rPr>
        <w:t>3</w:t>
      </w:r>
      <w:r>
        <w:rPr>
          <w:bCs/>
          <w:color w:val="000000" w:themeColor="text1"/>
          <w:sz w:val="24"/>
        </w:rPr>
        <w:t>），</w:t>
      </w:r>
      <w:r>
        <w:rPr>
          <w:rFonts w:eastAsiaTheme="minorEastAsia"/>
          <w:bCs/>
          <w:color w:val="000000" w:themeColor="text1"/>
          <w:sz w:val="24"/>
          <w:szCs w:val="28"/>
        </w:rPr>
        <w:t>此部分废水经冷却循环池冷却及沉淀后，回用于生产中。</w:t>
      </w:r>
    </w:p>
    <w:p w14:paraId="75DC082D">
      <w:pPr>
        <w:adjustRightInd w:val="0"/>
        <w:snapToGrid w:val="0"/>
        <w:spacing w:line="360" w:lineRule="auto"/>
        <w:ind w:firstLine="480" w:firstLineChars="200"/>
        <w:jc w:val="left"/>
        <w:rPr>
          <w:color w:val="000000" w:themeColor="text1"/>
          <w:sz w:val="24"/>
        </w:rPr>
      </w:pPr>
      <w:r>
        <w:rPr>
          <w:color w:val="000000" w:themeColor="text1"/>
          <w:sz w:val="24"/>
        </w:rPr>
        <w:t>综上本项目废水不外排，对地表水（西侧2.1k</w:t>
      </w:r>
      <w:r>
        <w:rPr>
          <w:snapToGrid w:val="0"/>
          <w:color w:val="000000" w:themeColor="text1"/>
          <w:kern w:val="0"/>
          <w:sz w:val="24"/>
          <w:szCs w:val="20"/>
        </w:rPr>
        <w:t>m芒市大河</w:t>
      </w:r>
      <w:r>
        <w:rPr>
          <w:color w:val="000000" w:themeColor="text1"/>
          <w:sz w:val="24"/>
        </w:rPr>
        <w:t>）影响较小。</w:t>
      </w:r>
    </w:p>
    <w:p w14:paraId="038C85AE">
      <w:pPr>
        <w:widowControl/>
        <w:jc w:val="left"/>
        <w:rPr>
          <w:color w:val="000000" w:themeColor="text1"/>
          <w:sz w:val="24"/>
        </w:rPr>
      </w:pPr>
      <w:r>
        <w:rPr>
          <w:color w:val="000000" w:themeColor="text1"/>
          <w:sz w:val="24"/>
        </w:rPr>
        <w:br w:type="page"/>
      </w:r>
    </w:p>
    <w:p w14:paraId="0798602A">
      <w:pPr>
        <w:spacing w:after="120" w:afterLines="50"/>
        <w:jc w:val="center"/>
        <w:rPr>
          <w:rFonts w:eastAsiaTheme="minorEastAsia"/>
          <w:b/>
          <w:bCs/>
        </w:rPr>
        <w:sectPr>
          <w:footerReference r:id="rId12" w:type="default"/>
          <w:pgSz w:w="11910" w:h="16840"/>
          <w:pgMar w:top="1460" w:right="1600" w:bottom="1280" w:left="1680" w:header="0" w:footer="1081" w:gutter="0"/>
          <w:pgNumType w:start="120"/>
          <w:cols w:space="720" w:num="1"/>
        </w:sectPr>
      </w:pPr>
    </w:p>
    <w:p w14:paraId="58056857">
      <w:pPr>
        <w:jc w:val="center"/>
        <w:rPr>
          <w:rFonts w:eastAsiaTheme="minorEastAsia"/>
          <w:b/>
          <w:bCs/>
          <w:sz w:val="24"/>
        </w:rPr>
      </w:pPr>
      <w:r>
        <w:rPr>
          <w:rFonts w:eastAsiaTheme="minorEastAsia"/>
          <w:b/>
          <w:bCs/>
          <w:sz w:val="24"/>
        </w:rPr>
        <w:t>表6.2-1  建设项目地表水环境影响评价自查表</w:t>
      </w:r>
    </w:p>
    <w:tbl>
      <w:tblPr>
        <w:tblStyle w:val="302"/>
        <w:tblW w:w="14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
        <w:gridCol w:w="2241"/>
        <w:gridCol w:w="2372"/>
        <w:gridCol w:w="877"/>
        <w:gridCol w:w="220"/>
        <w:gridCol w:w="484"/>
        <w:gridCol w:w="791"/>
        <w:gridCol w:w="620"/>
        <w:gridCol w:w="1752"/>
        <w:gridCol w:w="438"/>
        <w:gridCol w:w="352"/>
        <w:gridCol w:w="1094"/>
        <w:gridCol w:w="488"/>
        <w:gridCol w:w="631"/>
        <w:gridCol w:w="1471"/>
      </w:tblGrid>
      <w:tr w14:paraId="6E3E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603" w:type="dxa"/>
            <w:gridSpan w:val="2"/>
            <w:vAlign w:val="center"/>
          </w:tcPr>
          <w:p w14:paraId="0A6A055E">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工作内容</w:t>
            </w:r>
          </w:p>
        </w:tc>
        <w:tc>
          <w:tcPr>
            <w:tcW w:w="11590" w:type="dxa"/>
            <w:gridSpan w:val="13"/>
            <w:vAlign w:val="center"/>
          </w:tcPr>
          <w:p w14:paraId="0846BBA4">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自查项目</w:t>
            </w:r>
          </w:p>
        </w:tc>
      </w:tr>
      <w:tr w14:paraId="434C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62" w:type="dxa"/>
            <w:vMerge w:val="restart"/>
            <w:vAlign w:val="center"/>
          </w:tcPr>
          <w:p w14:paraId="247A4582">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影响识别</w:t>
            </w:r>
          </w:p>
        </w:tc>
        <w:tc>
          <w:tcPr>
            <w:tcW w:w="2241" w:type="dxa"/>
            <w:vAlign w:val="center"/>
          </w:tcPr>
          <w:p w14:paraId="74782E2C">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影响类型</w:t>
            </w:r>
          </w:p>
        </w:tc>
        <w:tc>
          <w:tcPr>
            <w:tcW w:w="11590" w:type="dxa"/>
            <w:gridSpan w:val="13"/>
            <w:vAlign w:val="center"/>
          </w:tcPr>
          <w:p w14:paraId="7F656E81">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水污染影响型 √；水文要素影响型 </w:t>
            </w:r>
            <w:r>
              <w:rPr>
                <w:rFonts w:ascii="Times New Roman" w:hAnsi="Times New Roman" w:cs="Times New Roman" w:eastAsiaTheme="minorEastAsia"/>
                <w:sz w:val="18"/>
                <w:szCs w:val="18"/>
              </w:rPr>
              <w:sym w:font="Wingdings 2" w:char="00A3"/>
            </w:r>
          </w:p>
        </w:tc>
      </w:tr>
      <w:tr w14:paraId="4D9E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62" w:type="dxa"/>
            <w:vMerge w:val="continue"/>
            <w:vAlign w:val="center"/>
          </w:tcPr>
          <w:p w14:paraId="2D3E37D8">
            <w:pPr>
              <w:jc w:val="center"/>
              <w:rPr>
                <w:rFonts w:ascii="Times New Roman" w:hAnsi="Times New Roman" w:cs="Times New Roman" w:eastAsiaTheme="minorEastAsia"/>
                <w:sz w:val="18"/>
                <w:szCs w:val="18"/>
              </w:rPr>
            </w:pPr>
          </w:p>
        </w:tc>
        <w:tc>
          <w:tcPr>
            <w:tcW w:w="2241" w:type="dxa"/>
            <w:vAlign w:val="center"/>
          </w:tcPr>
          <w:p w14:paraId="45CAE91E">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水环境保护目标</w:t>
            </w:r>
          </w:p>
        </w:tc>
        <w:tc>
          <w:tcPr>
            <w:tcW w:w="11590" w:type="dxa"/>
            <w:gridSpan w:val="13"/>
            <w:vAlign w:val="center"/>
          </w:tcPr>
          <w:p w14:paraId="1AA02E32">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饮用水水源保护区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饮用水取水口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涉水的自然保护区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重要湿地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w:t>
            </w:r>
          </w:p>
          <w:p w14:paraId="7425B6DF">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重点保护与珍稀水生生物的栖息地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重要水生生物的自然产卵场及索饵场、越冬场和洄游通道、天然渔场等渔业水体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涉水的风景名胜区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；其他  √；</w:t>
            </w:r>
          </w:p>
        </w:tc>
      </w:tr>
      <w:tr w14:paraId="5811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362" w:type="dxa"/>
            <w:vMerge w:val="continue"/>
            <w:vAlign w:val="center"/>
          </w:tcPr>
          <w:p w14:paraId="5811ED93">
            <w:pPr>
              <w:jc w:val="center"/>
              <w:rPr>
                <w:rFonts w:ascii="Times New Roman" w:hAnsi="Times New Roman" w:cs="Times New Roman" w:eastAsiaTheme="minorEastAsia"/>
                <w:sz w:val="18"/>
                <w:szCs w:val="18"/>
              </w:rPr>
            </w:pPr>
          </w:p>
        </w:tc>
        <w:tc>
          <w:tcPr>
            <w:tcW w:w="2241" w:type="dxa"/>
            <w:vMerge w:val="restart"/>
            <w:vAlign w:val="center"/>
          </w:tcPr>
          <w:p w14:paraId="44AEC7CD">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影响途径</w:t>
            </w:r>
          </w:p>
        </w:tc>
        <w:tc>
          <w:tcPr>
            <w:tcW w:w="5364" w:type="dxa"/>
            <w:gridSpan w:val="6"/>
            <w:vAlign w:val="center"/>
          </w:tcPr>
          <w:p w14:paraId="1FEDC630">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水污染影响型</w:t>
            </w:r>
          </w:p>
        </w:tc>
        <w:tc>
          <w:tcPr>
            <w:tcW w:w="6226" w:type="dxa"/>
            <w:gridSpan w:val="7"/>
            <w:vAlign w:val="center"/>
          </w:tcPr>
          <w:p w14:paraId="435C21BE">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水文要素影响型</w:t>
            </w:r>
          </w:p>
        </w:tc>
      </w:tr>
      <w:tr w14:paraId="5C4C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362" w:type="dxa"/>
            <w:vMerge w:val="continue"/>
            <w:vAlign w:val="center"/>
          </w:tcPr>
          <w:p w14:paraId="58AC5BBB">
            <w:pPr>
              <w:jc w:val="center"/>
              <w:rPr>
                <w:rFonts w:ascii="Times New Roman" w:hAnsi="Times New Roman" w:cs="Times New Roman" w:eastAsiaTheme="minorEastAsia"/>
                <w:sz w:val="18"/>
                <w:szCs w:val="18"/>
              </w:rPr>
            </w:pPr>
          </w:p>
        </w:tc>
        <w:tc>
          <w:tcPr>
            <w:tcW w:w="2241" w:type="dxa"/>
            <w:vMerge w:val="continue"/>
            <w:vAlign w:val="center"/>
          </w:tcPr>
          <w:p w14:paraId="1B29F37C">
            <w:pPr>
              <w:jc w:val="center"/>
              <w:rPr>
                <w:rFonts w:ascii="Times New Roman" w:hAnsi="Times New Roman" w:cs="Times New Roman" w:eastAsiaTheme="minorEastAsia"/>
                <w:sz w:val="18"/>
                <w:szCs w:val="18"/>
              </w:rPr>
            </w:pPr>
          </w:p>
        </w:tc>
        <w:tc>
          <w:tcPr>
            <w:tcW w:w="5364" w:type="dxa"/>
            <w:gridSpan w:val="6"/>
            <w:vAlign w:val="center"/>
          </w:tcPr>
          <w:p w14:paraId="03D7DDDE">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直接排放</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间接排放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其他√；</w:t>
            </w:r>
          </w:p>
        </w:tc>
        <w:tc>
          <w:tcPr>
            <w:tcW w:w="6226" w:type="dxa"/>
            <w:gridSpan w:val="7"/>
            <w:vAlign w:val="center"/>
          </w:tcPr>
          <w:p w14:paraId="7E9FE826">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水温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；径流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水域面积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w:t>
            </w:r>
          </w:p>
        </w:tc>
      </w:tr>
      <w:tr w14:paraId="66B5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62" w:type="dxa"/>
            <w:vMerge w:val="continue"/>
            <w:vAlign w:val="center"/>
          </w:tcPr>
          <w:p w14:paraId="0D6F1F1A">
            <w:pPr>
              <w:jc w:val="center"/>
              <w:rPr>
                <w:rFonts w:ascii="Times New Roman" w:hAnsi="Times New Roman" w:cs="Times New Roman" w:eastAsiaTheme="minorEastAsia"/>
                <w:sz w:val="18"/>
                <w:szCs w:val="18"/>
              </w:rPr>
            </w:pPr>
          </w:p>
        </w:tc>
        <w:tc>
          <w:tcPr>
            <w:tcW w:w="2241" w:type="dxa"/>
            <w:vAlign w:val="center"/>
          </w:tcPr>
          <w:p w14:paraId="7B53C5BA">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影响因子</w:t>
            </w:r>
          </w:p>
        </w:tc>
        <w:tc>
          <w:tcPr>
            <w:tcW w:w="5364" w:type="dxa"/>
            <w:gridSpan w:val="6"/>
            <w:vAlign w:val="center"/>
          </w:tcPr>
          <w:p w14:paraId="799CFCA3">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持久性污染物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有毒有害污染物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非持久性污染物 √；</w:t>
            </w:r>
          </w:p>
          <w:p w14:paraId="06C86788">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pH值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；热污染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富营养化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其他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w:t>
            </w:r>
          </w:p>
        </w:tc>
        <w:tc>
          <w:tcPr>
            <w:tcW w:w="6226" w:type="dxa"/>
            <w:gridSpan w:val="7"/>
            <w:vAlign w:val="center"/>
          </w:tcPr>
          <w:p w14:paraId="3A5F4031">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水温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；水位（水深）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流速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流量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其他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w:t>
            </w:r>
          </w:p>
        </w:tc>
      </w:tr>
      <w:tr w14:paraId="24B0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603" w:type="dxa"/>
            <w:gridSpan w:val="2"/>
            <w:vMerge w:val="restart"/>
            <w:vAlign w:val="center"/>
          </w:tcPr>
          <w:p w14:paraId="63220D28">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评价等级</w:t>
            </w:r>
          </w:p>
        </w:tc>
        <w:tc>
          <w:tcPr>
            <w:tcW w:w="5364" w:type="dxa"/>
            <w:gridSpan w:val="6"/>
            <w:vAlign w:val="center"/>
          </w:tcPr>
          <w:p w14:paraId="4FFCF5A4">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水污染影响型</w:t>
            </w:r>
          </w:p>
        </w:tc>
        <w:tc>
          <w:tcPr>
            <w:tcW w:w="6226" w:type="dxa"/>
            <w:gridSpan w:val="7"/>
            <w:vAlign w:val="center"/>
          </w:tcPr>
          <w:p w14:paraId="3B30E39E">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水文要素影响型</w:t>
            </w:r>
          </w:p>
        </w:tc>
      </w:tr>
      <w:tr w14:paraId="4631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603" w:type="dxa"/>
            <w:gridSpan w:val="2"/>
            <w:vMerge w:val="continue"/>
            <w:vAlign w:val="center"/>
          </w:tcPr>
          <w:p w14:paraId="5895F7F8">
            <w:pPr>
              <w:jc w:val="center"/>
              <w:rPr>
                <w:rFonts w:ascii="Times New Roman" w:hAnsi="Times New Roman" w:cs="Times New Roman" w:eastAsiaTheme="minorEastAsia"/>
                <w:sz w:val="18"/>
                <w:szCs w:val="18"/>
              </w:rPr>
            </w:pPr>
          </w:p>
        </w:tc>
        <w:tc>
          <w:tcPr>
            <w:tcW w:w="5364" w:type="dxa"/>
            <w:gridSpan w:val="6"/>
            <w:vAlign w:val="center"/>
          </w:tcPr>
          <w:p w14:paraId="290C2905">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一级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二级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三级A</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三级B√</w:t>
            </w:r>
          </w:p>
        </w:tc>
        <w:tc>
          <w:tcPr>
            <w:tcW w:w="6226" w:type="dxa"/>
            <w:gridSpan w:val="7"/>
            <w:vAlign w:val="center"/>
          </w:tcPr>
          <w:p w14:paraId="6B5C0F64">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一级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二级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三级 </w:t>
            </w:r>
            <w:r>
              <w:rPr>
                <w:rFonts w:ascii="Times New Roman" w:hAnsi="Times New Roman" w:cs="Times New Roman" w:eastAsiaTheme="minorEastAsia"/>
                <w:sz w:val="18"/>
                <w:szCs w:val="18"/>
              </w:rPr>
              <w:sym w:font="Wingdings 2" w:char="00A3"/>
            </w:r>
          </w:p>
        </w:tc>
      </w:tr>
      <w:tr w14:paraId="7F76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62" w:type="dxa"/>
            <w:vMerge w:val="restart"/>
            <w:vAlign w:val="center"/>
          </w:tcPr>
          <w:p w14:paraId="67C10F68">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现状调查</w:t>
            </w:r>
          </w:p>
        </w:tc>
        <w:tc>
          <w:tcPr>
            <w:tcW w:w="2241" w:type="dxa"/>
            <w:vMerge w:val="restart"/>
            <w:vAlign w:val="center"/>
          </w:tcPr>
          <w:p w14:paraId="4B106B57">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区域污染源</w:t>
            </w:r>
          </w:p>
        </w:tc>
        <w:tc>
          <w:tcPr>
            <w:tcW w:w="5364" w:type="dxa"/>
            <w:gridSpan w:val="6"/>
            <w:vAlign w:val="center"/>
          </w:tcPr>
          <w:p w14:paraId="2867CD28">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调查项目</w:t>
            </w:r>
          </w:p>
        </w:tc>
        <w:tc>
          <w:tcPr>
            <w:tcW w:w="6226" w:type="dxa"/>
            <w:gridSpan w:val="7"/>
            <w:vAlign w:val="center"/>
          </w:tcPr>
          <w:p w14:paraId="538CF875">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数据来源</w:t>
            </w:r>
          </w:p>
        </w:tc>
      </w:tr>
      <w:tr w14:paraId="4D5F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362" w:type="dxa"/>
            <w:vMerge w:val="continue"/>
            <w:vAlign w:val="center"/>
          </w:tcPr>
          <w:p w14:paraId="16390AF3">
            <w:pPr>
              <w:jc w:val="center"/>
              <w:rPr>
                <w:rFonts w:ascii="Times New Roman" w:hAnsi="Times New Roman" w:cs="Times New Roman" w:eastAsiaTheme="minorEastAsia"/>
                <w:sz w:val="18"/>
                <w:szCs w:val="18"/>
              </w:rPr>
            </w:pPr>
          </w:p>
        </w:tc>
        <w:tc>
          <w:tcPr>
            <w:tcW w:w="2241" w:type="dxa"/>
            <w:vMerge w:val="continue"/>
            <w:vAlign w:val="center"/>
          </w:tcPr>
          <w:p w14:paraId="01B3E7E4">
            <w:pPr>
              <w:jc w:val="center"/>
              <w:rPr>
                <w:rFonts w:ascii="Times New Roman" w:hAnsi="Times New Roman" w:cs="Times New Roman" w:eastAsiaTheme="minorEastAsia"/>
                <w:sz w:val="18"/>
                <w:szCs w:val="18"/>
              </w:rPr>
            </w:pPr>
          </w:p>
        </w:tc>
        <w:tc>
          <w:tcPr>
            <w:tcW w:w="3469" w:type="dxa"/>
            <w:gridSpan w:val="3"/>
            <w:vAlign w:val="center"/>
          </w:tcPr>
          <w:p w14:paraId="47A92193">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已建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在建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拟建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其他√</w:t>
            </w:r>
          </w:p>
        </w:tc>
        <w:tc>
          <w:tcPr>
            <w:tcW w:w="1895" w:type="dxa"/>
            <w:gridSpan w:val="3"/>
            <w:vAlign w:val="center"/>
          </w:tcPr>
          <w:p w14:paraId="144DA296">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拟替代的污染源 </w:t>
            </w:r>
            <w:r>
              <w:rPr>
                <w:rFonts w:ascii="Times New Roman" w:hAnsi="Times New Roman" w:cs="Times New Roman" w:eastAsiaTheme="minorEastAsia"/>
                <w:sz w:val="18"/>
                <w:szCs w:val="18"/>
              </w:rPr>
              <w:sym w:font="Wingdings 2" w:char="00A3"/>
            </w:r>
          </w:p>
        </w:tc>
        <w:tc>
          <w:tcPr>
            <w:tcW w:w="6226" w:type="dxa"/>
            <w:gridSpan w:val="7"/>
            <w:vAlign w:val="center"/>
          </w:tcPr>
          <w:p w14:paraId="12421581">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排污许可证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环评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环保验收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既有实测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现场监测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w:t>
            </w:r>
          </w:p>
          <w:p w14:paraId="3CD9921F">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入河排放口数据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其他 </w:t>
            </w:r>
            <w:r>
              <w:rPr>
                <w:rFonts w:ascii="Times New Roman" w:hAnsi="Times New Roman" w:cs="Times New Roman" w:eastAsiaTheme="minorEastAsia"/>
                <w:sz w:val="18"/>
                <w:szCs w:val="18"/>
              </w:rPr>
              <w:sym w:font="Wingdings 2" w:char="00A3"/>
            </w:r>
          </w:p>
        </w:tc>
      </w:tr>
      <w:tr w14:paraId="53D0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62" w:type="dxa"/>
            <w:vMerge w:val="continue"/>
            <w:vAlign w:val="center"/>
          </w:tcPr>
          <w:p w14:paraId="0CEA3827">
            <w:pPr>
              <w:jc w:val="center"/>
              <w:rPr>
                <w:rFonts w:ascii="Times New Roman" w:hAnsi="Times New Roman" w:cs="Times New Roman" w:eastAsiaTheme="minorEastAsia"/>
                <w:sz w:val="18"/>
                <w:szCs w:val="18"/>
              </w:rPr>
            </w:pPr>
          </w:p>
        </w:tc>
        <w:tc>
          <w:tcPr>
            <w:tcW w:w="2241" w:type="dxa"/>
            <w:vMerge w:val="restart"/>
            <w:vAlign w:val="center"/>
          </w:tcPr>
          <w:p w14:paraId="5347EAD3">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受影响水体水环境质量</w:t>
            </w:r>
          </w:p>
        </w:tc>
        <w:tc>
          <w:tcPr>
            <w:tcW w:w="5364" w:type="dxa"/>
            <w:gridSpan w:val="6"/>
            <w:vAlign w:val="center"/>
          </w:tcPr>
          <w:p w14:paraId="4CFB576D">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调查时期</w:t>
            </w:r>
          </w:p>
        </w:tc>
        <w:tc>
          <w:tcPr>
            <w:tcW w:w="6226" w:type="dxa"/>
            <w:gridSpan w:val="7"/>
            <w:vAlign w:val="center"/>
          </w:tcPr>
          <w:p w14:paraId="4F2D5C4D">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数据来源</w:t>
            </w:r>
          </w:p>
        </w:tc>
      </w:tr>
      <w:tr w14:paraId="5619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62" w:type="dxa"/>
            <w:vMerge w:val="continue"/>
            <w:vAlign w:val="center"/>
          </w:tcPr>
          <w:p w14:paraId="2AB8F37B">
            <w:pPr>
              <w:jc w:val="center"/>
              <w:rPr>
                <w:rFonts w:ascii="Times New Roman" w:hAnsi="Times New Roman" w:cs="Times New Roman" w:eastAsiaTheme="minorEastAsia"/>
                <w:sz w:val="18"/>
                <w:szCs w:val="18"/>
              </w:rPr>
            </w:pPr>
          </w:p>
        </w:tc>
        <w:tc>
          <w:tcPr>
            <w:tcW w:w="2241" w:type="dxa"/>
            <w:vMerge w:val="continue"/>
            <w:vAlign w:val="center"/>
          </w:tcPr>
          <w:p w14:paraId="11D30FE9">
            <w:pPr>
              <w:jc w:val="center"/>
              <w:rPr>
                <w:rFonts w:ascii="Times New Roman" w:hAnsi="Times New Roman" w:cs="Times New Roman" w:eastAsiaTheme="minorEastAsia"/>
                <w:sz w:val="18"/>
                <w:szCs w:val="18"/>
              </w:rPr>
            </w:pPr>
          </w:p>
        </w:tc>
        <w:tc>
          <w:tcPr>
            <w:tcW w:w="5364" w:type="dxa"/>
            <w:gridSpan w:val="6"/>
            <w:vAlign w:val="center"/>
          </w:tcPr>
          <w:p w14:paraId="174F05F5">
            <w:pPr>
              <w:jc w:val="left"/>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丰水期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平水期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枯水期 √； 冰封期 </w:t>
            </w:r>
            <w:r>
              <w:rPr>
                <w:rFonts w:ascii="Times New Roman" w:hAnsi="Times New Roman" w:cs="Times New Roman" w:eastAsiaTheme="minorEastAsia"/>
                <w:sz w:val="18"/>
                <w:szCs w:val="18"/>
              </w:rPr>
              <w:sym w:font="Wingdings 2" w:char="00A3"/>
            </w:r>
          </w:p>
          <w:p w14:paraId="64FCCB23">
            <w:pPr>
              <w:jc w:val="left"/>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春季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夏季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秋季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冬季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w:t>
            </w:r>
          </w:p>
        </w:tc>
        <w:tc>
          <w:tcPr>
            <w:tcW w:w="6226" w:type="dxa"/>
            <w:gridSpan w:val="7"/>
            <w:vAlign w:val="center"/>
          </w:tcPr>
          <w:p w14:paraId="72A4E871">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生态环境保护主管部门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补充监测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其他 √；</w:t>
            </w:r>
          </w:p>
        </w:tc>
      </w:tr>
      <w:tr w14:paraId="29FF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62" w:type="dxa"/>
            <w:vMerge w:val="continue"/>
            <w:vAlign w:val="center"/>
          </w:tcPr>
          <w:p w14:paraId="3910715F">
            <w:pPr>
              <w:jc w:val="center"/>
              <w:rPr>
                <w:rFonts w:ascii="Times New Roman" w:hAnsi="Times New Roman" w:cs="Times New Roman" w:eastAsiaTheme="minorEastAsia"/>
                <w:sz w:val="18"/>
                <w:szCs w:val="18"/>
              </w:rPr>
            </w:pPr>
          </w:p>
        </w:tc>
        <w:tc>
          <w:tcPr>
            <w:tcW w:w="2241" w:type="dxa"/>
            <w:vAlign w:val="center"/>
          </w:tcPr>
          <w:p w14:paraId="7550B8C7">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区域水资源开发利用状况</w:t>
            </w:r>
          </w:p>
        </w:tc>
        <w:tc>
          <w:tcPr>
            <w:tcW w:w="11590" w:type="dxa"/>
            <w:gridSpan w:val="13"/>
            <w:vAlign w:val="center"/>
          </w:tcPr>
          <w:p w14:paraId="68588419">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未开发 √； 开发量40%以下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开发量40%以上 </w:t>
            </w:r>
            <w:r>
              <w:rPr>
                <w:rFonts w:ascii="Times New Roman" w:hAnsi="Times New Roman" w:cs="Times New Roman" w:eastAsiaTheme="minorEastAsia"/>
                <w:sz w:val="18"/>
                <w:szCs w:val="18"/>
              </w:rPr>
              <w:sym w:font="Wingdings 2" w:char="00A3"/>
            </w:r>
          </w:p>
        </w:tc>
      </w:tr>
      <w:tr w14:paraId="7F33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62" w:type="dxa"/>
            <w:vMerge w:val="continue"/>
            <w:vAlign w:val="center"/>
          </w:tcPr>
          <w:p w14:paraId="73A8A85D">
            <w:pPr>
              <w:jc w:val="center"/>
              <w:rPr>
                <w:rFonts w:ascii="Times New Roman" w:hAnsi="Times New Roman" w:cs="Times New Roman" w:eastAsiaTheme="minorEastAsia"/>
                <w:sz w:val="18"/>
                <w:szCs w:val="18"/>
              </w:rPr>
            </w:pPr>
          </w:p>
        </w:tc>
        <w:tc>
          <w:tcPr>
            <w:tcW w:w="2241" w:type="dxa"/>
            <w:vMerge w:val="restart"/>
            <w:vAlign w:val="center"/>
          </w:tcPr>
          <w:p w14:paraId="052C809A">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水文情势调查</w:t>
            </w:r>
          </w:p>
        </w:tc>
        <w:tc>
          <w:tcPr>
            <w:tcW w:w="5364" w:type="dxa"/>
            <w:gridSpan w:val="6"/>
            <w:vAlign w:val="center"/>
          </w:tcPr>
          <w:p w14:paraId="083E503C">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调查时期</w:t>
            </w:r>
          </w:p>
        </w:tc>
        <w:tc>
          <w:tcPr>
            <w:tcW w:w="6226" w:type="dxa"/>
            <w:gridSpan w:val="7"/>
            <w:vAlign w:val="center"/>
          </w:tcPr>
          <w:p w14:paraId="0CA61101">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数据来源</w:t>
            </w:r>
          </w:p>
        </w:tc>
      </w:tr>
      <w:tr w14:paraId="12B5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62" w:type="dxa"/>
            <w:vMerge w:val="continue"/>
            <w:vAlign w:val="center"/>
          </w:tcPr>
          <w:p w14:paraId="7276F494">
            <w:pPr>
              <w:jc w:val="center"/>
              <w:rPr>
                <w:rFonts w:ascii="Times New Roman" w:hAnsi="Times New Roman" w:cs="Times New Roman" w:eastAsiaTheme="minorEastAsia"/>
                <w:sz w:val="18"/>
                <w:szCs w:val="18"/>
              </w:rPr>
            </w:pPr>
          </w:p>
        </w:tc>
        <w:tc>
          <w:tcPr>
            <w:tcW w:w="2241" w:type="dxa"/>
            <w:vMerge w:val="continue"/>
            <w:vAlign w:val="center"/>
          </w:tcPr>
          <w:p w14:paraId="191DB15F">
            <w:pPr>
              <w:jc w:val="center"/>
              <w:rPr>
                <w:rFonts w:ascii="Times New Roman" w:hAnsi="Times New Roman" w:cs="Times New Roman" w:eastAsiaTheme="minorEastAsia"/>
                <w:sz w:val="18"/>
                <w:szCs w:val="18"/>
              </w:rPr>
            </w:pPr>
          </w:p>
        </w:tc>
        <w:tc>
          <w:tcPr>
            <w:tcW w:w="5364" w:type="dxa"/>
            <w:gridSpan w:val="6"/>
            <w:vAlign w:val="center"/>
          </w:tcPr>
          <w:p w14:paraId="2409CC61">
            <w:pPr>
              <w:jc w:val="left"/>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丰水期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平水期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枯水期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冰封期 </w:t>
            </w:r>
            <w:r>
              <w:rPr>
                <w:rFonts w:ascii="Times New Roman" w:hAnsi="Times New Roman" w:cs="Times New Roman" w:eastAsiaTheme="minorEastAsia"/>
                <w:sz w:val="18"/>
                <w:szCs w:val="18"/>
              </w:rPr>
              <w:sym w:font="Wingdings 2" w:char="00A3"/>
            </w:r>
          </w:p>
          <w:p w14:paraId="09D134D9">
            <w:pPr>
              <w:jc w:val="left"/>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春季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夏季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秋季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冬季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w:t>
            </w:r>
          </w:p>
        </w:tc>
        <w:tc>
          <w:tcPr>
            <w:tcW w:w="6226" w:type="dxa"/>
            <w:gridSpan w:val="7"/>
            <w:vAlign w:val="center"/>
          </w:tcPr>
          <w:p w14:paraId="7178166A">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生态环境保护主管部门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补充监测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其他 √；</w:t>
            </w:r>
          </w:p>
        </w:tc>
      </w:tr>
      <w:tr w14:paraId="70ECF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62" w:type="dxa"/>
            <w:vMerge w:val="continue"/>
            <w:vAlign w:val="center"/>
          </w:tcPr>
          <w:p w14:paraId="0D18ADF4">
            <w:pPr>
              <w:rPr>
                <w:rFonts w:ascii="Times New Roman" w:hAnsi="Times New Roman" w:cs="Times New Roman" w:eastAsiaTheme="minorEastAsia"/>
                <w:sz w:val="18"/>
                <w:szCs w:val="18"/>
              </w:rPr>
            </w:pPr>
          </w:p>
        </w:tc>
        <w:tc>
          <w:tcPr>
            <w:tcW w:w="2241" w:type="dxa"/>
            <w:vMerge w:val="restart"/>
            <w:vAlign w:val="center"/>
          </w:tcPr>
          <w:p w14:paraId="65D2ABD7">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补充监测</w:t>
            </w:r>
          </w:p>
        </w:tc>
        <w:tc>
          <w:tcPr>
            <w:tcW w:w="5364" w:type="dxa"/>
            <w:gridSpan w:val="6"/>
            <w:vAlign w:val="center"/>
          </w:tcPr>
          <w:p w14:paraId="267C8597">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监测时期</w:t>
            </w:r>
          </w:p>
        </w:tc>
        <w:tc>
          <w:tcPr>
            <w:tcW w:w="3636" w:type="dxa"/>
            <w:gridSpan w:val="4"/>
            <w:vAlign w:val="center"/>
          </w:tcPr>
          <w:p w14:paraId="3C0E740C">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监测因子</w:t>
            </w:r>
          </w:p>
        </w:tc>
        <w:tc>
          <w:tcPr>
            <w:tcW w:w="2590" w:type="dxa"/>
            <w:gridSpan w:val="3"/>
            <w:vAlign w:val="center"/>
          </w:tcPr>
          <w:p w14:paraId="1D04C17C">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监测断面或点位个数</w:t>
            </w:r>
          </w:p>
        </w:tc>
      </w:tr>
      <w:tr w14:paraId="2B8E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362" w:type="dxa"/>
            <w:vMerge w:val="continue"/>
            <w:vAlign w:val="center"/>
          </w:tcPr>
          <w:p w14:paraId="66BDFB35">
            <w:pPr>
              <w:rPr>
                <w:rFonts w:ascii="Times New Roman" w:hAnsi="Times New Roman" w:cs="Times New Roman" w:eastAsiaTheme="minorEastAsia"/>
                <w:sz w:val="18"/>
                <w:szCs w:val="18"/>
              </w:rPr>
            </w:pPr>
          </w:p>
        </w:tc>
        <w:tc>
          <w:tcPr>
            <w:tcW w:w="2241" w:type="dxa"/>
            <w:vMerge w:val="continue"/>
            <w:vAlign w:val="center"/>
          </w:tcPr>
          <w:p w14:paraId="3168A42F">
            <w:pPr>
              <w:jc w:val="center"/>
              <w:rPr>
                <w:rFonts w:ascii="Times New Roman" w:hAnsi="Times New Roman" w:cs="Times New Roman" w:eastAsiaTheme="minorEastAsia"/>
                <w:sz w:val="18"/>
                <w:szCs w:val="18"/>
              </w:rPr>
            </w:pPr>
          </w:p>
        </w:tc>
        <w:tc>
          <w:tcPr>
            <w:tcW w:w="5364" w:type="dxa"/>
            <w:gridSpan w:val="6"/>
            <w:vAlign w:val="center"/>
          </w:tcPr>
          <w:p w14:paraId="09F70FAF">
            <w:pPr>
              <w:jc w:val="left"/>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丰水期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平水期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枯水期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冰封期 </w:t>
            </w:r>
            <w:r>
              <w:rPr>
                <w:rFonts w:ascii="Times New Roman" w:hAnsi="Times New Roman" w:cs="Times New Roman" w:eastAsiaTheme="minorEastAsia"/>
                <w:sz w:val="18"/>
                <w:szCs w:val="18"/>
              </w:rPr>
              <w:sym w:font="Wingdings 2" w:char="00A3"/>
            </w:r>
          </w:p>
          <w:p w14:paraId="204618AD">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春季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夏季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秋季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冬季 </w:t>
            </w:r>
            <w:r>
              <w:rPr>
                <w:rFonts w:ascii="Times New Roman" w:hAnsi="Times New Roman" w:cs="Times New Roman" w:eastAsiaTheme="minorEastAsia"/>
                <w:sz w:val="18"/>
                <w:szCs w:val="18"/>
              </w:rPr>
              <w:sym w:font="Wingdings 2" w:char="00A3"/>
            </w:r>
          </w:p>
        </w:tc>
        <w:tc>
          <w:tcPr>
            <w:tcW w:w="3636" w:type="dxa"/>
            <w:gridSpan w:val="4"/>
            <w:vAlign w:val="center"/>
          </w:tcPr>
          <w:p w14:paraId="59E06E0A">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（pH、溶解氧、高锰酸盐指数、COD、BOD</w:t>
            </w:r>
            <w:r>
              <w:rPr>
                <w:rFonts w:ascii="Times New Roman" w:hAnsi="Times New Roman" w:cs="Times New Roman" w:eastAsiaTheme="minorEastAsia"/>
                <w:sz w:val="18"/>
                <w:szCs w:val="18"/>
                <w:vertAlign w:val="subscript"/>
              </w:rPr>
              <w:t>5</w:t>
            </w:r>
            <w:r>
              <w:rPr>
                <w:rFonts w:ascii="Times New Roman" w:hAnsi="Times New Roman" w:cs="Times New Roman" w:eastAsiaTheme="minorEastAsia"/>
                <w:sz w:val="18"/>
                <w:szCs w:val="18"/>
              </w:rPr>
              <w:t>、氨氮、总磷）</w:t>
            </w:r>
          </w:p>
        </w:tc>
        <w:tc>
          <w:tcPr>
            <w:tcW w:w="2590" w:type="dxa"/>
            <w:gridSpan w:val="3"/>
            <w:vAlign w:val="center"/>
          </w:tcPr>
          <w:p w14:paraId="48D2138F">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监测断面或点位个数（ 1 ）个</w:t>
            </w:r>
          </w:p>
        </w:tc>
      </w:tr>
      <w:tr w14:paraId="3C93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62" w:type="dxa"/>
            <w:vMerge w:val="restart"/>
            <w:vAlign w:val="center"/>
          </w:tcPr>
          <w:p w14:paraId="7B90C7F2">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现状评价</w:t>
            </w:r>
          </w:p>
        </w:tc>
        <w:tc>
          <w:tcPr>
            <w:tcW w:w="2241" w:type="dxa"/>
            <w:vAlign w:val="center"/>
          </w:tcPr>
          <w:p w14:paraId="4F8D0DA6">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评价范围</w:t>
            </w:r>
          </w:p>
        </w:tc>
        <w:tc>
          <w:tcPr>
            <w:tcW w:w="11590" w:type="dxa"/>
            <w:gridSpan w:val="13"/>
            <w:vAlign w:val="center"/>
          </w:tcPr>
          <w:p w14:paraId="53FD0112">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河流：长度（ /）km； 湖库、河口及近岸海域：（   ）km</w:t>
            </w:r>
            <w:r>
              <w:rPr>
                <w:rFonts w:ascii="Times New Roman" w:hAnsi="Times New Roman" w:cs="Times New Roman" w:eastAsiaTheme="minorEastAsia"/>
                <w:sz w:val="18"/>
                <w:szCs w:val="18"/>
                <w:vertAlign w:val="superscript"/>
              </w:rPr>
              <w:t>2</w:t>
            </w:r>
          </w:p>
        </w:tc>
      </w:tr>
      <w:tr w14:paraId="61B6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62" w:type="dxa"/>
            <w:vMerge w:val="continue"/>
            <w:vAlign w:val="center"/>
          </w:tcPr>
          <w:p w14:paraId="1AFFC6D6">
            <w:pPr>
              <w:rPr>
                <w:rFonts w:ascii="Times New Roman" w:hAnsi="Times New Roman" w:cs="Times New Roman" w:eastAsiaTheme="minorEastAsia"/>
                <w:sz w:val="18"/>
                <w:szCs w:val="18"/>
              </w:rPr>
            </w:pPr>
          </w:p>
        </w:tc>
        <w:tc>
          <w:tcPr>
            <w:tcW w:w="2241" w:type="dxa"/>
            <w:vAlign w:val="center"/>
          </w:tcPr>
          <w:p w14:paraId="713D3E21">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评价因子</w:t>
            </w:r>
          </w:p>
        </w:tc>
        <w:tc>
          <w:tcPr>
            <w:tcW w:w="11590" w:type="dxa"/>
            <w:gridSpan w:val="13"/>
            <w:vAlign w:val="center"/>
          </w:tcPr>
          <w:p w14:paraId="7D173986">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w:t>
            </w:r>
          </w:p>
        </w:tc>
      </w:tr>
      <w:tr w14:paraId="15A4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62" w:type="dxa"/>
            <w:vMerge w:val="continue"/>
            <w:vAlign w:val="center"/>
          </w:tcPr>
          <w:p w14:paraId="72310965">
            <w:pPr>
              <w:rPr>
                <w:rFonts w:ascii="Times New Roman" w:hAnsi="Times New Roman" w:cs="Times New Roman" w:eastAsiaTheme="minorEastAsia"/>
                <w:sz w:val="18"/>
                <w:szCs w:val="18"/>
              </w:rPr>
            </w:pPr>
          </w:p>
        </w:tc>
        <w:tc>
          <w:tcPr>
            <w:tcW w:w="2241" w:type="dxa"/>
            <w:vAlign w:val="center"/>
          </w:tcPr>
          <w:p w14:paraId="28CEF24F">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评价标准</w:t>
            </w:r>
          </w:p>
        </w:tc>
        <w:tc>
          <w:tcPr>
            <w:tcW w:w="11590" w:type="dxa"/>
            <w:gridSpan w:val="13"/>
            <w:vAlign w:val="center"/>
          </w:tcPr>
          <w:p w14:paraId="63D74373">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河流、湖库、河口：Ⅰ类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Ⅱ类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Ⅲ类 √； Ⅳ类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；Ⅴ类</w:t>
            </w:r>
            <w:r>
              <w:rPr>
                <w:rFonts w:ascii="Times New Roman" w:hAnsi="Times New Roman" w:cs="Times New Roman" w:eastAsiaTheme="minorEastAsia"/>
                <w:sz w:val="18"/>
                <w:szCs w:val="18"/>
              </w:rPr>
              <w:sym w:font="Wingdings 2" w:char="00A3"/>
            </w:r>
          </w:p>
          <w:p w14:paraId="33F95FDB">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近岸海域：第一类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第二类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第三类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第四类 </w:t>
            </w:r>
            <w:r>
              <w:rPr>
                <w:rFonts w:ascii="Times New Roman" w:hAnsi="Times New Roman" w:cs="Times New Roman" w:eastAsiaTheme="minorEastAsia"/>
                <w:sz w:val="18"/>
                <w:szCs w:val="18"/>
              </w:rPr>
              <w:sym w:font="Wingdings 2" w:char="00A3"/>
            </w:r>
          </w:p>
          <w:p w14:paraId="6BAD5987">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规划年评价标准（     ）</w:t>
            </w:r>
          </w:p>
        </w:tc>
      </w:tr>
      <w:tr w14:paraId="548D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62" w:type="dxa"/>
            <w:vMerge w:val="continue"/>
            <w:vAlign w:val="center"/>
          </w:tcPr>
          <w:p w14:paraId="264DCF25">
            <w:pPr>
              <w:rPr>
                <w:rFonts w:ascii="Times New Roman" w:hAnsi="Times New Roman" w:cs="Times New Roman" w:eastAsiaTheme="minorEastAsia"/>
                <w:sz w:val="18"/>
                <w:szCs w:val="18"/>
              </w:rPr>
            </w:pPr>
          </w:p>
        </w:tc>
        <w:tc>
          <w:tcPr>
            <w:tcW w:w="2241" w:type="dxa"/>
            <w:vAlign w:val="center"/>
          </w:tcPr>
          <w:p w14:paraId="6C3277A4">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评价时期</w:t>
            </w:r>
          </w:p>
        </w:tc>
        <w:tc>
          <w:tcPr>
            <w:tcW w:w="11590" w:type="dxa"/>
            <w:gridSpan w:val="13"/>
            <w:vAlign w:val="center"/>
          </w:tcPr>
          <w:p w14:paraId="3D8FB03D">
            <w:pPr>
              <w:jc w:val="left"/>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丰水期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平水期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枯水期 √； 冰封期 </w:t>
            </w:r>
            <w:r>
              <w:rPr>
                <w:rFonts w:ascii="Times New Roman" w:hAnsi="Times New Roman" w:cs="Times New Roman" w:eastAsiaTheme="minorEastAsia"/>
                <w:sz w:val="18"/>
                <w:szCs w:val="18"/>
              </w:rPr>
              <w:sym w:font="Wingdings 2" w:char="00A3"/>
            </w:r>
          </w:p>
          <w:p w14:paraId="0348B00D">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春季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夏季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秋季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冬季 </w:t>
            </w:r>
            <w:r>
              <w:rPr>
                <w:rFonts w:ascii="Times New Roman" w:hAnsi="Times New Roman" w:cs="Times New Roman" w:eastAsiaTheme="minorEastAsia"/>
                <w:sz w:val="18"/>
                <w:szCs w:val="18"/>
              </w:rPr>
              <w:sym w:font="Wingdings 2" w:char="00A3"/>
            </w:r>
          </w:p>
        </w:tc>
      </w:tr>
      <w:tr w14:paraId="4279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62" w:type="dxa"/>
            <w:vMerge w:val="continue"/>
            <w:vAlign w:val="center"/>
          </w:tcPr>
          <w:p w14:paraId="23FFD487">
            <w:pPr>
              <w:rPr>
                <w:rFonts w:ascii="Times New Roman" w:hAnsi="Times New Roman" w:cs="Times New Roman" w:eastAsiaTheme="minorEastAsia"/>
                <w:sz w:val="18"/>
                <w:szCs w:val="18"/>
              </w:rPr>
            </w:pPr>
          </w:p>
        </w:tc>
        <w:tc>
          <w:tcPr>
            <w:tcW w:w="2241" w:type="dxa"/>
            <w:vAlign w:val="center"/>
          </w:tcPr>
          <w:p w14:paraId="19E39E1F">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评价结论</w:t>
            </w:r>
          </w:p>
        </w:tc>
        <w:tc>
          <w:tcPr>
            <w:tcW w:w="10119" w:type="dxa"/>
            <w:gridSpan w:val="12"/>
            <w:vAlign w:val="center"/>
          </w:tcPr>
          <w:p w14:paraId="06929DE7">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水环境功能区或水功能区、近岸海域环境功能区水质达标状况：达标 √； 不达标 </w:t>
            </w:r>
            <w:r>
              <w:rPr>
                <w:rFonts w:ascii="Times New Roman" w:hAnsi="Times New Roman" w:cs="Times New Roman" w:eastAsiaTheme="minorEastAsia"/>
                <w:sz w:val="18"/>
                <w:szCs w:val="18"/>
              </w:rPr>
              <w:sym w:font="Wingdings 2" w:char="00A3"/>
            </w:r>
          </w:p>
          <w:p w14:paraId="1AA64DE1">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水环境控制单元或断面水质达标状况：达标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不达标 </w:t>
            </w:r>
            <w:r>
              <w:rPr>
                <w:rFonts w:ascii="Times New Roman" w:hAnsi="Times New Roman" w:cs="Times New Roman" w:eastAsiaTheme="minorEastAsia"/>
                <w:sz w:val="18"/>
                <w:szCs w:val="18"/>
              </w:rPr>
              <w:sym w:font="Wingdings 2" w:char="00A3"/>
            </w:r>
          </w:p>
          <w:p w14:paraId="359ABE47">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水环境保护目标质量状况：达标 √； 不达标 </w:t>
            </w:r>
            <w:r>
              <w:rPr>
                <w:rFonts w:ascii="Times New Roman" w:hAnsi="Times New Roman" w:cs="Times New Roman" w:eastAsiaTheme="minorEastAsia"/>
                <w:sz w:val="18"/>
                <w:szCs w:val="18"/>
              </w:rPr>
              <w:sym w:font="Wingdings 2" w:char="00A3"/>
            </w:r>
          </w:p>
          <w:p w14:paraId="56698AAC">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对照断面、控制断面等代表性断面的水质状况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：达标 √； 不达标 </w:t>
            </w:r>
            <w:r>
              <w:rPr>
                <w:rFonts w:ascii="Times New Roman" w:hAnsi="Times New Roman" w:cs="Times New Roman" w:eastAsiaTheme="minorEastAsia"/>
                <w:sz w:val="18"/>
                <w:szCs w:val="18"/>
              </w:rPr>
              <w:sym w:font="Wingdings 2" w:char="00A3"/>
            </w:r>
          </w:p>
          <w:p w14:paraId="63A63ABE">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底泥污染评价 </w:t>
            </w:r>
            <w:r>
              <w:rPr>
                <w:rFonts w:ascii="Times New Roman" w:hAnsi="Times New Roman" w:cs="Times New Roman" w:eastAsiaTheme="minorEastAsia"/>
                <w:sz w:val="18"/>
                <w:szCs w:val="18"/>
              </w:rPr>
              <w:sym w:font="Wingdings 2" w:char="00A3"/>
            </w:r>
          </w:p>
          <w:p w14:paraId="54F72D19">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水资源与开发利用程度及其水文情势评价 </w:t>
            </w:r>
            <w:r>
              <w:rPr>
                <w:rFonts w:ascii="Times New Roman" w:hAnsi="Times New Roman" w:cs="Times New Roman" w:eastAsiaTheme="minorEastAsia"/>
                <w:sz w:val="18"/>
                <w:szCs w:val="18"/>
              </w:rPr>
              <w:sym w:font="Wingdings 2" w:char="00A3"/>
            </w:r>
          </w:p>
          <w:p w14:paraId="2915495A">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水环境质量回顾评价 </w:t>
            </w:r>
            <w:r>
              <w:rPr>
                <w:rFonts w:ascii="Times New Roman" w:hAnsi="Times New Roman" w:cs="Times New Roman" w:eastAsiaTheme="minorEastAsia"/>
                <w:sz w:val="18"/>
                <w:szCs w:val="18"/>
              </w:rPr>
              <w:sym w:font="Wingdings 2" w:char="00A3"/>
            </w:r>
          </w:p>
          <w:p w14:paraId="7622E5FE">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流域（区域）水资源（包括水能资源）与开发利用总体规划、生态流量管理要求与现状满足程度、建设项目占用水域空间的水流状况与河湖演变状况 </w:t>
            </w:r>
            <w:r>
              <w:rPr>
                <w:rFonts w:ascii="Times New Roman" w:hAnsi="Times New Roman" w:cs="Times New Roman" w:eastAsiaTheme="minorEastAsia"/>
                <w:sz w:val="18"/>
                <w:szCs w:val="18"/>
              </w:rPr>
              <w:sym w:font="Wingdings 2" w:char="00A3"/>
            </w:r>
          </w:p>
        </w:tc>
        <w:tc>
          <w:tcPr>
            <w:tcW w:w="1471" w:type="dxa"/>
            <w:vAlign w:val="center"/>
          </w:tcPr>
          <w:p w14:paraId="0C781A28">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达标区 √</w:t>
            </w:r>
          </w:p>
          <w:p w14:paraId="5BD773F3">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不达标区 </w:t>
            </w:r>
            <w:r>
              <w:rPr>
                <w:rFonts w:ascii="Times New Roman" w:hAnsi="Times New Roman" w:cs="Times New Roman" w:eastAsiaTheme="minorEastAsia"/>
                <w:sz w:val="18"/>
                <w:szCs w:val="18"/>
              </w:rPr>
              <w:sym w:font="Wingdings 2" w:char="00A3"/>
            </w:r>
          </w:p>
        </w:tc>
      </w:tr>
      <w:tr w14:paraId="6BDE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62" w:type="dxa"/>
            <w:vMerge w:val="restart"/>
            <w:vAlign w:val="center"/>
          </w:tcPr>
          <w:p w14:paraId="01D53096">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影响预测</w:t>
            </w:r>
          </w:p>
        </w:tc>
        <w:tc>
          <w:tcPr>
            <w:tcW w:w="2241" w:type="dxa"/>
            <w:vAlign w:val="center"/>
          </w:tcPr>
          <w:p w14:paraId="43B9BAA3">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预测范围</w:t>
            </w:r>
          </w:p>
        </w:tc>
        <w:tc>
          <w:tcPr>
            <w:tcW w:w="11590" w:type="dxa"/>
            <w:gridSpan w:val="13"/>
            <w:vAlign w:val="center"/>
          </w:tcPr>
          <w:p w14:paraId="540350EC">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河流：长度（ /  ）km； 湖库、河口及近岸海域：（   ）km</w:t>
            </w:r>
            <w:r>
              <w:rPr>
                <w:rFonts w:ascii="Times New Roman" w:hAnsi="Times New Roman" w:cs="Times New Roman" w:eastAsiaTheme="minorEastAsia"/>
                <w:sz w:val="18"/>
                <w:szCs w:val="18"/>
                <w:vertAlign w:val="superscript"/>
              </w:rPr>
              <w:t>2</w:t>
            </w:r>
          </w:p>
        </w:tc>
      </w:tr>
      <w:tr w14:paraId="5A0C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62" w:type="dxa"/>
            <w:vMerge w:val="continue"/>
            <w:vAlign w:val="center"/>
          </w:tcPr>
          <w:p w14:paraId="65DC0003">
            <w:pPr>
              <w:rPr>
                <w:rFonts w:ascii="Times New Roman" w:hAnsi="Times New Roman" w:cs="Times New Roman" w:eastAsiaTheme="minorEastAsia"/>
                <w:sz w:val="18"/>
                <w:szCs w:val="18"/>
              </w:rPr>
            </w:pPr>
          </w:p>
        </w:tc>
        <w:tc>
          <w:tcPr>
            <w:tcW w:w="2241" w:type="dxa"/>
            <w:vAlign w:val="center"/>
          </w:tcPr>
          <w:p w14:paraId="5163505C">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预测因子</w:t>
            </w:r>
          </w:p>
        </w:tc>
        <w:tc>
          <w:tcPr>
            <w:tcW w:w="11590" w:type="dxa"/>
            <w:gridSpan w:val="13"/>
            <w:vAlign w:val="center"/>
          </w:tcPr>
          <w:p w14:paraId="7F927A61">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（COD、BOD</w:t>
            </w:r>
            <w:r>
              <w:rPr>
                <w:rFonts w:ascii="Times New Roman" w:hAnsi="Times New Roman" w:cs="Times New Roman" w:eastAsiaTheme="minorEastAsia"/>
                <w:sz w:val="18"/>
                <w:szCs w:val="18"/>
                <w:vertAlign w:val="subscript"/>
              </w:rPr>
              <w:t>5</w:t>
            </w:r>
            <w:r>
              <w:rPr>
                <w:rFonts w:ascii="Times New Roman" w:hAnsi="Times New Roman" w:cs="Times New Roman" w:eastAsiaTheme="minorEastAsia"/>
                <w:sz w:val="18"/>
                <w:szCs w:val="18"/>
              </w:rPr>
              <w:t>、氨氮、总磷）</w:t>
            </w:r>
          </w:p>
        </w:tc>
      </w:tr>
      <w:tr w14:paraId="4A3A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2" w:type="dxa"/>
            <w:vMerge w:val="continue"/>
            <w:vAlign w:val="center"/>
          </w:tcPr>
          <w:p w14:paraId="2D45DCB1">
            <w:pPr>
              <w:rPr>
                <w:rFonts w:ascii="Times New Roman" w:hAnsi="Times New Roman" w:cs="Times New Roman" w:eastAsiaTheme="minorEastAsia"/>
                <w:sz w:val="18"/>
                <w:szCs w:val="18"/>
              </w:rPr>
            </w:pPr>
          </w:p>
        </w:tc>
        <w:tc>
          <w:tcPr>
            <w:tcW w:w="2241" w:type="dxa"/>
            <w:vAlign w:val="center"/>
          </w:tcPr>
          <w:p w14:paraId="223DA5E4">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预测时期</w:t>
            </w:r>
          </w:p>
        </w:tc>
        <w:tc>
          <w:tcPr>
            <w:tcW w:w="11590" w:type="dxa"/>
            <w:gridSpan w:val="13"/>
            <w:vAlign w:val="center"/>
          </w:tcPr>
          <w:p w14:paraId="0AF0D4FF">
            <w:pPr>
              <w:jc w:val="left"/>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丰水期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平水期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枯水期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冰封期 </w:t>
            </w:r>
            <w:r>
              <w:rPr>
                <w:rFonts w:ascii="Times New Roman" w:hAnsi="Times New Roman" w:cs="Times New Roman" w:eastAsiaTheme="minorEastAsia"/>
                <w:sz w:val="18"/>
                <w:szCs w:val="18"/>
              </w:rPr>
              <w:sym w:font="Wingdings 2" w:char="00A3"/>
            </w:r>
          </w:p>
          <w:p w14:paraId="36774A18">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春季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夏季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秋季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冬季 </w:t>
            </w:r>
            <w:r>
              <w:rPr>
                <w:rFonts w:ascii="Times New Roman" w:hAnsi="Times New Roman" w:cs="Times New Roman" w:eastAsiaTheme="minorEastAsia"/>
                <w:sz w:val="18"/>
                <w:szCs w:val="18"/>
              </w:rPr>
              <w:sym w:font="Wingdings 2" w:char="00A3"/>
            </w:r>
          </w:p>
          <w:p w14:paraId="4788F071">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设计水文条件 </w:t>
            </w:r>
            <w:r>
              <w:rPr>
                <w:rFonts w:ascii="Times New Roman" w:hAnsi="Times New Roman" w:cs="Times New Roman" w:eastAsiaTheme="minorEastAsia"/>
                <w:sz w:val="18"/>
                <w:szCs w:val="18"/>
              </w:rPr>
              <w:sym w:font="Wingdings 2" w:char="00A3"/>
            </w:r>
          </w:p>
        </w:tc>
      </w:tr>
      <w:tr w14:paraId="121D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2" w:type="dxa"/>
            <w:vMerge w:val="continue"/>
            <w:vAlign w:val="center"/>
          </w:tcPr>
          <w:p w14:paraId="43D4119C">
            <w:pPr>
              <w:rPr>
                <w:rFonts w:ascii="Times New Roman" w:hAnsi="Times New Roman" w:cs="Times New Roman" w:eastAsiaTheme="minorEastAsia"/>
                <w:sz w:val="18"/>
                <w:szCs w:val="18"/>
              </w:rPr>
            </w:pPr>
          </w:p>
        </w:tc>
        <w:tc>
          <w:tcPr>
            <w:tcW w:w="2241" w:type="dxa"/>
            <w:vAlign w:val="center"/>
          </w:tcPr>
          <w:p w14:paraId="41018B98">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预测情景</w:t>
            </w:r>
          </w:p>
        </w:tc>
        <w:tc>
          <w:tcPr>
            <w:tcW w:w="11590" w:type="dxa"/>
            <w:gridSpan w:val="13"/>
            <w:vAlign w:val="center"/>
          </w:tcPr>
          <w:p w14:paraId="625E3C45">
            <w:pPr>
              <w:jc w:val="left"/>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建设期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生产运行期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服务期满后 </w:t>
            </w:r>
            <w:r>
              <w:rPr>
                <w:rFonts w:ascii="Times New Roman" w:hAnsi="Times New Roman" w:cs="Times New Roman" w:eastAsiaTheme="minorEastAsia"/>
                <w:sz w:val="18"/>
                <w:szCs w:val="18"/>
              </w:rPr>
              <w:sym w:font="Wingdings 2" w:char="00A3"/>
            </w:r>
          </w:p>
          <w:p w14:paraId="44CF9A34">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正常工况</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非正常工况 </w:t>
            </w:r>
          </w:p>
          <w:p w14:paraId="219B8C39">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污染控制和缓解措施方案 </w:t>
            </w:r>
            <w:r>
              <w:rPr>
                <w:rFonts w:ascii="Times New Roman" w:hAnsi="Times New Roman" w:cs="Times New Roman" w:eastAsiaTheme="minorEastAsia"/>
                <w:sz w:val="18"/>
                <w:szCs w:val="18"/>
              </w:rPr>
              <w:sym w:font="Wingdings 2" w:char="00A3"/>
            </w:r>
          </w:p>
          <w:p w14:paraId="5F2A2614">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区（流）域环境质量改善目标要求情景 </w:t>
            </w:r>
            <w:r>
              <w:rPr>
                <w:rFonts w:ascii="Times New Roman" w:hAnsi="Times New Roman" w:cs="Times New Roman" w:eastAsiaTheme="minorEastAsia"/>
                <w:sz w:val="18"/>
                <w:szCs w:val="18"/>
              </w:rPr>
              <w:sym w:font="Wingdings 2" w:char="00A3"/>
            </w:r>
          </w:p>
        </w:tc>
      </w:tr>
      <w:tr w14:paraId="5466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2" w:type="dxa"/>
            <w:vMerge w:val="continue"/>
            <w:vAlign w:val="center"/>
          </w:tcPr>
          <w:p w14:paraId="26E2FF49">
            <w:pPr>
              <w:rPr>
                <w:rFonts w:ascii="Times New Roman" w:hAnsi="Times New Roman" w:cs="Times New Roman" w:eastAsiaTheme="minorEastAsia"/>
                <w:sz w:val="18"/>
                <w:szCs w:val="18"/>
              </w:rPr>
            </w:pPr>
          </w:p>
        </w:tc>
        <w:tc>
          <w:tcPr>
            <w:tcW w:w="2241" w:type="dxa"/>
            <w:vAlign w:val="center"/>
          </w:tcPr>
          <w:p w14:paraId="712AEEC3">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预测方法</w:t>
            </w:r>
          </w:p>
        </w:tc>
        <w:tc>
          <w:tcPr>
            <w:tcW w:w="11590" w:type="dxa"/>
            <w:gridSpan w:val="13"/>
            <w:vAlign w:val="center"/>
          </w:tcPr>
          <w:p w14:paraId="7CCCDC6A">
            <w:pPr>
              <w:jc w:val="left"/>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数值解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解析解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其他 </w:t>
            </w:r>
            <w:r>
              <w:rPr>
                <w:rFonts w:ascii="Times New Roman" w:hAnsi="Times New Roman" w:cs="Times New Roman" w:eastAsiaTheme="minorEastAsia"/>
                <w:sz w:val="18"/>
                <w:szCs w:val="18"/>
              </w:rPr>
              <w:sym w:font="Wingdings 2" w:char="00A3"/>
            </w:r>
          </w:p>
          <w:p w14:paraId="1E840DD0">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导则推荐模式</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其他 </w:t>
            </w:r>
            <w:r>
              <w:rPr>
                <w:rFonts w:ascii="Times New Roman" w:hAnsi="Times New Roman" w:cs="Times New Roman" w:eastAsiaTheme="minorEastAsia"/>
                <w:sz w:val="18"/>
                <w:szCs w:val="18"/>
              </w:rPr>
              <w:sym w:font="Wingdings 2" w:char="00A3"/>
            </w:r>
          </w:p>
        </w:tc>
      </w:tr>
      <w:tr w14:paraId="49D8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62" w:type="dxa"/>
            <w:vMerge w:val="restart"/>
            <w:vAlign w:val="center"/>
          </w:tcPr>
          <w:p w14:paraId="3591DD9E">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影响评价</w:t>
            </w:r>
          </w:p>
        </w:tc>
        <w:tc>
          <w:tcPr>
            <w:tcW w:w="2241" w:type="dxa"/>
            <w:vAlign w:val="center"/>
          </w:tcPr>
          <w:p w14:paraId="19331BDA">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水污染控制和水环境影响减缓措施有效性评价</w:t>
            </w:r>
          </w:p>
        </w:tc>
        <w:tc>
          <w:tcPr>
            <w:tcW w:w="11590" w:type="dxa"/>
            <w:gridSpan w:val="13"/>
            <w:vAlign w:val="center"/>
          </w:tcPr>
          <w:p w14:paraId="6839DE66">
            <w:pPr>
              <w:jc w:val="left"/>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区（流）域水环境质量改善目标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替代消减源 </w:t>
            </w:r>
            <w:r>
              <w:rPr>
                <w:rFonts w:ascii="Times New Roman" w:hAnsi="Times New Roman" w:cs="Times New Roman" w:eastAsiaTheme="minorEastAsia"/>
                <w:sz w:val="18"/>
                <w:szCs w:val="18"/>
              </w:rPr>
              <w:sym w:font="Wingdings 2" w:char="00A3"/>
            </w:r>
          </w:p>
        </w:tc>
      </w:tr>
      <w:tr w14:paraId="29BB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2" w:type="dxa"/>
            <w:vMerge w:val="continue"/>
            <w:vAlign w:val="center"/>
          </w:tcPr>
          <w:p w14:paraId="468A7FF0">
            <w:pPr>
              <w:rPr>
                <w:rFonts w:ascii="Times New Roman" w:hAnsi="Times New Roman" w:cs="Times New Roman" w:eastAsiaTheme="minorEastAsia"/>
                <w:sz w:val="18"/>
                <w:szCs w:val="18"/>
              </w:rPr>
            </w:pPr>
          </w:p>
        </w:tc>
        <w:tc>
          <w:tcPr>
            <w:tcW w:w="2241" w:type="dxa"/>
            <w:vAlign w:val="center"/>
          </w:tcPr>
          <w:p w14:paraId="3EB0011E">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水环境影响评价</w:t>
            </w:r>
          </w:p>
        </w:tc>
        <w:tc>
          <w:tcPr>
            <w:tcW w:w="11590" w:type="dxa"/>
            <w:gridSpan w:val="13"/>
            <w:vAlign w:val="center"/>
          </w:tcPr>
          <w:p w14:paraId="1B7BD09D">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排放口混合区外满足水环境管理要求 </w:t>
            </w:r>
            <w:r>
              <w:rPr>
                <w:rFonts w:ascii="Times New Roman" w:hAnsi="Times New Roman" w:cs="Times New Roman" w:eastAsiaTheme="minorEastAsia"/>
                <w:sz w:val="18"/>
                <w:szCs w:val="18"/>
              </w:rPr>
              <w:sym w:font="Wingdings 2" w:char="00A3"/>
            </w:r>
          </w:p>
          <w:p w14:paraId="007D9FA7">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水环境功能区或水功能区、近岸海域环境功能区水质达标 </w:t>
            </w:r>
            <w:r>
              <w:rPr>
                <w:rFonts w:ascii="Times New Roman" w:hAnsi="Times New Roman" w:cs="Times New Roman" w:eastAsiaTheme="minorEastAsia"/>
                <w:sz w:val="18"/>
                <w:szCs w:val="18"/>
              </w:rPr>
              <w:sym w:font="Wingdings 2" w:char="00A3"/>
            </w:r>
          </w:p>
          <w:p w14:paraId="1DAACE0E">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满足水环境保护目标水域水环境质量要求</w:t>
            </w:r>
            <w:r>
              <w:rPr>
                <w:rFonts w:ascii="Times New Roman" w:hAnsi="Times New Roman" w:cs="Times New Roman" w:eastAsiaTheme="minorEastAsia"/>
                <w:sz w:val="18"/>
                <w:szCs w:val="18"/>
              </w:rPr>
              <w:sym w:font="Wingdings 2" w:char="00A3"/>
            </w:r>
          </w:p>
          <w:p w14:paraId="6DAC5673">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水环境控制单元或断面水质达标 </w:t>
            </w:r>
            <w:r>
              <w:rPr>
                <w:rFonts w:ascii="Times New Roman" w:hAnsi="Times New Roman" w:cs="Times New Roman" w:eastAsiaTheme="minorEastAsia"/>
                <w:sz w:val="18"/>
                <w:szCs w:val="18"/>
              </w:rPr>
              <w:sym w:font="Wingdings 2" w:char="00A3"/>
            </w:r>
          </w:p>
          <w:p w14:paraId="01999E50">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满足重点水污染物排放总量控制指标要求，重点行业建设项目，主要污染物排放满足等量或减量替代要求 </w:t>
            </w:r>
            <w:r>
              <w:rPr>
                <w:rFonts w:ascii="Times New Roman" w:hAnsi="Times New Roman" w:cs="Times New Roman" w:eastAsiaTheme="minorEastAsia"/>
                <w:sz w:val="18"/>
                <w:szCs w:val="18"/>
              </w:rPr>
              <w:sym w:font="Wingdings 2" w:char="00A3"/>
            </w:r>
          </w:p>
          <w:p w14:paraId="150CBCB8">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满足区（流）域水环境质量改善目标要求 </w:t>
            </w:r>
            <w:r>
              <w:rPr>
                <w:rFonts w:ascii="Times New Roman" w:hAnsi="Times New Roman" w:cs="Times New Roman" w:eastAsiaTheme="minorEastAsia"/>
                <w:sz w:val="18"/>
                <w:szCs w:val="18"/>
              </w:rPr>
              <w:sym w:font="Wingdings 2" w:char="00A3"/>
            </w:r>
          </w:p>
          <w:p w14:paraId="160AB55E">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水文要素影响型建设项目同时应包括水文情势变化评价、主要水文特征值影响评价、生态流量符合性评价 </w:t>
            </w:r>
            <w:r>
              <w:rPr>
                <w:rFonts w:ascii="Times New Roman" w:hAnsi="Times New Roman" w:cs="Times New Roman" w:eastAsiaTheme="minorEastAsia"/>
                <w:sz w:val="18"/>
                <w:szCs w:val="18"/>
              </w:rPr>
              <w:sym w:font="Wingdings 2" w:char="00A3"/>
            </w:r>
          </w:p>
          <w:p w14:paraId="3773070E">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对于新设或调整入河（湖库、近岸海域）排放口的建设项目，应包括排放口设置的环境合理性评价 </w:t>
            </w:r>
            <w:r>
              <w:rPr>
                <w:rFonts w:ascii="Times New Roman" w:hAnsi="Times New Roman" w:cs="Times New Roman" w:eastAsiaTheme="minorEastAsia"/>
                <w:sz w:val="18"/>
                <w:szCs w:val="18"/>
              </w:rPr>
              <w:sym w:font="Wingdings 2" w:char="00A3"/>
            </w:r>
          </w:p>
          <w:p w14:paraId="53DA5151">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满足生态保护红线、水环境质量底线、资源利用上线和环境准入清单管理要求√</w:t>
            </w:r>
          </w:p>
        </w:tc>
      </w:tr>
      <w:tr w14:paraId="4D5A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2" w:type="dxa"/>
            <w:vMerge w:val="continue"/>
            <w:vAlign w:val="center"/>
          </w:tcPr>
          <w:p w14:paraId="34F904F4">
            <w:pPr>
              <w:rPr>
                <w:rFonts w:ascii="Times New Roman" w:hAnsi="Times New Roman" w:cs="Times New Roman" w:eastAsiaTheme="minorEastAsia"/>
                <w:sz w:val="18"/>
                <w:szCs w:val="18"/>
              </w:rPr>
            </w:pPr>
          </w:p>
        </w:tc>
        <w:tc>
          <w:tcPr>
            <w:tcW w:w="2241" w:type="dxa"/>
            <w:vMerge w:val="restart"/>
            <w:vAlign w:val="center"/>
          </w:tcPr>
          <w:p w14:paraId="04C8B7BF">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污染源排放量核算</w:t>
            </w:r>
          </w:p>
        </w:tc>
        <w:tc>
          <w:tcPr>
            <w:tcW w:w="3953" w:type="dxa"/>
            <w:gridSpan w:val="4"/>
            <w:vAlign w:val="center"/>
          </w:tcPr>
          <w:p w14:paraId="5A727BC8">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污染物名称</w:t>
            </w:r>
          </w:p>
        </w:tc>
        <w:tc>
          <w:tcPr>
            <w:tcW w:w="3953" w:type="dxa"/>
            <w:gridSpan w:val="5"/>
            <w:vAlign w:val="center"/>
          </w:tcPr>
          <w:p w14:paraId="29FA0F52">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排放量/（t/a）</w:t>
            </w:r>
          </w:p>
        </w:tc>
        <w:tc>
          <w:tcPr>
            <w:tcW w:w="3684" w:type="dxa"/>
            <w:gridSpan w:val="4"/>
            <w:vAlign w:val="center"/>
          </w:tcPr>
          <w:p w14:paraId="463B91EF">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排放浓度/（mg/L）</w:t>
            </w:r>
          </w:p>
        </w:tc>
      </w:tr>
      <w:tr w14:paraId="37A2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2" w:type="dxa"/>
            <w:vMerge w:val="continue"/>
            <w:vAlign w:val="center"/>
          </w:tcPr>
          <w:p w14:paraId="36150464">
            <w:pPr>
              <w:rPr>
                <w:rFonts w:ascii="Times New Roman" w:hAnsi="Times New Roman" w:cs="Times New Roman" w:eastAsiaTheme="minorEastAsia"/>
                <w:sz w:val="18"/>
                <w:szCs w:val="18"/>
              </w:rPr>
            </w:pPr>
          </w:p>
        </w:tc>
        <w:tc>
          <w:tcPr>
            <w:tcW w:w="2241" w:type="dxa"/>
            <w:vMerge w:val="continue"/>
            <w:vAlign w:val="center"/>
          </w:tcPr>
          <w:p w14:paraId="632E2AB2">
            <w:pPr>
              <w:jc w:val="center"/>
              <w:rPr>
                <w:rFonts w:ascii="Times New Roman" w:hAnsi="Times New Roman" w:cs="Times New Roman" w:eastAsiaTheme="minorEastAsia"/>
                <w:sz w:val="18"/>
                <w:szCs w:val="18"/>
              </w:rPr>
            </w:pPr>
          </w:p>
        </w:tc>
        <w:tc>
          <w:tcPr>
            <w:tcW w:w="3953" w:type="dxa"/>
            <w:gridSpan w:val="4"/>
            <w:vAlign w:val="center"/>
          </w:tcPr>
          <w:p w14:paraId="311A339D">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（COD）</w:t>
            </w:r>
          </w:p>
        </w:tc>
        <w:tc>
          <w:tcPr>
            <w:tcW w:w="3953" w:type="dxa"/>
            <w:gridSpan w:val="5"/>
            <w:vAlign w:val="center"/>
          </w:tcPr>
          <w:p w14:paraId="7695C043">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（0）</w:t>
            </w:r>
          </w:p>
        </w:tc>
        <w:tc>
          <w:tcPr>
            <w:tcW w:w="3684" w:type="dxa"/>
            <w:gridSpan w:val="4"/>
            <w:vAlign w:val="center"/>
          </w:tcPr>
          <w:p w14:paraId="07915D29">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w:t>
            </w:r>
          </w:p>
        </w:tc>
      </w:tr>
      <w:tr w14:paraId="32FA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362" w:type="dxa"/>
            <w:vMerge w:val="continue"/>
            <w:vAlign w:val="center"/>
          </w:tcPr>
          <w:p w14:paraId="73373913">
            <w:pPr>
              <w:rPr>
                <w:rFonts w:ascii="Times New Roman" w:hAnsi="Times New Roman" w:cs="Times New Roman" w:eastAsiaTheme="minorEastAsia"/>
                <w:sz w:val="18"/>
                <w:szCs w:val="18"/>
              </w:rPr>
            </w:pPr>
          </w:p>
        </w:tc>
        <w:tc>
          <w:tcPr>
            <w:tcW w:w="2241" w:type="dxa"/>
            <w:vMerge w:val="continue"/>
            <w:vAlign w:val="center"/>
          </w:tcPr>
          <w:p w14:paraId="18FA080C">
            <w:pPr>
              <w:jc w:val="center"/>
              <w:rPr>
                <w:rFonts w:ascii="Times New Roman" w:hAnsi="Times New Roman" w:cs="Times New Roman" w:eastAsiaTheme="minorEastAsia"/>
                <w:sz w:val="18"/>
                <w:szCs w:val="18"/>
              </w:rPr>
            </w:pPr>
          </w:p>
        </w:tc>
        <w:tc>
          <w:tcPr>
            <w:tcW w:w="3953" w:type="dxa"/>
            <w:gridSpan w:val="4"/>
            <w:vAlign w:val="center"/>
          </w:tcPr>
          <w:p w14:paraId="2C480C61">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（氨氮）</w:t>
            </w:r>
          </w:p>
        </w:tc>
        <w:tc>
          <w:tcPr>
            <w:tcW w:w="3953" w:type="dxa"/>
            <w:gridSpan w:val="5"/>
            <w:vAlign w:val="center"/>
          </w:tcPr>
          <w:p w14:paraId="11C9AF4C">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（0）</w:t>
            </w:r>
          </w:p>
        </w:tc>
        <w:tc>
          <w:tcPr>
            <w:tcW w:w="3684" w:type="dxa"/>
            <w:gridSpan w:val="4"/>
            <w:vAlign w:val="center"/>
          </w:tcPr>
          <w:p w14:paraId="24E74BD5">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w:t>
            </w:r>
          </w:p>
        </w:tc>
      </w:tr>
      <w:tr w14:paraId="78D1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362" w:type="dxa"/>
            <w:vMerge w:val="continue"/>
            <w:vAlign w:val="center"/>
          </w:tcPr>
          <w:p w14:paraId="2564A65A">
            <w:pPr>
              <w:rPr>
                <w:rFonts w:ascii="Times New Roman" w:hAnsi="Times New Roman" w:cs="Times New Roman" w:eastAsiaTheme="minorEastAsia"/>
                <w:sz w:val="18"/>
                <w:szCs w:val="18"/>
              </w:rPr>
            </w:pPr>
          </w:p>
        </w:tc>
        <w:tc>
          <w:tcPr>
            <w:tcW w:w="2241" w:type="dxa"/>
            <w:vMerge w:val="continue"/>
            <w:vAlign w:val="center"/>
          </w:tcPr>
          <w:p w14:paraId="583A6DBF">
            <w:pPr>
              <w:jc w:val="center"/>
              <w:rPr>
                <w:rFonts w:ascii="Times New Roman" w:hAnsi="Times New Roman" w:cs="Times New Roman" w:eastAsiaTheme="minorEastAsia"/>
                <w:sz w:val="18"/>
                <w:szCs w:val="18"/>
              </w:rPr>
            </w:pPr>
          </w:p>
        </w:tc>
        <w:tc>
          <w:tcPr>
            <w:tcW w:w="3953" w:type="dxa"/>
            <w:gridSpan w:val="4"/>
            <w:vAlign w:val="center"/>
          </w:tcPr>
          <w:p w14:paraId="394B89A8">
            <w:pPr>
              <w:jc w:val="center"/>
              <w:rPr>
                <w:rFonts w:ascii="Times New Roman" w:hAnsi="Times New Roman" w:cs="Times New Roman" w:eastAsiaTheme="minorEastAsia"/>
                <w:sz w:val="18"/>
                <w:szCs w:val="18"/>
              </w:rPr>
            </w:pPr>
            <w:r>
              <w:rPr>
                <w:rFonts w:ascii="Times New Roman" w:hAnsi="Times New Roman" w:cs="Times New Roman" w:eastAsiaTheme="minorEastAsia"/>
                <w:szCs w:val="20"/>
              </w:rPr>
              <w:t>（</w:t>
            </w:r>
            <w:r>
              <w:rPr>
                <w:rFonts w:ascii="Times New Roman" w:hAnsi="Times New Roman" w:cs="Times New Roman" w:eastAsiaTheme="minorEastAsia"/>
                <w:sz w:val="18"/>
                <w:szCs w:val="18"/>
              </w:rPr>
              <w:t>总磷</w:t>
            </w:r>
            <w:r>
              <w:rPr>
                <w:rFonts w:ascii="Times New Roman" w:hAnsi="Times New Roman" w:cs="Times New Roman" w:eastAsiaTheme="minorEastAsia"/>
                <w:szCs w:val="20"/>
              </w:rPr>
              <w:t>）</w:t>
            </w:r>
          </w:p>
        </w:tc>
        <w:tc>
          <w:tcPr>
            <w:tcW w:w="3953" w:type="dxa"/>
            <w:gridSpan w:val="5"/>
            <w:vAlign w:val="center"/>
          </w:tcPr>
          <w:p w14:paraId="5BFC0B8D">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（0）</w:t>
            </w:r>
          </w:p>
        </w:tc>
        <w:tc>
          <w:tcPr>
            <w:tcW w:w="3684" w:type="dxa"/>
            <w:gridSpan w:val="4"/>
            <w:vAlign w:val="center"/>
          </w:tcPr>
          <w:p w14:paraId="72AEF230">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w:t>
            </w:r>
          </w:p>
        </w:tc>
      </w:tr>
      <w:tr w14:paraId="1161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62" w:type="dxa"/>
            <w:vMerge w:val="continue"/>
            <w:vAlign w:val="center"/>
          </w:tcPr>
          <w:p w14:paraId="3CF0F0C0">
            <w:pPr>
              <w:rPr>
                <w:rFonts w:ascii="Times New Roman" w:hAnsi="Times New Roman" w:cs="Times New Roman" w:eastAsiaTheme="minorEastAsia"/>
                <w:sz w:val="18"/>
                <w:szCs w:val="18"/>
              </w:rPr>
            </w:pPr>
          </w:p>
        </w:tc>
        <w:tc>
          <w:tcPr>
            <w:tcW w:w="2241" w:type="dxa"/>
            <w:vMerge w:val="restart"/>
            <w:vAlign w:val="center"/>
          </w:tcPr>
          <w:p w14:paraId="441F0DDD">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替代源排放情况</w:t>
            </w:r>
          </w:p>
        </w:tc>
        <w:tc>
          <w:tcPr>
            <w:tcW w:w="2372" w:type="dxa"/>
            <w:vAlign w:val="center"/>
          </w:tcPr>
          <w:p w14:paraId="4AC5A442">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污染源名称</w:t>
            </w:r>
          </w:p>
        </w:tc>
        <w:tc>
          <w:tcPr>
            <w:tcW w:w="2372" w:type="dxa"/>
            <w:gridSpan w:val="4"/>
            <w:vAlign w:val="center"/>
          </w:tcPr>
          <w:p w14:paraId="18F74CC8">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排污许可证编号</w:t>
            </w:r>
          </w:p>
        </w:tc>
        <w:tc>
          <w:tcPr>
            <w:tcW w:w="2372" w:type="dxa"/>
            <w:gridSpan w:val="2"/>
            <w:vAlign w:val="center"/>
          </w:tcPr>
          <w:p w14:paraId="57B3F8B5">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污染物名称</w:t>
            </w:r>
          </w:p>
        </w:tc>
        <w:tc>
          <w:tcPr>
            <w:tcW w:w="2372" w:type="dxa"/>
            <w:gridSpan w:val="4"/>
            <w:vAlign w:val="center"/>
          </w:tcPr>
          <w:p w14:paraId="70961B98">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排放量/（t/a）</w:t>
            </w:r>
          </w:p>
        </w:tc>
        <w:tc>
          <w:tcPr>
            <w:tcW w:w="2102" w:type="dxa"/>
            <w:gridSpan w:val="2"/>
            <w:vAlign w:val="center"/>
          </w:tcPr>
          <w:p w14:paraId="1224CAB7">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排放浓度/（mg/L）</w:t>
            </w:r>
          </w:p>
        </w:tc>
      </w:tr>
      <w:tr w14:paraId="3C58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362" w:type="dxa"/>
            <w:vMerge w:val="continue"/>
            <w:vAlign w:val="center"/>
          </w:tcPr>
          <w:p w14:paraId="56847D9B">
            <w:pPr>
              <w:rPr>
                <w:rFonts w:ascii="Times New Roman" w:hAnsi="Times New Roman" w:cs="Times New Roman" w:eastAsiaTheme="minorEastAsia"/>
                <w:sz w:val="18"/>
                <w:szCs w:val="18"/>
              </w:rPr>
            </w:pPr>
          </w:p>
        </w:tc>
        <w:tc>
          <w:tcPr>
            <w:tcW w:w="2241" w:type="dxa"/>
            <w:vMerge w:val="continue"/>
            <w:vAlign w:val="center"/>
          </w:tcPr>
          <w:p w14:paraId="590527D1">
            <w:pPr>
              <w:jc w:val="center"/>
              <w:rPr>
                <w:rFonts w:ascii="Times New Roman" w:hAnsi="Times New Roman" w:cs="Times New Roman" w:eastAsiaTheme="minorEastAsia"/>
                <w:sz w:val="18"/>
                <w:szCs w:val="18"/>
              </w:rPr>
            </w:pPr>
          </w:p>
        </w:tc>
        <w:tc>
          <w:tcPr>
            <w:tcW w:w="2372" w:type="dxa"/>
            <w:vAlign w:val="center"/>
          </w:tcPr>
          <w:p w14:paraId="041CB0A6">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w:t>
            </w:r>
          </w:p>
        </w:tc>
        <w:tc>
          <w:tcPr>
            <w:tcW w:w="2372" w:type="dxa"/>
            <w:gridSpan w:val="4"/>
            <w:vAlign w:val="center"/>
          </w:tcPr>
          <w:p w14:paraId="0D7E0475">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w:t>
            </w:r>
          </w:p>
        </w:tc>
        <w:tc>
          <w:tcPr>
            <w:tcW w:w="2372" w:type="dxa"/>
            <w:gridSpan w:val="2"/>
            <w:vAlign w:val="center"/>
          </w:tcPr>
          <w:p w14:paraId="387884B3">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w:t>
            </w:r>
          </w:p>
        </w:tc>
        <w:tc>
          <w:tcPr>
            <w:tcW w:w="2372" w:type="dxa"/>
            <w:gridSpan w:val="4"/>
            <w:vAlign w:val="center"/>
          </w:tcPr>
          <w:p w14:paraId="174AC304">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w:t>
            </w:r>
          </w:p>
        </w:tc>
        <w:tc>
          <w:tcPr>
            <w:tcW w:w="2102" w:type="dxa"/>
            <w:gridSpan w:val="2"/>
            <w:vAlign w:val="center"/>
          </w:tcPr>
          <w:p w14:paraId="3DCED143">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w:t>
            </w:r>
          </w:p>
        </w:tc>
      </w:tr>
      <w:tr w14:paraId="3F78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2" w:type="dxa"/>
            <w:vMerge w:val="continue"/>
            <w:vAlign w:val="center"/>
          </w:tcPr>
          <w:p w14:paraId="3CD5CB60">
            <w:pPr>
              <w:rPr>
                <w:rFonts w:ascii="Times New Roman" w:hAnsi="Times New Roman" w:cs="Times New Roman" w:eastAsiaTheme="minorEastAsia"/>
                <w:sz w:val="18"/>
                <w:szCs w:val="18"/>
              </w:rPr>
            </w:pPr>
          </w:p>
        </w:tc>
        <w:tc>
          <w:tcPr>
            <w:tcW w:w="2241" w:type="dxa"/>
            <w:vAlign w:val="center"/>
          </w:tcPr>
          <w:p w14:paraId="2AA0F401">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生态流量确定</w:t>
            </w:r>
          </w:p>
        </w:tc>
        <w:tc>
          <w:tcPr>
            <w:tcW w:w="11590" w:type="dxa"/>
            <w:gridSpan w:val="13"/>
            <w:vAlign w:val="center"/>
          </w:tcPr>
          <w:p w14:paraId="4EDB5516">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生态流量：一般水期（   ）m</w:t>
            </w:r>
            <w:r>
              <w:rPr>
                <w:rFonts w:ascii="Times New Roman" w:hAnsi="Times New Roman" w:cs="Times New Roman" w:eastAsiaTheme="minorEastAsia"/>
                <w:sz w:val="18"/>
                <w:szCs w:val="18"/>
                <w:vertAlign w:val="superscript"/>
              </w:rPr>
              <w:t>3</w:t>
            </w:r>
            <w:r>
              <w:rPr>
                <w:rFonts w:ascii="Times New Roman" w:hAnsi="Times New Roman" w:cs="Times New Roman" w:eastAsiaTheme="minorEastAsia"/>
                <w:sz w:val="18"/>
                <w:szCs w:val="18"/>
              </w:rPr>
              <w:t>/s； 鱼类繁殖期（   ）m</w:t>
            </w:r>
            <w:r>
              <w:rPr>
                <w:rFonts w:ascii="Times New Roman" w:hAnsi="Times New Roman" w:cs="Times New Roman" w:eastAsiaTheme="minorEastAsia"/>
                <w:sz w:val="18"/>
                <w:szCs w:val="18"/>
                <w:vertAlign w:val="superscript"/>
              </w:rPr>
              <w:t>3</w:t>
            </w:r>
            <w:r>
              <w:rPr>
                <w:rFonts w:ascii="Times New Roman" w:hAnsi="Times New Roman" w:cs="Times New Roman" w:eastAsiaTheme="minorEastAsia"/>
                <w:sz w:val="18"/>
                <w:szCs w:val="18"/>
              </w:rPr>
              <w:t>/s； 其他（   ）m</w:t>
            </w:r>
            <w:r>
              <w:rPr>
                <w:rFonts w:ascii="Times New Roman" w:hAnsi="Times New Roman" w:cs="Times New Roman" w:eastAsiaTheme="minorEastAsia"/>
                <w:sz w:val="18"/>
                <w:szCs w:val="18"/>
                <w:vertAlign w:val="superscript"/>
              </w:rPr>
              <w:t>3</w:t>
            </w:r>
            <w:r>
              <w:rPr>
                <w:rFonts w:ascii="Times New Roman" w:hAnsi="Times New Roman" w:cs="Times New Roman" w:eastAsiaTheme="minorEastAsia"/>
                <w:sz w:val="18"/>
                <w:szCs w:val="18"/>
              </w:rPr>
              <w:t>/s</w:t>
            </w:r>
          </w:p>
          <w:p w14:paraId="7811E5D2">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生态水位：一般水期（   ）m； 鱼类繁殖期（   ）m； 其他（   ）m</w:t>
            </w:r>
          </w:p>
        </w:tc>
      </w:tr>
      <w:tr w14:paraId="38AE0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2" w:type="dxa"/>
            <w:vMerge w:val="restart"/>
            <w:vAlign w:val="center"/>
          </w:tcPr>
          <w:p w14:paraId="476EC73E">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防治措施</w:t>
            </w:r>
          </w:p>
        </w:tc>
        <w:tc>
          <w:tcPr>
            <w:tcW w:w="2241" w:type="dxa"/>
            <w:vAlign w:val="center"/>
          </w:tcPr>
          <w:p w14:paraId="2E39D689">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环保措施</w:t>
            </w:r>
          </w:p>
        </w:tc>
        <w:tc>
          <w:tcPr>
            <w:tcW w:w="11590" w:type="dxa"/>
            <w:gridSpan w:val="13"/>
            <w:vAlign w:val="center"/>
          </w:tcPr>
          <w:p w14:paraId="3651ED42">
            <w:pPr>
              <w:jc w:val="left"/>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污水处理设施 √； 水文减缓设施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生态流量保障设施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区域消减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依托其他工程措施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；其他 </w:t>
            </w:r>
            <w:r>
              <w:rPr>
                <w:rFonts w:ascii="Times New Roman" w:hAnsi="Times New Roman" w:cs="Times New Roman" w:eastAsiaTheme="minorEastAsia"/>
                <w:sz w:val="18"/>
                <w:szCs w:val="18"/>
              </w:rPr>
              <w:sym w:font="Wingdings 2" w:char="00A3"/>
            </w:r>
          </w:p>
        </w:tc>
      </w:tr>
      <w:tr w14:paraId="165D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2" w:type="dxa"/>
            <w:vMerge w:val="continue"/>
            <w:vAlign w:val="center"/>
          </w:tcPr>
          <w:p w14:paraId="0B4CFBBB">
            <w:pPr>
              <w:rPr>
                <w:rFonts w:ascii="Times New Roman" w:hAnsi="Times New Roman" w:cs="Times New Roman" w:eastAsiaTheme="minorEastAsia"/>
                <w:sz w:val="18"/>
                <w:szCs w:val="18"/>
              </w:rPr>
            </w:pPr>
          </w:p>
        </w:tc>
        <w:tc>
          <w:tcPr>
            <w:tcW w:w="2241" w:type="dxa"/>
            <w:vMerge w:val="restart"/>
            <w:vAlign w:val="center"/>
          </w:tcPr>
          <w:p w14:paraId="5758E3F8">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监测计划</w:t>
            </w:r>
          </w:p>
        </w:tc>
        <w:tc>
          <w:tcPr>
            <w:tcW w:w="3249" w:type="dxa"/>
            <w:gridSpan w:val="2"/>
            <w:vAlign w:val="center"/>
          </w:tcPr>
          <w:p w14:paraId="5B8D8B68">
            <w:pPr>
              <w:rPr>
                <w:rFonts w:ascii="Times New Roman" w:hAnsi="Times New Roman" w:cs="Times New Roman" w:eastAsiaTheme="minorEastAsia"/>
                <w:sz w:val="18"/>
                <w:szCs w:val="18"/>
              </w:rPr>
            </w:pPr>
          </w:p>
        </w:tc>
        <w:tc>
          <w:tcPr>
            <w:tcW w:w="4305" w:type="dxa"/>
            <w:gridSpan w:val="6"/>
            <w:vAlign w:val="center"/>
          </w:tcPr>
          <w:p w14:paraId="2BD46581">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环境质量</w:t>
            </w:r>
          </w:p>
        </w:tc>
        <w:tc>
          <w:tcPr>
            <w:tcW w:w="4036" w:type="dxa"/>
            <w:gridSpan w:val="5"/>
            <w:vAlign w:val="center"/>
          </w:tcPr>
          <w:p w14:paraId="6D7E2370">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污染源</w:t>
            </w:r>
          </w:p>
        </w:tc>
      </w:tr>
      <w:tr w14:paraId="4132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2" w:type="dxa"/>
            <w:vMerge w:val="continue"/>
            <w:vAlign w:val="center"/>
          </w:tcPr>
          <w:p w14:paraId="18AC1660">
            <w:pPr>
              <w:rPr>
                <w:rFonts w:ascii="Times New Roman" w:hAnsi="Times New Roman" w:cs="Times New Roman" w:eastAsiaTheme="minorEastAsia"/>
                <w:sz w:val="18"/>
                <w:szCs w:val="18"/>
              </w:rPr>
            </w:pPr>
          </w:p>
        </w:tc>
        <w:tc>
          <w:tcPr>
            <w:tcW w:w="2241" w:type="dxa"/>
            <w:vMerge w:val="continue"/>
            <w:vAlign w:val="center"/>
          </w:tcPr>
          <w:p w14:paraId="77297640">
            <w:pPr>
              <w:jc w:val="center"/>
              <w:rPr>
                <w:rFonts w:ascii="Times New Roman" w:hAnsi="Times New Roman" w:cs="Times New Roman" w:eastAsiaTheme="minorEastAsia"/>
                <w:sz w:val="18"/>
                <w:szCs w:val="18"/>
              </w:rPr>
            </w:pPr>
          </w:p>
        </w:tc>
        <w:tc>
          <w:tcPr>
            <w:tcW w:w="3249" w:type="dxa"/>
            <w:gridSpan w:val="2"/>
            <w:vAlign w:val="center"/>
          </w:tcPr>
          <w:p w14:paraId="7E36A93E">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监测方式</w:t>
            </w:r>
          </w:p>
        </w:tc>
        <w:tc>
          <w:tcPr>
            <w:tcW w:w="4305" w:type="dxa"/>
            <w:gridSpan w:val="6"/>
            <w:vAlign w:val="center"/>
          </w:tcPr>
          <w:p w14:paraId="17EB691E">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手动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自动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无监测 </w:t>
            </w:r>
            <w:r>
              <w:rPr>
                <w:rFonts w:ascii="Times New Roman" w:hAnsi="Times New Roman" w:cs="Times New Roman" w:eastAsiaTheme="minorEastAsia"/>
                <w:sz w:val="18"/>
                <w:szCs w:val="18"/>
              </w:rPr>
              <w:sym w:font="Wingdings 2" w:char="00A3"/>
            </w:r>
          </w:p>
        </w:tc>
        <w:tc>
          <w:tcPr>
            <w:tcW w:w="4036" w:type="dxa"/>
            <w:gridSpan w:val="5"/>
            <w:vAlign w:val="center"/>
          </w:tcPr>
          <w:p w14:paraId="1B7035F0">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手动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自动 </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 xml:space="preserve">； 无监测 </w:t>
            </w:r>
            <w:r>
              <w:rPr>
                <w:rFonts w:ascii="Times New Roman" w:hAnsi="Times New Roman" w:cs="Times New Roman" w:eastAsiaTheme="minorEastAsia"/>
                <w:sz w:val="18"/>
                <w:szCs w:val="18"/>
              </w:rPr>
              <w:sym w:font="Wingdings 2" w:char="00A3"/>
            </w:r>
          </w:p>
        </w:tc>
      </w:tr>
      <w:tr w14:paraId="6EE8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2" w:type="dxa"/>
            <w:vMerge w:val="continue"/>
            <w:vAlign w:val="center"/>
          </w:tcPr>
          <w:p w14:paraId="1A85BB8D">
            <w:pPr>
              <w:rPr>
                <w:rFonts w:ascii="Times New Roman" w:hAnsi="Times New Roman" w:cs="Times New Roman" w:eastAsiaTheme="minorEastAsia"/>
                <w:sz w:val="18"/>
                <w:szCs w:val="18"/>
              </w:rPr>
            </w:pPr>
          </w:p>
        </w:tc>
        <w:tc>
          <w:tcPr>
            <w:tcW w:w="2241" w:type="dxa"/>
            <w:vMerge w:val="continue"/>
            <w:vAlign w:val="center"/>
          </w:tcPr>
          <w:p w14:paraId="1B892182">
            <w:pPr>
              <w:jc w:val="center"/>
              <w:rPr>
                <w:rFonts w:ascii="Times New Roman" w:hAnsi="Times New Roman" w:cs="Times New Roman" w:eastAsiaTheme="minorEastAsia"/>
                <w:sz w:val="18"/>
                <w:szCs w:val="18"/>
              </w:rPr>
            </w:pPr>
          </w:p>
        </w:tc>
        <w:tc>
          <w:tcPr>
            <w:tcW w:w="3249" w:type="dxa"/>
            <w:gridSpan w:val="2"/>
            <w:vAlign w:val="center"/>
          </w:tcPr>
          <w:p w14:paraId="503C42A5">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监测点位</w:t>
            </w:r>
          </w:p>
        </w:tc>
        <w:tc>
          <w:tcPr>
            <w:tcW w:w="4305" w:type="dxa"/>
            <w:gridSpan w:val="6"/>
            <w:vAlign w:val="center"/>
          </w:tcPr>
          <w:p w14:paraId="01C09D88">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      ）</w:t>
            </w:r>
          </w:p>
        </w:tc>
        <w:tc>
          <w:tcPr>
            <w:tcW w:w="4036" w:type="dxa"/>
            <w:gridSpan w:val="5"/>
            <w:vAlign w:val="center"/>
          </w:tcPr>
          <w:p w14:paraId="2FC2990D">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      ）</w:t>
            </w:r>
          </w:p>
        </w:tc>
      </w:tr>
      <w:tr w14:paraId="60D8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2" w:type="dxa"/>
            <w:vMerge w:val="continue"/>
            <w:vAlign w:val="center"/>
          </w:tcPr>
          <w:p w14:paraId="163AC521">
            <w:pPr>
              <w:rPr>
                <w:rFonts w:ascii="Times New Roman" w:hAnsi="Times New Roman" w:cs="Times New Roman" w:eastAsiaTheme="minorEastAsia"/>
                <w:sz w:val="18"/>
                <w:szCs w:val="18"/>
              </w:rPr>
            </w:pPr>
          </w:p>
        </w:tc>
        <w:tc>
          <w:tcPr>
            <w:tcW w:w="2241" w:type="dxa"/>
            <w:vMerge w:val="continue"/>
            <w:vAlign w:val="center"/>
          </w:tcPr>
          <w:p w14:paraId="01877907">
            <w:pPr>
              <w:jc w:val="center"/>
              <w:rPr>
                <w:rFonts w:ascii="Times New Roman" w:hAnsi="Times New Roman" w:cs="Times New Roman" w:eastAsiaTheme="minorEastAsia"/>
                <w:sz w:val="18"/>
                <w:szCs w:val="18"/>
              </w:rPr>
            </w:pPr>
          </w:p>
        </w:tc>
        <w:tc>
          <w:tcPr>
            <w:tcW w:w="3249" w:type="dxa"/>
            <w:gridSpan w:val="2"/>
            <w:vAlign w:val="center"/>
          </w:tcPr>
          <w:p w14:paraId="4B49B52B">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监测因子</w:t>
            </w:r>
          </w:p>
        </w:tc>
        <w:tc>
          <w:tcPr>
            <w:tcW w:w="4305" w:type="dxa"/>
            <w:gridSpan w:val="6"/>
            <w:vAlign w:val="center"/>
          </w:tcPr>
          <w:p w14:paraId="6A11B1C8">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      ）</w:t>
            </w:r>
          </w:p>
        </w:tc>
        <w:tc>
          <w:tcPr>
            <w:tcW w:w="4036" w:type="dxa"/>
            <w:gridSpan w:val="5"/>
            <w:vAlign w:val="center"/>
          </w:tcPr>
          <w:p w14:paraId="6DE5FCF9">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      ）</w:t>
            </w:r>
          </w:p>
        </w:tc>
      </w:tr>
      <w:tr w14:paraId="6FD9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62" w:type="dxa"/>
            <w:vMerge w:val="continue"/>
            <w:vAlign w:val="center"/>
          </w:tcPr>
          <w:p w14:paraId="39F45D54">
            <w:pPr>
              <w:rPr>
                <w:rFonts w:ascii="Times New Roman" w:hAnsi="Times New Roman" w:cs="Times New Roman" w:eastAsiaTheme="minorEastAsia"/>
                <w:sz w:val="18"/>
                <w:szCs w:val="18"/>
              </w:rPr>
            </w:pPr>
          </w:p>
        </w:tc>
        <w:tc>
          <w:tcPr>
            <w:tcW w:w="2241" w:type="dxa"/>
            <w:vAlign w:val="center"/>
          </w:tcPr>
          <w:p w14:paraId="3EFE0B9F">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污染源排放清单</w:t>
            </w:r>
          </w:p>
        </w:tc>
        <w:tc>
          <w:tcPr>
            <w:tcW w:w="11590" w:type="dxa"/>
            <w:gridSpan w:val="13"/>
            <w:vAlign w:val="center"/>
          </w:tcPr>
          <w:p w14:paraId="753719C3">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w:t>
            </w:r>
          </w:p>
        </w:tc>
      </w:tr>
      <w:tr w14:paraId="5459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03" w:type="dxa"/>
            <w:gridSpan w:val="2"/>
            <w:vAlign w:val="center"/>
          </w:tcPr>
          <w:p w14:paraId="67C91031">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评价结论</w:t>
            </w:r>
          </w:p>
        </w:tc>
        <w:tc>
          <w:tcPr>
            <w:tcW w:w="11590" w:type="dxa"/>
            <w:gridSpan w:val="13"/>
            <w:vAlign w:val="center"/>
          </w:tcPr>
          <w:p w14:paraId="22D5284B">
            <w:pPr>
              <w:jc w:val="left"/>
              <w:rPr>
                <w:rFonts w:ascii="Times New Roman" w:hAnsi="Times New Roman" w:cs="Times New Roman" w:eastAsiaTheme="minorEastAsia"/>
                <w:sz w:val="18"/>
                <w:szCs w:val="18"/>
              </w:rPr>
            </w:pPr>
            <w:r>
              <w:rPr>
                <w:rFonts w:ascii="Times New Roman" w:hAnsi="Times New Roman" w:cs="Times New Roman" w:eastAsiaTheme="minorEastAsia"/>
                <w:sz w:val="18"/>
                <w:szCs w:val="18"/>
              </w:rPr>
              <w:t xml:space="preserve">可以接受√； 不可以接受 </w:t>
            </w:r>
            <w:r>
              <w:rPr>
                <w:rFonts w:ascii="Times New Roman" w:hAnsi="Times New Roman" w:cs="Times New Roman" w:eastAsiaTheme="minorEastAsia"/>
                <w:sz w:val="18"/>
                <w:szCs w:val="18"/>
              </w:rPr>
              <w:sym w:font="Wingdings 2" w:char="00A3"/>
            </w:r>
          </w:p>
        </w:tc>
      </w:tr>
      <w:tr w14:paraId="1C4A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4193" w:type="dxa"/>
            <w:gridSpan w:val="15"/>
            <w:vAlign w:val="center"/>
          </w:tcPr>
          <w:p w14:paraId="5AE7B754">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注：“</w:t>
            </w:r>
            <w:r>
              <w:rPr>
                <w:rFonts w:ascii="Times New Roman" w:hAnsi="Times New Roman" w:cs="Times New Roman" w:eastAsiaTheme="minorEastAsia"/>
                <w:sz w:val="18"/>
                <w:szCs w:val="18"/>
              </w:rPr>
              <w:sym w:font="Wingdings 2" w:char="00A3"/>
            </w:r>
            <w:r>
              <w:rPr>
                <w:rFonts w:ascii="Times New Roman" w:hAnsi="Times New Roman" w:cs="Times New Roman" w:eastAsiaTheme="minorEastAsia"/>
                <w:sz w:val="18"/>
                <w:szCs w:val="18"/>
              </w:rPr>
              <w:t>”为勾选项，可“√”； “（ ）”为内容填写项； “备注”为其他补充内容。</w:t>
            </w:r>
          </w:p>
        </w:tc>
      </w:tr>
    </w:tbl>
    <w:p w14:paraId="00DAF4F7">
      <w:pPr>
        <w:adjustRightInd w:val="0"/>
        <w:snapToGrid w:val="0"/>
        <w:spacing w:line="360" w:lineRule="auto"/>
        <w:ind w:firstLine="480" w:firstLineChars="200"/>
        <w:jc w:val="left"/>
        <w:rPr>
          <w:color w:val="000000" w:themeColor="text1"/>
          <w:sz w:val="24"/>
        </w:rPr>
        <w:sectPr>
          <w:pgSz w:w="16840" w:h="11910" w:orient="landscape"/>
          <w:pgMar w:top="1678" w:right="1457" w:bottom="1599" w:left="1281" w:header="0" w:footer="1083" w:gutter="0"/>
          <w:pgNumType w:start="120"/>
          <w:cols w:space="720" w:num="1"/>
        </w:sectPr>
      </w:pPr>
    </w:p>
    <w:p w14:paraId="5F7FB2D7">
      <w:pPr>
        <w:pStyle w:val="4"/>
        <w:rPr>
          <w:rFonts w:ascii="Times New Roman" w:hAnsi="Times New Roman"/>
          <w:color w:val="000000" w:themeColor="text1"/>
        </w:rPr>
      </w:pPr>
      <w:bookmarkStart w:id="397" w:name="_Toc28117713"/>
      <w:r>
        <w:rPr>
          <w:rFonts w:ascii="Times New Roman" w:hAnsi="Times New Roman"/>
          <w:color w:val="000000" w:themeColor="text1"/>
        </w:rPr>
        <w:t>6.3地下水环境影响分析</w:t>
      </w:r>
      <w:bookmarkEnd w:id="397"/>
    </w:p>
    <w:p w14:paraId="0BC3CA01">
      <w:pPr>
        <w:pStyle w:val="105"/>
        <w:rPr>
          <w:rFonts w:cs="Times New Roman"/>
          <w:color w:val="000000" w:themeColor="text1"/>
        </w:rPr>
      </w:pPr>
      <w:r>
        <w:rPr>
          <w:rFonts w:cs="Times New Roman"/>
          <w:color w:val="000000" w:themeColor="text1"/>
        </w:rPr>
        <w:t>6.3.1评价区水文地质条件</w:t>
      </w:r>
    </w:p>
    <w:p w14:paraId="03A17B93">
      <w:pPr>
        <w:pStyle w:val="295"/>
        <w:ind w:firstLine="480"/>
        <w:rPr>
          <w:snapToGrid w:val="0"/>
        </w:rPr>
      </w:pPr>
      <w:r>
        <w:rPr>
          <w:snapToGrid w:val="0"/>
        </w:rPr>
        <w:t>评价区内主要为松散岩类组成区域，岩性以砂质粘土、含粘土质碎石、砾石及砂砾石为主。根据地下水赋存条件、水理性质和水力特征，可分为孔隙水、裂隙水。</w:t>
      </w:r>
    </w:p>
    <w:p w14:paraId="7144B6DC">
      <w:pPr>
        <w:pStyle w:val="295"/>
        <w:ind w:firstLine="482"/>
        <w:rPr>
          <w:snapToGrid w:val="0"/>
        </w:rPr>
      </w:pPr>
      <w:r>
        <w:rPr>
          <w:b/>
          <w:snapToGrid w:val="0"/>
        </w:rPr>
        <w:t>第四系松散岩类孔隙水：</w:t>
      </w:r>
      <w:r>
        <w:rPr>
          <w:snapToGrid w:val="0"/>
        </w:rPr>
        <w:t>主要赋存第四系残破积层（Q</w:t>
      </w:r>
      <w:r>
        <w:rPr>
          <w:snapToGrid w:val="0"/>
          <w:vertAlign w:val="subscript"/>
        </w:rPr>
        <w:t>h</w:t>
      </w:r>
      <w:r>
        <w:rPr>
          <w:snapToGrid w:val="0"/>
          <w:vertAlign w:val="superscript"/>
        </w:rPr>
        <w:t>al</w:t>
      </w:r>
      <w:r>
        <w:rPr>
          <w:snapToGrid w:val="0"/>
        </w:rPr>
        <w:t>）、第四系冲洪积层（Q</w:t>
      </w:r>
      <w:r>
        <w:rPr>
          <w:snapToGrid w:val="0"/>
          <w:vertAlign w:val="subscript"/>
        </w:rPr>
        <w:t>h</w:t>
      </w:r>
      <w:r>
        <w:rPr>
          <w:snapToGrid w:val="0"/>
          <w:vertAlign w:val="superscript"/>
        </w:rPr>
        <w:t>al+pl</w:t>
      </w:r>
      <w:r>
        <w:rPr>
          <w:snapToGrid w:val="0"/>
        </w:rPr>
        <w:t>），广泛的分布于项目区内，结构松散，孔隙度大，地下水水位一般埋藏浅，含水层厚度差异大，透水性、富水性差异较大，受岩性控制明显。</w:t>
      </w:r>
    </w:p>
    <w:p w14:paraId="1DC04FB2">
      <w:pPr>
        <w:pStyle w:val="295"/>
        <w:ind w:firstLine="480"/>
        <w:rPr>
          <w:snapToGrid w:val="0"/>
        </w:rPr>
      </w:pPr>
      <w:r>
        <w:rPr>
          <w:snapToGrid w:val="0"/>
        </w:rPr>
        <w:t>区内第四系松散岩类孔隙水含水层厚度一般小于10m，水位一般0.5~4m，含孔隙潜水及承压水，单井涌水量小于100t/d。水化学类型为HCO</w:t>
      </w:r>
      <w:r>
        <w:rPr>
          <w:snapToGrid w:val="0"/>
          <w:vertAlign w:val="superscript"/>
        </w:rPr>
        <w:t>3-</w:t>
      </w:r>
      <w:r>
        <w:rPr>
          <w:snapToGrid w:val="0"/>
        </w:rPr>
        <w:t>Ca·Mg、HCO</w:t>
      </w:r>
      <w:r>
        <w:rPr>
          <w:snapToGrid w:val="0"/>
          <w:vertAlign w:val="superscript"/>
        </w:rPr>
        <w:t>3-</w:t>
      </w:r>
      <w:r>
        <w:rPr>
          <w:snapToGrid w:val="0"/>
        </w:rPr>
        <w:t>Ca·Na，矿化度小于0.5g/L。</w:t>
      </w:r>
    </w:p>
    <w:p w14:paraId="21CA57C5">
      <w:pPr>
        <w:pStyle w:val="295"/>
        <w:ind w:firstLine="482"/>
        <w:rPr>
          <w:szCs w:val="24"/>
        </w:rPr>
      </w:pPr>
      <w:r>
        <w:rPr>
          <w:b/>
          <w:szCs w:val="24"/>
        </w:rPr>
        <w:t>碎屑岩类裂隙孔隙水：</w:t>
      </w:r>
      <w:r>
        <w:rPr>
          <w:szCs w:val="24"/>
        </w:rPr>
        <w:t>主要赋存于</w:t>
      </w:r>
      <w:r>
        <w:rPr>
          <w:snapToGrid w:val="0"/>
        </w:rPr>
        <w:t>上第三系（N），岩性为半胶结砾岩，砂砾岩、砂岩，粘土岩夹褐煤，分布于评价区北部，</w:t>
      </w:r>
      <w:r>
        <w:t>地下水赋存于一般构造裂隙中，单井涌水量一般100~1000t/d，地下水径流模数1.2~1.4L/s·km</w:t>
      </w:r>
      <w:r>
        <w:rPr>
          <w:vertAlign w:val="superscript"/>
        </w:rPr>
        <w:t>2</w:t>
      </w:r>
      <w:r>
        <w:t>，泉水流量一般在0.3～0.5L/s，水化学类型为HCO</w:t>
      </w:r>
      <w:r>
        <w:rPr>
          <w:vertAlign w:val="subscript"/>
        </w:rPr>
        <w:t>3</w:t>
      </w:r>
      <w:r>
        <w:t>-Na型，矿化度小于0.3g/L</w:t>
      </w:r>
      <w:r>
        <w:rPr>
          <w:szCs w:val="24"/>
        </w:rPr>
        <w:t>。</w:t>
      </w:r>
    </w:p>
    <w:p w14:paraId="05439EFF">
      <w:pPr>
        <w:spacing w:line="360" w:lineRule="auto"/>
        <w:ind w:firstLine="482" w:firstLineChars="200"/>
        <w:rPr>
          <w:color w:val="000000"/>
          <w:sz w:val="24"/>
        </w:rPr>
      </w:pPr>
      <w:r>
        <w:rPr>
          <w:b/>
          <w:color w:val="000000"/>
          <w:sz w:val="24"/>
        </w:rPr>
        <w:t>碳酸盐类岩溶水：</w:t>
      </w:r>
      <w:r>
        <w:rPr>
          <w:color w:val="000000"/>
          <w:sz w:val="24"/>
        </w:rPr>
        <w:t>主要赋存于二叠系上统沙子坡组（P1S），岩性为灰色薄-中厚层状灰岩、白云岩，白云质灰岩及泥质岩，主要分布于评价区南部，岩溶率20~30%，大泉、暗河流量为131.25-145.6L/s，最大233.61L/秒，水化学类型为HCO3-Ca.Mg型，矿化度0.3g/L。</w:t>
      </w:r>
    </w:p>
    <w:p w14:paraId="77B8B3F7">
      <w:pPr>
        <w:keepNext/>
        <w:keepLines/>
        <w:spacing w:line="360" w:lineRule="auto"/>
        <w:jc w:val="left"/>
        <w:outlineLvl w:val="2"/>
        <w:rPr>
          <w:b/>
          <w:sz w:val="28"/>
          <w:szCs w:val="20"/>
        </w:rPr>
      </w:pPr>
      <w:r>
        <w:rPr>
          <w:b/>
          <w:sz w:val="28"/>
          <w:szCs w:val="20"/>
        </w:rPr>
        <w:t>6.3.2 地下水补、径、排特征</w:t>
      </w:r>
    </w:p>
    <w:p w14:paraId="459F9153">
      <w:pPr>
        <w:pStyle w:val="295"/>
        <w:ind w:firstLine="480"/>
      </w:pPr>
      <w:r>
        <w:t>评价区裂隙含水层在露头处接受大气降水补给。大气降水大部分沿着溪沟迅速流走，部分降水顺着裂隙补给地下水，下渗到一定深度后即顺层往溪沟和区域侵蚀基准面以渗流小泉或季节性泉分散排泄。</w:t>
      </w:r>
    </w:p>
    <w:p w14:paraId="72E47A18">
      <w:pPr>
        <w:pStyle w:val="295"/>
        <w:ind w:firstLine="480"/>
      </w:pPr>
      <w:r>
        <w:t>总体而言，项目区地下水由大气降水补给，整体自南东向北西径流，于芒市大河排泄。</w:t>
      </w:r>
    </w:p>
    <w:p w14:paraId="41F91BD9">
      <w:pPr>
        <w:pStyle w:val="105"/>
        <w:rPr>
          <w:rFonts w:cs="Times New Roman"/>
          <w:color w:val="000000" w:themeColor="text1"/>
        </w:rPr>
      </w:pPr>
      <w:r>
        <w:rPr>
          <w:rFonts w:cs="Times New Roman"/>
          <w:color w:val="000000" w:themeColor="text1"/>
        </w:rPr>
        <w:t>6.3.3地下水环境影响分析</w:t>
      </w:r>
    </w:p>
    <w:p w14:paraId="2C6B9814">
      <w:pPr>
        <w:pStyle w:val="295"/>
        <w:ind w:firstLine="482"/>
        <w:rPr>
          <w:color w:val="000000" w:themeColor="text1"/>
        </w:rPr>
      </w:pPr>
      <w:r>
        <w:rPr>
          <w:b/>
          <w:color w:val="000000" w:themeColor="text1"/>
        </w:rPr>
        <w:t>1、本项目对地下水的污染途径</w:t>
      </w:r>
    </w:p>
    <w:p w14:paraId="29B6F5E7">
      <w:pPr>
        <w:pStyle w:val="15"/>
        <w:adjustRightInd w:val="0"/>
        <w:snapToGrid w:val="0"/>
        <w:spacing w:line="360" w:lineRule="auto"/>
        <w:ind w:firstLine="482" w:firstLineChars="200"/>
        <w:rPr>
          <w:b/>
          <w:color w:val="000000" w:themeColor="text1"/>
          <w:kern w:val="0"/>
          <w:sz w:val="24"/>
        </w:rPr>
      </w:pPr>
      <w:r>
        <w:rPr>
          <w:b/>
          <w:color w:val="000000" w:themeColor="text1"/>
          <w:kern w:val="0"/>
          <w:sz w:val="24"/>
        </w:rPr>
        <w:t>（</w:t>
      </w:r>
      <w:r>
        <w:rPr>
          <w:b/>
          <w:bCs/>
          <w:color w:val="000000" w:themeColor="text1"/>
          <w:kern w:val="0"/>
          <w:sz w:val="24"/>
        </w:rPr>
        <w:t>1</w:t>
      </w:r>
      <w:r>
        <w:rPr>
          <w:b/>
          <w:color w:val="000000" w:themeColor="text1"/>
          <w:kern w:val="0"/>
          <w:sz w:val="24"/>
        </w:rPr>
        <w:t>）污染源分析</w:t>
      </w:r>
    </w:p>
    <w:p w14:paraId="5015529C">
      <w:pPr>
        <w:adjustRightInd w:val="0"/>
        <w:snapToGrid w:val="0"/>
        <w:spacing w:line="360" w:lineRule="auto"/>
        <w:ind w:firstLine="480" w:firstLineChars="200"/>
        <w:jc w:val="left"/>
        <w:rPr>
          <w:sz w:val="24"/>
        </w:rPr>
      </w:pPr>
      <w:r>
        <w:rPr>
          <w:sz w:val="24"/>
        </w:rPr>
        <w:t>根据工程分析，拟建项目为废旧塑料再生利用，项目运行期产生的废水主要为生产废水和生活污水，生产废水主要为塑料破碎清洗废水、编织袋冷却水、造粒冷却水。</w:t>
      </w:r>
    </w:p>
    <w:p w14:paraId="3A3B29C6">
      <w:pPr>
        <w:adjustRightInd w:val="0"/>
        <w:snapToGrid w:val="0"/>
        <w:spacing w:line="360" w:lineRule="auto"/>
        <w:ind w:firstLine="480" w:firstLineChars="200"/>
        <w:jc w:val="left"/>
        <w:rPr>
          <w:sz w:val="24"/>
        </w:rPr>
      </w:pPr>
      <w:r>
        <w:rPr>
          <w:sz w:val="24"/>
        </w:rPr>
        <w:t>固体废物主要有一般固体废物和危险废物，一般固体废物包括人工分选杂物、废标签纸、污水设施污泥及生活垃圾等；危险废物包括废过滤棉和废光解灯等。</w:t>
      </w:r>
    </w:p>
    <w:p w14:paraId="249F7136">
      <w:pPr>
        <w:adjustRightInd w:val="0"/>
        <w:snapToGrid w:val="0"/>
        <w:spacing w:line="360" w:lineRule="auto"/>
        <w:ind w:firstLine="480" w:firstLineChars="200"/>
        <w:jc w:val="left"/>
        <w:rPr>
          <w:sz w:val="24"/>
        </w:rPr>
      </w:pPr>
      <w:r>
        <w:rPr>
          <w:sz w:val="24"/>
        </w:rPr>
        <w:t>根据厂区废水、固废的收集、暂存及处理工艺可知，对地下水环境存在潜在污染风险的区域主要为危废间、</w:t>
      </w:r>
      <w:r>
        <w:rPr>
          <w:color w:val="000000" w:themeColor="text1"/>
          <w:sz w:val="24"/>
        </w:rPr>
        <w:t>污水处理设施（隔油池+沉淀池）</w:t>
      </w:r>
      <w:r>
        <w:rPr>
          <w:sz w:val="24"/>
        </w:rPr>
        <w:t>。</w:t>
      </w:r>
    </w:p>
    <w:p w14:paraId="1ACADC2C">
      <w:pPr>
        <w:adjustRightInd w:val="0"/>
        <w:snapToGrid w:val="0"/>
        <w:spacing w:line="360" w:lineRule="auto"/>
        <w:ind w:firstLine="480" w:firstLineChars="200"/>
        <w:jc w:val="left"/>
        <w:rPr>
          <w:sz w:val="24"/>
        </w:rPr>
      </w:pPr>
      <w:r>
        <w:rPr>
          <w:sz w:val="24"/>
        </w:rPr>
        <w:t>项目对地下水影响的可能途径为：生产厂区的废水下渗、污水设施及一般固废、危废收集间防渗出现问题造成的下渗。</w:t>
      </w:r>
    </w:p>
    <w:p w14:paraId="2D1D17AD">
      <w:pPr>
        <w:pStyle w:val="15"/>
        <w:adjustRightInd w:val="0"/>
        <w:snapToGrid w:val="0"/>
        <w:spacing w:line="360" w:lineRule="auto"/>
        <w:ind w:firstLine="482" w:firstLineChars="200"/>
        <w:rPr>
          <w:b/>
          <w:color w:val="000000" w:themeColor="text1"/>
          <w:sz w:val="24"/>
          <w:szCs w:val="22"/>
        </w:rPr>
      </w:pPr>
      <w:r>
        <w:rPr>
          <w:b/>
          <w:color w:val="000000" w:themeColor="text1"/>
          <w:sz w:val="24"/>
          <w:szCs w:val="22"/>
        </w:rPr>
        <w:t>（2）地下水污染途径</w:t>
      </w:r>
    </w:p>
    <w:p w14:paraId="1B210DE1">
      <w:pPr>
        <w:adjustRightInd w:val="0"/>
        <w:snapToGrid w:val="0"/>
        <w:spacing w:line="360" w:lineRule="auto"/>
        <w:ind w:firstLine="480" w:firstLineChars="200"/>
        <w:jc w:val="left"/>
        <w:rPr>
          <w:sz w:val="24"/>
        </w:rPr>
      </w:pPr>
      <w:r>
        <w:rPr>
          <w:sz w:val="24"/>
        </w:rPr>
        <w:t>污染物从污染源进入地下水所经过的路径称为地下水污染途径，地下水污染途径是多种多样的。根据工程分析，拟建项目可能对地下水造成污染的途径主要有：</w:t>
      </w:r>
    </w:p>
    <w:p w14:paraId="1787EEA2">
      <w:pPr>
        <w:adjustRightInd w:val="0"/>
        <w:snapToGrid w:val="0"/>
        <w:spacing w:line="360" w:lineRule="auto"/>
        <w:ind w:firstLine="480" w:firstLineChars="200"/>
        <w:jc w:val="left"/>
        <w:rPr>
          <w:sz w:val="24"/>
        </w:rPr>
      </w:pPr>
      <w:r>
        <w:rPr>
          <w:rFonts w:hint="eastAsia" w:ascii="宋体" w:hAnsi="宋体" w:cs="宋体"/>
          <w:sz w:val="24"/>
        </w:rPr>
        <w:t>①</w:t>
      </w:r>
      <w:r>
        <w:rPr>
          <w:sz w:val="24"/>
        </w:rPr>
        <w:t>若危废间的地面防渗层发生破损或破裂，则暂存的危险废物若发生泄漏，则会对土壤和地下水造成污染。</w:t>
      </w:r>
    </w:p>
    <w:p w14:paraId="55E26FCC">
      <w:pPr>
        <w:adjustRightInd w:val="0"/>
        <w:snapToGrid w:val="0"/>
        <w:spacing w:line="360" w:lineRule="auto"/>
        <w:ind w:firstLine="480" w:firstLineChars="200"/>
        <w:jc w:val="left"/>
        <w:rPr>
          <w:sz w:val="24"/>
        </w:rPr>
      </w:pPr>
      <w:r>
        <w:rPr>
          <w:rFonts w:hint="eastAsia" w:ascii="宋体" w:hAnsi="宋体" w:cs="宋体"/>
          <w:sz w:val="24"/>
        </w:rPr>
        <w:t>②</w:t>
      </w:r>
      <w:r>
        <w:rPr>
          <w:sz w:val="24"/>
        </w:rPr>
        <w:t>若污水处理设施中的各废水池、及化粪池的防渗层发生破损或破裂，则暂存于其中的污废水会发生渗漏，对土壤和地下水造成污染。</w:t>
      </w:r>
    </w:p>
    <w:p w14:paraId="4449EF06">
      <w:pPr>
        <w:adjustRightInd w:val="0"/>
        <w:snapToGrid w:val="0"/>
        <w:spacing w:line="360" w:lineRule="auto"/>
        <w:ind w:firstLine="480" w:firstLineChars="200"/>
        <w:jc w:val="left"/>
        <w:rPr>
          <w:sz w:val="24"/>
        </w:rPr>
      </w:pPr>
      <w:r>
        <w:rPr>
          <w:rFonts w:hint="eastAsia" w:ascii="宋体" w:hAnsi="宋体" w:cs="宋体"/>
          <w:sz w:val="24"/>
        </w:rPr>
        <w:t>③</w:t>
      </w:r>
      <w:r>
        <w:rPr>
          <w:sz w:val="24"/>
        </w:rPr>
        <w:t>若收集及运输污废水的管道发生破裂，则污废水会发生泄漏，对土壤和地下水造成污染。</w:t>
      </w:r>
    </w:p>
    <w:p w14:paraId="6EC9781E">
      <w:pPr>
        <w:pStyle w:val="295"/>
        <w:ind w:firstLine="482"/>
        <w:rPr>
          <w:color w:val="000000" w:themeColor="text1"/>
        </w:rPr>
      </w:pPr>
      <w:r>
        <w:rPr>
          <w:b/>
          <w:color w:val="000000" w:themeColor="text1"/>
        </w:rPr>
        <w:t>2、正常情况下项目生产对地下水影响分析</w:t>
      </w:r>
    </w:p>
    <w:p w14:paraId="60D863C9">
      <w:pPr>
        <w:pStyle w:val="296"/>
        <w:ind w:firstLine="480"/>
        <w:rPr>
          <w:rFonts w:cs="Times New Roman"/>
        </w:rPr>
      </w:pPr>
      <w:r>
        <w:rPr>
          <w:rFonts w:cs="Times New Roman"/>
        </w:rPr>
        <w:t>项目危险废物设置危废间暂存，避免了淋滤水产生。危废间采用6m厚压实粘土防渗、污水处理设施、原料仓库、破碎清洗生产区、造粒生产区、编织袋生产区等采用1.5m厚压实粘土防渗。</w:t>
      </w:r>
    </w:p>
    <w:p w14:paraId="538268A4">
      <w:pPr>
        <w:pStyle w:val="296"/>
        <w:ind w:firstLine="480"/>
        <w:rPr>
          <w:rFonts w:cs="Times New Roman"/>
        </w:rPr>
      </w:pPr>
      <w:r>
        <w:rPr>
          <w:rFonts w:cs="Times New Roman"/>
        </w:rPr>
        <w:t>项目生产废水经</w:t>
      </w:r>
      <w:r>
        <w:rPr>
          <w:rFonts w:cs="Times New Roman"/>
          <w:color w:val="000000" w:themeColor="text1"/>
        </w:rPr>
        <w:t>污水处理设施（隔油池+沉淀池）</w:t>
      </w:r>
      <w:r>
        <w:rPr>
          <w:rFonts w:cs="Times New Roman"/>
        </w:rPr>
        <w:t>处理后回用于生产，不外排，生活污水经隔油池、化粪池处理后，委托村民清运，作为农肥使用。</w:t>
      </w:r>
    </w:p>
    <w:p w14:paraId="5C97F20F">
      <w:pPr>
        <w:pStyle w:val="297"/>
        <w:ind w:firstLine="480"/>
      </w:pPr>
      <w:r>
        <w:t>在做好工业场地的硬化工作，加强”三废”排放管理，格按照设计做好废水处理设施及各污水池的混凝土防渗，对污水管道进行定期检修维护，防止污废水跑冒滴漏的情况下，项目对地下水水质影响较小。</w:t>
      </w:r>
    </w:p>
    <w:p w14:paraId="53267C1A">
      <w:pPr>
        <w:pStyle w:val="15"/>
        <w:adjustRightInd w:val="0"/>
        <w:snapToGrid w:val="0"/>
        <w:spacing w:line="360" w:lineRule="auto"/>
        <w:ind w:firstLine="482" w:firstLineChars="200"/>
        <w:rPr>
          <w:b/>
          <w:color w:val="000000" w:themeColor="text1"/>
          <w:sz w:val="24"/>
          <w:szCs w:val="22"/>
        </w:rPr>
      </w:pPr>
      <w:r>
        <w:rPr>
          <w:b/>
          <w:color w:val="000000" w:themeColor="text1"/>
          <w:sz w:val="24"/>
          <w:szCs w:val="22"/>
        </w:rPr>
        <w:t>3、非正常情况下项目生产对地下水影响分析</w:t>
      </w:r>
    </w:p>
    <w:p w14:paraId="2D0613C6">
      <w:pPr>
        <w:pStyle w:val="296"/>
        <w:ind w:firstLine="480"/>
        <w:rPr>
          <w:rFonts w:cs="Times New Roman"/>
        </w:rPr>
      </w:pPr>
      <w:r>
        <w:rPr>
          <w:rFonts w:hint="eastAsia" w:ascii="宋体" w:hAnsi="宋体"/>
          <w:szCs w:val="28"/>
        </w:rPr>
        <w:t>①</w:t>
      </w:r>
      <w:r>
        <w:rPr>
          <w:rFonts w:cs="Times New Roman"/>
        </w:rPr>
        <w:t>地下水预测情景设定</w:t>
      </w:r>
    </w:p>
    <w:p w14:paraId="501FDDE9">
      <w:pPr>
        <w:pStyle w:val="296"/>
        <w:ind w:firstLine="480"/>
        <w:rPr>
          <w:rFonts w:cs="Times New Roman"/>
        </w:rPr>
      </w:pPr>
      <w:r>
        <w:rPr>
          <w:rFonts w:cs="Times New Roman"/>
        </w:rPr>
        <w:t>主要考虑非正常情况下防渗工程失效，渗滤液、污废水下渗。从安全角度出发，本次预测地下水污染源假定泄漏后直接进入含水层，从而对污染物在含水层中迁移转化进行模拟计算。</w:t>
      </w:r>
    </w:p>
    <w:p w14:paraId="61560378">
      <w:pPr>
        <w:pStyle w:val="296"/>
        <w:ind w:firstLine="480"/>
        <w:rPr>
          <w:rFonts w:cs="Times New Roman"/>
        </w:rPr>
      </w:pPr>
      <w:r>
        <w:rPr>
          <w:rFonts w:hint="eastAsia" w:ascii="宋体" w:hAnsi="宋体"/>
        </w:rPr>
        <w:t>②</w:t>
      </w:r>
      <w:r>
        <w:rPr>
          <w:rFonts w:cs="Times New Roman"/>
        </w:rPr>
        <w:t>预测方法</w:t>
      </w:r>
    </w:p>
    <w:p w14:paraId="3F97187F">
      <w:pPr>
        <w:pStyle w:val="296"/>
        <w:ind w:firstLine="480"/>
        <w:rPr>
          <w:rFonts w:cs="Times New Roman"/>
        </w:rPr>
      </w:pPr>
      <w:r>
        <w:rPr>
          <w:rFonts w:cs="Times New Roman"/>
        </w:rPr>
        <w:t>根据野外环境水文地质调查与室内分析相结合得出，场地内水文地质条件相对较简单，地下水类型主要为第四系孔隙水。本报告采用解析法对地下水环境影响进行预测。</w:t>
      </w:r>
    </w:p>
    <w:p w14:paraId="795CCB9D">
      <w:pPr>
        <w:pStyle w:val="296"/>
        <w:ind w:firstLine="480"/>
        <w:rPr>
          <w:rFonts w:cs="Times New Roman"/>
        </w:rPr>
      </w:pPr>
      <w:r>
        <w:rPr>
          <w:rFonts w:hint="eastAsia" w:ascii="宋体" w:hAnsi="宋体"/>
        </w:rPr>
        <w:t>③</w:t>
      </w:r>
      <w:r>
        <w:rPr>
          <w:rFonts w:cs="Times New Roman"/>
        </w:rPr>
        <w:t>预测范围</w:t>
      </w:r>
    </w:p>
    <w:p w14:paraId="6CD5B533">
      <w:pPr>
        <w:pStyle w:val="296"/>
        <w:ind w:firstLine="480"/>
        <w:rPr>
          <w:rFonts w:cs="Times New Roman"/>
        </w:rPr>
      </w:pPr>
      <w:r>
        <w:rPr>
          <w:rFonts w:cs="Times New Roman"/>
        </w:rPr>
        <w:t>考虑到项目需要预测的潜水含水层，为了说明建设项目对地下水环境的影响，预测范围设置在项目调查评价区，通过不同情境对可能产生的地下水污染进行预测分析评价。本次评价从建设项目污染源源强的设定、泄漏点的选择均是在考虑到区域环境水文地质条件上进行的。</w:t>
      </w:r>
    </w:p>
    <w:p w14:paraId="3831AC00">
      <w:pPr>
        <w:pStyle w:val="296"/>
        <w:ind w:firstLine="480"/>
        <w:rPr>
          <w:rFonts w:cs="Times New Roman"/>
        </w:rPr>
      </w:pPr>
      <w:r>
        <w:rPr>
          <w:rFonts w:cs="Times New Roman"/>
        </w:rPr>
        <w:t>模拟时间为导则规定地下水环境影响预测时段应选取可能产生地下水污染的关键时段，至少包括污染发生后100d、1000d。</w:t>
      </w:r>
    </w:p>
    <w:p w14:paraId="47E5A7ED">
      <w:pPr>
        <w:widowControl/>
        <w:adjustRightInd w:val="0"/>
        <w:snapToGrid w:val="0"/>
        <w:spacing w:line="360" w:lineRule="auto"/>
        <w:ind w:firstLine="480" w:firstLineChars="200"/>
        <w:rPr>
          <w:sz w:val="24"/>
          <w:szCs w:val="28"/>
        </w:rPr>
      </w:pPr>
      <w:r>
        <w:rPr>
          <w:rFonts w:hint="eastAsia" w:ascii="宋体" w:hAnsi="宋体" w:cs="宋体"/>
          <w:sz w:val="24"/>
          <w:szCs w:val="28"/>
        </w:rPr>
        <w:t>④</w:t>
      </w:r>
      <w:r>
        <w:rPr>
          <w:sz w:val="24"/>
          <w:szCs w:val="28"/>
        </w:rPr>
        <w:t>预测因子及影响范围的选取</w:t>
      </w:r>
    </w:p>
    <w:p w14:paraId="13EF83B9">
      <w:pPr>
        <w:widowControl/>
        <w:adjustRightInd w:val="0"/>
        <w:snapToGrid w:val="0"/>
        <w:spacing w:line="360" w:lineRule="auto"/>
        <w:ind w:firstLine="480" w:firstLineChars="200"/>
        <w:rPr>
          <w:sz w:val="24"/>
          <w:szCs w:val="20"/>
        </w:rPr>
      </w:pPr>
      <w:r>
        <w:rPr>
          <w:sz w:val="24"/>
          <w:szCs w:val="28"/>
        </w:rPr>
        <w:t>本次模拟计算根据评价区内地下水的水质现状</w:t>
      </w:r>
      <w:r>
        <w:rPr>
          <w:rFonts w:hint="eastAsia"/>
          <w:sz w:val="24"/>
          <w:szCs w:val="28"/>
          <w:lang w:eastAsia="zh-CN"/>
        </w:rPr>
        <w:t>以及</w:t>
      </w:r>
      <w:r>
        <w:rPr>
          <w:sz w:val="24"/>
          <w:szCs w:val="28"/>
        </w:rPr>
        <w:t>项目污染源的分布及类型，选取：</w:t>
      </w:r>
      <w:r>
        <w:rPr>
          <w:sz w:val="24"/>
          <w:szCs w:val="20"/>
        </w:rPr>
        <w:t>CODcr、BOD</w:t>
      </w:r>
      <w:r>
        <w:rPr>
          <w:sz w:val="24"/>
          <w:szCs w:val="20"/>
          <w:vertAlign w:val="subscript"/>
        </w:rPr>
        <w:t>5</w:t>
      </w:r>
      <w:r>
        <w:rPr>
          <w:sz w:val="24"/>
          <w:szCs w:val="20"/>
        </w:rPr>
        <w:t>、NH</w:t>
      </w:r>
      <w:r>
        <w:rPr>
          <w:sz w:val="24"/>
          <w:szCs w:val="20"/>
          <w:vertAlign w:val="subscript"/>
        </w:rPr>
        <w:t>3</w:t>
      </w:r>
      <w:r>
        <w:rPr>
          <w:sz w:val="24"/>
          <w:szCs w:val="20"/>
        </w:rPr>
        <w:t>-N作为预测因子。</w:t>
      </w:r>
    </w:p>
    <w:p w14:paraId="16DF3304">
      <w:pPr>
        <w:pStyle w:val="296"/>
        <w:ind w:firstLine="480"/>
        <w:rPr>
          <w:rFonts w:cs="Times New Roman"/>
          <w:color w:val="000000" w:themeColor="text1"/>
        </w:rPr>
      </w:pPr>
      <w:r>
        <w:rPr>
          <w:rFonts w:cs="Times New Roman"/>
        </w:rPr>
        <w:t>以《地下水质量标准》（GB/T14848-2017）中的Ⅲ类标准为超标范围限值，Ⅰ类标准作为影响限值；以预测因子的现状监测最大值作为背景值，在预测中进行叠加计算并预测影响，</w:t>
      </w:r>
      <w:r>
        <w:rPr>
          <w:rFonts w:cs="Times New Roman"/>
          <w:color w:val="000000" w:themeColor="text1"/>
        </w:rPr>
        <w:t>由于地下水标准中无CODcr、BOD</w:t>
      </w:r>
      <w:r>
        <w:rPr>
          <w:rFonts w:cs="Times New Roman"/>
          <w:color w:val="000000" w:themeColor="text1"/>
          <w:vertAlign w:val="subscript"/>
        </w:rPr>
        <w:t>5</w:t>
      </w:r>
      <w:r>
        <w:rPr>
          <w:rFonts w:cs="Times New Roman"/>
          <w:color w:val="000000" w:themeColor="text1"/>
        </w:rPr>
        <w:t>因子，地下水现状未进行监测，故CODcr、BOD</w:t>
      </w:r>
      <w:r>
        <w:rPr>
          <w:rFonts w:cs="Times New Roman"/>
          <w:color w:val="000000" w:themeColor="text1"/>
          <w:vertAlign w:val="subscript"/>
        </w:rPr>
        <w:t>5</w:t>
      </w:r>
      <w:r>
        <w:rPr>
          <w:rFonts w:cs="Times New Roman"/>
          <w:color w:val="000000" w:themeColor="text1"/>
        </w:rPr>
        <w:t>因参考地表水现状监测最大值。</w:t>
      </w:r>
    </w:p>
    <w:p w14:paraId="4704BCC0">
      <w:pPr>
        <w:spacing w:line="360" w:lineRule="auto"/>
        <w:ind w:firstLine="482" w:firstLineChars="200"/>
        <w:jc w:val="center"/>
        <w:rPr>
          <w:b/>
          <w:sz w:val="24"/>
        </w:rPr>
      </w:pPr>
      <w:r>
        <w:rPr>
          <w:b/>
          <w:sz w:val="24"/>
        </w:rPr>
        <w:t>表6.3-1 非正常排放废水水质  单位：浓度mg/L</w:t>
      </w:r>
    </w:p>
    <w:tbl>
      <w:tblPr>
        <w:tblStyle w:val="42"/>
        <w:tblW w:w="8528" w:type="dxa"/>
        <w:tblInd w:w="0" w:type="dxa"/>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4"/>
        <w:gridCol w:w="1666"/>
        <w:gridCol w:w="1727"/>
        <w:gridCol w:w="881"/>
      </w:tblGrid>
      <w:tr w14:paraId="178EA45C">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54" w:type="dxa"/>
          </w:tcPr>
          <w:p w14:paraId="638C7312">
            <w:pPr>
              <w:pStyle w:val="298"/>
              <w:rPr>
                <w:color w:val="auto"/>
              </w:rPr>
            </w:pPr>
            <w:r>
              <w:rPr>
                <w:color w:val="auto"/>
              </w:rPr>
              <w:t>因子</w:t>
            </w:r>
          </w:p>
        </w:tc>
        <w:tc>
          <w:tcPr>
            <w:tcW w:w="1666" w:type="dxa"/>
          </w:tcPr>
          <w:p w14:paraId="71F1E9A6">
            <w:pPr>
              <w:pStyle w:val="298"/>
              <w:rPr>
                <w:color w:val="auto"/>
              </w:rPr>
            </w:pPr>
            <w:r>
              <w:rPr>
                <w:color w:val="auto"/>
              </w:rPr>
              <w:t>CODcr</w:t>
            </w:r>
          </w:p>
        </w:tc>
        <w:tc>
          <w:tcPr>
            <w:tcW w:w="1727" w:type="dxa"/>
          </w:tcPr>
          <w:p w14:paraId="60D73ECD">
            <w:pPr>
              <w:pStyle w:val="298"/>
              <w:rPr>
                <w:color w:val="auto"/>
              </w:rPr>
            </w:pPr>
            <w:r>
              <w:rPr>
                <w:color w:val="auto"/>
              </w:rPr>
              <w:t>BOD</w:t>
            </w:r>
            <w:r>
              <w:rPr>
                <w:color w:val="auto"/>
                <w:vertAlign w:val="subscript"/>
              </w:rPr>
              <w:t>5</w:t>
            </w:r>
          </w:p>
        </w:tc>
        <w:tc>
          <w:tcPr>
            <w:tcW w:w="881" w:type="dxa"/>
          </w:tcPr>
          <w:p w14:paraId="22A2EDF2">
            <w:pPr>
              <w:pStyle w:val="298"/>
              <w:rPr>
                <w:color w:val="auto"/>
              </w:rPr>
            </w:pPr>
            <w:r>
              <w:rPr>
                <w:color w:val="auto"/>
              </w:rPr>
              <w:t>氨氮</w:t>
            </w:r>
          </w:p>
        </w:tc>
      </w:tr>
      <w:tr w14:paraId="38DFD0E8">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54" w:type="dxa"/>
          </w:tcPr>
          <w:p w14:paraId="719E12A6">
            <w:pPr>
              <w:pStyle w:val="298"/>
              <w:rPr>
                <w:color w:val="auto"/>
              </w:rPr>
            </w:pPr>
            <w:r>
              <w:rPr>
                <w:color w:val="auto"/>
              </w:rPr>
              <w:t>源强</w:t>
            </w:r>
          </w:p>
        </w:tc>
        <w:tc>
          <w:tcPr>
            <w:tcW w:w="1666" w:type="dxa"/>
          </w:tcPr>
          <w:p w14:paraId="52BEB815">
            <w:pPr>
              <w:pStyle w:val="298"/>
              <w:rPr>
                <w:color w:val="auto"/>
              </w:rPr>
            </w:pPr>
            <w:r>
              <w:rPr>
                <w:color w:val="auto"/>
              </w:rPr>
              <w:t>1200</w:t>
            </w:r>
          </w:p>
        </w:tc>
        <w:tc>
          <w:tcPr>
            <w:tcW w:w="1727" w:type="dxa"/>
          </w:tcPr>
          <w:p w14:paraId="7FE79D61">
            <w:pPr>
              <w:pStyle w:val="298"/>
              <w:rPr>
                <w:color w:val="auto"/>
              </w:rPr>
            </w:pPr>
            <w:r>
              <w:rPr>
                <w:color w:val="auto"/>
              </w:rPr>
              <w:t>850</w:t>
            </w:r>
          </w:p>
        </w:tc>
        <w:tc>
          <w:tcPr>
            <w:tcW w:w="881" w:type="dxa"/>
          </w:tcPr>
          <w:p w14:paraId="2456E5AB">
            <w:pPr>
              <w:pStyle w:val="298"/>
              <w:rPr>
                <w:color w:val="auto"/>
              </w:rPr>
            </w:pPr>
            <w:r>
              <w:rPr>
                <w:color w:val="auto"/>
              </w:rPr>
              <w:t>40</w:t>
            </w:r>
          </w:p>
        </w:tc>
      </w:tr>
      <w:tr w14:paraId="584AF8A5">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54" w:type="dxa"/>
          </w:tcPr>
          <w:p w14:paraId="25F28FB7">
            <w:pPr>
              <w:pStyle w:val="298"/>
              <w:rPr>
                <w:color w:val="auto"/>
              </w:rPr>
            </w:pPr>
            <w:r>
              <w:rPr>
                <w:color w:val="auto"/>
              </w:rPr>
              <w:t>超标范围限值（Ⅲ类标准）</w:t>
            </w:r>
          </w:p>
        </w:tc>
        <w:tc>
          <w:tcPr>
            <w:tcW w:w="1666" w:type="dxa"/>
          </w:tcPr>
          <w:p w14:paraId="4BA55506">
            <w:pPr>
              <w:pStyle w:val="298"/>
              <w:rPr>
                <w:color w:val="auto"/>
              </w:rPr>
            </w:pPr>
            <w:r>
              <w:rPr>
                <w:color w:val="auto"/>
              </w:rPr>
              <w:t>20</w:t>
            </w:r>
          </w:p>
        </w:tc>
        <w:tc>
          <w:tcPr>
            <w:tcW w:w="1727" w:type="dxa"/>
          </w:tcPr>
          <w:p w14:paraId="5EF10315">
            <w:pPr>
              <w:pStyle w:val="298"/>
              <w:rPr>
                <w:color w:val="auto"/>
              </w:rPr>
            </w:pPr>
            <w:r>
              <w:rPr>
                <w:color w:val="auto"/>
              </w:rPr>
              <w:t>4</w:t>
            </w:r>
          </w:p>
        </w:tc>
        <w:tc>
          <w:tcPr>
            <w:tcW w:w="881" w:type="dxa"/>
          </w:tcPr>
          <w:p w14:paraId="3920DC9E">
            <w:pPr>
              <w:pStyle w:val="298"/>
              <w:rPr>
                <w:color w:val="auto"/>
              </w:rPr>
            </w:pPr>
            <w:r>
              <w:rPr>
                <w:color w:val="auto"/>
              </w:rPr>
              <w:t>0.5</w:t>
            </w:r>
          </w:p>
        </w:tc>
      </w:tr>
      <w:tr w14:paraId="53D0AE5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54" w:type="dxa"/>
          </w:tcPr>
          <w:p w14:paraId="48CE378B">
            <w:pPr>
              <w:pStyle w:val="298"/>
              <w:rPr>
                <w:color w:val="auto"/>
              </w:rPr>
            </w:pPr>
            <w:r>
              <w:rPr>
                <w:color w:val="auto"/>
              </w:rPr>
              <w:t>影响范围限值（Ⅰ标准）</w:t>
            </w:r>
          </w:p>
        </w:tc>
        <w:tc>
          <w:tcPr>
            <w:tcW w:w="1666" w:type="dxa"/>
          </w:tcPr>
          <w:p w14:paraId="32316EFF">
            <w:pPr>
              <w:pStyle w:val="298"/>
              <w:rPr>
                <w:color w:val="auto"/>
              </w:rPr>
            </w:pPr>
            <w:r>
              <w:rPr>
                <w:color w:val="auto"/>
              </w:rPr>
              <w:t>15</w:t>
            </w:r>
          </w:p>
        </w:tc>
        <w:tc>
          <w:tcPr>
            <w:tcW w:w="1727" w:type="dxa"/>
          </w:tcPr>
          <w:p w14:paraId="22B7EC63">
            <w:pPr>
              <w:pStyle w:val="298"/>
              <w:rPr>
                <w:color w:val="auto"/>
              </w:rPr>
            </w:pPr>
            <w:r>
              <w:rPr>
                <w:color w:val="auto"/>
              </w:rPr>
              <w:t>3</w:t>
            </w:r>
          </w:p>
        </w:tc>
        <w:tc>
          <w:tcPr>
            <w:tcW w:w="881" w:type="dxa"/>
          </w:tcPr>
          <w:p w14:paraId="34A57803">
            <w:pPr>
              <w:pStyle w:val="298"/>
              <w:rPr>
                <w:color w:val="auto"/>
              </w:rPr>
            </w:pPr>
            <w:r>
              <w:rPr>
                <w:color w:val="auto"/>
              </w:rPr>
              <w:t>0.02</w:t>
            </w:r>
          </w:p>
        </w:tc>
      </w:tr>
      <w:tr w14:paraId="7B61EEA0">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54" w:type="dxa"/>
          </w:tcPr>
          <w:p w14:paraId="6DBBA4B0">
            <w:pPr>
              <w:pStyle w:val="298"/>
              <w:rPr>
                <w:color w:val="auto"/>
              </w:rPr>
            </w:pPr>
            <w:r>
              <w:rPr>
                <w:color w:val="auto"/>
              </w:rPr>
              <w:t>背景值</w:t>
            </w:r>
          </w:p>
        </w:tc>
        <w:tc>
          <w:tcPr>
            <w:tcW w:w="1666" w:type="dxa"/>
          </w:tcPr>
          <w:p w14:paraId="2404F54D">
            <w:pPr>
              <w:pStyle w:val="298"/>
              <w:rPr>
                <w:color w:val="auto"/>
              </w:rPr>
            </w:pPr>
            <w:r>
              <w:rPr>
                <w:color w:val="auto"/>
              </w:rPr>
              <w:t>16</w:t>
            </w:r>
          </w:p>
        </w:tc>
        <w:tc>
          <w:tcPr>
            <w:tcW w:w="1727" w:type="dxa"/>
          </w:tcPr>
          <w:p w14:paraId="3D65B4F9">
            <w:pPr>
              <w:pStyle w:val="298"/>
              <w:rPr>
                <w:color w:val="auto"/>
              </w:rPr>
            </w:pPr>
            <w:r>
              <w:rPr>
                <w:color w:val="auto"/>
              </w:rPr>
              <w:t>3.0</w:t>
            </w:r>
          </w:p>
        </w:tc>
        <w:tc>
          <w:tcPr>
            <w:tcW w:w="881" w:type="dxa"/>
          </w:tcPr>
          <w:p w14:paraId="17EC31B1">
            <w:pPr>
              <w:pStyle w:val="298"/>
              <w:rPr>
                <w:color w:val="auto"/>
                <w:highlight w:val="yellow"/>
              </w:rPr>
            </w:pPr>
            <w:r>
              <w:rPr>
                <w:color w:val="auto"/>
              </w:rPr>
              <w:t>0.254</w:t>
            </w:r>
          </w:p>
        </w:tc>
      </w:tr>
      <w:tr w14:paraId="129CB000">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28" w:type="dxa"/>
            <w:gridSpan w:val="4"/>
          </w:tcPr>
          <w:p w14:paraId="636A74C9">
            <w:pPr>
              <w:pStyle w:val="298"/>
              <w:jc w:val="left"/>
              <w:rPr>
                <w:color w:val="auto"/>
              </w:rPr>
            </w:pPr>
            <w:r>
              <w:rPr>
                <w:color w:val="auto"/>
              </w:rPr>
              <w:t>注：1、预测浓度CODcr、BOD</w:t>
            </w:r>
            <w:r>
              <w:rPr>
                <w:color w:val="auto"/>
                <w:vertAlign w:val="subscript"/>
              </w:rPr>
              <w:t>5</w:t>
            </w:r>
            <w:r>
              <w:rPr>
                <w:color w:val="auto"/>
              </w:rPr>
              <w:t>选取生产废水源强、氨氮选取生活污水源强</w:t>
            </w:r>
          </w:p>
          <w:p w14:paraId="19F35657">
            <w:pPr>
              <w:pStyle w:val="298"/>
              <w:jc w:val="left"/>
              <w:rPr>
                <w:color w:val="FF0000"/>
              </w:rPr>
            </w:pPr>
            <w:r>
              <w:rPr>
                <w:color w:val="auto"/>
              </w:rPr>
              <w:t>2、由于《地下水质量标准》（GB/T14848-2017）中无CODcr、BOD</w:t>
            </w:r>
            <w:r>
              <w:rPr>
                <w:color w:val="auto"/>
                <w:vertAlign w:val="subscript"/>
              </w:rPr>
              <w:t>5</w:t>
            </w:r>
            <w:r>
              <w:rPr>
                <w:color w:val="auto"/>
              </w:rPr>
              <w:t>，故参考《地表水环境质量标准》（GB3838-2002）进行评价</w:t>
            </w:r>
          </w:p>
        </w:tc>
      </w:tr>
    </w:tbl>
    <w:p w14:paraId="66F933D3">
      <w:pPr>
        <w:pStyle w:val="296"/>
        <w:ind w:firstLine="480"/>
        <w:rPr>
          <w:rFonts w:cs="Times New Roman"/>
          <w:b/>
        </w:rPr>
      </w:pPr>
      <w:r>
        <w:rPr>
          <w:rFonts w:hint="eastAsia" w:ascii="宋体" w:hAnsi="宋体"/>
          <w:szCs w:val="28"/>
        </w:rPr>
        <w:t>⑤</w:t>
      </w:r>
      <w:r>
        <w:rPr>
          <w:rFonts w:cs="Times New Roman"/>
          <w:szCs w:val="28"/>
        </w:rPr>
        <w:t>地下水概化模型建立</w:t>
      </w:r>
    </w:p>
    <w:p w14:paraId="4160B621">
      <w:pPr>
        <w:pStyle w:val="296"/>
        <w:ind w:firstLine="480"/>
        <w:rPr>
          <w:rFonts w:cs="Times New Roman"/>
          <w:bCs/>
        </w:rPr>
      </w:pPr>
      <w:r>
        <w:rPr>
          <w:rFonts w:cs="Times New Roman"/>
          <w:bCs/>
        </w:rPr>
        <w:t>（1）非正常状况下概念模型</w:t>
      </w:r>
    </w:p>
    <w:p w14:paraId="74F1AF63">
      <w:pPr>
        <w:widowControl/>
        <w:adjustRightInd w:val="0"/>
        <w:snapToGrid w:val="0"/>
        <w:spacing w:line="360" w:lineRule="auto"/>
        <w:ind w:firstLine="480" w:firstLineChars="200"/>
        <w:rPr>
          <w:sz w:val="24"/>
          <w:szCs w:val="20"/>
        </w:rPr>
      </w:pPr>
      <w:r>
        <w:rPr>
          <w:sz w:val="24"/>
          <w:szCs w:val="20"/>
        </w:rPr>
        <w:t>由于地下水流向总体为南东向北西径流，发生事故污染时污染物顺地下水流向发生运移，呈线状污染。因此，本工程地下水污染源可以概化为平面点状污染源。污染源的排放规律概化为连续排放。</w:t>
      </w:r>
    </w:p>
    <w:p w14:paraId="11F5432E">
      <w:pPr>
        <w:pStyle w:val="296"/>
        <w:ind w:firstLine="480"/>
        <w:rPr>
          <w:rFonts w:cs="Times New Roman"/>
          <w:bCs/>
        </w:rPr>
      </w:pPr>
      <w:r>
        <w:rPr>
          <w:rFonts w:cs="Times New Roman"/>
          <w:bCs/>
        </w:rPr>
        <w:t>（2）数学模型的建立与参数的确定</w:t>
      </w:r>
    </w:p>
    <w:p w14:paraId="6C8CB1FC">
      <w:pPr>
        <w:pStyle w:val="296"/>
        <w:ind w:firstLine="480"/>
        <w:rPr>
          <w:rFonts w:cs="Times New Roman"/>
        </w:rPr>
      </w:pPr>
      <w:r>
        <w:rPr>
          <w:rFonts w:cs="Times New Roman"/>
        </w:rPr>
        <w:t>按照《环境影响评价技术导则 地下水环境》（HJ610-2016）要求，结合区域水文地质条件和潜在污染源特征，对地下水环境影响预测采用一维半无限长多孔介质定浓度边界模型。其公式为：</w:t>
      </w:r>
    </w:p>
    <w:p w14:paraId="2EC2AC17">
      <w:pPr>
        <w:autoSpaceDE w:val="0"/>
        <w:spacing w:line="360" w:lineRule="auto"/>
        <w:ind w:firstLine="420" w:firstLineChars="200"/>
        <w:jc w:val="center"/>
        <w:rPr>
          <w:color w:val="FF0000"/>
          <w:szCs w:val="21"/>
        </w:rPr>
      </w:pPr>
      <w:r>
        <w:rPr>
          <w:color w:val="FF0000"/>
        </w:rPr>
        <w:drawing>
          <wp:inline distT="0" distB="0" distL="0" distR="0">
            <wp:extent cx="3796030" cy="657860"/>
            <wp:effectExtent l="0" t="0" r="0" b="8890"/>
            <wp:docPr id="91" name="图片 91" descr="wps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wps3C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796030" cy="657860"/>
                    </a:xfrm>
                    <a:prstGeom prst="rect">
                      <a:avLst/>
                    </a:prstGeom>
                    <a:noFill/>
                    <a:ln>
                      <a:noFill/>
                    </a:ln>
                    <a:effectLst/>
                  </pic:spPr>
                </pic:pic>
              </a:graphicData>
            </a:graphic>
          </wp:inline>
        </w:drawing>
      </w:r>
      <w:r>
        <w:rPr>
          <w:color w:val="FF0000"/>
        </w:rPr>
        <w:t xml:space="preserve"> </w:t>
      </w:r>
    </w:p>
    <w:p w14:paraId="6254E135">
      <w:pPr>
        <w:widowControl/>
        <w:adjustRightInd w:val="0"/>
        <w:snapToGrid w:val="0"/>
        <w:spacing w:line="360" w:lineRule="auto"/>
        <w:ind w:firstLine="480" w:firstLineChars="200"/>
        <w:rPr>
          <w:sz w:val="24"/>
          <w:szCs w:val="20"/>
        </w:rPr>
      </w:pPr>
      <w:r>
        <w:rPr>
          <w:sz w:val="24"/>
          <w:szCs w:val="20"/>
        </w:rPr>
        <w:t>式中：x—距注入点的距离；m；</w:t>
      </w:r>
    </w:p>
    <w:p w14:paraId="4BCFAE0B">
      <w:pPr>
        <w:widowControl/>
        <w:adjustRightInd w:val="0"/>
        <w:snapToGrid w:val="0"/>
        <w:spacing w:line="360" w:lineRule="auto"/>
        <w:ind w:firstLine="480" w:firstLineChars="200"/>
        <w:rPr>
          <w:sz w:val="24"/>
          <w:szCs w:val="20"/>
        </w:rPr>
      </w:pPr>
      <w:r>
        <w:rPr>
          <w:sz w:val="24"/>
          <w:szCs w:val="20"/>
        </w:rPr>
        <w:t xml:space="preserve">      t—时间，d；</w:t>
      </w:r>
    </w:p>
    <w:p w14:paraId="3A411753">
      <w:pPr>
        <w:widowControl/>
        <w:adjustRightInd w:val="0"/>
        <w:snapToGrid w:val="0"/>
        <w:spacing w:line="360" w:lineRule="auto"/>
        <w:ind w:firstLine="480" w:firstLineChars="200"/>
        <w:rPr>
          <w:sz w:val="24"/>
          <w:szCs w:val="20"/>
        </w:rPr>
      </w:pPr>
      <w:r>
        <w:rPr>
          <w:sz w:val="24"/>
          <w:szCs w:val="20"/>
        </w:rPr>
        <w:t xml:space="preserve">      C—t 时刻 x 处的示踪剂浓度，mg/L；</w:t>
      </w:r>
    </w:p>
    <w:p w14:paraId="7EDABA96">
      <w:pPr>
        <w:widowControl/>
        <w:adjustRightInd w:val="0"/>
        <w:snapToGrid w:val="0"/>
        <w:spacing w:line="360" w:lineRule="auto"/>
        <w:ind w:firstLine="480" w:firstLineChars="200"/>
        <w:rPr>
          <w:sz w:val="24"/>
          <w:szCs w:val="20"/>
        </w:rPr>
      </w:pPr>
      <w:r>
        <w:rPr>
          <w:sz w:val="24"/>
          <w:szCs w:val="20"/>
        </w:rPr>
        <w:t xml:space="preserve">      C</w:t>
      </w:r>
      <w:r>
        <w:rPr>
          <w:sz w:val="24"/>
          <w:szCs w:val="20"/>
          <w:vertAlign w:val="subscript"/>
        </w:rPr>
        <w:t>0</w:t>
      </w:r>
      <w:r>
        <w:rPr>
          <w:sz w:val="24"/>
          <w:szCs w:val="20"/>
        </w:rPr>
        <w:t>—注入的示踪剂浓度，mg/L；</w:t>
      </w:r>
    </w:p>
    <w:p w14:paraId="79FBA190">
      <w:pPr>
        <w:widowControl/>
        <w:adjustRightInd w:val="0"/>
        <w:snapToGrid w:val="0"/>
        <w:spacing w:line="360" w:lineRule="auto"/>
        <w:ind w:firstLine="480" w:firstLineChars="200"/>
        <w:rPr>
          <w:sz w:val="24"/>
          <w:szCs w:val="20"/>
        </w:rPr>
      </w:pPr>
      <w:r>
        <w:rPr>
          <w:sz w:val="24"/>
          <w:szCs w:val="20"/>
        </w:rPr>
        <w:t xml:space="preserve">      u—水流速度，m/d； </w:t>
      </w:r>
    </w:p>
    <w:p w14:paraId="2CA41E79">
      <w:pPr>
        <w:widowControl/>
        <w:adjustRightInd w:val="0"/>
        <w:snapToGrid w:val="0"/>
        <w:spacing w:line="360" w:lineRule="auto"/>
        <w:ind w:firstLine="480" w:firstLineChars="200"/>
        <w:rPr>
          <w:sz w:val="24"/>
          <w:szCs w:val="20"/>
        </w:rPr>
      </w:pPr>
      <w:r>
        <w:rPr>
          <w:sz w:val="24"/>
          <w:szCs w:val="20"/>
        </w:rPr>
        <w:t xml:space="preserve">      D</w:t>
      </w:r>
      <w:r>
        <w:rPr>
          <w:sz w:val="24"/>
          <w:szCs w:val="20"/>
          <w:vertAlign w:val="subscript"/>
        </w:rPr>
        <w:t>L</w:t>
      </w:r>
      <w:r>
        <w:rPr>
          <w:sz w:val="24"/>
          <w:szCs w:val="20"/>
        </w:rPr>
        <w:t>—纵向弥散系数，m</w:t>
      </w:r>
      <w:r>
        <w:rPr>
          <w:sz w:val="24"/>
          <w:szCs w:val="20"/>
          <w:vertAlign w:val="superscript"/>
        </w:rPr>
        <w:t>2</w:t>
      </w:r>
      <w:r>
        <w:rPr>
          <w:sz w:val="24"/>
          <w:szCs w:val="20"/>
        </w:rPr>
        <w:t xml:space="preserve">/d； </w:t>
      </w:r>
    </w:p>
    <w:p w14:paraId="69702FA6">
      <w:pPr>
        <w:widowControl/>
        <w:adjustRightInd w:val="0"/>
        <w:snapToGrid w:val="0"/>
        <w:spacing w:line="360" w:lineRule="auto"/>
        <w:ind w:firstLine="480" w:firstLineChars="200"/>
        <w:rPr>
          <w:sz w:val="24"/>
          <w:szCs w:val="20"/>
        </w:rPr>
      </w:pPr>
      <w:r>
        <w:rPr>
          <w:sz w:val="24"/>
          <w:szCs w:val="20"/>
        </w:rPr>
        <w:t xml:space="preserve">      erfc（）—余误差函数</w:t>
      </w:r>
    </w:p>
    <w:p w14:paraId="4D28ED63">
      <w:pPr>
        <w:widowControl/>
        <w:adjustRightInd w:val="0"/>
        <w:snapToGrid w:val="0"/>
        <w:spacing w:line="360" w:lineRule="auto"/>
        <w:ind w:firstLine="480" w:firstLineChars="200"/>
        <w:rPr>
          <w:sz w:val="24"/>
          <w:szCs w:val="20"/>
        </w:rPr>
      </w:pPr>
      <w:r>
        <w:rPr>
          <w:sz w:val="24"/>
          <w:szCs w:val="20"/>
        </w:rPr>
        <w:t>不考虑介质的吸附；污染源以固定的浓度不断入渗到含水层中。因此本次模拟情景为危废间、污水设施持续泄漏情况下的污染物运移情况。</w:t>
      </w:r>
    </w:p>
    <w:p w14:paraId="303C6378">
      <w:pPr>
        <w:pStyle w:val="296"/>
        <w:ind w:firstLine="482"/>
        <w:rPr>
          <w:rFonts w:cs="Times New Roman"/>
          <w:b/>
        </w:rPr>
      </w:pPr>
      <w:r>
        <w:rPr>
          <w:rFonts w:cs="Times New Roman"/>
          <w:b/>
        </w:rPr>
        <w:t>b.地下含水层的平均有效孔隙度n</w:t>
      </w:r>
    </w:p>
    <w:p w14:paraId="3C58298E">
      <w:pPr>
        <w:pStyle w:val="296"/>
        <w:ind w:firstLine="480"/>
        <w:rPr>
          <w:rFonts w:cs="Times New Roman"/>
        </w:rPr>
      </w:pPr>
      <w:r>
        <w:rPr>
          <w:rFonts w:cs="Times New Roman"/>
        </w:rPr>
        <w:t>有效孔隙度是指含水层中流体运移的孔隙体积和含水层物质总体积的比值。项目区域潜水地下含水层均以粘土、碎石为主，综合考虑，本项目平均有效孔隙度n取值为0.2。</w:t>
      </w:r>
    </w:p>
    <w:p w14:paraId="4B68BDA0">
      <w:pPr>
        <w:pStyle w:val="296"/>
        <w:ind w:firstLine="482"/>
        <w:rPr>
          <w:rFonts w:cs="Times New Roman"/>
          <w:b/>
        </w:rPr>
      </w:pPr>
      <w:r>
        <w:rPr>
          <w:rFonts w:cs="Times New Roman"/>
          <w:b/>
        </w:rPr>
        <w:t>c.地下水平均流速</w:t>
      </w:r>
    </w:p>
    <w:p w14:paraId="35615258">
      <w:pPr>
        <w:pStyle w:val="296"/>
        <w:ind w:firstLine="480"/>
        <w:rPr>
          <w:rFonts w:cs="Times New Roman"/>
        </w:rPr>
      </w:pPr>
      <w:r>
        <w:rPr>
          <w:rFonts w:cs="Times New Roman"/>
        </w:rPr>
        <w:t>评价区内地下水类型主要为第四系松散岩类孔隙水，岩性以砂质粘土为主，根据《环境影响评价技术导则 地下水环境》（HJ610-2016），砂质粘土渗透系数为0.1~0.25m/d，本项目取其中间值0.175m/d，同时根据项目场地地形条件，平均水力坡度I为18.4%，因此根据地下水流速计算公式u=K×I/n，地下水流速为0.0161m/d。</w:t>
      </w:r>
    </w:p>
    <w:p w14:paraId="161F0A3C">
      <w:pPr>
        <w:pStyle w:val="296"/>
        <w:ind w:firstLine="482"/>
        <w:rPr>
          <w:rFonts w:cs="Times New Roman"/>
          <w:b/>
        </w:rPr>
      </w:pPr>
      <w:r>
        <w:rPr>
          <w:rFonts w:cs="Times New Roman"/>
          <w:b/>
        </w:rPr>
        <w:t>e.纵向弥散系数</w:t>
      </w:r>
    </w:p>
    <w:p w14:paraId="5E7F41E4">
      <w:pPr>
        <w:pStyle w:val="296"/>
        <w:ind w:firstLine="480"/>
        <w:rPr>
          <w:rFonts w:cs="Times New Roman"/>
        </w:rPr>
      </w:pPr>
      <w:r>
        <w:rPr>
          <w:rFonts w:cs="Times New Roman"/>
        </w:rPr>
        <w:t>弥散度的确定地质介质中溶质运移主要受渗透系数在空间上变化的制约，即地质介质的结构影响。根据Zech等（2015）系统研究分析了最近50年全世界各地不同试验含水层和场地试验中弥散度和尺度、相关长度及非均质特征之间的关系并重新评估了弥散度与尺度关系如图6.3-1所示，从图中我们可以看出弥散度在千米尺度范围渐近于10。因此，结合本次预测工作长度约为1000m，对照图6.3-1所属于的尺度范围，弥散度取值应为2则较为合理。</w:t>
      </w:r>
    </w:p>
    <w:p w14:paraId="03CB02DF">
      <w:pPr>
        <w:pStyle w:val="296"/>
        <w:ind w:firstLine="480"/>
        <w:rPr>
          <w:rFonts w:cs="Times New Roman"/>
          <w:color w:val="FF0000"/>
        </w:rPr>
      </w:pPr>
      <w:r>
        <w:rPr>
          <w:rFonts w:eastAsia="仿宋_GB2312" w:cs="Times New Roman"/>
          <w:color w:val="FF0000"/>
          <w:kern w:val="0"/>
          <w:szCs w:val="28"/>
        </w:rPr>
        <w:drawing>
          <wp:inline distT="0" distB="0" distL="0" distR="0">
            <wp:extent cx="4114800" cy="2978785"/>
            <wp:effectExtent l="0" t="0" r="0" b="0"/>
            <wp:docPr id="2" name="图片 2" descr="说明: C:\Users\123\AppData\Roaming\Tencent\Users\290073742\QQ\WinTemp\RichOle\}4L(QTQ1S{H]$18H})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C:\Users\123\AppData\Roaming\Tencent\Users\290073742\QQ\WinTemp\RichOle\}4L(QTQ1S{H]$18H})A%}DE.png"/>
                    <pic:cNvPicPr>
                      <a:picLocks noChangeAspect="1" noChangeArrowheads="1"/>
                    </pic:cNvPicPr>
                  </pic:nvPicPr>
                  <pic:blipFill>
                    <a:blip r:embed="rId28">
                      <a:extLst>
                        <a:ext uri="{28A0092B-C50C-407E-A947-70E740481C1C}">
                          <a14:useLocalDpi xmlns:a14="http://schemas.microsoft.com/office/drawing/2010/main" val="0"/>
                        </a:ext>
                      </a:extLst>
                    </a:blip>
                    <a:srcRect l="3658"/>
                    <a:stretch>
                      <a:fillRect/>
                    </a:stretch>
                  </pic:blipFill>
                  <pic:spPr>
                    <a:xfrm>
                      <a:off x="0" y="0"/>
                      <a:ext cx="4114800" cy="2978785"/>
                    </a:xfrm>
                    <a:prstGeom prst="rect">
                      <a:avLst/>
                    </a:prstGeom>
                    <a:noFill/>
                    <a:ln>
                      <a:noFill/>
                    </a:ln>
                  </pic:spPr>
                </pic:pic>
              </a:graphicData>
            </a:graphic>
          </wp:inline>
        </w:drawing>
      </w:r>
    </w:p>
    <w:p w14:paraId="302DB81E">
      <w:pPr>
        <w:jc w:val="center"/>
        <w:rPr>
          <w:b/>
          <w:color w:val="FF0000"/>
          <w:sz w:val="24"/>
        </w:rPr>
      </w:pPr>
      <w:r>
        <w:rPr>
          <w:b/>
          <w:color w:val="FF0000"/>
          <w:sz w:val="24"/>
        </w:rPr>
        <w:t>图6.3-1  弥散度与尺度关系图</w:t>
      </w:r>
    </w:p>
    <w:p w14:paraId="2CFA1E8C"/>
    <w:p w14:paraId="57816835">
      <w:pPr>
        <w:pStyle w:val="296"/>
        <w:ind w:firstLine="480"/>
        <w:rPr>
          <w:rFonts w:cs="Times New Roman"/>
        </w:rPr>
      </w:pPr>
      <w:r>
        <w:rPr>
          <w:rFonts w:hint="eastAsia" w:ascii="宋体" w:hAnsi="宋体"/>
        </w:rPr>
        <w:t>⑥</w:t>
      </w:r>
      <w:r>
        <w:rPr>
          <w:rFonts w:cs="Times New Roman"/>
        </w:rPr>
        <w:t>预测结果</w:t>
      </w:r>
    </w:p>
    <w:p w14:paraId="2969A508">
      <w:pPr>
        <w:pStyle w:val="296"/>
        <w:ind w:firstLine="480"/>
        <w:rPr>
          <w:rFonts w:cs="Times New Roman"/>
        </w:rPr>
      </w:pPr>
      <w:r>
        <w:rPr>
          <w:rFonts w:cs="Times New Roman"/>
        </w:rPr>
        <w:t>CODcr、BOD</w:t>
      </w:r>
      <w:r>
        <w:rPr>
          <w:rFonts w:cs="Times New Roman"/>
          <w:vertAlign w:val="subscript"/>
        </w:rPr>
        <w:t>5</w:t>
      </w:r>
      <w:r>
        <w:rPr>
          <w:rFonts w:cs="Times New Roman"/>
        </w:rPr>
        <w:t>、氨氮不同时间对下游地下水的预测值详见下表及图：</w:t>
      </w:r>
    </w:p>
    <w:p w14:paraId="4C017485"/>
    <w:p w14:paraId="67DF4164"/>
    <w:p w14:paraId="41A027C7">
      <w:pPr>
        <w:pStyle w:val="63"/>
        <w:spacing w:before="120" w:after="120"/>
      </w:pPr>
      <w:r>
        <w:t>表6.3-2  CODcr不同时间对下游地下水的预测值  单位mg/L</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1"/>
        <w:gridCol w:w="2548"/>
        <w:gridCol w:w="3537"/>
      </w:tblGrid>
      <w:tr w14:paraId="4F3E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top w:val="thinThickSmallGap" w:color="auto" w:sz="12" w:space="0"/>
              <w:left w:val="nil"/>
              <w:tl2br w:val="single" w:color="auto" w:sz="4" w:space="0"/>
            </w:tcBorders>
            <w:vAlign w:val="center"/>
          </w:tcPr>
          <w:p w14:paraId="0F1AA6D1">
            <w:pPr>
              <w:pStyle w:val="298"/>
              <w:rPr>
                <w:color w:val="auto"/>
              </w:rPr>
            </w:pPr>
            <w:r>
              <w:rPr>
                <w:color w:val="auto"/>
              </w:rPr>
              <w:t>时间</w:t>
            </w:r>
          </w:p>
          <w:p w14:paraId="473CD66E">
            <w:pPr>
              <w:pStyle w:val="298"/>
              <w:rPr>
                <w:color w:val="auto"/>
              </w:rPr>
            </w:pPr>
            <w:r>
              <w:rPr>
                <w:color w:val="auto"/>
              </w:rPr>
              <w:t>距离</w:t>
            </w:r>
          </w:p>
        </w:tc>
        <w:tc>
          <w:tcPr>
            <w:tcW w:w="1440" w:type="pct"/>
            <w:tcBorders>
              <w:top w:val="thinThickSmallGap" w:color="auto" w:sz="12" w:space="0"/>
            </w:tcBorders>
            <w:vAlign w:val="center"/>
          </w:tcPr>
          <w:p w14:paraId="0C93F4C7">
            <w:pPr>
              <w:pStyle w:val="298"/>
              <w:rPr>
                <w:color w:val="auto"/>
              </w:rPr>
            </w:pPr>
            <w:r>
              <w:rPr>
                <w:color w:val="auto"/>
              </w:rPr>
              <w:t>100d</w:t>
            </w:r>
          </w:p>
        </w:tc>
        <w:tc>
          <w:tcPr>
            <w:tcW w:w="1999" w:type="pct"/>
            <w:tcBorders>
              <w:top w:val="thinThickSmallGap" w:color="auto" w:sz="12" w:space="0"/>
              <w:right w:val="nil"/>
            </w:tcBorders>
            <w:vAlign w:val="center"/>
          </w:tcPr>
          <w:p w14:paraId="79108803">
            <w:pPr>
              <w:pStyle w:val="298"/>
              <w:rPr>
                <w:color w:val="auto"/>
              </w:rPr>
            </w:pPr>
            <w:r>
              <w:rPr>
                <w:color w:val="auto"/>
              </w:rPr>
              <w:t>1000d</w:t>
            </w:r>
          </w:p>
        </w:tc>
      </w:tr>
      <w:tr w14:paraId="7A23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69AE0398">
            <w:pPr>
              <w:pStyle w:val="298"/>
              <w:rPr>
                <w:color w:val="auto"/>
              </w:rPr>
            </w:pPr>
            <w:r>
              <w:rPr>
                <w:color w:val="auto"/>
              </w:rPr>
              <w:t>0</w:t>
            </w:r>
          </w:p>
        </w:tc>
        <w:tc>
          <w:tcPr>
            <w:tcW w:w="1440" w:type="pct"/>
            <w:vAlign w:val="center"/>
          </w:tcPr>
          <w:p w14:paraId="71445A76">
            <w:pPr>
              <w:pStyle w:val="298"/>
              <w:rPr>
                <w:color w:val="auto"/>
              </w:rPr>
            </w:pPr>
            <w:r>
              <w:rPr>
                <w:color w:val="auto"/>
              </w:rPr>
              <w:t>1200</w:t>
            </w:r>
          </w:p>
        </w:tc>
        <w:tc>
          <w:tcPr>
            <w:tcW w:w="1999" w:type="pct"/>
            <w:tcBorders>
              <w:right w:val="nil"/>
            </w:tcBorders>
            <w:vAlign w:val="center"/>
          </w:tcPr>
          <w:p w14:paraId="3DAAAFA0">
            <w:pPr>
              <w:pStyle w:val="298"/>
              <w:rPr>
                <w:color w:val="auto"/>
              </w:rPr>
            </w:pPr>
            <w:r>
              <w:rPr>
                <w:color w:val="auto"/>
              </w:rPr>
              <w:t>1200</w:t>
            </w:r>
          </w:p>
        </w:tc>
      </w:tr>
      <w:tr w14:paraId="3668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06203466">
            <w:pPr>
              <w:pStyle w:val="298"/>
              <w:rPr>
                <w:color w:val="auto"/>
              </w:rPr>
            </w:pPr>
            <w:r>
              <w:rPr>
                <w:color w:val="auto"/>
              </w:rPr>
              <w:t>20</w:t>
            </w:r>
          </w:p>
        </w:tc>
        <w:tc>
          <w:tcPr>
            <w:tcW w:w="1440" w:type="pct"/>
            <w:vAlign w:val="center"/>
          </w:tcPr>
          <w:p w14:paraId="3A63C4EF">
            <w:pPr>
              <w:pStyle w:val="298"/>
              <w:rPr>
                <w:color w:val="auto"/>
              </w:rPr>
            </w:pPr>
            <w:r>
              <w:rPr>
                <w:color w:val="auto"/>
              </w:rPr>
              <w:t>411.9909</w:t>
            </w:r>
          </w:p>
        </w:tc>
        <w:tc>
          <w:tcPr>
            <w:tcW w:w="1999" w:type="pct"/>
            <w:tcBorders>
              <w:right w:val="nil"/>
            </w:tcBorders>
            <w:vAlign w:val="center"/>
          </w:tcPr>
          <w:p w14:paraId="02CE0CA0">
            <w:pPr>
              <w:pStyle w:val="298"/>
              <w:rPr>
                <w:color w:val="auto"/>
              </w:rPr>
            </w:pPr>
            <w:r>
              <w:rPr>
                <w:color w:val="auto"/>
              </w:rPr>
              <w:t>970.9301</w:t>
            </w:r>
          </w:p>
        </w:tc>
      </w:tr>
      <w:tr w14:paraId="69B3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5F491533">
            <w:pPr>
              <w:pStyle w:val="298"/>
              <w:rPr>
                <w:color w:val="auto"/>
              </w:rPr>
            </w:pPr>
            <w:r>
              <w:rPr>
                <w:color w:val="auto"/>
              </w:rPr>
              <w:t>40</w:t>
            </w:r>
          </w:p>
        </w:tc>
        <w:tc>
          <w:tcPr>
            <w:tcW w:w="1440" w:type="pct"/>
            <w:vAlign w:val="center"/>
          </w:tcPr>
          <w:p w14:paraId="68CCED02">
            <w:pPr>
              <w:pStyle w:val="298"/>
              <w:rPr>
                <w:color w:val="auto"/>
              </w:rPr>
            </w:pPr>
            <w:r>
              <w:rPr>
                <w:color w:val="auto"/>
              </w:rPr>
              <w:t>63.98306</w:t>
            </w:r>
          </w:p>
        </w:tc>
        <w:tc>
          <w:tcPr>
            <w:tcW w:w="1999" w:type="pct"/>
            <w:tcBorders>
              <w:right w:val="nil"/>
            </w:tcBorders>
            <w:vAlign w:val="center"/>
          </w:tcPr>
          <w:p w14:paraId="47E15402">
            <w:pPr>
              <w:pStyle w:val="298"/>
              <w:rPr>
                <w:color w:val="auto"/>
              </w:rPr>
            </w:pPr>
            <w:r>
              <w:rPr>
                <w:color w:val="auto"/>
              </w:rPr>
              <w:t>733.8374</w:t>
            </w:r>
          </w:p>
        </w:tc>
      </w:tr>
      <w:tr w14:paraId="1DD4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1A9BC8BD">
            <w:pPr>
              <w:pStyle w:val="298"/>
              <w:rPr>
                <w:color w:val="auto"/>
              </w:rPr>
            </w:pPr>
            <w:r>
              <w:rPr>
                <w:color w:val="auto"/>
              </w:rPr>
              <w:t>60</w:t>
            </w:r>
          </w:p>
        </w:tc>
        <w:tc>
          <w:tcPr>
            <w:tcW w:w="1440" w:type="pct"/>
            <w:vAlign w:val="center"/>
          </w:tcPr>
          <w:p w14:paraId="64531B76">
            <w:pPr>
              <w:pStyle w:val="298"/>
              <w:rPr>
                <w:color w:val="auto"/>
              </w:rPr>
            </w:pPr>
            <w:r>
              <w:rPr>
                <w:color w:val="auto"/>
              </w:rPr>
              <w:t xml:space="preserve">  4.113598</w:t>
            </w:r>
          </w:p>
        </w:tc>
        <w:tc>
          <w:tcPr>
            <w:tcW w:w="1999" w:type="pct"/>
            <w:tcBorders>
              <w:right w:val="nil"/>
            </w:tcBorders>
            <w:vAlign w:val="center"/>
          </w:tcPr>
          <w:p w14:paraId="42D03D16">
            <w:pPr>
              <w:pStyle w:val="298"/>
              <w:rPr>
                <w:color w:val="auto"/>
              </w:rPr>
            </w:pPr>
            <w:r>
              <w:rPr>
                <w:color w:val="auto"/>
              </w:rPr>
              <w:t>515.1642</w:t>
            </w:r>
          </w:p>
        </w:tc>
      </w:tr>
      <w:tr w14:paraId="508A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6B43CA66">
            <w:pPr>
              <w:pStyle w:val="298"/>
              <w:rPr>
                <w:color w:val="auto"/>
              </w:rPr>
            </w:pPr>
            <w:r>
              <w:rPr>
                <w:color w:val="auto"/>
              </w:rPr>
              <w:t>80</w:t>
            </w:r>
          </w:p>
        </w:tc>
        <w:tc>
          <w:tcPr>
            <w:tcW w:w="1440" w:type="pct"/>
            <w:vAlign w:val="center"/>
          </w:tcPr>
          <w:p w14:paraId="6D1A2FA5">
            <w:pPr>
              <w:pStyle w:val="298"/>
              <w:rPr>
                <w:color w:val="auto"/>
              </w:rPr>
            </w:pPr>
            <w:r>
              <w:rPr>
                <w:color w:val="auto"/>
              </w:rPr>
              <w:t>0.1046291</w:t>
            </w:r>
          </w:p>
        </w:tc>
        <w:tc>
          <w:tcPr>
            <w:tcW w:w="1999" w:type="pct"/>
            <w:tcBorders>
              <w:right w:val="nil"/>
            </w:tcBorders>
            <w:vAlign w:val="center"/>
          </w:tcPr>
          <w:p w14:paraId="13083C9C">
            <w:pPr>
              <w:pStyle w:val="298"/>
              <w:rPr>
                <w:color w:val="auto"/>
              </w:rPr>
            </w:pPr>
            <w:r>
              <w:rPr>
                <w:color w:val="auto"/>
              </w:rPr>
              <w:t>334.3655</w:t>
            </w:r>
          </w:p>
        </w:tc>
      </w:tr>
      <w:tr w14:paraId="0BA5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5B5DD07A">
            <w:pPr>
              <w:pStyle w:val="298"/>
              <w:rPr>
                <w:color w:val="auto"/>
              </w:rPr>
            </w:pPr>
            <w:r>
              <w:rPr>
                <w:color w:val="auto"/>
              </w:rPr>
              <w:t>100</w:t>
            </w:r>
          </w:p>
        </w:tc>
        <w:tc>
          <w:tcPr>
            <w:tcW w:w="1440" w:type="pct"/>
            <w:vAlign w:val="center"/>
          </w:tcPr>
          <w:p w14:paraId="18CE39DF">
            <w:pPr>
              <w:pStyle w:val="298"/>
              <w:rPr>
                <w:color w:val="auto"/>
              </w:rPr>
            </w:pPr>
            <w:r>
              <w:rPr>
                <w:color w:val="auto"/>
              </w:rPr>
              <w:t>0.00102741</w:t>
            </w:r>
          </w:p>
        </w:tc>
        <w:tc>
          <w:tcPr>
            <w:tcW w:w="1999" w:type="pct"/>
            <w:tcBorders>
              <w:right w:val="nil"/>
            </w:tcBorders>
            <w:vAlign w:val="center"/>
          </w:tcPr>
          <w:p w14:paraId="3E2B8480">
            <w:pPr>
              <w:pStyle w:val="298"/>
              <w:rPr>
                <w:color w:val="auto"/>
              </w:rPr>
            </w:pPr>
            <w:r>
              <w:rPr>
                <w:color w:val="auto"/>
              </w:rPr>
              <w:t>199.9017</w:t>
            </w:r>
          </w:p>
        </w:tc>
      </w:tr>
      <w:tr w14:paraId="397C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41E8ED0A">
            <w:pPr>
              <w:pStyle w:val="298"/>
              <w:rPr>
                <w:color w:val="auto"/>
              </w:rPr>
            </w:pPr>
            <w:r>
              <w:rPr>
                <w:color w:val="auto"/>
              </w:rPr>
              <w:t>120</w:t>
            </w:r>
          </w:p>
        </w:tc>
        <w:tc>
          <w:tcPr>
            <w:tcW w:w="1440" w:type="pct"/>
            <w:vAlign w:val="center"/>
          </w:tcPr>
          <w:p w14:paraId="0D0C0D22">
            <w:pPr>
              <w:pStyle w:val="298"/>
              <w:rPr>
                <w:color w:val="auto"/>
              </w:rPr>
            </w:pPr>
            <w:r>
              <w:rPr>
                <w:color w:val="auto"/>
              </w:rPr>
              <w:t>3.839956E-06</w:t>
            </w:r>
          </w:p>
        </w:tc>
        <w:tc>
          <w:tcPr>
            <w:tcW w:w="1999" w:type="pct"/>
            <w:tcBorders>
              <w:right w:val="nil"/>
            </w:tcBorders>
            <w:vAlign w:val="center"/>
          </w:tcPr>
          <w:p w14:paraId="571C5290">
            <w:pPr>
              <w:pStyle w:val="298"/>
              <w:rPr>
                <w:color w:val="auto"/>
              </w:rPr>
            </w:pPr>
            <w:r>
              <w:rPr>
                <w:color w:val="auto"/>
              </w:rPr>
              <w:t>109.759</w:t>
            </w:r>
          </w:p>
        </w:tc>
      </w:tr>
      <w:tr w14:paraId="65113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30752F29">
            <w:pPr>
              <w:pStyle w:val="298"/>
              <w:rPr>
                <w:color w:val="auto"/>
              </w:rPr>
            </w:pPr>
            <w:r>
              <w:rPr>
                <w:color w:val="auto"/>
              </w:rPr>
              <w:t>140</w:t>
            </w:r>
          </w:p>
        </w:tc>
        <w:tc>
          <w:tcPr>
            <w:tcW w:w="1440" w:type="pct"/>
            <w:vAlign w:val="center"/>
          </w:tcPr>
          <w:p w14:paraId="3595C8D0">
            <w:pPr>
              <w:pStyle w:val="298"/>
              <w:rPr>
                <w:color w:val="auto"/>
              </w:rPr>
            </w:pPr>
            <w:r>
              <w:rPr>
                <w:color w:val="auto"/>
              </w:rPr>
              <w:t>5.628508E-09</w:t>
            </w:r>
          </w:p>
        </w:tc>
        <w:tc>
          <w:tcPr>
            <w:tcW w:w="1999" w:type="pct"/>
            <w:tcBorders>
              <w:right w:val="nil"/>
            </w:tcBorders>
            <w:vAlign w:val="center"/>
          </w:tcPr>
          <w:p w14:paraId="0019434C">
            <w:pPr>
              <w:pStyle w:val="298"/>
              <w:rPr>
                <w:color w:val="auto"/>
              </w:rPr>
            </w:pPr>
            <w:r>
              <w:rPr>
                <w:color w:val="auto"/>
              </w:rPr>
              <w:t>55.21523</w:t>
            </w:r>
          </w:p>
        </w:tc>
      </w:tr>
      <w:tr w14:paraId="0411C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6072A9D0">
            <w:pPr>
              <w:pStyle w:val="298"/>
              <w:rPr>
                <w:color w:val="auto"/>
              </w:rPr>
            </w:pPr>
            <w:r>
              <w:rPr>
                <w:color w:val="auto"/>
              </w:rPr>
              <w:t>160</w:t>
            </w:r>
          </w:p>
        </w:tc>
        <w:tc>
          <w:tcPr>
            <w:tcW w:w="1440" w:type="pct"/>
            <w:vAlign w:val="center"/>
          </w:tcPr>
          <w:p w14:paraId="008AB7D7">
            <w:pPr>
              <w:pStyle w:val="298"/>
              <w:rPr>
                <w:color w:val="auto"/>
              </w:rPr>
            </w:pPr>
            <w:r>
              <w:rPr>
                <w:color w:val="auto"/>
              </w:rPr>
              <w:t>2.98116E-12</w:t>
            </w:r>
          </w:p>
        </w:tc>
        <w:tc>
          <w:tcPr>
            <w:tcW w:w="1999" w:type="pct"/>
            <w:tcBorders>
              <w:right w:val="nil"/>
            </w:tcBorders>
            <w:vAlign w:val="center"/>
          </w:tcPr>
          <w:p w14:paraId="5743D0C4">
            <w:pPr>
              <w:pStyle w:val="298"/>
              <w:rPr>
                <w:color w:val="auto"/>
              </w:rPr>
            </w:pPr>
            <w:r>
              <w:rPr>
                <w:color w:val="auto"/>
              </w:rPr>
              <w:t>25.40053</w:t>
            </w:r>
          </w:p>
        </w:tc>
      </w:tr>
      <w:tr w14:paraId="633C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63F8A550">
            <w:pPr>
              <w:pStyle w:val="298"/>
              <w:rPr>
                <w:color w:val="auto"/>
              </w:rPr>
            </w:pPr>
            <w:r>
              <w:rPr>
                <w:color w:val="auto"/>
              </w:rPr>
              <w:t>180</w:t>
            </w:r>
          </w:p>
        </w:tc>
        <w:tc>
          <w:tcPr>
            <w:tcW w:w="1440" w:type="pct"/>
            <w:vAlign w:val="center"/>
          </w:tcPr>
          <w:p w14:paraId="309AAFF9">
            <w:pPr>
              <w:pStyle w:val="298"/>
              <w:rPr>
                <w:color w:val="auto"/>
              </w:rPr>
            </w:pPr>
            <w:r>
              <w:rPr>
                <w:color w:val="auto"/>
              </w:rPr>
              <w:t>0</w:t>
            </w:r>
          </w:p>
        </w:tc>
        <w:tc>
          <w:tcPr>
            <w:tcW w:w="1999" w:type="pct"/>
            <w:tcBorders>
              <w:right w:val="nil"/>
            </w:tcBorders>
            <w:vAlign w:val="center"/>
          </w:tcPr>
          <w:p w14:paraId="168FF878">
            <w:pPr>
              <w:pStyle w:val="298"/>
              <w:rPr>
                <w:color w:val="auto"/>
              </w:rPr>
            </w:pPr>
            <w:r>
              <w:rPr>
                <w:color w:val="auto"/>
              </w:rPr>
              <w:t>10.66895</w:t>
            </w:r>
          </w:p>
        </w:tc>
      </w:tr>
      <w:tr w14:paraId="45C6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5BA1ABAF">
            <w:pPr>
              <w:pStyle w:val="298"/>
              <w:rPr>
                <w:color w:val="auto"/>
              </w:rPr>
            </w:pPr>
            <w:r>
              <w:rPr>
                <w:color w:val="auto"/>
              </w:rPr>
              <w:t>200</w:t>
            </w:r>
          </w:p>
        </w:tc>
        <w:tc>
          <w:tcPr>
            <w:tcW w:w="1440" w:type="pct"/>
            <w:vAlign w:val="center"/>
          </w:tcPr>
          <w:p w14:paraId="1C08745A">
            <w:pPr>
              <w:pStyle w:val="298"/>
              <w:rPr>
                <w:color w:val="auto"/>
              </w:rPr>
            </w:pPr>
          </w:p>
        </w:tc>
        <w:tc>
          <w:tcPr>
            <w:tcW w:w="1999" w:type="pct"/>
            <w:tcBorders>
              <w:right w:val="nil"/>
            </w:tcBorders>
            <w:vAlign w:val="center"/>
          </w:tcPr>
          <w:p w14:paraId="20F52CF2">
            <w:pPr>
              <w:pStyle w:val="298"/>
              <w:rPr>
                <w:color w:val="auto"/>
              </w:rPr>
            </w:pPr>
            <w:r>
              <w:rPr>
                <w:color w:val="auto"/>
              </w:rPr>
              <w:t>4.086504</w:t>
            </w:r>
          </w:p>
        </w:tc>
      </w:tr>
      <w:tr w14:paraId="0791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7A4AE72C">
            <w:pPr>
              <w:pStyle w:val="298"/>
              <w:rPr>
                <w:color w:val="auto"/>
              </w:rPr>
            </w:pPr>
            <w:r>
              <w:rPr>
                <w:color w:val="auto"/>
              </w:rPr>
              <w:t>220</w:t>
            </w:r>
          </w:p>
        </w:tc>
        <w:tc>
          <w:tcPr>
            <w:tcW w:w="1440" w:type="pct"/>
            <w:vAlign w:val="center"/>
          </w:tcPr>
          <w:p w14:paraId="573EF5F1">
            <w:pPr>
              <w:pStyle w:val="298"/>
              <w:rPr>
                <w:color w:val="auto"/>
              </w:rPr>
            </w:pPr>
          </w:p>
        </w:tc>
        <w:tc>
          <w:tcPr>
            <w:tcW w:w="1999" w:type="pct"/>
            <w:tcBorders>
              <w:right w:val="nil"/>
            </w:tcBorders>
            <w:vAlign w:val="center"/>
          </w:tcPr>
          <w:p w14:paraId="45D2AA43">
            <w:pPr>
              <w:pStyle w:val="298"/>
              <w:rPr>
                <w:color w:val="auto"/>
              </w:rPr>
            </w:pPr>
            <w:r>
              <w:rPr>
                <w:color w:val="auto"/>
              </w:rPr>
              <w:t>1.425897</w:t>
            </w:r>
          </w:p>
        </w:tc>
      </w:tr>
      <w:tr w14:paraId="082E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6CDD6188">
            <w:pPr>
              <w:pStyle w:val="298"/>
              <w:rPr>
                <w:color w:val="auto"/>
              </w:rPr>
            </w:pPr>
            <w:r>
              <w:rPr>
                <w:color w:val="auto"/>
              </w:rPr>
              <w:t>240</w:t>
            </w:r>
          </w:p>
        </w:tc>
        <w:tc>
          <w:tcPr>
            <w:tcW w:w="1440" w:type="pct"/>
            <w:vAlign w:val="center"/>
          </w:tcPr>
          <w:p w14:paraId="094EBB19">
            <w:pPr>
              <w:pStyle w:val="298"/>
              <w:rPr>
                <w:color w:val="auto"/>
              </w:rPr>
            </w:pPr>
          </w:p>
        </w:tc>
        <w:tc>
          <w:tcPr>
            <w:tcW w:w="1999" w:type="pct"/>
            <w:tcBorders>
              <w:right w:val="nil"/>
            </w:tcBorders>
            <w:vAlign w:val="center"/>
          </w:tcPr>
          <w:p w14:paraId="0210BC74">
            <w:pPr>
              <w:pStyle w:val="298"/>
              <w:rPr>
                <w:color w:val="auto"/>
              </w:rPr>
            </w:pPr>
            <w:r>
              <w:rPr>
                <w:color w:val="auto"/>
              </w:rPr>
              <w:t>0.4528597</w:t>
            </w:r>
          </w:p>
        </w:tc>
      </w:tr>
      <w:tr w14:paraId="3974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0D7968F1">
            <w:pPr>
              <w:pStyle w:val="298"/>
              <w:rPr>
                <w:color w:val="auto"/>
              </w:rPr>
            </w:pPr>
            <w:r>
              <w:rPr>
                <w:color w:val="auto"/>
              </w:rPr>
              <w:t>260</w:t>
            </w:r>
          </w:p>
        </w:tc>
        <w:tc>
          <w:tcPr>
            <w:tcW w:w="1440" w:type="pct"/>
            <w:vAlign w:val="center"/>
          </w:tcPr>
          <w:p w14:paraId="44952323">
            <w:pPr>
              <w:pStyle w:val="298"/>
              <w:rPr>
                <w:color w:val="auto"/>
              </w:rPr>
            </w:pPr>
          </w:p>
        </w:tc>
        <w:tc>
          <w:tcPr>
            <w:tcW w:w="1999" w:type="pct"/>
            <w:tcBorders>
              <w:right w:val="nil"/>
            </w:tcBorders>
            <w:vAlign w:val="center"/>
          </w:tcPr>
          <w:p w14:paraId="1774B903">
            <w:pPr>
              <w:pStyle w:val="298"/>
              <w:rPr>
                <w:color w:val="auto"/>
              </w:rPr>
            </w:pPr>
            <w:r>
              <w:rPr>
                <w:color w:val="auto"/>
              </w:rPr>
              <w:t>0.1308196</w:t>
            </w:r>
          </w:p>
        </w:tc>
      </w:tr>
      <w:tr w14:paraId="52A8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0B2094CC">
            <w:pPr>
              <w:pStyle w:val="298"/>
              <w:rPr>
                <w:color w:val="auto"/>
              </w:rPr>
            </w:pPr>
            <w:r>
              <w:rPr>
                <w:color w:val="auto"/>
              </w:rPr>
              <w:t>280</w:t>
            </w:r>
          </w:p>
        </w:tc>
        <w:tc>
          <w:tcPr>
            <w:tcW w:w="1440" w:type="pct"/>
            <w:vAlign w:val="center"/>
          </w:tcPr>
          <w:p w14:paraId="731300F7">
            <w:pPr>
              <w:pStyle w:val="298"/>
              <w:rPr>
                <w:color w:val="auto"/>
              </w:rPr>
            </w:pPr>
          </w:p>
        </w:tc>
        <w:tc>
          <w:tcPr>
            <w:tcW w:w="1999" w:type="pct"/>
            <w:tcBorders>
              <w:right w:val="nil"/>
            </w:tcBorders>
            <w:vAlign w:val="center"/>
          </w:tcPr>
          <w:p w14:paraId="1A6BEB96">
            <w:pPr>
              <w:pStyle w:val="298"/>
              <w:rPr>
                <w:color w:val="auto"/>
              </w:rPr>
            </w:pPr>
            <w:r>
              <w:rPr>
                <w:color w:val="auto"/>
              </w:rPr>
              <w:t>0.03435261</w:t>
            </w:r>
          </w:p>
        </w:tc>
      </w:tr>
      <w:tr w14:paraId="6261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506EAD92">
            <w:pPr>
              <w:pStyle w:val="298"/>
              <w:rPr>
                <w:color w:val="auto"/>
              </w:rPr>
            </w:pPr>
            <w:r>
              <w:rPr>
                <w:color w:val="auto"/>
              </w:rPr>
              <w:t>300</w:t>
            </w:r>
          </w:p>
        </w:tc>
        <w:tc>
          <w:tcPr>
            <w:tcW w:w="1440" w:type="pct"/>
            <w:vAlign w:val="center"/>
          </w:tcPr>
          <w:p w14:paraId="373D9273">
            <w:pPr>
              <w:pStyle w:val="298"/>
              <w:rPr>
                <w:color w:val="auto"/>
              </w:rPr>
            </w:pPr>
          </w:p>
        </w:tc>
        <w:tc>
          <w:tcPr>
            <w:tcW w:w="1999" w:type="pct"/>
            <w:tcBorders>
              <w:right w:val="nil"/>
            </w:tcBorders>
            <w:vAlign w:val="center"/>
          </w:tcPr>
          <w:p w14:paraId="38B6ADA8">
            <w:pPr>
              <w:pStyle w:val="298"/>
              <w:rPr>
                <w:color w:val="auto"/>
              </w:rPr>
            </w:pPr>
            <w:r>
              <w:rPr>
                <w:color w:val="auto"/>
              </w:rPr>
              <w:t>0.008196116</w:t>
            </w:r>
          </w:p>
        </w:tc>
      </w:tr>
      <w:tr w14:paraId="3400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67E34CCD">
            <w:pPr>
              <w:pStyle w:val="298"/>
              <w:rPr>
                <w:color w:val="auto"/>
              </w:rPr>
            </w:pPr>
            <w:r>
              <w:rPr>
                <w:color w:val="auto"/>
              </w:rPr>
              <w:t>320</w:t>
            </w:r>
          </w:p>
        </w:tc>
        <w:tc>
          <w:tcPr>
            <w:tcW w:w="1440" w:type="pct"/>
            <w:vAlign w:val="center"/>
          </w:tcPr>
          <w:p w14:paraId="29F121C9">
            <w:pPr>
              <w:pStyle w:val="298"/>
              <w:rPr>
                <w:color w:val="auto"/>
              </w:rPr>
            </w:pPr>
          </w:p>
        </w:tc>
        <w:tc>
          <w:tcPr>
            <w:tcW w:w="1999" w:type="pct"/>
            <w:tcBorders>
              <w:right w:val="nil"/>
            </w:tcBorders>
            <w:vAlign w:val="center"/>
          </w:tcPr>
          <w:p w14:paraId="4D3B9EB7">
            <w:pPr>
              <w:pStyle w:val="298"/>
              <w:rPr>
                <w:color w:val="auto"/>
              </w:rPr>
            </w:pPr>
            <w:r>
              <w:rPr>
                <w:color w:val="auto"/>
              </w:rPr>
              <w:t>0.001775962</w:t>
            </w:r>
          </w:p>
        </w:tc>
      </w:tr>
      <w:tr w14:paraId="182E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61645DB3">
            <w:pPr>
              <w:pStyle w:val="298"/>
              <w:rPr>
                <w:color w:val="auto"/>
              </w:rPr>
            </w:pPr>
            <w:r>
              <w:rPr>
                <w:color w:val="auto"/>
              </w:rPr>
              <w:t>340</w:t>
            </w:r>
          </w:p>
        </w:tc>
        <w:tc>
          <w:tcPr>
            <w:tcW w:w="1440" w:type="pct"/>
            <w:vAlign w:val="center"/>
          </w:tcPr>
          <w:p w14:paraId="209019A1">
            <w:pPr>
              <w:pStyle w:val="298"/>
              <w:rPr>
                <w:color w:val="auto"/>
              </w:rPr>
            </w:pPr>
          </w:p>
        </w:tc>
        <w:tc>
          <w:tcPr>
            <w:tcW w:w="1999" w:type="pct"/>
            <w:tcBorders>
              <w:right w:val="nil"/>
            </w:tcBorders>
            <w:vAlign w:val="center"/>
          </w:tcPr>
          <w:p w14:paraId="6C201963">
            <w:pPr>
              <w:pStyle w:val="298"/>
              <w:rPr>
                <w:color w:val="auto"/>
              </w:rPr>
            </w:pPr>
            <w:r>
              <w:rPr>
                <w:color w:val="auto"/>
              </w:rPr>
              <w:t>0.000349364</w:t>
            </w:r>
          </w:p>
        </w:tc>
      </w:tr>
      <w:tr w14:paraId="7205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60245D43">
            <w:pPr>
              <w:pStyle w:val="298"/>
              <w:rPr>
                <w:color w:val="auto"/>
              </w:rPr>
            </w:pPr>
            <w:r>
              <w:rPr>
                <w:color w:val="auto"/>
              </w:rPr>
              <w:t>360</w:t>
            </w:r>
          </w:p>
        </w:tc>
        <w:tc>
          <w:tcPr>
            <w:tcW w:w="1440" w:type="pct"/>
            <w:vAlign w:val="center"/>
          </w:tcPr>
          <w:p w14:paraId="3DBA6C52">
            <w:pPr>
              <w:pStyle w:val="298"/>
              <w:rPr>
                <w:color w:val="auto"/>
              </w:rPr>
            </w:pPr>
          </w:p>
        </w:tc>
        <w:tc>
          <w:tcPr>
            <w:tcW w:w="1999" w:type="pct"/>
            <w:tcBorders>
              <w:right w:val="nil"/>
            </w:tcBorders>
            <w:vAlign w:val="center"/>
          </w:tcPr>
          <w:p w14:paraId="5E2E1761">
            <w:pPr>
              <w:pStyle w:val="298"/>
              <w:rPr>
                <w:color w:val="auto"/>
              </w:rPr>
            </w:pPr>
            <w:r>
              <w:rPr>
                <w:color w:val="auto"/>
              </w:rPr>
              <w:t>6.237417E-05</w:t>
            </w:r>
          </w:p>
        </w:tc>
      </w:tr>
      <w:tr w14:paraId="62D63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0CD279E6">
            <w:pPr>
              <w:pStyle w:val="298"/>
              <w:rPr>
                <w:color w:val="auto"/>
              </w:rPr>
            </w:pPr>
            <w:r>
              <w:rPr>
                <w:color w:val="auto"/>
              </w:rPr>
              <w:t>380</w:t>
            </w:r>
          </w:p>
        </w:tc>
        <w:tc>
          <w:tcPr>
            <w:tcW w:w="1440" w:type="pct"/>
            <w:vAlign w:val="center"/>
          </w:tcPr>
          <w:p w14:paraId="374E45E7">
            <w:pPr>
              <w:pStyle w:val="298"/>
              <w:rPr>
                <w:color w:val="auto"/>
              </w:rPr>
            </w:pPr>
          </w:p>
        </w:tc>
        <w:tc>
          <w:tcPr>
            <w:tcW w:w="1999" w:type="pct"/>
            <w:tcBorders>
              <w:right w:val="nil"/>
            </w:tcBorders>
            <w:vAlign w:val="center"/>
          </w:tcPr>
          <w:p w14:paraId="4FADA26B">
            <w:pPr>
              <w:pStyle w:val="298"/>
              <w:rPr>
                <w:color w:val="auto"/>
              </w:rPr>
            </w:pPr>
            <w:r>
              <w:rPr>
                <w:color w:val="auto"/>
              </w:rPr>
              <w:t>1.010403E-05</w:t>
            </w:r>
          </w:p>
        </w:tc>
      </w:tr>
      <w:tr w14:paraId="1A7E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3A8F2184">
            <w:pPr>
              <w:pStyle w:val="298"/>
              <w:rPr>
                <w:color w:val="auto"/>
              </w:rPr>
            </w:pPr>
            <w:r>
              <w:rPr>
                <w:color w:val="auto"/>
              </w:rPr>
              <w:t>400</w:t>
            </w:r>
          </w:p>
        </w:tc>
        <w:tc>
          <w:tcPr>
            <w:tcW w:w="1440" w:type="pct"/>
            <w:vAlign w:val="center"/>
          </w:tcPr>
          <w:p w14:paraId="20636A4C">
            <w:pPr>
              <w:pStyle w:val="298"/>
              <w:rPr>
                <w:color w:val="auto"/>
              </w:rPr>
            </w:pPr>
          </w:p>
        </w:tc>
        <w:tc>
          <w:tcPr>
            <w:tcW w:w="1999" w:type="pct"/>
            <w:tcBorders>
              <w:right w:val="nil"/>
            </w:tcBorders>
            <w:vAlign w:val="center"/>
          </w:tcPr>
          <w:p w14:paraId="05E66A8B">
            <w:pPr>
              <w:pStyle w:val="298"/>
              <w:rPr>
                <w:color w:val="auto"/>
              </w:rPr>
            </w:pPr>
            <w:r>
              <w:rPr>
                <w:color w:val="auto"/>
              </w:rPr>
              <w:t>1.484717E-06</w:t>
            </w:r>
          </w:p>
        </w:tc>
      </w:tr>
      <w:tr w14:paraId="5894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tcPr>
          <w:p w14:paraId="5C601397">
            <w:pPr>
              <w:pStyle w:val="298"/>
              <w:rPr>
                <w:color w:val="auto"/>
              </w:rPr>
            </w:pPr>
            <w:r>
              <w:rPr>
                <w:color w:val="auto"/>
              </w:rPr>
              <w:t>超标范围限值（Ⅲ类标准）</w:t>
            </w:r>
          </w:p>
        </w:tc>
        <w:tc>
          <w:tcPr>
            <w:tcW w:w="3439" w:type="pct"/>
            <w:gridSpan w:val="2"/>
            <w:vAlign w:val="center"/>
          </w:tcPr>
          <w:p w14:paraId="422AAD46">
            <w:pPr>
              <w:pStyle w:val="298"/>
              <w:rPr>
                <w:color w:val="auto"/>
              </w:rPr>
            </w:pPr>
            <w:r>
              <w:rPr>
                <w:color w:val="auto"/>
                <w:szCs w:val="21"/>
              </w:rPr>
              <w:t>20</w:t>
            </w:r>
          </w:p>
        </w:tc>
      </w:tr>
      <w:tr w14:paraId="7FA6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bottom w:val="thinThickSmallGap" w:color="auto" w:sz="12" w:space="0"/>
            </w:tcBorders>
          </w:tcPr>
          <w:p w14:paraId="6A7D5EA1">
            <w:pPr>
              <w:pStyle w:val="298"/>
              <w:rPr>
                <w:color w:val="auto"/>
              </w:rPr>
            </w:pPr>
            <w:r>
              <w:rPr>
                <w:color w:val="auto"/>
              </w:rPr>
              <w:t>影响范围限值（Ⅰ标准）</w:t>
            </w:r>
          </w:p>
        </w:tc>
        <w:tc>
          <w:tcPr>
            <w:tcW w:w="3439" w:type="pct"/>
            <w:gridSpan w:val="2"/>
            <w:tcBorders>
              <w:bottom w:val="thinThickSmallGap" w:color="auto" w:sz="12" w:space="0"/>
            </w:tcBorders>
            <w:vAlign w:val="center"/>
          </w:tcPr>
          <w:p w14:paraId="3C8CC5B7">
            <w:pPr>
              <w:pStyle w:val="298"/>
              <w:rPr>
                <w:color w:val="auto"/>
                <w:szCs w:val="21"/>
              </w:rPr>
            </w:pPr>
            <w:r>
              <w:rPr>
                <w:color w:val="auto"/>
                <w:szCs w:val="21"/>
              </w:rPr>
              <w:t>15</w:t>
            </w:r>
          </w:p>
        </w:tc>
      </w:tr>
    </w:tbl>
    <w:p w14:paraId="7811C161">
      <w:pPr>
        <w:rPr>
          <w:color w:val="FF0000"/>
        </w:rPr>
      </w:pPr>
    </w:p>
    <w:p w14:paraId="64A87FF7">
      <w:pPr>
        <w:pStyle w:val="296"/>
        <w:ind w:firstLine="0" w:firstLineChars="0"/>
        <w:rPr>
          <w:rFonts w:eastAsia="黑体" w:cs="Times New Roman"/>
          <w:b/>
          <w:bCs/>
          <w:color w:val="FF0000"/>
          <w:sz w:val="30"/>
          <w:szCs w:val="32"/>
        </w:rPr>
      </w:pPr>
      <w:r>
        <w:rPr>
          <w:rFonts w:cs="Times New Roman"/>
          <w:color w:val="FF0000"/>
        </w:rPr>
        <w:t xml:space="preserve"> </w:t>
      </w:r>
      <w:r>
        <w:rPr>
          <w:rFonts w:cs="Times New Roman"/>
        </w:rPr>
        <w:drawing>
          <wp:inline distT="0" distB="0" distL="0" distR="0">
            <wp:extent cx="2479675" cy="14966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2477957" cy="1495861"/>
                    </a:xfrm>
                    <a:prstGeom prst="rect">
                      <a:avLst/>
                    </a:prstGeom>
                  </pic:spPr>
                </pic:pic>
              </a:graphicData>
            </a:graphic>
          </wp:inline>
        </w:drawing>
      </w:r>
      <w:r>
        <w:rPr>
          <w:rFonts w:cs="Times New Roman"/>
          <w:color w:val="FF0000"/>
        </w:rPr>
        <w:t xml:space="preserve"> </w:t>
      </w:r>
      <w:r>
        <w:rPr>
          <w:rFonts w:cs="Times New Roman"/>
        </w:rPr>
        <w:drawing>
          <wp:inline distT="0" distB="0" distL="0" distR="0">
            <wp:extent cx="2507615" cy="1532255"/>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2509555" cy="1533812"/>
                    </a:xfrm>
                    <a:prstGeom prst="rect">
                      <a:avLst/>
                    </a:prstGeom>
                  </pic:spPr>
                </pic:pic>
              </a:graphicData>
            </a:graphic>
          </wp:inline>
        </w:drawing>
      </w:r>
    </w:p>
    <w:p w14:paraId="77523F9D">
      <w:pPr>
        <w:pStyle w:val="296"/>
        <w:ind w:firstLine="198" w:firstLineChars="82"/>
        <w:rPr>
          <w:rFonts w:cs="Times New Roman"/>
          <w:b/>
          <w:sz w:val="18"/>
          <w:szCs w:val="18"/>
        </w:rPr>
      </w:pPr>
      <w:r>
        <w:rPr>
          <w:rFonts w:cs="Times New Roman"/>
          <w:b/>
        </w:rPr>
        <w:t>100d后项目区下游COD浓度变化</w:t>
      </w:r>
      <w:r>
        <w:rPr>
          <w:rFonts w:cs="Times New Roman"/>
          <w:b/>
          <w:sz w:val="18"/>
          <w:szCs w:val="18"/>
        </w:rPr>
        <w:t xml:space="preserve">   </w:t>
      </w:r>
      <w:r>
        <w:rPr>
          <w:rFonts w:cs="Times New Roman"/>
          <w:b/>
        </w:rPr>
        <w:t xml:space="preserve"> 1000d后项目区下游COD浓度变化</w:t>
      </w:r>
    </w:p>
    <w:p w14:paraId="38A61441">
      <w:pPr>
        <w:pStyle w:val="63"/>
        <w:spacing w:before="120" w:after="120"/>
      </w:pPr>
      <w:r>
        <w:t>表6.3-3  BOD</w:t>
      </w:r>
      <w:r>
        <w:rPr>
          <w:vertAlign w:val="subscript"/>
        </w:rPr>
        <w:t>5</w:t>
      </w:r>
      <w:r>
        <w:t>不同时间对下游地下水的预测值  单位mg/L</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1"/>
        <w:gridCol w:w="2548"/>
        <w:gridCol w:w="3537"/>
      </w:tblGrid>
      <w:tr w14:paraId="0A54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top w:val="thinThickSmallGap" w:color="auto" w:sz="12" w:space="0"/>
              <w:left w:val="nil"/>
              <w:tl2br w:val="single" w:color="auto" w:sz="4" w:space="0"/>
            </w:tcBorders>
            <w:vAlign w:val="center"/>
          </w:tcPr>
          <w:p w14:paraId="78D9DAED">
            <w:pPr>
              <w:pStyle w:val="298"/>
              <w:rPr>
                <w:color w:val="auto"/>
              </w:rPr>
            </w:pPr>
            <w:r>
              <w:rPr>
                <w:color w:val="auto"/>
              </w:rPr>
              <w:t>时间</w:t>
            </w:r>
          </w:p>
          <w:p w14:paraId="414F34DF">
            <w:pPr>
              <w:pStyle w:val="298"/>
              <w:rPr>
                <w:color w:val="auto"/>
              </w:rPr>
            </w:pPr>
            <w:r>
              <w:rPr>
                <w:color w:val="auto"/>
              </w:rPr>
              <w:t>距离</w:t>
            </w:r>
          </w:p>
        </w:tc>
        <w:tc>
          <w:tcPr>
            <w:tcW w:w="1440" w:type="pct"/>
            <w:tcBorders>
              <w:top w:val="thinThickSmallGap" w:color="auto" w:sz="12" w:space="0"/>
            </w:tcBorders>
            <w:vAlign w:val="center"/>
          </w:tcPr>
          <w:p w14:paraId="36726111">
            <w:pPr>
              <w:pStyle w:val="298"/>
              <w:rPr>
                <w:color w:val="auto"/>
              </w:rPr>
            </w:pPr>
            <w:r>
              <w:rPr>
                <w:color w:val="auto"/>
              </w:rPr>
              <w:t>100d</w:t>
            </w:r>
          </w:p>
        </w:tc>
        <w:tc>
          <w:tcPr>
            <w:tcW w:w="1999" w:type="pct"/>
            <w:tcBorders>
              <w:top w:val="thinThickSmallGap" w:color="auto" w:sz="12" w:space="0"/>
              <w:right w:val="nil"/>
            </w:tcBorders>
            <w:vAlign w:val="center"/>
          </w:tcPr>
          <w:p w14:paraId="345A2F24">
            <w:pPr>
              <w:pStyle w:val="298"/>
              <w:rPr>
                <w:color w:val="auto"/>
              </w:rPr>
            </w:pPr>
            <w:r>
              <w:rPr>
                <w:color w:val="auto"/>
              </w:rPr>
              <w:t>1000d</w:t>
            </w:r>
          </w:p>
        </w:tc>
      </w:tr>
      <w:tr w14:paraId="0305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7FFE39B3">
            <w:pPr>
              <w:pStyle w:val="298"/>
              <w:rPr>
                <w:color w:val="auto"/>
              </w:rPr>
            </w:pPr>
            <w:r>
              <w:rPr>
                <w:color w:val="auto"/>
              </w:rPr>
              <w:t>0</w:t>
            </w:r>
          </w:p>
        </w:tc>
        <w:tc>
          <w:tcPr>
            <w:tcW w:w="1440" w:type="pct"/>
            <w:vAlign w:val="center"/>
          </w:tcPr>
          <w:p w14:paraId="4659B85C">
            <w:pPr>
              <w:pStyle w:val="298"/>
              <w:rPr>
                <w:color w:val="auto"/>
              </w:rPr>
            </w:pPr>
            <w:r>
              <w:rPr>
                <w:color w:val="auto"/>
              </w:rPr>
              <w:t>850</w:t>
            </w:r>
          </w:p>
        </w:tc>
        <w:tc>
          <w:tcPr>
            <w:tcW w:w="1999" w:type="pct"/>
            <w:tcBorders>
              <w:right w:val="nil"/>
            </w:tcBorders>
            <w:vAlign w:val="center"/>
          </w:tcPr>
          <w:p w14:paraId="55B361FE">
            <w:pPr>
              <w:pStyle w:val="298"/>
              <w:rPr>
                <w:color w:val="auto"/>
              </w:rPr>
            </w:pPr>
            <w:r>
              <w:rPr>
                <w:color w:val="auto"/>
              </w:rPr>
              <w:t>850</w:t>
            </w:r>
          </w:p>
        </w:tc>
      </w:tr>
      <w:tr w14:paraId="5D1C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66884BCB">
            <w:pPr>
              <w:pStyle w:val="298"/>
              <w:rPr>
                <w:color w:val="auto"/>
              </w:rPr>
            </w:pPr>
            <w:r>
              <w:rPr>
                <w:color w:val="auto"/>
              </w:rPr>
              <w:t>20</w:t>
            </w:r>
          </w:p>
        </w:tc>
        <w:tc>
          <w:tcPr>
            <w:tcW w:w="1440" w:type="pct"/>
            <w:vAlign w:val="center"/>
          </w:tcPr>
          <w:p w14:paraId="021ACE92">
            <w:pPr>
              <w:pStyle w:val="298"/>
              <w:rPr>
                <w:color w:val="auto"/>
              </w:rPr>
            </w:pPr>
            <w:r>
              <w:rPr>
                <w:color w:val="auto"/>
              </w:rPr>
              <w:t>291.8269</w:t>
            </w:r>
          </w:p>
        </w:tc>
        <w:tc>
          <w:tcPr>
            <w:tcW w:w="1999" w:type="pct"/>
            <w:tcBorders>
              <w:right w:val="nil"/>
            </w:tcBorders>
            <w:vAlign w:val="center"/>
          </w:tcPr>
          <w:p w14:paraId="6AD9510F">
            <w:pPr>
              <w:pStyle w:val="298"/>
              <w:rPr>
                <w:color w:val="auto"/>
              </w:rPr>
            </w:pPr>
            <w:r>
              <w:rPr>
                <w:color w:val="auto"/>
              </w:rPr>
              <w:t>687.7421</w:t>
            </w:r>
          </w:p>
        </w:tc>
      </w:tr>
      <w:tr w14:paraId="4175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227B12B6">
            <w:pPr>
              <w:pStyle w:val="298"/>
              <w:rPr>
                <w:color w:val="auto"/>
              </w:rPr>
            </w:pPr>
            <w:r>
              <w:rPr>
                <w:color w:val="auto"/>
              </w:rPr>
              <w:t>40</w:t>
            </w:r>
          </w:p>
        </w:tc>
        <w:tc>
          <w:tcPr>
            <w:tcW w:w="1440" w:type="pct"/>
            <w:vAlign w:val="center"/>
          </w:tcPr>
          <w:p w14:paraId="76A6E246">
            <w:pPr>
              <w:pStyle w:val="298"/>
              <w:rPr>
                <w:color w:val="auto"/>
              </w:rPr>
            </w:pPr>
            <w:r>
              <w:rPr>
                <w:color w:val="auto"/>
              </w:rPr>
              <w:t>45.32133</w:t>
            </w:r>
          </w:p>
        </w:tc>
        <w:tc>
          <w:tcPr>
            <w:tcW w:w="1999" w:type="pct"/>
            <w:tcBorders>
              <w:right w:val="nil"/>
            </w:tcBorders>
            <w:vAlign w:val="center"/>
          </w:tcPr>
          <w:p w14:paraId="46DAD736">
            <w:pPr>
              <w:pStyle w:val="298"/>
              <w:rPr>
                <w:color w:val="auto"/>
              </w:rPr>
            </w:pPr>
            <w:r>
              <w:rPr>
                <w:color w:val="auto"/>
              </w:rPr>
              <w:t>519.8015</w:t>
            </w:r>
          </w:p>
        </w:tc>
      </w:tr>
      <w:tr w14:paraId="149F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62198558">
            <w:pPr>
              <w:pStyle w:val="298"/>
              <w:rPr>
                <w:color w:val="auto"/>
              </w:rPr>
            </w:pPr>
            <w:r>
              <w:rPr>
                <w:color w:val="auto"/>
              </w:rPr>
              <w:t>60</w:t>
            </w:r>
          </w:p>
        </w:tc>
        <w:tc>
          <w:tcPr>
            <w:tcW w:w="1440" w:type="pct"/>
            <w:vAlign w:val="center"/>
          </w:tcPr>
          <w:p w14:paraId="60F49EDA">
            <w:pPr>
              <w:pStyle w:val="298"/>
              <w:rPr>
                <w:color w:val="auto"/>
              </w:rPr>
            </w:pPr>
            <w:r>
              <w:rPr>
                <w:color w:val="auto"/>
              </w:rPr>
              <w:t>2.913799</w:t>
            </w:r>
          </w:p>
        </w:tc>
        <w:tc>
          <w:tcPr>
            <w:tcW w:w="1999" w:type="pct"/>
            <w:tcBorders>
              <w:right w:val="nil"/>
            </w:tcBorders>
            <w:vAlign w:val="center"/>
          </w:tcPr>
          <w:p w14:paraId="0522947E">
            <w:pPr>
              <w:pStyle w:val="298"/>
              <w:rPr>
                <w:color w:val="auto"/>
              </w:rPr>
            </w:pPr>
            <w:r>
              <w:rPr>
                <w:color w:val="auto"/>
              </w:rPr>
              <w:t>364.908</w:t>
            </w:r>
          </w:p>
        </w:tc>
      </w:tr>
      <w:tr w14:paraId="52DD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5EF71A3B">
            <w:pPr>
              <w:pStyle w:val="298"/>
              <w:rPr>
                <w:color w:val="auto"/>
              </w:rPr>
            </w:pPr>
            <w:r>
              <w:rPr>
                <w:color w:val="auto"/>
              </w:rPr>
              <w:t>80</w:t>
            </w:r>
          </w:p>
        </w:tc>
        <w:tc>
          <w:tcPr>
            <w:tcW w:w="1440" w:type="pct"/>
            <w:vAlign w:val="center"/>
          </w:tcPr>
          <w:p w14:paraId="1833B47B">
            <w:pPr>
              <w:pStyle w:val="298"/>
              <w:rPr>
                <w:color w:val="auto"/>
              </w:rPr>
            </w:pPr>
            <w:r>
              <w:rPr>
                <w:color w:val="auto"/>
              </w:rPr>
              <w:t>0.07411231</w:t>
            </w:r>
          </w:p>
        </w:tc>
        <w:tc>
          <w:tcPr>
            <w:tcW w:w="1999" w:type="pct"/>
            <w:tcBorders>
              <w:right w:val="nil"/>
            </w:tcBorders>
            <w:vAlign w:val="center"/>
          </w:tcPr>
          <w:p w14:paraId="461241DB">
            <w:pPr>
              <w:pStyle w:val="298"/>
              <w:rPr>
                <w:color w:val="auto"/>
              </w:rPr>
            </w:pPr>
            <w:r>
              <w:rPr>
                <w:color w:val="auto"/>
              </w:rPr>
              <w:t>236.8423</w:t>
            </w:r>
          </w:p>
        </w:tc>
      </w:tr>
      <w:tr w14:paraId="6A5D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520B08FE">
            <w:pPr>
              <w:pStyle w:val="298"/>
              <w:rPr>
                <w:color w:val="auto"/>
              </w:rPr>
            </w:pPr>
            <w:r>
              <w:rPr>
                <w:color w:val="auto"/>
              </w:rPr>
              <w:t>100</w:t>
            </w:r>
          </w:p>
        </w:tc>
        <w:tc>
          <w:tcPr>
            <w:tcW w:w="1440" w:type="pct"/>
            <w:vAlign w:val="center"/>
          </w:tcPr>
          <w:p w14:paraId="66F1D2CA">
            <w:pPr>
              <w:pStyle w:val="298"/>
              <w:rPr>
                <w:color w:val="auto"/>
              </w:rPr>
            </w:pPr>
            <w:r>
              <w:rPr>
                <w:color w:val="auto"/>
              </w:rPr>
              <w:t>0.0007277488</w:t>
            </w:r>
          </w:p>
        </w:tc>
        <w:tc>
          <w:tcPr>
            <w:tcW w:w="1999" w:type="pct"/>
            <w:tcBorders>
              <w:right w:val="nil"/>
            </w:tcBorders>
            <w:vAlign w:val="center"/>
          </w:tcPr>
          <w:p w14:paraId="74598028">
            <w:pPr>
              <w:pStyle w:val="298"/>
              <w:rPr>
                <w:color w:val="auto"/>
              </w:rPr>
            </w:pPr>
            <w:r>
              <w:rPr>
                <w:color w:val="auto"/>
              </w:rPr>
              <w:t>141.597</w:t>
            </w:r>
          </w:p>
        </w:tc>
      </w:tr>
      <w:tr w14:paraId="378D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444E4BC6">
            <w:pPr>
              <w:pStyle w:val="298"/>
              <w:rPr>
                <w:color w:val="auto"/>
              </w:rPr>
            </w:pPr>
            <w:r>
              <w:rPr>
                <w:color w:val="auto"/>
              </w:rPr>
              <w:t>120</w:t>
            </w:r>
          </w:p>
        </w:tc>
        <w:tc>
          <w:tcPr>
            <w:tcW w:w="1440" w:type="pct"/>
            <w:vAlign w:val="center"/>
          </w:tcPr>
          <w:p w14:paraId="328FBA35">
            <w:pPr>
              <w:pStyle w:val="298"/>
              <w:rPr>
                <w:color w:val="auto"/>
              </w:rPr>
            </w:pPr>
            <w:r>
              <w:rPr>
                <w:color w:val="auto"/>
              </w:rPr>
              <w:t>2.719969E-06</w:t>
            </w:r>
          </w:p>
        </w:tc>
        <w:tc>
          <w:tcPr>
            <w:tcW w:w="1999" w:type="pct"/>
            <w:tcBorders>
              <w:right w:val="nil"/>
            </w:tcBorders>
            <w:vAlign w:val="center"/>
          </w:tcPr>
          <w:p w14:paraId="3FC399AC">
            <w:pPr>
              <w:pStyle w:val="298"/>
              <w:rPr>
                <w:color w:val="auto"/>
              </w:rPr>
            </w:pPr>
            <w:r>
              <w:rPr>
                <w:color w:val="auto"/>
              </w:rPr>
              <w:t>77.74596</w:t>
            </w:r>
          </w:p>
        </w:tc>
      </w:tr>
      <w:tr w14:paraId="6F43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0C28B9ED">
            <w:pPr>
              <w:pStyle w:val="298"/>
              <w:rPr>
                <w:color w:val="auto"/>
              </w:rPr>
            </w:pPr>
            <w:r>
              <w:rPr>
                <w:color w:val="auto"/>
              </w:rPr>
              <w:t>140</w:t>
            </w:r>
          </w:p>
        </w:tc>
        <w:tc>
          <w:tcPr>
            <w:tcW w:w="1440" w:type="pct"/>
            <w:vAlign w:val="center"/>
          </w:tcPr>
          <w:p w14:paraId="6654A257">
            <w:pPr>
              <w:pStyle w:val="298"/>
              <w:rPr>
                <w:color w:val="auto"/>
              </w:rPr>
            </w:pPr>
            <w:r>
              <w:rPr>
                <w:color w:val="auto"/>
              </w:rPr>
              <w:t>3.98686E-09</w:t>
            </w:r>
          </w:p>
        </w:tc>
        <w:tc>
          <w:tcPr>
            <w:tcW w:w="1999" w:type="pct"/>
            <w:tcBorders>
              <w:right w:val="nil"/>
            </w:tcBorders>
            <w:vAlign w:val="center"/>
          </w:tcPr>
          <w:p w14:paraId="7CDE4DDE">
            <w:pPr>
              <w:pStyle w:val="298"/>
              <w:rPr>
                <w:color w:val="auto"/>
              </w:rPr>
            </w:pPr>
            <w:r>
              <w:rPr>
                <w:color w:val="auto"/>
              </w:rPr>
              <w:t>39.11079</w:t>
            </w:r>
          </w:p>
        </w:tc>
      </w:tr>
      <w:tr w14:paraId="6EDF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50ADFC66">
            <w:pPr>
              <w:pStyle w:val="298"/>
              <w:rPr>
                <w:color w:val="auto"/>
              </w:rPr>
            </w:pPr>
            <w:r>
              <w:rPr>
                <w:color w:val="auto"/>
              </w:rPr>
              <w:t>160</w:t>
            </w:r>
          </w:p>
        </w:tc>
        <w:tc>
          <w:tcPr>
            <w:tcW w:w="1440" w:type="pct"/>
            <w:vAlign w:val="center"/>
          </w:tcPr>
          <w:p w14:paraId="59B09446">
            <w:pPr>
              <w:pStyle w:val="298"/>
              <w:rPr>
                <w:color w:val="auto"/>
              </w:rPr>
            </w:pPr>
            <w:r>
              <w:rPr>
                <w:color w:val="auto"/>
              </w:rPr>
              <w:t>2.111655E-12</w:t>
            </w:r>
          </w:p>
        </w:tc>
        <w:tc>
          <w:tcPr>
            <w:tcW w:w="1999" w:type="pct"/>
            <w:tcBorders>
              <w:right w:val="nil"/>
            </w:tcBorders>
            <w:vAlign w:val="center"/>
          </w:tcPr>
          <w:p w14:paraId="2B362335">
            <w:pPr>
              <w:pStyle w:val="298"/>
              <w:rPr>
                <w:color w:val="auto"/>
              </w:rPr>
            </w:pPr>
            <w:r>
              <w:rPr>
                <w:color w:val="auto"/>
              </w:rPr>
              <w:t>17.99204</w:t>
            </w:r>
          </w:p>
        </w:tc>
      </w:tr>
      <w:tr w14:paraId="4676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68184817">
            <w:pPr>
              <w:pStyle w:val="298"/>
              <w:rPr>
                <w:color w:val="auto"/>
              </w:rPr>
            </w:pPr>
            <w:r>
              <w:rPr>
                <w:color w:val="auto"/>
              </w:rPr>
              <w:t>180</w:t>
            </w:r>
          </w:p>
        </w:tc>
        <w:tc>
          <w:tcPr>
            <w:tcW w:w="1440" w:type="pct"/>
            <w:vAlign w:val="center"/>
          </w:tcPr>
          <w:p w14:paraId="3529E88A">
            <w:pPr>
              <w:pStyle w:val="298"/>
              <w:rPr>
                <w:color w:val="auto"/>
              </w:rPr>
            </w:pPr>
            <w:r>
              <w:rPr>
                <w:color w:val="auto"/>
              </w:rPr>
              <w:t>0</w:t>
            </w:r>
          </w:p>
        </w:tc>
        <w:tc>
          <w:tcPr>
            <w:tcW w:w="1999" w:type="pct"/>
            <w:tcBorders>
              <w:right w:val="nil"/>
            </w:tcBorders>
            <w:vAlign w:val="center"/>
          </w:tcPr>
          <w:p w14:paraId="66C8A35D">
            <w:pPr>
              <w:pStyle w:val="298"/>
              <w:rPr>
                <w:color w:val="auto"/>
              </w:rPr>
            </w:pPr>
            <w:r>
              <w:rPr>
                <w:color w:val="auto"/>
              </w:rPr>
              <w:t>7.557174</w:t>
            </w:r>
          </w:p>
        </w:tc>
      </w:tr>
      <w:tr w14:paraId="1BA2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1B76E3A0">
            <w:pPr>
              <w:pStyle w:val="298"/>
              <w:rPr>
                <w:color w:val="auto"/>
              </w:rPr>
            </w:pPr>
            <w:r>
              <w:rPr>
                <w:color w:val="auto"/>
              </w:rPr>
              <w:t>200</w:t>
            </w:r>
          </w:p>
        </w:tc>
        <w:tc>
          <w:tcPr>
            <w:tcW w:w="1440" w:type="pct"/>
            <w:vAlign w:val="center"/>
          </w:tcPr>
          <w:p w14:paraId="0E7A4839">
            <w:pPr>
              <w:pStyle w:val="298"/>
              <w:rPr>
                <w:color w:val="auto"/>
              </w:rPr>
            </w:pPr>
          </w:p>
        </w:tc>
        <w:tc>
          <w:tcPr>
            <w:tcW w:w="1999" w:type="pct"/>
            <w:tcBorders>
              <w:right w:val="nil"/>
            </w:tcBorders>
            <w:vAlign w:val="center"/>
          </w:tcPr>
          <w:p w14:paraId="1EB2BD1A">
            <w:pPr>
              <w:pStyle w:val="298"/>
              <w:rPr>
                <w:color w:val="auto"/>
              </w:rPr>
            </w:pPr>
            <w:r>
              <w:rPr>
                <w:color w:val="auto"/>
              </w:rPr>
              <w:t>2.894607</w:t>
            </w:r>
          </w:p>
        </w:tc>
      </w:tr>
      <w:tr w14:paraId="2498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1F7048E5">
            <w:pPr>
              <w:pStyle w:val="298"/>
              <w:rPr>
                <w:color w:val="auto"/>
              </w:rPr>
            </w:pPr>
            <w:r>
              <w:rPr>
                <w:color w:val="auto"/>
              </w:rPr>
              <w:t>220</w:t>
            </w:r>
          </w:p>
        </w:tc>
        <w:tc>
          <w:tcPr>
            <w:tcW w:w="1440" w:type="pct"/>
            <w:vAlign w:val="center"/>
          </w:tcPr>
          <w:p w14:paraId="3DB3E0B6">
            <w:pPr>
              <w:pStyle w:val="298"/>
              <w:rPr>
                <w:color w:val="auto"/>
              </w:rPr>
            </w:pPr>
          </w:p>
        </w:tc>
        <w:tc>
          <w:tcPr>
            <w:tcW w:w="1999" w:type="pct"/>
            <w:tcBorders>
              <w:right w:val="nil"/>
            </w:tcBorders>
            <w:vAlign w:val="center"/>
          </w:tcPr>
          <w:p w14:paraId="7FE5F00C">
            <w:pPr>
              <w:pStyle w:val="298"/>
              <w:rPr>
                <w:color w:val="auto"/>
              </w:rPr>
            </w:pPr>
            <w:r>
              <w:rPr>
                <w:color w:val="auto"/>
              </w:rPr>
              <w:t>1.010011</w:t>
            </w:r>
          </w:p>
        </w:tc>
      </w:tr>
      <w:tr w14:paraId="4F2FB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58119249">
            <w:pPr>
              <w:pStyle w:val="298"/>
              <w:rPr>
                <w:color w:val="auto"/>
              </w:rPr>
            </w:pPr>
            <w:r>
              <w:rPr>
                <w:color w:val="auto"/>
              </w:rPr>
              <w:t>240</w:t>
            </w:r>
          </w:p>
        </w:tc>
        <w:tc>
          <w:tcPr>
            <w:tcW w:w="1440" w:type="pct"/>
            <w:vAlign w:val="center"/>
          </w:tcPr>
          <w:p w14:paraId="33DA8F8A">
            <w:pPr>
              <w:pStyle w:val="298"/>
              <w:rPr>
                <w:color w:val="auto"/>
              </w:rPr>
            </w:pPr>
          </w:p>
        </w:tc>
        <w:tc>
          <w:tcPr>
            <w:tcW w:w="1999" w:type="pct"/>
            <w:tcBorders>
              <w:right w:val="nil"/>
            </w:tcBorders>
            <w:vAlign w:val="center"/>
          </w:tcPr>
          <w:p w14:paraId="0D49C297">
            <w:pPr>
              <w:pStyle w:val="298"/>
              <w:rPr>
                <w:color w:val="auto"/>
              </w:rPr>
            </w:pPr>
            <w:r>
              <w:rPr>
                <w:color w:val="auto"/>
              </w:rPr>
              <w:t>0.3207756</w:t>
            </w:r>
          </w:p>
        </w:tc>
      </w:tr>
      <w:tr w14:paraId="426F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269ADC60">
            <w:pPr>
              <w:pStyle w:val="298"/>
              <w:rPr>
                <w:color w:val="auto"/>
              </w:rPr>
            </w:pPr>
            <w:r>
              <w:rPr>
                <w:color w:val="auto"/>
              </w:rPr>
              <w:t>260</w:t>
            </w:r>
          </w:p>
        </w:tc>
        <w:tc>
          <w:tcPr>
            <w:tcW w:w="1440" w:type="pct"/>
            <w:vAlign w:val="center"/>
          </w:tcPr>
          <w:p w14:paraId="47B3B0F5">
            <w:pPr>
              <w:pStyle w:val="298"/>
              <w:rPr>
                <w:color w:val="auto"/>
              </w:rPr>
            </w:pPr>
          </w:p>
        </w:tc>
        <w:tc>
          <w:tcPr>
            <w:tcW w:w="1999" w:type="pct"/>
            <w:tcBorders>
              <w:right w:val="nil"/>
            </w:tcBorders>
            <w:vAlign w:val="center"/>
          </w:tcPr>
          <w:p w14:paraId="26F324DD">
            <w:pPr>
              <w:pStyle w:val="298"/>
              <w:rPr>
                <w:color w:val="auto"/>
              </w:rPr>
            </w:pPr>
            <w:r>
              <w:rPr>
                <w:color w:val="auto"/>
              </w:rPr>
              <w:t>0.09266388</w:t>
            </w:r>
          </w:p>
        </w:tc>
      </w:tr>
      <w:tr w14:paraId="3C78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13B7B8BD">
            <w:pPr>
              <w:pStyle w:val="298"/>
              <w:rPr>
                <w:color w:val="auto"/>
              </w:rPr>
            </w:pPr>
            <w:r>
              <w:rPr>
                <w:color w:val="auto"/>
              </w:rPr>
              <w:t>280</w:t>
            </w:r>
          </w:p>
        </w:tc>
        <w:tc>
          <w:tcPr>
            <w:tcW w:w="1440" w:type="pct"/>
            <w:vAlign w:val="center"/>
          </w:tcPr>
          <w:p w14:paraId="1D443A2F">
            <w:pPr>
              <w:pStyle w:val="298"/>
              <w:rPr>
                <w:color w:val="auto"/>
              </w:rPr>
            </w:pPr>
          </w:p>
        </w:tc>
        <w:tc>
          <w:tcPr>
            <w:tcW w:w="1999" w:type="pct"/>
            <w:tcBorders>
              <w:right w:val="nil"/>
            </w:tcBorders>
            <w:vAlign w:val="center"/>
          </w:tcPr>
          <w:p w14:paraId="3FFA256E">
            <w:pPr>
              <w:pStyle w:val="298"/>
              <w:rPr>
                <w:color w:val="auto"/>
              </w:rPr>
            </w:pPr>
            <w:r>
              <w:rPr>
                <w:color w:val="auto"/>
              </w:rPr>
              <w:t>0.0243331</w:t>
            </w:r>
          </w:p>
        </w:tc>
      </w:tr>
      <w:tr w14:paraId="7198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5E56492E">
            <w:pPr>
              <w:pStyle w:val="298"/>
              <w:rPr>
                <w:color w:val="auto"/>
              </w:rPr>
            </w:pPr>
            <w:r>
              <w:rPr>
                <w:color w:val="auto"/>
              </w:rPr>
              <w:t>300</w:t>
            </w:r>
          </w:p>
        </w:tc>
        <w:tc>
          <w:tcPr>
            <w:tcW w:w="1440" w:type="pct"/>
            <w:vAlign w:val="center"/>
          </w:tcPr>
          <w:p w14:paraId="3A63AE5C">
            <w:pPr>
              <w:pStyle w:val="298"/>
              <w:rPr>
                <w:color w:val="auto"/>
              </w:rPr>
            </w:pPr>
          </w:p>
        </w:tc>
        <w:tc>
          <w:tcPr>
            <w:tcW w:w="1999" w:type="pct"/>
            <w:tcBorders>
              <w:right w:val="nil"/>
            </w:tcBorders>
            <w:vAlign w:val="center"/>
          </w:tcPr>
          <w:p w14:paraId="6AA37293">
            <w:pPr>
              <w:pStyle w:val="298"/>
              <w:rPr>
                <w:color w:val="auto"/>
              </w:rPr>
            </w:pPr>
            <w:r>
              <w:rPr>
                <w:color w:val="auto"/>
              </w:rPr>
              <w:t>0.005805582</w:t>
            </w:r>
          </w:p>
        </w:tc>
      </w:tr>
      <w:tr w14:paraId="0BB3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1AC894C0">
            <w:pPr>
              <w:pStyle w:val="298"/>
              <w:rPr>
                <w:color w:val="auto"/>
              </w:rPr>
            </w:pPr>
            <w:r>
              <w:rPr>
                <w:color w:val="auto"/>
              </w:rPr>
              <w:t>320</w:t>
            </w:r>
          </w:p>
        </w:tc>
        <w:tc>
          <w:tcPr>
            <w:tcW w:w="1440" w:type="pct"/>
            <w:vAlign w:val="center"/>
          </w:tcPr>
          <w:p w14:paraId="38EACFA4">
            <w:pPr>
              <w:pStyle w:val="298"/>
              <w:rPr>
                <w:color w:val="auto"/>
              </w:rPr>
            </w:pPr>
          </w:p>
        </w:tc>
        <w:tc>
          <w:tcPr>
            <w:tcW w:w="1999" w:type="pct"/>
            <w:tcBorders>
              <w:right w:val="nil"/>
            </w:tcBorders>
            <w:vAlign w:val="center"/>
          </w:tcPr>
          <w:p w14:paraId="2F3F8009">
            <w:pPr>
              <w:pStyle w:val="298"/>
              <w:rPr>
                <w:color w:val="auto"/>
              </w:rPr>
            </w:pPr>
            <w:r>
              <w:rPr>
                <w:color w:val="auto"/>
              </w:rPr>
              <w:t>0.001257973</w:t>
            </w:r>
          </w:p>
        </w:tc>
      </w:tr>
      <w:tr w14:paraId="37B4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6301C15F">
            <w:pPr>
              <w:pStyle w:val="298"/>
              <w:rPr>
                <w:color w:val="auto"/>
              </w:rPr>
            </w:pPr>
            <w:r>
              <w:rPr>
                <w:color w:val="auto"/>
              </w:rPr>
              <w:t>340</w:t>
            </w:r>
          </w:p>
        </w:tc>
        <w:tc>
          <w:tcPr>
            <w:tcW w:w="1440" w:type="pct"/>
            <w:vAlign w:val="center"/>
          </w:tcPr>
          <w:p w14:paraId="4A538452">
            <w:pPr>
              <w:pStyle w:val="298"/>
              <w:rPr>
                <w:color w:val="auto"/>
              </w:rPr>
            </w:pPr>
          </w:p>
        </w:tc>
        <w:tc>
          <w:tcPr>
            <w:tcW w:w="1999" w:type="pct"/>
            <w:tcBorders>
              <w:right w:val="nil"/>
            </w:tcBorders>
            <w:vAlign w:val="center"/>
          </w:tcPr>
          <w:p w14:paraId="4F1A8B57">
            <w:pPr>
              <w:pStyle w:val="298"/>
              <w:rPr>
                <w:color w:val="auto"/>
              </w:rPr>
            </w:pPr>
            <w:r>
              <w:rPr>
                <w:color w:val="auto"/>
              </w:rPr>
              <w:t>0.0002474661</w:t>
            </w:r>
          </w:p>
        </w:tc>
      </w:tr>
      <w:tr w14:paraId="1075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709DC227">
            <w:pPr>
              <w:pStyle w:val="298"/>
              <w:rPr>
                <w:color w:val="auto"/>
              </w:rPr>
            </w:pPr>
            <w:r>
              <w:rPr>
                <w:color w:val="auto"/>
              </w:rPr>
              <w:t>360</w:t>
            </w:r>
          </w:p>
        </w:tc>
        <w:tc>
          <w:tcPr>
            <w:tcW w:w="1440" w:type="pct"/>
            <w:vAlign w:val="center"/>
          </w:tcPr>
          <w:p w14:paraId="75A58722">
            <w:pPr>
              <w:pStyle w:val="298"/>
              <w:rPr>
                <w:color w:val="auto"/>
              </w:rPr>
            </w:pPr>
          </w:p>
        </w:tc>
        <w:tc>
          <w:tcPr>
            <w:tcW w:w="1999" w:type="pct"/>
            <w:tcBorders>
              <w:right w:val="nil"/>
            </w:tcBorders>
            <w:vAlign w:val="center"/>
          </w:tcPr>
          <w:p w14:paraId="7CD5769C">
            <w:pPr>
              <w:pStyle w:val="298"/>
              <w:rPr>
                <w:color w:val="auto"/>
              </w:rPr>
            </w:pPr>
            <w:r>
              <w:rPr>
                <w:color w:val="auto"/>
              </w:rPr>
              <w:t>4.41817E-05</w:t>
            </w:r>
          </w:p>
        </w:tc>
      </w:tr>
      <w:tr w14:paraId="4A0D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43C71C1F">
            <w:pPr>
              <w:pStyle w:val="298"/>
              <w:rPr>
                <w:color w:val="auto"/>
              </w:rPr>
            </w:pPr>
            <w:r>
              <w:rPr>
                <w:color w:val="auto"/>
              </w:rPr>
              <w:t>380</w:t>
            </w:r>
          </w:p>
        </w:tc>
        <w:tc>
          <w:tcPr>
            <w:tcW w:w="1440" w:type="pct"/>
            <w:vAlign w:val="center"/>
          </w:tcPr>
          <w:p w14:paraId="02129FC6">
            <w:pPr>
              <w:pStyle w:val="298"/>
              <w:rPr>
                <w:color w:val="auto"/>
              </w:rPr>
            </w:pPr>
          </w:p>
        </w:tc>
        <w:tc>
          <w:tcPr>
            <w:tcW w:w="1999" w:type="pct"/>
            <w:tcBorders>
              <w:right w:val="nil"/>
            </w:tcBorders>
            <w:vAlign w:val="center"/>
          </w:tcPr>
          <w:p w14:paraId="734EC57D">
            <w:pPr>
              <w:pStyle w:val="298"/>
              <w:rPr>
                <w:color w:val="auto"/>
              </w:rPr>
            </w:pPr>
            <w:r>
              <w:rPr>
                <w:color w:val="auto"/>
              </w:rPr>
              <w:t>7.157022E-06</w:t>
            </w:r>
          </w:p>
        </w:tc>
      </w:tr>
      <w:tr w14:paraId="0CEE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5EF14CBB">
            <w:pPr>
              <w:pStyle w:val="298"/>
              <w:rPr>
                <w:color w:val="auto"/>
              </w:rPr>
            </w:pPr>
          </w:p>
        </w:tc>
        <w:tc>
          <w:tcPr>
            <w:tcW w:w="1440" w:type="pct"/>
            <w:vAlign w:val="center"/>
          </w:tcPr>
          <w:p w14:paraId="05794254">
            <w:pPr>
              <w:pStyle w:val="298"/>
              <w:rPr>
                <w:color w:val="auto"/>
              </w:rPr>
            </w:pPr>
          </w:p>
        </w:tc>
        <w:tc>
          <w:tcPr>
            <w:tcW w:w="1999" w:type="pct"/>
            <w:tcBorders>
              <w:right w:val="nil"/>
            </w:tcBorders>
            <w:vAlign w:val="center"/>
          </w:tcPr>
          <w:p w14:paraId="3B5F30E6">
            <w:pPr>
              <w:pStyle w:val="298"/>
              <w:rPr>
                <w:color w:val="auto"/>
              </w:rPr>
            </w:pPr>
            <w:r>
              <w:rPr>
                <w:color w:val="auto"/>
              </w:rPr>
              <w:t>1.051675E-06</w:t>
            </w:r>
          </w:p>
        </w:tc>
      </w:tr>
      <w:tr w14:paraId="0369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vAlign w:val="center"/>
          </w:tcPr>
          <w:p w14:paraId="5F7C6EF5">
            <w:pPr>
              <w:pStyle w:val="298"/>
              <w:rPr>
                <w:color w:val="auto"/>
              </w:rPr>
            </w:pPr>
          </w:p>
        </w:tc>
        <w:tc>
          <w:tcPr>
            <w:tcW w:w="1440" w:type="pct"/>
            <w:vAlign w:val="center"/>
          </w:tcPr>
          <w:p w14:paraId="782BA3B7">
            <w:pPr>
              <w:pStyle w:val="298"/>
              <w:rPr>
                <w:color w:val="auto"/>
              </w:rPr>
            </w:pPr>
          </w:p>
        </w:tc>
        <w:tc>
          <w:tcPr>
            <w:tcW w:w="1999" w:type="pct"/>
            <w:tcBorders>
              <w:right w:val="nil"/>
            </w:tcBorders>
            <w:vAlign w:val="center"/>
          </w:tcPr>
          <w:p w14:paraId="33F4ED94">
            <w:pPr>
              <w:pStyle w:val="298"/>
              <w:rPr>
                <w:color w:val="auto"/>
              </w:rPr>
            </w:pPr>
          </w:p>
        </w:tc>
      </w:tr>
      <w:tr w14:paraId="1813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tcBorders>
          </w:tcPr>
          <w:p w14:paraId="2B5E8C43">
            <w:pPr>
              <w:pStyle w:val="298"/>
              <w:rPr>
                <w:color w:val="auto"/>
              </w:rPr>
            </w:pPr>
            <w:r>
              <w:rPr>
                <w:color w:val="auto"/>
              </w:rPr>
              <w:t>超标范围限值（Ⅲ类标准）</w:t>
            </w:r>
          </w:p>
        </w:tc>
        <w:tc>
          <w:tcPr>
            <w:tcW w:w="3439" w:type="pct"/>
            <w:gridSpan w:val="2"/>
            <w:vAlign w:val="center"/>
          </w:tcPr>
          <w:p w14:paraId="385393EB">
            <w:pPr>
              <w:pStyle w:val="298"/>
              <w:rPr>
                <w:color w:val="auto"/>
              </w:rPr>
            </w:pPr>
            <w:r>
              <w:rPr>
                <w:color w:val="auto"/>
                <w:szCs w:val="21"/>
              </w:rPr>
              <w:t>4</w:t>
            </w:r>
          </w:p>
        </w:tc>
      </w:tr>
      <w:tr w14:paraId="36B4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tcBorders>
              <w:left w:val="nil"/>
              <w:bottom w:val="thinThickSmallGap" w:color="auto" w:sz="12" w:space="0"/>
            </w:tcBorders>
          </w:tcPr>
          <w:p w14:paraId="3238178E">
            <w:pPr>
              <w:pStyle w:val="298"/>
              <w:rPr>
                <w:color w:val="auto"/>
              </w:rPr>
            </w:pPr>
            <w:r>
              <w:rPr>
                <w:color w:val="auto"/>
              </w:rPr>
              <w:t>影响范围限值（Ⅰ标准）</w:t>
            </w:r>
          </w:p>
        </w:tc>
        <w:tc>
          <w:tcPr>
            <w:tcW w:w="3439" w:type="pct"/>
            <w:gridSpan w:val="2"/>
            <w:tcBorders>
              <w:bottom w:val="thinThickSmallGap" w:color="auto" w:sz="12" w:space="0"/>
            </w:tcBorders>
            <w:vAlign w:val="center"/>
          </w:tcPr>
          <w:p w14:paraId="1A41DD57">
            <w:pPr>
              <w:pStyle w:val="298"/>
              <w:rPr>
                <w:color w:val="auto"/>
                <w:szCs w:val="21"/>
              </w:rPr>
            </w:pPr>
            <w:r>
              <w:rPr>
                <w:color w:val="auto"/>
                <w:szCs w:val="21"/>
              </w:rPr>
              <w:t>3</w:t>
            </w:r>
          </w:p>
        </w:tc>
      </w:tr>
    </w:tbl>
    <w:p w14:paraId="49233E0C">
      <w:pPr>
        <w:pStyle w:val="296"/>
        <w:ind w:firstLine="0" w:firstLineChars="0"/>
        <w:jc w:val="left"/>
        <w:rPr>
          <w:rFonts w:cs="Times New Roman"/>
          <w:color w:val="FF0000"/>
        </w:rPr>
      </w:pPr>
      <w:r>
        <w:rPr>
          <w:rFonts w:cs="Times New Roman"/>
          <w:color w:val="FF0000"/>
        </w:rPr>
        <w:t xml:space="preserve">  </w:t>
      </w:r>
      <w:r>
        <w:rPr>
          <w:rFonts w:cs="Times New Roman"/>
        </w:rPr>
        <w:drawing>
          <wp:inline distT="0" distB="0" distL="0" distR="0">
            <wp:extent cx="2422525" cy="1475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423902" cy="1476746"/>
                    </a:xfrm>
                    <a:prstGeom prst="rect">
                      <a:avLst/>
                    </a:prstGeom>
                  </pic:spPr>
                </pic:pic>
              </a:graphicData>
            </a:graphic>
          </wp:inline>
        </w:drawing>
      </w:r>
      <w:r>
        <w:rPr>
          <w:rFonts w:cs="Times New Roman"/>
          <w:color w:val="FF0000"/>
        </w:rPr>
        <w:t xml:space="preserve">      </w:t>
      </w:r>
      <w:r>
        <w:rPr>
          <w:rFonts w:cs="Times New Roman"/>
        </w:rPr>
        <w:drawing>
          <wp:inline distT="0" distB="0" distL="0" distR="0">
            <wp:extent cx="2444750" cy="149606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2"/>
                    <a:stretch>
                      <a:fillRect/>
                    </a:stretch>
                  </pic:blipFill>
                  <pic:spPr>
                    <a:xfrm>
                      <a:off x="0" y="0"/>
                      <a:ext cx="2445331" cy="1496652"/>
                    </a:xfrm>
                    <a:prstGeom prst="rect">
                      <a:avLst/>
                    </a:prstGeom>
                  </pic:spPr>
                </pic:pic>
              </a:graphicData>
            </a:graphic>
          </wp:inline>
        </w:drawing>
      </w:r>
    </w:p>
    <w:p w14:paraId="04FD46B7">
      <w:pPr>
        <w:pStyle w:val="296"/>
        <w:ind w:firstLine="198" w:firstLineChars="82"/>
        <w:rPr>
          <w:rFonts w:cs="Times New Roman"/>
          <w:b/>
          <w:sz w:val="18"/>
          <w:szCs w:val="18"/>
        </w:rPr>
      </w:pPr>
      <w:r>
        <w:rPr>
          <w:rFonts w:cs="Times New Roman"/>
          <w:b/>
        </w:rPr>
        <w:t>100d后项目区下游BOD</w:t>
      </w:r>
      <w:r>
        <w:rPr>
          <w:rFonts w:cs="Times New Roman"/>
          <w:b/>
          <w:vertAlign w:val="subscript"/>
        </w:rPr>
        <w:t>5</w:t>
      </w:r>
      <w:r>
        <w:rPr>
          <w:rFonts w:cs="Times New Roman"/>
          <w:b/>
        </w:rPr>
        <w:t>浓度变化</w:t>
      </w:r>
      <w:r>
        <w:rPr>
          <w:rFonts w:cs="Times New Roman"/>
          <w:b/>
          <w:sz w:val="18"/>
          <w:szCs w:val="18"/>
        </w:rPr>
        <w:t xml:space="preserve">   </w:t>
      </w:r>
      <w:r>
        <w:rPr>
          <w:rFonts w:cs="Times New Roman"/>
          <w:b/>
        </w:rPr>
        <w:t xml:space="preserve">      1000d后项目区下游BOD</w:t>
      </w:r>
      <w:r>
        <w:rPr>
          <w:rFonts w:cs="Times New Roman"/>
          <w:b/>
          <w:vertAlign w:val="subscript"/>
        </w:rPr>
        <w:t>5</w:t>
      </w:r>
      <w:r>
        <w:rPr>
          <w:rFonts w:cs="Times New Roman"/>
          <w:b/>
        </w:rPr>
        <w:t>浓度变化</w:t>
      </w:r>
    </w:p>
    <w:p w14:paraId="409C837D">
      <w:pPr>
        <w:pStyle w:val="63"/>
        <w:spacing w:before="120" w:after="120"/>
      </w:pPr>
      <w:r>
        <w:t>表6.3-4  氨氮不同时间对下游地下水的预测值  单位mg/L</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9"/>
        <w:gridCol w:w="3050"/>
        <w:gridCol w:w="3537"/>
      </w:tblGrid>
      <w:tr w14:paraId="0016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top w:val="thinThickSmallGap" w:color="auto" w:sz="12" w:space="0"/>
              <w:left w:val="nil"/>
              <w:tl2br w:val="single" w:color="auto" w:sz="4" w:space="0"/>
            </w:tcBorders>
            <w:vAlign w:val="center"/>
          </w:tcPr>
          <w:p w14:paraId="0CF1AD71">
            <w:pPr>
              <w:pStyle w:val="298"/>
              <w:rPr>
                <w:color w:val="auto"/>
              </w:rPr>
            </w:pPr>
            <w:r>
              <w:rPr>
                <w:color w:val="auto"/>
              </w:rPr>
              <w:t>时间</w:t>
            </w:r>
          </w:p>
          <w:p w14:paraId="6D98798E">
            <w:pPr>
              <w:pStyle w:val="298"/>
              <w:rPr>
                <w:color w:val="auto"/>
              </w:rPr>
            </w:pPr>
            <w:r>
              <w:rPr>
                <w:color w:val="auto"/>
              </w:rPr>
              <w:t>距离</w:t>
            </w:r>
          </w:p>
        </w:tc>
        <w:tc>
          <w:tcPr>
            <w:tcW w:w="1724" w:type="pct"/>
            <w:tcBorders>
              <w:top w:val="thinThickSmallGap" w:color="auto" w:sz="12" w:space="0"/>
            </w:tcBorders>
            <w:vAlign w:val="center"/>
          </w:tcPr>
          <w:p w14:paraId="555E0B29">
            <w:pPr>
              <w:pStyle w:val="298"/>
              <w:rPr>
                <w:color w:val="auto"/>
              </w:rPr>
            </w:pPr>
            <w:r>
              <w:rPr>
                <w:color w:val="auto"/>
              </w:rPr>
              <w:t>100d</w:t>
            </w:r>
          </w:p>
        </w:tc>
        <w:tc>
          <w:tcPr>
            <w:tcW w:w="1999" w:type="pct"/>
            <w:tcBorders>
              <w:top w:val="thinThickSmallGap" w:color="auto" w:sz="12" w:space="0"/>
              <w:right w:val="nil"/>
            </w:tcBorders>
            <w:vAlign w:val="center"/>
          </w:tcPr>
          <w:p w14:paraId="13906301">
            <w:pPr>
              <w:pStyle w:val="298"/>
              <w:rPr>
                <w:color w:val="auto"/>
              </w:rPr>
            </w:pPr>
            <w:r>
              <w:rPr>
                <w:color w:val="auto"/>
              </w:rPr>
              <w:t>1000d</w:t>
            </w:r>
          </w:p>
        </w:tc>
      </w:tr>
      <w:tr w14:paraId="7158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2056290F">
            <w:pPr>
              <w:pStyle w:val="298"/>
              <w:rPr>
                <w:color w:val="auto"/>
              </w:rPr>
            </w:pPr>
            <w:r>
              <w:rPr>
                <w:color w:val="auto"/>
              </w:rPr>
              <w:t>0</w:t>
            </w:r>
          </w:p>
        </w:tc>
        <w:tc>
          <w:tcPr>
            <w:tcW w:w="1724" w:type="pct"/>
            <w:vAlign w:val="center"/>
          </w:tcPr>
          <w:p w14:paraId="6C6A56CA">
            <w:pPr>
              <w:pStyle w:val="298"/>
              <w:rPr>
                <w:color w:val="auto"/>
              </w:rPr>
            </w:pPr>
            <w:r>
              <w:rPr>
                <w:color w:val="auto"/>
              </w:rPr>
              <w:t>40</w:t>
            </w:r>
          </w:p>
        </w:tc>
        <w:tc>
          <w:tcPr>
            <w:tcW w:w="1999" w:type="pct"/>
            <w:tcBorders>
              <w:right w:val="nil"/>
            </w:tcBorders>
            <w:vAlign w:val="center"/>
          </w:tcPr>
          <w:p w14:paraId="505080EB">
            <w:pPr>
              <w:pStyle w:val="298"/>
              <w:rPr>
                <w:color w:val="auto"/>
              </w:rPr>
            </w:pPr>
            <w:r>
              <w:rPr>
                <w:color w:val="auto"/>
              </w:rPr>
              <w:t>40</w:t>
            </w:r>
          </w:p>
        </w:tc>
      </w:tr>
      <w:tr w14:paraId="52986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4319A14A">
            <w:pPr>
              <w:pStyle w:val="298"/>
              <w:rPr>
                <w:color w:val="auto"/>
              </w:rPr>
            </w:pPr>
            <w:r>
              <w:rPr>
                <w:color w:val="auto"/>
              </w:rPr>
              <w:t>20</w:t>
            </w:r>
          </w:p>
        </w:tc>
        <w:tc>
          <w:tcPr>
            <w:tcW w:w="1724" w:type="pct"/>
            <w:vAlign w:val="center"/>
          </w:tcPr>
          <w:p w14:paraId="1792B989">
            <w:pPr>
              <w:pStyle w:val="298"/>
              <w:rPr>
                <w:color w:val="auto"/>
              </w:rPr>
            </w:pPr>
            <w:r>
              <w:rPr>
                <w:color w:val="auto"/>
              </w:rPr>
              <w:t>13.73303</w:t>
            </w:r>
          </w:p>
        </w:tc>
        <w:tc>
          <w:tcPr>
            <w:tcW w:w="1999" w:type="pct"/>
            <w:tcBorders>
              <w:right w:val="nil"/>
            </w:tcBorders>
            <w:vAlign w:val="center"/>
          </w:tcPr>
          <w:p w14:paraId="354DCF9F">
            <w:pPr>
              <w:pStyle w:val="298"/>
              <w:rPr>
                <w:color w:val="auto"/>
              </w:rPr>
            </w:pPr>
            <w:r>
              <w:rPr>
                <w:color w:val="auto"/>
              </w:rPr>
              <w:t>32.58953</w:t>
            </w:r>
          </w:p>
        </w:tc>
      </w:tr>
      <w:tr w14:paraId="4120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43CA6360">
            <w:pPr>
              <w:pStyle w:val="298"/>
              <w:rPr>
                <w:color w:val="auto"/>
              </w:rPr>
            </w:pPr>
            <w:r>
              <w:rPr>
                <w:color w:val="auto"/>
              </w:rPr>
              <w:t>40</w:t>
            </w:r>
          </w:p>
        </w:tc>
        <w:tc>
          <w:tcPr>
            <w:tcW w:w="1724" w:type="pct"/>
            <w:vAlign w:val="center"/>
          </w:tcPr>
          <w:p w14:paraId="12A51B65">
            <w:pPr>
              <w:pStyle w:val="298"/>
              <w:rPr>
                <w:color w:val="auto"/>
              </w:rPr>
            </w:pPr>
            <w:r>
              <w:rPr>
                <w:color w:val="auto"/>
              </w:rPr>
              <w:t>2.132769</w:t>
            </w:r>
          </w:p>
        </w:tc>
        <w:tc>
          <w:tcPr>
            <w:tcW w:w="1999" w:type="pct"/>
            <w:tcBorders>
              <w:right w:val="nil"/>
            </w:tcBorders>
            <w:vAlign w:val="center"/>
          </w:tcPr>
          <w:p w14:paraId="427E8B87">
            <w:pPr>
              <w:pStyle w:val="298"/>
              <w:rPr>
                <w:color w:val="auto"/>
              </w:rPr>
            </w:pPr>
            <w:r>
              <w:rPr>
                <w:color w:val="auto"/>
              </w:rPr>
              <w:t>24.81234</w:t>
            </w:r>
          </w:p>
        </w:tc>
      </w:tr>
      <w:tr w14:paraId="1471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3E8506F5">
            <w:pPr>
              <w:pStyle w:val="298"/>
              <w:rPr>
                <w:color w:val="auto"/>
              </w:rPr>
            </w:pPr>
            <w:r>
              <w:rPr>
                <w:color w:val="auto"/>
              </w:rPr>
              <w:t>60</w:t>
            </w:r>
          </w:p>
        </w:tc>
        <w:tc>
          <w:tcPr>
            <w:tcW w:w="1724" w:type="pct"/>
            <w:vAlign w:val="center"/>
          </w:tcPr>
          <w:p w14:paraId="0CACA994">
            <w:pPr>
              <w:pStyle w:val="298"/>
              <w:rPr>
                <w:color w:val="auto"/>
              </w:rPr>
            </w:pPr>
            <w:r>
              <w:rPr>
                <w:color w:val="auto"/>
              </w:rPr>
              <w:t xml:space="preserve">  0.1371199</w:t>
            </w:r>
          </w:p>
        </w:tc>
        <w:tc>
          <w:tcPr>
            <w:tcW w:w="1999" w:type="pct"/>
            <w:tcBorders>
              <w:right w:val="nil"/>
            </w:tcBorders>
            <w:vAlign w:val="center"/>
          </w:tcPr>
          <w:p w14:paraId="656F2B3C">
            <w:pPr>
              <w:pStyle w:val="298"/>
              <w:rPr>
                <w:color w:val="auto"/>
              </w:rPr>
            </w:pPr>
            <w:r>
              <w:rPr>
                <w:color w:val="auto"/>
              </w:rPr>
              <w:t>17.55158</w:t>
            </w:r>
          </w:p>
        </w:tc>
      </w:tr>
      <w:tr w14:paraId="6DC3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7CF67F59">
            <w:pPr>
              <w:pStyle w:val="298"/>
              <w:rPr>
                <w:color w:val="auto"/>
              </w:rPr>
            </w:pPr>
            <w:r>
              <w:rPr>
                <w:color w:val="auto"/>
              </w:rPr>
              <w:t>80</w:t>
            </w:r>
          </w:p>
        </w:tc>
        <w:tc>
          <w:tcPr>
            <w:tcW w:w="1724" w:type="pct"/>
            <w:vAlign w:val="center"/>
          </w:tcPr>
          <w:p w14:paraId="5C2587C7">
            <w:pPr>
              <w:pStyle w:val="298"/>
              <w:rPr>
                <w:color w:val="auto"/>
              </w:rPr>
            </w:pPr>
            <w:r>
              <w:rPr>
                <w:color w:val="auto"/>
              </w:rPr>
              <w:t>0.003487638</w:t>
            </w:r>
          </w:p>
        </w:tc>
        <w:tc>
          <w:tcPr>
            <w:tcW w:w="1999" w:type="pct"/>
            <w:tcBorders>
              <w:right w:val="nil"/>
            </w:tcBorders>
            <w:vAlign w:val="center"/>
          </w:tcPr>
          <w:p w14:paraId="3D312885">
            <w:pPr>
              <w:pStyle w:val="298"/>
              <w:rPr>
                <w:color w:val="auto"/>
              </w:rPr>
            </w:pPr>
            <w:r>
              <w:rPr>
                <w:color w:val="auto"/>
              </w:rPr>
              <w:t>11.4812</w:t>
            </w:r>
          </w:p>
        </w:tc>
      </w:tr>
      <w:tr w14:paraId="3F0F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4D00697C">
            <w:pPr>
              <w:pStyle w:val="298"/>
              <w:rPr>
                <w:color w:val="auto"/>
              </w:rPr>
            </w:pPr>
            <w:r>
              <w:rPr>
                <w:color w:val="auto"/>
              </w:rPr>
              <w:t>100</w:t>
            </w:r>
          </w:p>
        </w:tc>
        <w:tc>
          <w:tcPr>
            <w:tcW w:w="1724" w:type="pct"/>
            <w:vAlign w:val="center"/>
          </w:tcPr>
          <w:p w14:paraId="242F362D">
            <w:pPr>
              <w:pStyle w:val="298"/>
              <w:rPr>
                <w:color w:val="auto"/>
              </w:rPr>
            </w:pPr>
            <w:r>
              <w:rPr>
                <w:color w:val="auto"/>
              </w:rPr>
              <w:t>3.4247E-05</w:t>
            </w:r>
          </w:p>
        </w:tc>
        <w:tc>
          <w:tcPr>
            <w:tcW w:w="1999" w:type="pct"/>
            <w:tcBorders>
              <w:right w:val="nil"/>
            </w:tcBorders>
            <w:vAlign w:val="center"/>
          </w:tcPr>
          <w:p w14:paraId="4534F944">
            <w:pPr>
              <w:pStyle w:val="298"/>
              <w:rPr>
                <w:color w:val="auto"/>
              </w:rPr>
            </w:pPr>
            <w:r>
              <w:rPr>
                <w:color w:val="auto"/>
              </w:rPr>
              <w:t>6.919042</w:t>
            </w:r>
          </w:p>
        </w:tc>
      </w:tr>
      <w:tr w14:paraId="3AAC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1C471B83">
            <w:pPr>
              <w:pStyle w:val="298"/>
              <w:rPr>
                <w:color w:val="auto"/>
              </w:rPr>
            </w:pPr>
            <w:r>
              <w:rPr>
                <w:color w:val="auto"/>
              </w:rPr>
              <w:t>120</w:t>
            </w:r>
          </w:p>
        </w:tc>
        <w:tc>
          <w:tcPr>
            <w:tcW w:w="1724" w:type="pct"/>
            <w:vAlign w:val="center"/>
          </w:tcPr>
          <w:p w14:paraId="2E3FF807">
            <w:pPr>
              <w:pStyle w:val="298"/>
              <w:rPr>
                <w:color w:val="auto"/>
              </w:rPr>
            </w:pPr>
            <w:r>
              <w:rPr>
                <w:color w:val="auto"/>
              </w:rPr>
              <w:t>1.279985E-07</w:t>
            </w:r>
          </w:p>
        </w:tc>
        <w:tc>
          <w:tcPr>
            <w:tcW w:w="1999" w:type="pct"/>
            <w:tcBorders>
              <w:right w:val="nil"/>
            </w:tcBorders>
            <w:vAlign w:val="center"/>
          </w:tcPr>
          <w:p w14:paraId="74B7421D">
            <w:pPr>
              <w:pStyle w:val="298"/>
              <w:rPr>
                <w:color w:val="auto"/>
              </w:rPr>
            </w:pPr>
            <w:r>
              <w:rPr>
                <w:color w:val="auto"/>
              </w:rPr>
              <w:t>3.829875</w:t>
            </w:r>
          </w:p>
        </w:tc>
      </w:tr>
      <w:tr w14:paraId="05D6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1ADE83F3">
            <w:pPr>
              <w:pStyle w:val="298"/>
              <w:rPr>
                <w:color w:val="auto"/>
              </w:rPr>
            </w:pPr>
            <w:r>
              <w:rPr>
                <w:color w:val="auto"/>
              </w:rPr>
              <w:t>140</w:t>
            </w:r>
          </w:p>
        </w:tc>
        <w:tc>
          <w:tcPr>
            <w:tcW w:w="1724" w:type="pct"/>
            <w:vAlign w:val="center"/>
          </w:tcPr>
          <w:p w14:paraId="0C3DE287">
            <w:pPr>
              <w:pStyle w:val="298"/>
              <w:rPr>
                <w:color w:val="auto"/>
              </w:rPr>
            </w:pPr>
            <w:r>
              <w:rPr>
                <w:color w:val="auto"/>
              </w:rPr>
              <w:t>1.876169E-10</w:t>
            </w:r>
          </w:p>
        </w:tc>
        <w:tc>
          <w:tcPr>
            <w:tcW w:w="1999" w:type="pct"/>
            <w:tcBorders>
              <w:right w:val="nil"/>
            </w:tcBorders>
            <w:vAlign w:val="center"/>
          </w:tcPr>
          <w:p w14:paraId="39B97597">
            <w:pPr>
              <w:pStyle w:val="298"/>
              <w:rPr>
                <w:color w:val="auto"/>
              </w:rPr>
            </w:pPr>
            <w:r>
              <w:rPr>
                <w:color w:val="auto"/>
              </w:rPr>
              <w:t>1.942481</w:t>
            </w:r>
          </w:p>
        </w:tc>
      </w:tr>
      <w:tr w14:paraId="6FE7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4F4A80F7">
            <w:pPr>
              <w:pStyle w:val="298"/>
              <w:rPr>
                <w:color w:val="auto"/>
              </w:rPr>
            </w:pPr>
            <w:r>
              <w:rPr>
                <w:color w:val="auto"/>
              </w:rPr>
              <w:t>160</w:t>
            </w:r>
          </w:p>
        </w:tc>
        <w:tc>
          <w:tcPr>
            <w:tcW w:w="1724" w:type="pct"/>
            <w:vAlign w:val="center"/>
          </w:tcPr>
          <w:p w14:paraId="71D1635A">
            <w:pPr>
              <w:pStyle w:val="298"/>
              <w:rPr>
                <w:color w:val="auto"/>
              </w:rPr>
            </w:pPr>
            <w:r>
              <w:rPr>
                <w:color w:val="auto"/>
              </w:rPr>
              <w:t>9.9372E-14</w:t>
            </w:r>
          </w:p>
        </w:tc>
        <w:tc>
          <w:tcPr>
            <w:tcW w:w="1999" w:type="pct"/>
            <w:tcBorders>
              <w:right w:val="nil"/>
            </w:tcBorders>
            <w:vAlign w:val="center"/>
          </w:tcPr>
          <w:p w14:paraId="5AA8DE1D">
            <w:pPr>
              <w:pStyle w:val="298"/>
              <w:rPr>
                <w:color w:val="auto"/>
              </w:rPr>
            </w:pPr>
            <w:r>
              <w:rPr>
                <w:color w:val="auto"/>
              </w:rPr>
              <w:t>0.9009954</w:t>
            </w:r>
          </w:p>
        </w:tc>
      </w:tr>
      <w:tr w14:paraId="6F32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680800B1">
            <w:pPr>
              <w:pStyle w:val="298"/>
              <w:rPr>
                <w:color w:val="auto"/>
              </w:rPr>
            </w:pPr>
            <w:r>
              <w:rPr>
                <w:color w:val="auto"/>
              </w:rPr>
              <w:t>180</w:t>
            </w:r>
          </w:p>
        </w:tc>
        <w:tc>
          <w:tcPr>
            <w:tcW w:w="1724" w:type="pct"/>
            <w:vAlign w:val="center"/>
          </w:tcPr>
          <w:p w14:paraId="5FF19388">
            <w:pPr>
              <w:pStyle w:val="298"/>
              <w:rPr>
                <w:color w:val="auto"/>
              </w:rPr>
            </w:pPr>
            <w:r>
              <w:rPr>
                <w:color w:val="auto"/>
              </w:rPr>
              <w:t>0</w:t>
            </w:r>
          </w:p>
        </w:tc>
        <w:tc>
          <w:tcPr>
            <w:tcW w:w="1999" w:type="pct"/>
            <w:tcBorders>
              <w:right w:val="nil"/>
            </w:tcBorders>
            <w:vAlign w:val="center"/>
          </w:tcPr>
          <w:p w14:paraId="16C02651">
            <w:pPr>
              <w:pStyle w:val="298"/>
              <w:rPr>
                <w:color w:val="auto"/>
              </w:rPr>
            </w:pPr>
            <w:r>
              <w:rPr>
                <w:color w:val="auto"/>
              </w:rPr>
              <w:t>0.3815976</w:t>
            </w:r>
          </w:p>
        </w:tc>
      </w:tr>
      <w:tr w14:paraId="6EEF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tcBorders>
              <w:left w:val="nil"/>
            </w:tcBorders>
            <w:vAlign w:val="center"/>
          </w:tcPr>
          <w:p w14:paraId="7A5DC919">
            <w:pPr>
              <w:pStyle w:val="298"/>
              <w:rPr>
                <w:color w:val="auto"/>
              </w:rPr>
            </w:pPr>
            <w:r>
              <w:rPr>
                <w:color w:val="auto"/>
              </w:rPr>
              <w:t>200</w:t>
            </w:r>
          </w:p>
        </w:tc>
        <w:tc>
          <w:tcPr>
            <w:tcW w:w="1724" w:type="pct"/>
            <w:vAlign w:val="center"/>
          </w:tcPr>
          <w:p w14:paraId="036384BA">
            <w:pPr>
              <w:pStyle w:val="298"/>
              <w:rPr>
                <w:color w:val="auto"/>
              </w:rPr>
            </w:pPr>
          </w:p>
        </w:tc>
        <w:tc>
          <w:tcPr>
            <w:tcW w:w="1999" w:type="pct"/>
            <w:tcBorders>
              <w:right w:val="nil"/>
            </w:tcBorders>
            <w:vAlign w:val="center"/>
          </w:tcPr>
          <w:p w14:paraId="3907E256">
            <w:pPr>
              <w:pStyle w:val="298"/>
              <w:rPr>
                <w:color w:val="auto"/>
              </w:rPr>
            </w:pPr>
            <w:r>
              <w:rPr>
                <w:color w:val="auto"/>
              </w:rPr>
              <w:t>0.1473861</w:t>
            </w:r>
          </w:p>
        </w:tc>
      </w:tr>
      <w:tr w14:paraId="5DD4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75212B36">
            <w:pPr>
              <w:pStyle w:val="298"/>
              <w:rPr>
                <w:color w:val="auto"/>
              </w:rPr>
            </w:pPr>
            <w:r>
              <w:rPr>
                <w:color w:val="auto"/>
              </w:rPr>
              <w:t>220</w:t>
            </w:r>
          </w:p>
        </w:tc>
        <w:tc>
          <w:tcPr>
            <w:tcW w:w="1724" w:type="pct"/>
            <w:vAlign w:val="center"/>
          </w:tcPr>
          <w:p w14:paraId="6BC004B6">
            <w:pPr>
              <w:pStyle w:val="298"/>
              <w:rPr>
                <w:color w:val="auto"/>
              </w:rPr>
            </w:pPr>
          </w:p>
        </w:tc>
        <w:tc>
          <w:tcPr>
            <w:tcW w:w="1999" w:type="pct"/>
            <w:tcBorders>
              <w:right w:val="nil"/>
            </w:tcBorders>
            <w:vAlign w:val="center"/>
          </w:tcPr>
          <w:p w14:paraId="4D4CA127">
            <w:pPr>
              <w:pStyle w:val="298"/>
              <w:rPr>
                <w:color w:val="auto"/>
              </w:rPr>
            </w:pPr>
            <w:r>
              <w:rPr>
                <w:color w:val="auto"/>
              </w:rPr>
              <w:t>0.05185929</w:t>
            </w:r>
          </w:p>
        </w:tc>
      </w:tr>
      <w:tr w14:paraId="17C74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18782886">
            <w:pPr>
              <w:pStyle w:val="298"/>
              <w:rPr>
                <w:color w:val="auto"/>
              </w:rPr>
            </w:pPr>
            <w:r>
              <w:rPr>
                <w:color w:val="auto"/>
              </w:rPr>
              <w:t>240</w:t>
            </w:r>
          </w:p>
        </w:tc>
        <w:tc>
          <w:tcPr>
            <w:tcW w:w="1724" w:type="pct"/>
            <w:vAlign w:val="center"/>
          </w:tcPr>
          <w:p w14:paraId="5FEBA6C7">
            <w:pPr>
              <w:pStyle w:val="298"/>
              <w:rPr>
                <w:color w:val="auto"/>
              </w:rPr>
            </w:pPr>
          </w:p>
        </w:tc>
        <w:tc>
          <w:tcPr>
            <w:tcW w:w="1999" w:type="pct"/>
            <w:tcBorders>
              <w:right w:val="nil"/>
            </w:tcBorders>
            <w:vAlign w:val="center"/>
          </w:tcPr>
          <w:p w14:paraId="6DF76905">
            <w:pPr>
              <w:pStyle w:val="298"/>
              <w:rPr>
                <w:color w:val="auto"/>
              </w:rPr>
            </w:pPr>
            <w:r>
              <w:rPr>
                <w:color w:val="auto"/>
              </w:rPr>
              <w:t>0.01660909</w:t>
            </w:r>
          </w:p>
        </w:tc>
      </w:tr>
      <w:tr w14:paraId="76D3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02504EDE">
            <w:pPr>
              <w:pStyle w:val="298"/>
              <w:rPr>
                <w:color w:val="auto"/>
              </w:rPr>
            </w:pPr>
            <w:r>
              <w:rPr>
                <w:color w:val="auto"/>
              </w:rPr>
              <w:t>260</w:t>
            </w:r>
          </w:p>
        </w:tc>
        <w:tc>
          <w:tcPr>
            <w:tcW w:w="1724" w:type="pct"/>
            <w:vAlign w:val="center"/>
          </w:tcPr>
          <w:p w14:paraId="0AD34679">
            <w:pPr>
              <w:pStyle w:val="298"/>
              <w:rPr>
                <w:color w:val="auto"/>
              </w:rPr>
            </w:pPr>
          </w:p>
        </w:tc>
        <w:tc>
          <w:tcPr>
            <w:tcW w:w="1999" w:type="pct"/>
            <w:tcBorders>
              <w:right w:val="nil"/>
            </w:tcBorders>
            <w:vAlign w:val="center"/>
          </w:tcPr>
          <w:p w14:paraId="28A08A49">
            <w:pPr>
              <w:pStyle w:val="298"/>
              <w:rPr>
                <w:color w:val="auto"/>
              </w:rPr>
            </w:pPr>
            <w:r>
              <w:rPr>
                <w:color w:val="auto"/>
              </w:rPr>
              <w:t>0.004838454</w:t>
            </w:r>
          </w:p>
        </w:tc>
      </w:tr>
      <w:tr w14:paraId="7B27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31B7DEF1">
            <w:pPr>
              <w:pStyle w:val="298"/>
              <w:rPr>
                <w:color w:val="auto"/>
              </w:rPr>
            </w:pPr>
            <w:r>
              <w:rPr>
                <w:color w:val="auto"/>
              </w:rPr>
              <w:t>280</w:t>
            </w:r>
          </w:p>
        </w:tc>
        <w:tc>
          <w:tcPr>
            <w:tcW w:w="1724" w:type="pct"/>
            <w:vAlign w:val="center"/>
          </w:tcPr>
          <w:p w14:paraId="3CBBB894">
            <w:pPr>
              <w:pStyle w:val="298"/>
              <w:rPr>
                <w:color w:val="auto"/>
              </w:rPr>
            </w:pPr>
          </w:p>
        </w:tc>
        <w:tc>
          <w:tcPr>
            <w:tcW w:w="1999" w:type="pct"/>
            <w:tcBorders>
              <w:right w:val="nil"/>
            </w:tcBorders>
            <w:vAlign w:val="center"/>
          </w:tcPr>
          <w:p w14:paraId="548C6774">
            <w:pPr>
              <w:pStyle w:val="298"/>
              <w:rPr>
                <w:color w:val="auto"/>
              </w:rPr>
            </w:pPr>
            <w:r>
              <w:rPr>
                <w:color w:val="auto"/>
              </w:rPr>
              <w:t>0.001281302</w:t>
            </w:r>
          </w:p>
        </w:tc>
      </w:tr>
      <w:tr w14:paraId="205D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5F721C7F">
            <w:pPr>
              <w:pStyle w:val="298"/>
              <w:rPr>
                <w:color w:val="auto"/>
              </w:rPr>
            </w:pPr>
            <w:r>
              <w:rPr>
                <w:color w:val="auto"/>
              </w:rPr>
              <w:t>300</w:t>
            </w:r>
          </w:p>
        </w:tc>
        <w:tc>
          <w:tcPr>
            <w:tcW w:w="1724" w:type="pct"/>
            <w:vAlign w:val="center"/>
          </w:tcPr>
          <w:p w14:paraId="3716E70A">
            <w:pPr>
              <w:pStyle w:val="298"/>
              <w:rPr>
                <w:color w:val="auto"/>
              </w:rPr>
            </w:pPr>
          </w:p>
        </w:tc>
        <w:tc>
          <w:tcPr>
            <w:tcW w:w="1999" w:type="pct"/>
            <w:tcBorders>
              <w:right w:val="nil"/>
            </w:tcBorders>
            <w:vAlign w:val="center"/>
          </w:tcPr>
          <w:p w14:paraId="3FC03399">
            <w:pPr>
              <w:pStyle w:val="298"/>
              <w:rPr>
                <w:color w:val="auto"/>
              </w:rPr>
            </w:pPr>
            <w:r>
              <w:rPr>
                <w:color w:val="auto"/>
              </w:rPr>
              <w:t>0.0003082927</w:t>
            </w:r>
          </w:p>
        </w:tc>
      </w:tr>
      <w:tr w14:paraId="14AC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7C204CDD">
            <w:pPr>
              <w:pStyle w:val="298"/>
              <w:rPr>
                <w:color w:val="auto"/>
              </w:rPr>
            </w:pPr>
            <w:r>
              <w:rPr>
                <w:color w:val="auto"/>
              </w:rPr>
              <w:t>320</w:t>
            </w:r>
          </w:p>
        </w:tc>
        <w:tc>
          <w:tcPr>
            <w:tcW w:w="1724" w:type="pct"/>
            <w:vAlign w:val="center"/>
          </w:tcPr>
          <w:p w14:paraId="0EC82121">
            <w:pPr>
              <w:pStyle w:val="298"/>
              <w:rPr>
                <w:color w:val="auto"/>
              </w:rPr>
            </w:pPr>
          </w:p>
        </w:tc>
        <w:tc>
          <w:tcPr>
            <w:tcW w:w="1999" w:type="pct"/>
            <w:tcBorders>
              <w:right w:val="nil"/>
            </w:tcBorders>
            <w:vAlign w:val="center"/>
          </w:tcPr>
          <w:p w14:paraId="0D88A57D">
            <w:pPr>
              <w:pStyle w:val="298"/>
              <w:rPr>
                <w:color w:val="auto"/>
              </w:rPr>
            </w:pPr>
            <w:r>
              <w:rPr>
                <w:color w:val="auto"/>
              </w:rPr>
              <w:t>6.736838E-05</w:t>
            </w:r>
          </w:p>
        </w:tc>
      </w:tr>
      <w:tr w14:paraId="419E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665442D3">
            <w:pPr>
              <w:pStyle w:val="298"/>
              <w:rPr>
                <w:color w:val="auto"/>
              </w:rPr>
            </w:pPr>
            <w:r>
              <w:rPr>
                <w:color w:val="auto"/>
              </w:rPr>
              <w:t>340</w:t>
            </w:r>
          </w:p>
        </w:tc>
        <w:tc>
          <w:tcPr>
            <w:tcW w:w="1724" w:type="pct"/>
            <w:vAlign w:val="center"/>
          </w:tcPr>
          <w:p w14:paraId="14D18688">
            <w:pPr>
              <w:pStyle w:val="298"/>
              <w:rPr>
                <w:color w:val="auto"/>
              </w:rPr>
            </w:pPr>
          </w:p>
        </w:tc>
        <w:tc>
          <w:tcPr>
            <w:tcW w:w="1999" w:type="pct"/>
            <w:tcBorders>
              <w:right w:val="nil"/>
            </w:tcBorders>
            <w:vAlign w:val="center"/>
          </w:tcPr>
          <w:p w14:paraId="36568713">
            <w:pPr>
              <w:pStyle w:val="298"/>
              <w:rPr>
                <w:color w:val="auto"/>
              </w:rPr>
            </w:pPr>
            <w:r>
              <w:rPr>
                <w:color w:val="auto"/>
              </w:rPr>
              <w:t>1.336507E-05</w:t>
            </w:r>
          </w:p>
        </w:tc>
      </w:tr>
      <w:tr w14:paraId="7576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79E1BF53">
            <w:pPr>
              <w:pStyle w:val="298"/>
              <w:rPr>
                <w:color w:val="auto"/>
              </w:rPr>
            </w:pPr>
            <w:r>
              <w:rPr>
                <w:color w:val="auto"/>
              </w:rPr>
              <w:t>360</w:t>
            </w:r>
          </w:p>
        </w:tc>
        <w:tc>
          <w:tcPr>
            <w:tcW w:w="1724" w:type="pct"/>
            <w:vAlign w:val="center"/>
          </w:tcPr>
          <w:p w14:paraId="4B63B7A6">
            <w:pPr>
              <w:pStyle w:val="298"/>
              <w:rPr>
                <w:color w:val="auto"/>
              </w:rPr>
            </w:pPr>
          </w:p>
        </w:tc>
        <w:tc>
          <w:tcPr>
            <w:tcW w:w="1999" w:type="pct"/>
            <w:tcBorders>
              <w:right w:val="nil"/>
            </w:tcBorders>
            <w:vAlign w:val="center"/>
          </w:tcPr>
          <w:p w14:paraId="6501957D">
            <w:pPr>
              <w:pStyle w:val="298"/>
              <w:rPr>
                <w:color w:val="auto"/>
              </w:rPr>
            </w:pPr>
            <w:r>
              <w:rPr>
                <w:color w:val="auto"/>
              </w:rPr>
              <w:t>2.40642E-06</w:t>
            </w:r>
          </w:p>
        </w:tc>
      </w:tr>
      <w:tr w14:paraId="0042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vAlign w:val="center"/>
          </w:tcPr>
          <w:p w14:paraId="4B28306C">
            <w:pPr>
              <w:pStyle w:val="298"/>
              <w:rPr>
                <w:color w:val="auto"/>
              </w:rPr>
            </w:pPr>
            <w:r>
              <w:rPr>
                <w:color w:val="auto"/>
              </w:rPr>
              <w:t>380</w:t>
            </w:r>
          </w:p>
        </w:tc>
        <w:tc>
          <w:tcPr>
            <w:tcW w:w="1724" w:type="pct"/>
            <w:vAlign w:val="center"/>
          </w:tcPr>
          <w:p w14:paraId="13D6DEB3">
            <w:pPr>
              <w:pStyle w:val="298"/>
              <w:rPr>
                <w:color w:val="auto"/>
              </w:rPr>
            </w:pPr>
          </w:p>
        </w:tc>
        <w:tc>
          <w:tcPr>
            <w:tcW w:w="1999" w:type="pct"/>
            <w:tcBorders>
              <w:right w:val="nil"/>
            </w:tcBorders>
            <w:vAlign w:val="center"/>
          </w:tcPr>
          <w:p w14:paraId="339FCCC7">
            <w:pPr>
              <w:pStyle w:val="298"/>
              <w:rPr>
                <w:color w:val="auto"/>
              </w:rPr>
            </w:pPr>
            <w:r>
              <w:rPr>
                <w:color w:val="auto"/>
              </w:rPr>
              <w:t>3.93131E-07</w:t>
            </w:r>
          </w:p>
        </w:tc>
      </w:tr>
      <w:tr w14:paraId="04CC0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tcBorders>
          </w:tcPr>
          <w:p w14:paraId="3E2CE0F2">
            <w:pPr>
              <w:pStyle w:val="298"/>
              <w:rPr>
                <w:color w:val="auto"/>
              </w:rPr>
            </w:pPr>
            <w:r>
              <w:rPr>
                <w:color w:val="auto"/>
              </w:rPr>
              <w:t>超标范围限值（Ⅲ类标准）</w:t>
            </w:r>
          </w:p>
        </w:tc>
        <w:tc>
          <w:tcPr>
            <w:tcW w:w="3723" w:type="pct"/>
            <w:gridSpan w:val="2"/>
            <w:vAlign w:val="center"/>
          </w:tcPr>
          <w:p w14:paraId="34F11507">
            <w:pPr>
              <w:pStyle w:val="298"/>
              <w:rPr>
                <w:color w:val="auto"/>
              </w:rPr>
            </w:pPr>
            <w:r>
              <w:rPr>
                <w:color w:val="auto"/>
              </w:rPr>
              <w:t>0.5</w:t>
            </w:r>
          </w:p>
        </w:tc>
      </w:tr>
      <w:tr w14:paraId="3656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pct"/>
            <w:tcBorders>
              <w:left w:val="nil"/>
              <w:bottom w:val="thinThickSmallGap" w:color="auto" w:sz="12" w:space="0"/>
            </w:tcBorders>
          </w:tcPr>
          <w:p w14:paraId="4E098D70">
            <w:pPr>
              <w:pStyle w:val="298"/>
              <w:rPr>
                <w:color w:val="auto"/>
              </w:rPr>
            </w:pPr>
            <w:r>
              <w:rPr>
                <w:color w:val="auto"/>
              </w:rPr>
              <w:t>影响范围限值（Ⅰ标准）</w:t>
            </w:r>
          </w:p>
        </w:tc>
        <w:tc>
          <w:tcPr>
            <w:tcW w:w="3723" w:type="pct"/>
            <w:gridSpan w:val="2"/>
            <w:tcBorders>
              <w:bottom w:val="thinThickSmallGap" w:color="auto" w:sz="12" w:space="0"/>
            </w:tcBorders>
            <w:vAlign w:val="center"/>
          </w:tcPr>
          <w:p w14:paraId="6A7C51C5">
            <w:pPr>
              <w:pStyle w:val="298"/>
              <w:rPr>
                <w:color w:val="auto"/>
                <w:szCs w:val="21"/>
              </w:rPr>
            </w:pPr>
            <w:r>
              <w:rPr>
                <w:color w:val="auto"/>
                <w:szCs w:val="21"/>
              </w:rPr>
              <w:t>0.02</w:t>
            </w:r>
          </w:p>
        </w:tc>
      </w:tr>
    </w:tbl>
    <w:p w14:paraId="3C167DE6">
      <w:pPr>
        <w:pStyle w:val="296"/>
        <w:ind w:firstLine="0" w:firstLineChars="0"/>
        <w:rPr>
          <w:rFonts w:cs="Times New Roman"/>
          <w:color w:val="FF0000"/>
        </w:rPr>
      </w:pPr>
      <w:r>
        <w:rPr>
          <w:rFonts w:cs="Times New Roman"/>
          <w:color w:val="FF0000"/>
        </w:rPr>
        <w:t xml:space="preserve"> </w:t>
      </w:r>
      <w:r>
        <w:rPr>
          <w:rFonts w:cs="Times New Roman"/>
        </w:rPr>
        <w:drawing>
          <wp:inline distT="0" distB="0" distL="0" distR="0">
            <wp:extent cx="2493010" cy="151003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a:stretch>
                      <a:fillRect/>
                    </a:stretch>
                  </pic:blipFill>
                  <pic:spPr>
                    <a:xfrm>
                      <a:off x="0" y="0"/>
                      <a:ext cx="2494143" cy="1510536"/>
                    </a:xfrm>
                    <a:prstGeom prst="rect">
                      <a:avLst/>
                    </a:prstGeom>
                  </pic:spPr>
                </pic:pic>
              </a:graphicData>
            </a:graphic>
          </wp:inline>
        </w:drawing>
      </w:r>
      <w:r>
        <w:rPr>
          <w:rFonts w:cs="Times New Roman"/>
        </w:rPr>
        <w:t xml:space="preserve"> </w:t>
      </w:r>
      <w:r>
        <w:rPr>
          <w:rFonts w:cs="Times New Roman"/>
        </w:rPr>
        <w:drawing>
          <wp:inline distT="0" distB="0" distL="0" distR="0">
            <wp:extent cx="2507615" cy="1534795"/>
            <wp:effectExtent l="0" t="0" r="698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4"/>
                    <a:stretch>
                      <a:fillRect/>
                    </a:stretch>
                  </pic:blipFill>
                  <pic:spPr>
                    <a:xfrm>
                      <a:off x="0" y="0"/>
                      <a:ext cx="2508025" cy="1535236"/>
                    </a:xfrm>
                    <a:prstGeom prst="rect">
                      <a:avLst/>
                    </a:prstGeom>
                  </pic:spPr>
                </pic:pic>
              </a:graphicData>
            </a:graphic>
          </wp:inline>
        </w:drawing>
      </w:r>
    </w:p>
    <w:p w14:paraId="19E5C20E">
      <w:pPr>
        <w:pStyle w:val="296"/>
        <w:ind w:firstLine="198" w:firstLineChars="82"/>
        <w:rPr>
          <w:rFonts w:cs="Times New Roman"/>
          <w:b/>
          <w:sz w:val="18"/>
          <w:szCs w:val="18"/>
        </w:rPr>
      </w:pPr>
      <w:r>
        <w:rPr>
          <w:rFonts w:cs="Times New Roman"/>
          <w:b/>
        </w:rPr>
        <w:t>100d后项目区下游氨氮浓度变化</w:t>
      </w:r>
      <w:r>
        <w:rPr>
          <w:rFonts w:cs="Times New Roman"/>
          <w:b/>
          <w:sz w:val="18"/>
          <w:szCs w:val="18"/>
        </w:rPr>
        <w:t xml:space="preserve">      </w:t>
      </w:r>
      <w:r>
        <w:rPr>
          <w:rFonts w:cs="Times New Roman"/>
          <w:b/>
        </w:rPr>
        <w:t xml:space="preserve"> 1000d后项目区下游氨氮浓度变化</w:t>
      </w:r>
    </w:p>
    <w:p w14:paraId="348D6C01">
      <w:pPr>
        <w:pStyle w:val="63"/>
        <w:spacing w:before="120" w:after="120"/>
        <w:rPr>
          <w:kern w:val="0"/>
        </w:rPr>
      </w:pPr>
      <w:r>
        <w:rPr>
          <w:kern w:val="0"/>
        </w:rPr>
        <w:t>表6.3-5 各污染物预测结果统计一览表</w:t>
      </w:r>
    </w:p>
    <w:tbl>
      <w:tblPr>
        <w:tblStyle w:val="42"/>
        <w:tblW w:w="5000" w:type="pct"/>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859"/>
        <w:gridCol w:w="2056"/>
        <w:gridCol w:w="1592"/>
        <w:gridCol w:w="2016"/>
      </w:tblGrid>
      <w:tr w14:paraId="25050C1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restart"/>
            <w:shd w:val="clear" w:color="auto" w:fill="auto"/>
            <w:vAlign w:val="center"/>
          </w:tcPr>
          <w:p w14:paraId="61E3D8F0">
            <w:pPr>
              <w:widowControl/>
              <w:spacing w:before="100" w:beforeAutospacing="1" w:after="100" w:afterAutospacing="1"/>
              <w:jc w:val="center"/>
              <w:rPr>
                <w:szCs w:val="21"/>
              </w:rPr>
            </w:pPr>
            <w:r>
              <w:rPr>
                <w:bCs/>
                <w:szCs w:val="21"/>
              </w:rPr>
              <w:t>项目</w:t>
            </w:r>
          </w:p>
        </w:tc>
        <w:tc>
          <w:tcPr>
            <w:tcW w:w="2213" w:type="pct"/>
            <w:gridSpan w:val="2"/>
            <w:shd w:val="clear" w:color="auto" w:fill="auto"/>
            <w:vAlign w:val="center"/>
          </w:tcPr>
          <w:p w14:paraId="5189DDF7">
            <w:pPr>
              <w:widowControl/>
              <w:spacing w:before="100" w:beforeAutospacing="1" w:after="100" w:afterAutospacing="1"/>
              <w:jc w:val="center"/>
              <w:rPr>
                <w:szCs w:val="21"/>
              </w:rPr>
            </w:pPr>
            <w:r>
              <w:rPr>
                <w:szCs w:val="21"/>
              </w:rPr>
              <w:t xml:space="preserve">100d </w:t>
            </w:r>
          </w:p>
        </w:tc>
        <w:tc>
          <w:tcPr>
            <w:tcW w:w="2039" w:type="pct"/>
            <w:gridSpan w:val="2"/>
            <w:shd w:val="clear" w:color="auto" w:fill="auto"/>
            <w:vAlign w:val="center"/>
          </w:tcPr>
          <w:p w14:paraId="56F2550F">
            <w:pPr>
              <w:widowControl/>
              <w:spacing w:before="100" w:beforeAutospacing="1" w:after="100" w:afterAutospacing="1"/>
              <w:jc w:val="center"/>
              <w:rPr>
                <w:szCs w:val="21"/>
              </w:rPr>
            </w:pPr>
            <w:r>
              <w:rPr>
                <w:szCs w:val="21"/>
              </w:rPr>
              <w:t>1000d</w:t>
            </w:r>
          </w:p>
        </w:tc>
      </w:tr>
      <w:tr w14:paraId="76136944">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vMerge w:val="continue"/>
            <w:shd w:val="clear" w:color="auto" w:fill="auto"/>
            <w:vAlign w:val="center"/>
          </w:tcPr>
          <w:p w14:paraId="568D025B">
            <w:pPr>
              <w:widowControl/>
              <w:spacing w:before="100" w:beforeAutospacing="1" w:after="100" w:afterAutospacing="1"/>
              <w:jc w:val="center"/>
              <w:rPr>
                <w:szCs w:val="21"/>
              </w:rPr>
            </w:pPr>
          </w:p>
        </w:tc>
        <w:tc>
          <w:tcPr>
            <w:tcW w:w="1051" w:type="pct"/>
            <w:shd w:val="clear" w:color="auto" w:fill="auto"/>
            <w:vAlign w:val="center"/>
          </w:tcPr>
          <w:p w14:paraId="1DD41D0B">
            <w:pPr>
              <w:widowControl/>
              <w:spacing w:before="100" w:beforeAutospacing="1" w:after="100" w:afterAutospacing="1"/>
              <w:jc w:val="center"/>
              <w:rPr>
                <w:szCs w:val="21"/>
              </w:rPr>
            </w:pPr>
            <w:r>
              <w:rPr>
                <w:szCs w:val="21"/>
              </w:rPr>
              <w:t>达标距离</w:t>
            </w:r>
          </w:p>
        </w:tc>
        <w:tc>
          <w:tcPr>
            <w:tcW w:w="1162" w:type="pct"/>
            <w:shd w:val="clear" w:color="auto" w:fill="auto"/>
            <w:vAlign w:val="center"/>
          </w:tcPr>
          <w:p w14:paraId="1040B533">
            <w:pPr>
              <w:widowControl/>
              <w:spacing w:before="100" w:beforeAutospacing="1" w:after="100" w:afterAutospacing="1"/>
              <w:jc w:val="center"/>
              <w:rPr>
                <w:szCs w:val="21"/>
              </w:rPr>
            </w:pPr>
            <w:r>
              <w:rPr>
                <w:szCs w:val="21"/>
              </w:rPr>
              <w:t>影响范围</w:t>
            </w:r>
          </w:p>
        </w:tc>
        <w:tc>
          <w:tcPr>
            <w:tcW w:w="900" w:type="pct"/>
            <w:shd w:val="clear" w:color="auto" w:fill="auto"/>
            <w:vAlign w:val="center"/>
          </w:tcPr>
          <w:p w14:paraId="4DAE775D">
            <w:pPr>
              <w:widowControl/>
              <w:spacing w:before="100" w:beforeAutospacing="1" w:after="100" w:afterAutospacing="1"/>
              <w:jc w:val="center"/>
              <w:rPr>
                <w:szCs w:val="21"/>
              </w:rPr>
            </w:pPr>
            <w:r>
              <w:rPr>
                <w:szCs w:val="21"/>
              </w:rPr>
              <w:t>达标范围</w:t>
            </w:r>
          </w:p>
        </w:tc>
        <w:tc>
          <w:tcPr>
            <w:tcW w:w="1139" w:type="pct"/>
            <w:shd w:val="clear" w:color="auto" w:fill="auto"/>
            <w:vAlign w:val="center"/>
          </w:tcPr>
          <w:p w14:paraId="7AFF0F83">
            <w:pPr>
              <w:widowControl/>
              <w:spacing w:before="100" w:beforeAutospacing="1" w:after="100" w:afterAutospacing="1"/>
              <w:jc w:val="center"/>
              <w:rPr>
                <w:szCs w:val="21"/>
              </w:rPr>
            </w:pPr>
            <w:r>
              <w:rPr>
                <w:szCs w:val="21"/>
              </w:rPr>
              <w:t>影响范围</w:t>
            </w:r>
          </w:p>
        </w:tc>
      </w:tr>
      <w:tr w14:paraId="505D763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shd w:val="clear" w:color="auto" w:fill="auto"/>
            <w:vAlign w:val="center"/>
          </w:tcPr>
          <w:p w14:paraId="4CB601DA">
            <w:pPr>
              <w:widowControl/>
              <w:spacing w:before="100" w:beforeAutospacing="1" w:after="100" w:afterAutospacing="1"/>
              <w:jc w:val="center"/>
              <w:rPr>
                <w:szCs w:val="21"/>
              </w:rPr>
            </w:pPr>
            <w:r>
              <w:rPr>
                <w:szCs w:val="21"/>
              </w:rPr>
              <w:t>CODcr</w:t>
            </w:r>
          </w:p>
        </w:tc>
        <w:tc>
          <w:tcPr>
            <w:tcW w:w="1051" w:type="pct"/>
            <w:shd w:val="clear" w:color="auto" w:fill="auto"/>
            <w:vAlign w:val="center"/>
          </w:tcPr>
          <w:p w14:paraId="7B72AA5A">
            <w:pPr>
              <w:widowControl/>
              <w:spacing w:before="100" w:beforeAutospacing="1" w:after="100" w:afterAutospacing="1"/>
              <w:jc w:val="center"/>
              <w:rPr>
                <w:szCs w:val="21"/>
              </w:rPr>
            </w:pPr>
            <w:r>
              <w:rPr>
                <w:szCs w:val="21"/>
              </w:rPr>
              <w:t>50m外</w:t>
            </w:r>
          </w:p>
        </w:tc>
        <w:tc>
          <w:tcPr>
            <w:tcW w:w="1162" w:type="pct"/>
            <w:shd w:val="clear" w:color="auto" w:fill="auto"/>
            <w:vAlign w:val="center"/>
          </w:tcPr>
          <w:p w14:paraId="310F7E85">
            <w:pPr>
              <w:widowControl/>
              <w:spacing w:before="100" w:beforeAutospacing="1" w:after="100" w:afterAutospacing="1"/>
              <w:jc w:val="center"/>
              <w:rPr>
                <w:szCs w:val="21"/>
              </w:rPr>
            </w:pPr>
            <w:r>
              <w:rPr>
                <w:szCs w:val="21"/>
              </w:rPr>
              <w:t>52m</w:t>
            </w:r>
          </w:p>
        </w:tc>
        <w:tc>
          <w:tcPr>
            <w:tcW w:w="900" w:type="pct"/>
            <w:shd w:val="clear" w:color="auto" w:fill="auto"/>
            <w:vAlign w:val="center"/>
          </w:tcPr>
          <w:p w14:paraId="40E3F9E9">
            <w:pPr>
              <w:widowControl/>
              <w:spacing w:before="100" w:beforeAutospacing="1" w:after="100" w:afterAutospacing="1"/>
              <w:jc w:val="center"/>
              <w:rPr>
                <w:szCs w:val="21"/>
              </w:rPr>
            </w:pPr>
            <w:r>
              <w:rPr>
                <w:szCs w:val="21"/>
              </w:rPr>
              <w:t>166m外</w:t>
            </w:r>
          </w:p>
        </w:tc>
        <w:tc>
          <w:tcPr>
            <w:tcW w:w="1139" w:type="pct"/>
            <w:shd w:val="clear" w:color="auto" w:fill="auto"/>
            <w:vAlign w:val="center"/>
          </w:tcPr>
          <w:p w14:paraId="5D4E1E30">
            <w:pPr>
              <w:widowControl/>
              <w:spacing w:before="100" w:beforeAutospacing="1" w:after="100" w:afterAutospacing="1"/>
              <w:jc w:val="center"/>
              <w:rPr>
                <w:szCs w:val="21"/>
              </w:rPr>
            </w:pPr>
            <w:r>
              <w:rPr>
                <w:szCs w:val="21"/>
              </w:rPr>
              <w:t>173m</w:t>
            </w:r>
          </w:p>
        </w:tc>
      </w:tr>
      <w:tr w14:paraId="3A31AC5E">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shd w:val="clear" w:color="auto" w:fill="auto"/>
            <w:vAlign w:val="center"/>
          </w:tcPr>
          <w:p w14:paraId="2EAA3407">
            <w:pPr>
              <w:widowControl/>
              <w:spacing w:before="100" w:beforeAutospacing="1" w:after="100" w:afterAutospacing="1"/>
              <w:jc w:val="center"/>
              <w:rPr>
                <w:szCs w:val="21"/>
              </w:rPr>
            </w:pPr>
            <w:r>
              <w:rPr>
                <w:szCs w:val="21"/>
              </w:rPr>
              <w:t>BOD</w:t>
            </w:r>
            <w:r>
              <w:rPr>
                <w:szCs w:val="21"/>
                <w:vertAlign w:val="subscript"/>
              </w:rPr>
              <w:t>5</w:t>
            </w:r>
          </w:p>
        </w:tc>
        <w:tc>
          <w:tcPr>
            <w:tcW w:w="1051" w:type="pct"/>
            <w:shd w:val="clear" w:color="auto" w:fill="auto"/>
            <w:vAlign w:val="center"/>
          </w:tcPr>
          <w:p w14:paraId="192AD365">
            <w:pPr>
              <w:widowControl/>
              <w:spacing w:before="100" w:beforeAutospacing="1" w:after="100" w:afterAutospacing="1"/>
              <w:jc w:val="center"/>
              <w:rPr>
                <w:szCs w:val="21"/>
              </w:rPr>
            </w:pPr>
            <w:r>
              <w:rPr>
                <w:szCs w:val="21"/>
              </w:rPr>
              <w:t>58m外</w:t>
            </w:r>
          </w:p>
        </w:tc>
        <w:tc>
          <w:tcPr>
            <w:tcW w:w="1162" w:type="pct"/>
            <w:shd w:val="clear" w:color="auto" w:fill="auto"/>
            <w:vAlign w:val="center"/>
          </w:tcPr>
          <w:p w14:paraId="2C2B7A95">
            <w:pPr>
              <w:widowControl/>
              <w:spacing w:before="100" w:beforeAutospacing="1" w:after="100" w:afterAutospacing="1"/>
              <w:jc w:val="center"/>
              <w:rPr>
                <w:szCs w:val="21"/>
              </w:rPr>
            </w:pPr>
            <w:r>
              <w:rPr>
                <w:szCs w:val="21"/>
              </w:rPr>
              <w:t>60m</w:t>
            </w:r>
          </w:p>
        </w:tc>
        <w:tc>
          <w:tcPr>
            <w:tcW w:w="900" w:type="pct"/>
            <w:shd w:val="clear" w:color="auto" w:fill="auto"/>
            <w:vAlign w:val="center"/>
          </w:tcPr>
          <w:p w14:paraId="20D2E8CF">
            <w:pPr>
              <w:widowControl/>
              <w:spacing w:before="100" w:beforeAutospacing="1" w:after="100" w:afterAutospacing="1"/>
              <w:jc w:val="center"/>
              <w:rPr>
                <w:szCs w:val="21"/>
              </w:rPr>
            </w:pPr>
            <w:r>
              <w:rPr>
                <w:szCs w:val="21"/>
              </w:rPr>
              <w:t>194m外</w:t>
            </w:r>
          </w:p>
        </w:tc>
        <w:tc>
          <w:tcPr>
            <w:tcW w:w="1139" w:type="pct"/>
            <w:shd w:val="clear" w:color="auto" w:fill="auto"/>
            <w:vAlign w:val="center"/>
          </w:tcPr>
          <w:p w14:paraId="0CFF5B11">
            <w:pPr>
              <w:widowControl/>
              <w:spacing w:before="100" w:beforeAutospacing="1" w:after="100" w:afterAutospacing="1"/>
              <w:jc w:val="center"/>
              <w:rPr>
                <w:szCs w:val="21"/>
              </w:rPr>
            </w:pPr>
            <w:r>
              <w:rPr>
                <w:szCs w:val="21"/>
              </w:rPr>
              <w:t>200m</w:t>
            </w:r>
          </w:p>
        </w:tc>
      </w:tr>
      <w:tr w14:paraId="2EF2F757">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shd w:val="clear" w:color="auto" w:fill="auto"/>
            <w:vAlign w:val="center"/>
          </w:tcPr>
          <w:p w14:paraId="00D974A9">
            <w:pPr>
              <w:widowControl/>
              <w:spacing w:before="100" w:beforeAutospacing="1" w:after="100" w:afterAutospacing="1"/>
              <w:jc w:val="center"/>
              <w:rPr>
                <w:szCs w:val="21"/>
              </w:rPr>
            </w:pPr>
            <w:r>
              <w:rPr>
                <w:szCs w:val="21"/>
              </w:rPr>
              <w:t>氨氮</w:t>
            </w:r>
          </w:p>
        </w:tc>
        <w:tc>
          <w:tcPr>
            <w:tcW w:w="1051" w:type="pct"/>
            <w:shd w:val="clear" w:color="auto" w:fill="auto"/>
            <w:vAlign w:val="center"/>
          </w:tcPr>
          <w:p w14:paraId="08D40EF3">
            <w:pPr>
              <w:widowControl/>
              <w:spacing w:before="100" w:beforeAutospacing="1" w:after="100" w:afterAutospacing="1"/>
              <w:jc w:val="center"/>
              <w:rPr>
                <w:szCs w:val="21"/>
              </w:rPr>
            </w:pPr>
            <w:r>
              <w:rPr>
                <w:szCs w:val="21"/>
              </w:rPr>
              <w:t>52m外</w:t>
            </w:r>
          </w:p>
        </w:tc>
        <w:tc>
          <w:tcPr>
            <w:tcW w:w="1162" w:type="pct"/>
            <w:shd w:val="clear" w:color="auto" w:fill="auto"/>
            <w:vAlign w:val="center"/>
          </w:tcPr>
          <w:p w14:paraId="4354F3F9">
            <w:pPr>
              <w:widowControl/>
              <w:spacing w:before="100" w:beforeAutospacing="1" w:after="100" w:afterAutospacing="1"/>
              <w:jc w:val="center"/>
              <w:rPr>
                <w:szCs w:val="21"/>
              </w:rPr>
            </w:pPr>
            <w:r>
              <w:rPr>
                <w:szCs w:val="21"/>
              </w:rPr>
              <w:t>72 m</w:t>
            </w:r>
          </w:p>
        </w:tc>
        <w:tc>
          <w:tcPr>
            <w:tcW w:w="900" w:type="pct"/>
            <w:shd w:val="clear" w:color="auto" w:fill="auto"/>
            <w:vAlign w:val="center"/>
          </w:tcPr>
          <w:p w14:paraId="1DFEBD13">
            <w:pPr>
              <w:widowControl/>
              <w:spacing w:before="100" w:beforeAutospacing="1" w:after="100" w:afterAutospacing="1"/>
              <w:jc w:val="center"/>
              <w:rPr>
                <w:szCs w:val="21"/>
              </w:rPr>
            </w:pPr>
            <w:r>
              <w:rPr>
                <w:szCs w:val="21"/>
              </w:rPr>
              <w:t>173m外</w:t>
            </w:r>
          </w:p>
        </w:tc>
        <w:tc>
          <w:tcPr>
            <w:tcW w:w="1139" w:type="pct"/>
            <w:shd w:val="clear" w:color="auto" w:fill="auto"/>
            <w:vAlign w:val="center"/>
          </w:tcPr>
          <w:p w14:paraId="62D052B4">
            <w:pPr>
              <w:widowControl/>
              <w:spacing w:before="100" w:beforeAutospacing="1" w:after="100" w:afterAutospacing="1"/>
              <w:jc w:val="center"/>
              <w:rPr>
                <w:szCs w:val="21"/>
              </w:rPr>
            </w:pPr>
            <w:r>
              <w:rPr>
                <w:szCs w:val="21"/>
              </w:rPr>
              <w:t>236m</w:t>
            </w:r>
          </w:p>
        </w:tc>
      </w:tr>
      <w:tr w14:paraId="57D57173">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shd w:val="clear" w:color="auto" w:fill="auto"/>
            <w:vAlign w:val="center"/>
          </w:tcPr>
          <w:p w14:paraId="7774F44B">
            <w:pPr>
              <w:pStyle w:val="298"/>
              <w:rPr>
                <w:color w:val="FF0000"/>
                <w:szCs w:val="21"/>
              </w:rPr>
            </w:pPr>
            <w:r>
              <w:rPr>
                <w:color w:val="auto"/>
              </w:rPr>
              <w:t>注：项目区地下水由南东向北西径流，于项目区下游2.1km处芒市大河排泄</w:t>
            </w:r>
          </w:p>
        </w:tc>
      </w:tr>
    </w:tbl>
    <w:p w14:paraId="49C8227F">
      <w:pPr>
        <w:pStyle w:val="296"/>
        <w:ind w:firstLine="480"/>
        <w:rPr>
          <w:rFonts w:cs="Times New Roman"/>
          <w:szCs w:val="21"/>
        </w:rPr>
      </w:pPr>
      <w:r>
        <w:rPr>
          <w:rFonts w:cs="Times New Roman"/>
        </w:rPr>
        <w:t>根据以上预测可知，非正常情况下，在100d连续渗漏的情况下：COD在下游50m外可达标，最大影响范围为52m；</w:t>
      </w:r>
      <w:r>
        <w:rPr>
          <w:rFonts w:cs="Times New Roman"/>
          <w:szCs w:val="21"/>
        </w:rPr>
        <w:t>BOD</w:t>
      </w:r>
      <w:r>
        <w:rPr>
          <w:rFonts w:cs="Times New Roman"/>
          <w:szCs w:val="21"/>
          <w:vertAlign w:val="subscript"/>
        </w:rPr>
        <w:t>5</w:t>
      </w:r>
      <w:r>
        <w:rPr>
          <w:rFonts w:cs="Times New Roman"/>
          <w:szCs w:val="21"/>
        </w:rPr>
        <w:t>在下游58m外可达标，最大影响范围为60m；氨氮在下游52m外可达标，最大影响范围72m。在1000d连续渗漏的情况下：</w:t>
      </w:r>
      <w:r>
        <w:rPr>
          <w:rFonts w:cs="Times New Roman"/>
        </w:rPr>
        <w:t>COD在下游166m外可达标，最大影响范围为173m；</w:t>
      </w:r>
      <w:r>
        <w:rPr>
          <w:rFonts w:cs="Times New Roman"/>
          <w:szCs w:val="21"/>
        </w:rPr>
        <w:t>BOD</w:t>
      </w:r>
      <w:r>
        <w:rPr>
          <w:rFonts w:cs="Times New Roman"/>
          <w:szCs w:val="21"/>
          <w:vertAlign w:val="subscript"/>
        </w:rPr>
        <w:t>5</w:t>
      </w:r>
      <w:r>
        <w:rPr>
          <w:rFonts w:cs="Times New Roman"/>
          <w:szCs w:val="21"/>
        </w:rPr>
        <w:t>在下游194m外可达标，最大影响范围为200m；氨氮在下游173m外可达标，最大影响范围236m。</w:t>
      </w:r>
    </w:p>
    <w:p w14:paraId="00E665CA">
      <w:pPr>
        <w:pStyle w:val="296"/>
        <w:ind w:firstLine="480"/>
        <w:rPr>
          <w:rFonts w:cs="Times New Roman"/>
        </w:rPr>
      </w:pPr>
      <w:r>
        <w:rPr>
          <w:rFonts w:cs="Times New Roman"/>
        </w:rPr>
        <w:t>非正常情况下，各污染物超标最大距离为194m，项目区地下水由南东向北西径流，于芒市大河排泄，根据现场踏勘，项目区地下水流向下游为无村庄，亦无村庄饮用水点分布，项目区至芒市大河之间无地下水敏感点分布，不涉及生活用水取水点。</w:t>
      </w:r>
    </w:p>
    <w:p w14:paraId="48E00668">
      <w:pPr>
        <w:pStyle w:val="296"/>
        <w:ind w:firstLine="480"/>
        <w:rPr>
          <w:rFonts w:cs="Times New Roman"/>
        </w:rPr>
      </w:pPr>
      <w:r>
        <w:rPr>
          <w:rFonts w:cs="Times New Roman"/>
        </w:rPr>
        <w:t>综上所述，非正常情况下，项目区废水下渗对地下水环境质量影响可以接受。</w:t>
      </w:r>
    </w:p>
    <w:p w14:paraId="63FC4313">
      <w:pPr>
        <w:pStyle w:val="105"/>
        <w:rPr>
          <w:rFonts w:cs="Times New Roman"/>
        </w:rPr>
      </w:pPr>
      <w:r>
        <w:rPr>
          <w:rFonts w:cs="Times New Roman"/>
        </w:rPr>
        <w:t>6.3.4对居民饮用水源的影响分析</w:t>
      </w:r>
    </w:p>
    <w:p w14:paraId="39DD92E5">
      <w:pPr>
        <w:spacing w:line="360" w:lineRule="auto"/>
        <w:ind w:firstLine="480" w:firstLineChars="200"/>
        <w:rPr>
          <w:color w:val="000000"/>
          <w:sz w:val="24"/>
        </w:rPr>
      </w:pPr>
      <w:r>
        <w:rPr>
          <w:color w:val="000000"/>
          <w:sz w:val="24"/>
        </w:rPr>
        <w:t>地下水评价范围村庄为户拉村、遮焕村、排鲁村</w:t>
      </w:r>
      <w:r>
        <w:rPr>
          <w:rFonts w:hint="eastAsia"/>
          <w:color w:val="000000"/>
          <w:sz w:val="24"/>
        </w:rPr>
        <w:t>（市政自来水）</w:t>
      </w:r>
      <w:r>
        <w:rPr>
          <w:color w:val="000000"/>
          <w:sz w:val="24"/>
        </w:rPr>
        <w:t>，根据现场调查及建设单位提供资料，周边</w:t>
      </w:r>
      <w:r>
        <w:rPr>
          <w:rFonts w:hint="eastAsia"/>
          <w:color w:val="000000"/>
          <w:sz w:val="24"/>
        </w:rPr>
        <w:t>水井</w:t>
      </w:r>
      <w:r>
        <w:rPr>
          <w:color w:val="000000"/>
          <w:sz w:val="24"/>
        </w:rPr>
        <w:t xml:space="preserve">情况详见下表： </w:t>
      </w:r>
    </w:p>
    <w:p w14:paraId="3F69BE7C">
      <w:pPr>
        <w:ind w:firstLine="482"/>
        <w:jc w:val="center"/>
        <w:rPr>
          <w:b/>
          <w:color w:val="000000"/>
          <w:sz w:val="24"/>
        </w:rPr>
      </w:pPr>
      <w:r>
        <w:rPr>
          <w:b/>
          <w:color w:val="000000"/>
          <w:sz w:val="24"/>
        </w:rPr>
        <w:t>表6.3-6 项目区周边</w:t>
      </w:r>
      <w:r>
        <w:rPr>
          <w:rFonts w:hint="eastAsia"/>
          <w:b/>
          <w:color w:val="000000"/>
          <w:sz w:val="24"/>
        </w:rPr>
        <w:t>水井</w:t>
      </w:r>
      <w:r>
        <w:rPr>
          <w:b/>
          <w:color w:val="000000"/>
          <w:sz w:val="24"/>
        </w:rPr>
        <w:t>情况</w:t>
      </w:r>
    </w:p>
    <w:tbl>
      <w:tblPr>
        <w:tblStyle w:val="4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72"/>
        <w:gridCol w:w="3236"/>
        <w:gridCol w:w="3438"/>
      </w:tblGrid>
      <w:tr w14:paraId="32BC0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28" w:type="pct"/>
            <w:vAlign w:val="center"/>
          </w:tcPr>
          <w:p w14:paraId="1F5EB357">
            <w:pPr>
              <w:contextualSpacing/>
              <w:jc w:val="center"/>
              <w:rPr>
                <w:color w:val="000000"/>
                <w:szCs w:val="21"/>
              </w:rPr>
            </w:pPr>
            <w:r>
              <w:rPr>
                <w:color w:val="000000"/>
                <w:szCs w:val="21"/>
              </w:rPr>
              <w:t>村庄</w:t>
            </w:r>
          </w:p>
        </w:tc>
        <w:tc>
          <w:tcPr>
            <w:tcW w:w="1829" w:type="pct"/>
            <w:vAlign w:val="center"/>
          </w:tcPr>
          <w:p w14:paraId="5AB40A5C">
            <w:pPr>
              <w:contextualSpacing/>
              <w:jc w:val="center"/>
              <w:rPr>
                <w:color w:val="000000"/>
                <w:szCs w:val="21"/>
              </w:rPr>
            </w:pPr>
            <w:r>
              <w:rPr>
                <w:color w:val="000000"/>
                <w:szCs w:val="21"/>
              </w:rPr>
              <w:t>方位、距离</w:t>
            </w:r>
          </w:p>
        </w:tc>
        <w:tc>
          <w:tcPr>
            <w:tcW w:w="1943" w:type="pct"/>
            <w:vAlign w:val="center"/>
          </w:tcPr>
          <w:p w14:paraId="1FABDC9A">
            <w:pPr>
              <w:contextualSpacing/>
              <w:jc w:val="center"/>
              <w:rPr>
                <w:color w:val="000000"/>
                <w:szCs w:val="21"/>
              </w:rPr>
            </w:pPr>
            <w:r>
              <w:rPr>
                <w:color w:val="000000"/>
                <w:szCs w:val="21"/>
              </w:rPr>
              <w:t>功能</w:t>
            </w:r>
          </w:p>
        </w:tc>
      </w:tr>
      <w:tr w14:paraId="40343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1228" w:type="pct"/>
            <w:vAlign w:val="center"/>
          </w:tcPr>
          <w:p w14:paraId="27629FC1">
            <w:pPr>
              <w:contextualSpacing/>
              <w:jc w:val="center"/>
              <w:rPr>
                <w:color w:val="000000"/>
                <w:szCs w:val="21"/>
              </w:rPr>
            </w:pPr>
            <w:r>
              <w:rPr>
                <w:bCs/>
                <w:color w:val="000000"/>
                <w:szCs w:val="21"/>
              </w:rPr>
              <w:t>户拉村</w:t>
            </w:r>
            <w:r>
              <w:rPr>
                <w:color w:val="000000"/>
                <w:szCs w:val="21"/>
              </w:rPr>
              <w:t xml:space="preserve"> 1#水井</w:t>
            </w:r>
          </w:p>
        </w:tc>
        <w:tc>
          <w:tcPr>
            <w:tcW w:w="1829" w:type="pct"/>
            <w:vAlign w:val="center"/>
          </w:tcPr>
          <w:p w14:paraId="1EB59D1D">
            <w:pPr>
              <w:contextualSpacing/>
              <w:jc w:val="center"/>
              <w:rPr>
                <w:color w:val="FF0000"/>
                <w:szCs w:val="21"/>
              </w:rPr>
            </w:pPr>
            <w:r>
              <w:rPr>
                <w:color w:val="FF0000"/>
                <w:szCs w:val="21"/>
              </w:rPr>
              <w:t>北侧950m</w:t>
            </w:r>
          </w:p>
        </w:tc>
        <w:tc>
          <w:tcPr>
            <w:tcW w:w="1943" w:type="pct"/>
            <w:vAlign w:val="center"/>
          </w:tcPr>
          <w:p w14:paraId="34F052AD">
            <w:pPr>
              <w:contextualSpacing/>
              <w:jc w:val="center"/>
              <w:rPr>
                <w:color w:val="000000"/>
                <w:szCs w:val="21"/>
              </w:rPr>
            </w:pPr>
            <w:r>
              <w:rPr>
                <w:color w:val="000000"/>
                <w:szCs w:val="21"/>
              </w:rPr>
              <w:t>无饮用、废弃</w:t>
            </w:r>
          </w:p>
        </w:tc>
      </w:tr>
      <w:tr w14:paraId="497AF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28" w:type="pct"/>
            <w:vAlign w:val="center"/>
          </w:tcPr>
          <w:p w14:paraId="63B48D77">
            <w:pPr>
              <w:contextualSpacing/>
              <w:jc w:val="center"/>
              <w:rPr>
                <w:color w:val="000000"/>
                <w:szCs w:val="21"/>
              </w:rPr>
            </w:pPr>
            <w:r>
              <w:rPr>
                <w:bCs/>
                <w:color w:val="000000"/>
                <w:szCs w:val="21"/>
              </w:rPr>
              <w:t>排鲁村</w:t>
            </w:r>
            <w:r>
              <w:rPr>
                <w:color w:val="000000"/>
                <w:szCs w:val="21"/>
              </w:rPr>
              <w:t xml:space="preserve"> 2#水井</w:t>
            </w:r>
          </w:p>
        </w:tc>
        <w:tc>
          <w:tcPr>
            <w:tcW w:w="1829" w:type="pct"/>
            <w:vAlign w:val="center"/>
          </w:tcPr>
          <w:p w14:paraId="27A1C29F">
            <w:pPr>
              <w:contextualSpacing/>
              <w:jc w:val="center"/>
              <w:rPr>
                <w:color w:val="FF0000"/>
                <w:szCs w:val="21"/>
              </w:rPr>
            </w:pPr>
            <w:r>
              <w:rPr>
                <w:color w:val="FF0000"/>
                <w:szCs w:val="21"/>
              </w:rPr>
              <w:t>东北侧790m</w:t>
            </w:r>
          </w:p>
        </w:tc>
        <w:tc>
          <w:tcPr>
            <w:tcW w:w="1943" w:type="pct"/>
            <w:vAlign w:val="center"/>
          </w:tcPr>
          <w:p w14:paraId="607DF679">
            <w:pPr>
              <w:contextualSpacing/>
              <w:jc w:val="center"/>
              <w:rPr>
                <w:color w:val="000000"/>
                <w:szCs w:val="21"/>
              </w:rPr>
            </w:pPr>
            <w:r>
              <w:rPr>
                <w:color w:val="000000"/>
                <w:szCs w:val="21"/>
              </w:rPr>
              <w:t>无饮用、废弃</w:t>
            </w:r>
          </w:p>
        </w:tc>
      </w:tr>
      <w:tr w14:paraId="7E540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28" w:type="pct"/>
            <w:vAlign w:val="center"/>
          </w:tcPr>
          <w:p w14:paraId="5009EB55">
            <w:pPr>
              <w:contextualSpacing/>
              <w:jc w:val="center"/>
              <w:rPr>
                <w:color w:val="000000"/>
                <w:szCs w:val="21"/>
              </w:rPr>
            </w:pPr>
            <w:r>
              <w:rPr>
                <w:color w:val="000000"/>
                <w:szCs w:val="21"/>
              </w:rPr>
              <w:t>芒市晨明塑料加工项目东南侧泉点 3#</w:t>
            </w:r>
          </w:p>
        </w:tc>
        <w:tc>
          <w:tcPr>
            <w:tcW w:w="1829" w:type="pct"/>
            <w:vAlign w:val="center"/>
          </w:tcPr>
          <w:p w14:paraId="0113AAE1">
            <w:pPr>
              <w:contextualSpacing/>
              <w:jc w:val="center"/>
              <w:rPr>
                <w:color w:val="000000"/>
                <w:szCs w:val="21"/>
              </w:rPr>
            </w:pPr>
            <w:r>
              <w:rPr>
                <w:color w:val="000000"/>
                <w:szCs w:val="21"/>
              </w:rPr>
              <w:t>东南侧</w:t>
            </w:r>
          </w:p>
        </w:tc>
        <w:tc>
          <w:tcPr>
            <w:tcW w:w="1943" w:type="pct"/>
            <w:vAlign w:val="center"/>
          </w:tcPr>
          <w:p w14:paraId="20481006">
            <w:pPr>
              <w:contextualSpacing/>
              <w:jc w:val="center"/>
              <w:rPr>
                <w:color w:val="000000"/>
                <w:szCs w:val="21"/>
              </w:rPr>
            </w:pPr>
            <w:r>
              <w:rPr>
                <w:color w:val="000000"/>
                <w:szCs w:val="21"/>
              </w:rPr>
              <w:t>原硅厂生活、生产用水</w:t>
            </w:r>
          </w:p>
        </w:tc>
      </w:tr>
    </w:tbl>
    <w:p w14:paraId="75123704">
      <w:pPr>
        <w:spacing w:line="360" w:lineRule="auto"/>
        <w:ind w:firstLine="480" w:firstLineChars="200"/>
        <w:rPr>
          <w:color w:val="FF0000"/>
          <w:sz w:val="24"/>
        </w:rPr>
      </w:pPr>
      <w:r>
        <w:rPr>
          <w:color w:val="000000"/>
          <w:sz w:val="24"/>
        </w:rPr>
        <w:t>评价区地下水流向为南东向北西径流，户拉村村民的水井位于项目区北侧，属于项目区地下水流向上游侧方向，</w:t>
      </w:r>
      <w:r>
        <w:rPr>
          <w:color w:val="FF0000"/>
          <w:sz w:val="24"/>
        </w:rPr>
        <w:t>不在其下游，项目运营期不会对其造成影响；</w:t>
      </w:r>
    </w:p>
    <w:p w14:paraId="2924B40C">
      <w:pPr>
        <w:spacing w:line="360" w:lineRule="auto"/>
        <w:ind w:firstLine="480" w:firstLineChars="200"/>
        <w:rPr>
          <w:color w:val="FF0000"/>
          <w:sz w:val="24"/>
        </w:rPr>
      </w:pPr>
      <w:r>
        <w:rPr>
          <w:color w:val="FF0000"/>
          <w:sz w:val="24"/>
        </w:rPr>
        <w:t>排鲁村村民的水井位于项目区西北侧，属于地下水流向平行方向（项目区位于排鲁水库及箐沟左岸，排鲁村及水井位于排鲁水库及箐沟右岸，位于项目区地下水流向平行方向），不在其下游，项目运营期不会对其造成影响。</w:t>
      </w:r>
    </w:p>
    <w:p w14:paraId="21AB0BE6">
      <w:pPr>
        <w:pStyle w:val="4"/>
        <w:rPr>
          <w:rFonts w:ascii="Times New Roman" w:hAnsi="Times New Roman"/>
          <w:color w:val="000000" w:themeColor="text1"/>
        </w:rPr>
      </w:pPr>
      <w:bookmarkStart w:id="398" w:name="_Toc28117714"/>
      <w:r>
        <w:rPr>
          <w:rFonts w:ascii="Times New Roman" w:hAnsi="Times New Roman"/>
          <w:color w:val="000000" w:themeColor="text1"/>
        </w:rPr>
        <w:t>6.4固废环境影响预测及评价</w:t>
      </w:r>
      <w:bookmarkEnd w:id="398"/>
    </w:p>
    <w:p w14:paraId="036BBF33">
      <w:pPr>
        <w:pStyle w:val="15"/>
        <w:adjustRightInd w:val="0"/>
        <w:snapToGrid w:val="0"/>
        <w:spacing w:line="360" w:lineRule="auto"/>
        <w:ind w:firstLine="480" w:firstLineChars="200"/>
        <w:jc w:val="both"/>
        <w:rPr>
          <w:color w:val="000000" w:themeColor="text1"/>
          <w:sz w:val="24"/>
          <w:szCs w:val="22"/>
        </w:rPr>
      </w:pPr>
      <w:r>
        <w:rPr>
          <w:color w:val="000000" w:themeColor="text1"/>
          <w:sz w:val="24"/>
          <w:szCs w:val="22"/>
        </w:rPr>
        <w:t>根据第3章固废核算分析，本项目固废分为两类，生产固废（一般生产固废和危险废物）和生活固废。本环评要求项目区设置一般生产固废收集间18m</w:t>
      </w:r>
      <w:r>
        <w:rPr>
          <w:color w:val="000000" w:themeColor="text1"/>
          <w:sz w:val="24"/>
          <w:szCs w:val="22"/>
          <w:vertAlign w:val="superscript"/>
        </w:rPr>
        <w:t>2</w:t>
      </w:r>
      <w:r>
        <w:rPr>
          <w:color w:val="000000" w:themeColor="text1"/>
          <w:sz w:val="24"/>
          <w:szCs w:val="22"/>
        </w:rPr>
        <w:t>、危废废物收集间5m</w:t>
      </w:r>
      <w:r>
        <w:rPr>
          <w:color w:val="000000" w:themeColor="text1"/>
          <w:sz w:val="24"/>
          <w:szCs w:val="22"/>
          <w:vertAlign w:val="superscript"/>
        </w:rPr>
        <w:t>2</w:t>
      </w:r>
      <w:r>
        <w:rPr>
          <w:color w:val="000000" w:themeColor="text1"/>
          <w:sz w:val="24"/>
          <w:szCs w:val="22"/>
        </w:rPr>
        <w:t>。</w:t>
      </w:r>
    </w:p>
    <w:p w14:paraId="02ABB5C0">
      <w:pPr>
        <w:pStyle w:val="15"/>
        <w:adjustRightInd w:val="0"/>
        <w:snapToGrid w:val="0"/>
        <w:spacing w:line="360" w:lineRule="auto"/>
        <w:ind w:firstLine="482" w:firstLineChars="200"/>
        <w:jc w:val="both"/>
        <w:rPr>
          <w:b/>
          <w:color w:val="000000" w:themeColor="text1"/>
          <w:sz w:val="24"/>
          <w:szCs w:val="22"/>
        </w:rPr>
      </w:pPr>
      <w:r>
        <w:rPr>
          <w:b/>
          <w:color w:val="000000" w:themeColor="text1"/>
          <w:sz w:val="24"/>
          <w:szCs w:val="22"/>
        </w:rPr>
        <w:t>1、生活固废处置方式</w:t>
      </w:r>
    </w:p>
    <w:p w14:paraId="3A414A9B">
      <w:pPr>
        <w:spacing w:line="360" w:lineRule="auto"/>
        <w:ind w:firstLine="480" w:firstLineChars="200"/>
        <w:rPr>
          <w:color w:val="000000" w:themeColor="text1"/>
          <w:sz w:val="24"/>
        </w:rPr>
      </w:pPr>
      <w:r>
        <w:rPr>
          <w:color w:val="000000" w:themeColor="text1"/>
          <w:sz w:val="24"/>
          <w:szCs w:val="22"/>
        </w:rPr>
        <w:t>生活固废主要为</w:t>
      </w:r>
      <w:r>
        <w:rPr>
          <w:color w:val="000000" w:themeColor="text1"/>
          <w:sz w:val="24"/>
        </w:rPr>
        <w:t>生活垃圾（3t/a）、化粪池污泥（1t/a）及食堂泔水（0.116t/a），外运至最近村庄垃圾收集点处理。</w:t>
      </w:r>
    </w:p>
    <w:p w14:paraId="6090F8C3">
      <w:pPr>
        <w:pStyle w:val="15"/>
        <w:adjustRightInd w:val="0"/>
        <w:snapToGrid w:val="0"/>
        <w:spacing w:line="360" w:lineRule="auto"/>
        <w:ind w:firstLine="482" w:firstLineChars="200"/>
        <w:jc w:val="both"/>
        <w:rPr>
          <w:b/>
          <w:color w:val="000000" w:themeColor="text1"/>
          <w:sz w:val="24"/>
          <w:szCs w:val="22"/>
        </w:rPr>
      </w:pPr>
      <w:r>
        <w:rPr>
          <w:b/>
          <w:color w:val="000000" w:themeColor="text1"/>
          <w:sz w:val="24"/>
          <w:szCs w:val="22"/>
        </w:rPr>
        <w:t>2、一般生产固废处置方式</w:t>
      </w:r>
    </w:p>
    <w:p w14:paraId="4E267B13">
      <w:pPr>
        <w:adjustRightInd w:val="0"/>
        <w:spacing w:line="360" w:lineRule="auto"/>
        <w:ind w:firstLine="480" w:firstLineChars="200"/>
        <w:rPr>
          <w:snapToGrid w:val="0"/>
          <w:color w:val="000000" w:themeColor="text1"/>
          <w:kern w:val="0"/>
          <w:sz w:val="24"/>
          <w:szCs w:val="20"/>
        </w:rPr>
      </w:pPr>
      <w:r>
        <w:rPr>
          <w:snapToGrid w:val="0"/>
          <w:color w:val="000000" w:themeColor="text1"/>
          <w:kern w:val="0"/>
          <w:sz w:val="24"/>
          <w:szCs w:val="20"/>
        </w:rPr>
        <w:t>项目运营期一般工业固废主要为拆包、人工分选杂物（S1）、剥离废标签纸（S2）、</w:t>
      </w:r>
      <w:r>
        <w:rPr>
          <w:color w:val="000000" w:themeColor="text1"/>
          <w:sz w:val="24"/>
        </w:rPr>
        <w:t>污水处理设施（隔油池+沉淀池）</w:t>
      </w:r>
      <w:r>
        <w:rPr>
          <w:snapToGrid w:val="0"/>
          <w:color w:val="000000" w:themeColor="text1"/>
          <w:kern w:val="0"/>
          <w:sz w:val="24"/>
          <w:szCs w:val="20"/>
        </w:rPr>
        <w:t>污泥。</w:t>
      </w:r>
    </w:p>
    <w:p w14:paraId="07558224">
      <w:pPr>
        <w:spacing w:line="360" w:lineRule="auto"/>
        <w:ind w:firstLine="480" w:firstLineChars="200"/>
        <w:rPr>
          <w:color w:val="000000" w:themeColor="text1"/>
          <w:kern w:val="0"/>
          <w:sz w:val="24"/>
        </w:rPr>
      </w:pPr>
      <w:r>
        <w:rPr>
          <w:color w:val="000000" w:themeColor="text1"/>
          <w:kern w:val="0"/>
          <w:sz w:val="24"/>
        </w:rPr>
        <w:t>拆包、人工分选杂物分类收集后，一部分外卖，其余外运至最近村庄垃圾收集点处理，禁止随意丢弃；剥离废标签纸</w:t>
      </w:r>
      <w:r>
        <w:rPr>
          <w:snapToGrid w:val="0"/>
          <w:color w:val="000000" w:themeColor="text1"/>
          <w:kern w:val="0"/>
          <w:sz w:val="24"/>
          <w:szCs w:val="20"/>
        </w:rPr>
        <w:t>、废过滤网</w:t>
      </w:r>
      <w:r>
        <w:rPr>
          <w:color w:val="000000" w:themeColor="text1"/>
          <w:sz w:val="24"/>
        </w:rPr>
        <w:t>外卖处理；污水处理设施（隔油池+沉淀池）</w:t>
      </w:r>
      <w:r>
        <w:rPr>
          <w:snapToGrid w:val="0"/>
          <w:color w:val="000000" w:themeColor="text1"/>
          <w:kern w:val="0"/>
          <w:sz w:val="24"/>
          <w:szCs w:val="20"/>
        </w:rPr>
        <w:t>污泥</w:t>
      </w:r>
      <w:r>
        <w:rPr>
          <w:color w:val="000000" w:themeColor="text1"/>
          <w:sz w:val="24"/>
        </w:rPr>
        <w:t>外运至最近村庄垃圾收集点处理</w:t>
      </w:r>
      <w:r>
        <w:rPr>
          <w:color w:val="000000" w:themeColor="text1"/>
          <w:kern w:val="0"/>
          <w:sz w:val="24"/>
        </w:rPr>
        <w:t>。</w:t>
      </w:r>
    </w:p>
    <w:p w14:paraId="1AF18131">
      <w:pPr>
        <w:spacing w:line="360" w:lineRule="auto"/>
        <w:ind w:firstLine="480" w:firstLineChars="200"/>
        <w:rPr>
          <w:color w:val="000000" w:themeColor="text1"/>
          <w:kern w:val="0"/>
          <w:sz w:val="24"/>
        </w:rPr>
      </w:pPr>
      <w:r>
        <w:rPr>
          <w:color w:val="000000" w:themeColor="text1"/>
          <w:kern w:val="0"/>
          <w:sz w:val="24"/>
        </w:rPr>
        <w:t>本环评要求在项目区原料仓库北侧设置一般固废堆放间（占地15m</w:t>
      </w:r>
      <w:r>
        <w:rPr>
          <w:color w:val="000000" w:themeColor="text1"/>
          <w:kern w:val="0"/>
          <w:sz w:val="24"/>
          <w:vertAlign w:val="superscript"/>
        </w:rPr>
        <w:t>2</w:t>
      </w:r>
      <w:r>
        <w:rPr>
          <w:color w:val="000000" w:themeColor="text1"/>
          <w:kern w:val="0"/>
          <w:sz w:val="24"/>
        </w:rPr>
        <w:t>）。</w:t>
      </w:r>
    </w:p>
    <w:p w14:paraId="5AD63C67">
      <w:pPr>
        <w:spacing w:line="360" w:lineRule="auto"/>
        <w:ind w:firstLine="482" w:firstLineChars="200"/>
        <w:rPr>
          <w:color w:val="000000" w:themeColor="text1"/>
          <w:kern w:val="0"/>
          <w:sz w:val="24"/>
        </w:rPr>
      </w:pPr>
      <w:r>
        <w:rPr>
          <w:b/>
          <w:color w:val="000000" w:themeColor="text1"/>
          <w:kern w:val="0"/>
          <w:sz w:val="24"/>
        </w:rPr>
        <w:t>一般固废堆存间建设要求：</w:t>
      </w:r>
      <w:r>
        <w:rPr>
          <w:color w:val="000000" w:themeColor="text1"/>
          <w:kern w:val="0"/>
          <w:sz w:val="24"/>
        </w:rPr>
        <w:t>建设单位应按照《一般工业固体废物贮存、处置场污染控制标准》(GB18599-2001)的相关要求建立固体废物临时的堆放场地，不得随处堆放。临时堆放的地面与裙角要用竖固、防渗的建筑材料建造，基础必须防渗，应设计建造径流疏导系统，保证暴雨不会流到临时堆放的场所。临时堆放场所要防风、防雨、防晒，周围应设置围墙并做好密闭处理，禁止生活垃圾混入。</w:t>
      </w:r>
    </w:p>
    <w:p w14:paraId="7451664F">
      <w:pPr>
        <w:pStyle w:val="15"/>
        <w:adjustRightInd w:val="0"/>
        <w:snapToGrid w:val="0"/>
        <w:spacing w:line="360" w:lineRule="auto"/>
        <w:ind w:firstLine="482" w:firstLineChars="200"/>
        <w:jc w:val="both"/>
        <w:rPr>
          <w:b/>
          <w:color w:val="000000" w:themeColor="text1"/>
          <w:sz w:val="24"/>
          <w:szCs w:val="22"/>
        </w:rPr>
      </w:pPr>
      <w:r>
        <w:rPr>
          <w:b/>
          <w:color w:val="000000" w:themeColor="text1"/>
          <w:sz w:val="24"/>
          <w:szCs w:val="22"/>
        </w:rPr>
        <w:t>3、危险固废处置方式</w:t>
      </w:r>
    </w:p>
    <w:p w14:paraId="7ED061F1">
      <w:pPr>
        <w:pStyle w:val="15"/>
        <w:adjustRightInd w:val="0"/>
        <w:snapToGrid w:val="0"/>
        <w:spacing w:line="360" w:lineRule="auto"/>
        <w:ind w:firstLine="480" w:firstLineChars="200"/>
        <w:rPr>
          <w:b/>
          <w:color w:val="000000" w:themeColor="text1"/>
          <w:sz w:val="24"/>
        </w:rPr>
      </w:pPr>
      <w:r>
        <w:rPr>
          <w:color w:val="000000" w:themeColor="text1"/>
          <w:sz w:val="24"/>
        </w:rPr>
        <w:t>危险废物（废过滤棉、光解废气处理灯、</w:t>
      </w:r>
      <w:r>
        <w:rPr>
          <w:snapToGrid w:val="0"/>
          <w:color w:val="000000" w:themeColor="text1"/>
          <w:kern w:val="0"/>
          <w:sz w:val="24"/>
          <w:szCs w:val="20"/>
        </w:rPr>
        <w:t>废过滤网</w:t>
      </w:r>
      <w:r>
        <w:rPr>
          <w:color w:val="000000" w:themeColor="text1"/>
          <w:sz w:val="24"/>
        </w:rPr>
        <w:t>）暂存于危废收集间，委托有资质的单位进行处置。</w:t>
      </w:r>
    </w:p>
    <w:p w14:paraId="6989CC06">
      <w:pPr>
        <w:spacing w:line="360" w:lineRule="auto"/>
        <w:ind w:firstLine="482" w:firstLineChars="200"/>
        <w:rPr>
          <w:b/>
          <w:color w:val="000000" w:themeColor="text1"/>
          <w:sz w:val="24"/>
        </w:rPr>
      </w:pPr>
      <w:r>
        <w:rPr>
          <w:b/>
          <w:color w:val="000000" w:themeColor="text1"/>
          <w:sz w:val="24"/>
        </w:rPr>
        <w:t>危险废物污染防治措施分析</w:t>
      </w:r>
    </w:p>
    <w:p w14:paraId="21AB896A">
      <w:pPr>
        <w:spacing w:line="360" w:lineRule="auto"/>
        <w:ind w:firstLine="480" w:firstLineChars="200"/>
        <w:rPr>
          <w:color w:val="000000" w:themeColor="text1"/>
          <w:sz w:val="24"/>
        </w:rPr>
      </w:pPr>
      <w:r>
        <w:rPr>
          <w:color w:val="000000" w:themeColor="text1"/>
          <w:sz w:val="24"/>
        </w:rPr>
        <w:t>在危废的处理处置过程中，应严格执行环保相关规定及要求，危废交由有资质的危废处理单位统一收集处置。厂区内的危险废物临时贮存应按《危险废物贮存污染控制标准》（GB18597-2001）严格执行以下措施：</w:t>
      </w:r>
    </w:p>
    <w:p w14:paraId="56D6B481">
      <w:pPr>
        <w:spacing w:line="360" w:lineRule="auto"/>
        <w:ind w:firstLine="482" w:firstLineChars="200"/>
        <w:rPr>
          <w:b/>
          <w:color w:val="000000" w:themeColor="text1"/>
          <w:sz w:val="24"/>
        </w:rPr>
      </w:pPr>
      <w:r>
        <w:rPr>
          <w:b/>
          <w:color w:val="000000" w:themeColor="text1"/>
          <w:sz w:val="24"/>
        </w:rPr>
        <w:t>（1）一般措施</w:t>
      </w:r>
    </w:p>
    <w:p w14:paraId="6F73CA24">
      <w:pPr>
        <w:spacing w:line="360" w:lineRule="auto"/>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对所有的危险废物应建造专用的危险废物贮存设施。</w:t>
      </w:r>
    </w:p>
    <w:p w14:paraId="65D8EECB">
      <w:pPr>
        <w:spacing w:line="360" w:lineRule="auto"/>
        <w:ind w:firstLine="480" w:firstLineChars="200"/>
        <w:rPr>
          <w:color w:val="000000" w:themeColor="text1"/>
          <w:sz w:val="24"/>
        </w:rPr>
      </w:pPr>
      <w:r>
        <w:rPr>
          <w:rFonts w:hint="eastAsia" w:ascii="宋体" w:hAnsi="宋体" w:cs="宋体"/>
          <w:color w:val="000000" w:themeColor="text1"/>
          <w:sz w:val="24"/>
        </w:rPr>
        <w:t>②</w:t>
      </w:r>
      <w:r>
        <w:rPr>
          <w:color w:val="000000" w:themeColor="text1"/>
          <w:sz w:val="24"/>
        </w:rPr>
        <w:t>在常温常压下不水解、不挥发的固体危险废物（废过滤棉、光解废气处理灯、</w:t>
      </w:r>
      <w:r>
        <w:rPr>
          <w:snapToGrid w:val="0"/>
          <w:color w:val="000000" w:themeColor="text1"/>
          <w:kern w:val="0"/>
          <w:sz w:val="24"/>
          <w:szCs w:val="20"/>
        </w:rPr>
        <w:t>废过滤网</w:t>
      </w:r>
      <w:r>
        <w:rPr>
          <w:color w:val="000000" w:themeColor="text1"/>
          <w:sz w:val="24"/>
        </w:rPr>
        <w:t>）可在贮存设施内分别堆放，其余的危险废物必须装入容器内。</w:t>
      </w:r>
    </w:p>
    <w:p w14:paraId="6EFB06EF">
      <w:pPr>
        <w:spacing w:line="360" w:lineRule="auto"/>
        <w:ind w:firstLine="480" w:firstLineChars="200"/>
        <w:rPr>
          <w:color w:val="000000" w:themeColor="text1"/>
          <w:sz w:val="24"/>
        </w:rPr>
      </w:pPr>
      <w:r>
        <w:rPr>
          <w:rFonts w:hint="eastAsia" w:ascii="宋体" w:hAnsi="宋体" w:cs="宋体"/>
          <w:color w:val="000000" w:themeColor="text1"/>
          <w:sz w:val="24"/>
        </w:rPr>
        <w:t>③</w:t>
      </w:r>
      <w:r>
        <w:rPr>
          <w:color w:val="000000" w:themeColor="text1"/>
          <w:sz w:val="24"/>
        </w:rPr>
        <w:t>盛装危险废物的容器上必须粘贴符合本标准附录A所示的标签。</w:t>
      </w:r>
    </w:p>
    <w:p w14:paraId="5C33BE1F">
      <w:pPr>
        <w:spacing w:line="360" w:lineRule="auto"/>
        <w:ind w:firstLine="482" w:firstLineChars="200"/>
        <w:rPr>
          <w:b/>
          <w:color w:val="000000" w:themeColor="text1"/>
          <w:sz w:val="24"/>
        </w:rPr>
      </w:pPr>
      <w:r>
        <w:rPr>
          <w:b/>
          <w:color w:val="000000" w:themeColor="text1"/>
          <w:sz w:val="24"/>
        </w:rPr>
        <w:t>（2）危险废物贮存容器</w:t>
      </w:r>
    </w:p>
    <w:p w14:paraId="1065B4D5">
      <w:pPr>
        <w:spacing w:line="360" w:lineRule="auto"/>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应当使用符合标准的容器盛装危险废物。</w:t>
      </w:r>
    </w:p>
    <w:p w14:paraId="0D6B9130">
      <w:pPr>
        <w:spacing w:line="360" w:lineRule="auto"/>
        <w:ind w:firstLine="480" w:firstLineChars="200"/>
        <w:rPr>
          <w:color w:val="000000" w:themeColor="text1"/>
          <w:sz w:val="24"/>
        </w:rPr>
      </w:pPr>
      <w:r>
        <w:rPr>
          <w:rFonts w:hint="eastAsia" w:ascii="宋体" w:hAnsi="宋体" w:cs="宋体"/>
          <w:color w:val="000000" w:themeColor="text1"/>
          <w:sz w:val="24"/>
        </w:rPr>
        <w:t>②</w:t>
      </w:r>
      <w:r>
        <w:rPr>
          <w:color w:val="000000" w:themeColor="text1"/>
          <w:sz w:val="24"/>
        </w:rPr>
        <w:t>装载危险废物的容器及材质要满足相应的强度要求。</w:t>
      </w:r>
    </w:p>
    <w:p w14:paraId="1059DF60">
      <w:pPr>
        <w:spacing w:line="360" w:lineRule="auto"/>
        <w:ind w:firstLine="480" w:firstLineChars="200"/>
        <w:rPr>
          <w:color w:val="000000" w:themeColor="text1"/>
          <w:sz w:val="24"/>
        </w:rPr>
      </w:pPr>
      <w:r>
        <w:rPr>
          <w:rFonts w:hint="eastAsia" w:ascii="宋体" w:hAnsi="宋体" w:cs="宋体"/>
          <w:color w:val="000000" w:themeColor="text1"/>
          <w:sz w:val="24"/>
        </w:rPr>
        <w:t>③</w:t>
      </w:r>
      <w:r>
        <w:rPr>
          <w:color w:val="000000" w:themeColor="text1"/>
          <w:sz w:val="24"/>
        </w:rPr>
        <w:t>装载危险废物的容器必须完好无损。</w:t>
      </w:r>
    </w:p>
    <w:p w14:paraId="253065B5">
      <w:pPr>
        <w:spacing w:line="360" w:lineRule="auto"/>
        <w:ind w:firstLine="480" w:firstLineChars="200"/>
        <w:rPr>
          <w:color w:val="000000" w:themeColor="text1"/>
          <w:sz w:val="24"/>
        </w:rPr>
      </w:pPr>
      <w:r>
        <w:rPr>
          <w:rFonts w:hint="eastAsia" w:ascii="宋体" w:hAnsi="宋体" w:cs="宋体"/>
          <w:color w:val="000000" w:themeColor="text1"/>
          <w:sz w:val="24"/>
        </w:rPr>
        <w:t>④</w:t>
      </w:r>
      <w:r>
        <w:rPr>
          <w:color w:val="000000" w:themeColor="text1"/>
          <w:sz w:val="24"/>
        </w:rPr>
        <w:t>盛装危险废物的容器材质和衬里要与危险废物相容（不相互反应）。</w:t>
      </w:r>
    </w:p>
    <w:p w14:paraId="6E937EC0">
      <w:pPr>
        <w:pStyle w:val="15"/>
        <w:adjustRightInd w:val="0"/>
        <w:snapToGrid w:val="0"/>
        <w:spacing w:line="360" w:lineRule="auto"/>
        <w:ind w:firstLine="480" w:firstLineChars="200"/>
        <w:rPr>
          <w:color w:val="000000" w:themeColor="text1"/>
          <w:sz w:val="24"/>
        </w:rPr>
      </w:pPr>
      <w:r>
        <w:rPr>
          <w:color w:val="000000" w:themeColor="text1"/>
          <w:sz w:val="24"/>
        </w:rPr>
        <w:t>（3）要求暂存间需安装门锁且有专人管理，禁止无关人员进入。认真做好台账记录和危险废物转移联单管理工作。</w:t>
      </w:r>
    </w:p>
    <w:p w14:paraId="21F64EE8">
      <w:pPr>
        <w:pStyle w:val="15"/>
        <w:adjustRightInd w:val="0"/>
        <w:snapToGrid w:val="0"/>
        <w:spacing w:line="360" w:lineRule="auto"/>
        <w:ind w:firstLine="482" w:firstLineChars="200"/>
        <w:rPr>
          <w:b/>
          <w:color w:val="FF0000"/>
          <w:sz w:val="24"/>
        </w:rPr>
      </w:pPr>
      <w:r>
        <w:rPr>
          <w:b/>
          <w:color w:val="FF0000"/>
          <w:sz w:val="24"/>
        </w:rPr>
        <w:t>（4）危险废物暂存间建设要求</w:t>
      </w:r>
    </w:p>
    <w:p w14:paraId="68064305">
      <w:pPr>
        <w:spacing w:line="440" w:lineRule="exact"/>
        <w:ind w:firstLine="480" w:firstLineChars="200"/>
        <w:rPr>
          <w:color w:val="000000"/>
          <w:sz w:val="24"/>
          <w:szCs w:val="22"/>
        </w:rPr>
      </w:pPr>
      <w:r>
        <w:rPr>
          <w:color w:val="000000"/>
          <w:sz w:val="24"/>
          <w:szCs w:val="22"/>
        </w:rPr>
        <w:t>A.危险废物贮存场所必须符合</w:t>
      </w:r>
      <w:r>
        <w:rPr>
          <w:color w:val="000000"/>
          <w:kern w:val="0"/>
          <w:sz w:val="24"/>
          <w:szCs w:val="22"/>
        </w:rPr>
        <w:t>《危险废物贮存污染控制标准》（GB18597-2001）中有关规定，有符合《环境保护图形标志-固体废物贮存（处置）场》（GB15562.2-1995）的专用标志。</w:t>
      </w:r>
    </w:p>
    <w:p w14:paraId="37B32583">
      <w:pPr>
        <w:spacing w:line="440" w:lineRule="exact"/>
        <w:ind w:firstLine="480" w:firstLineChars="200"/>
        <w:rPr>
          <w:color w:val="000000"/>
          <w:sz w:val="24"/>
          <w:szCs w:val="22"/>
        </w:rPr>
      </w:pPr>
      <w:r>
        <w:rPr>
          <w:color w:val="000000"/>
          <w:sz w:val="24"/>
          <w:szCs w:val="22"/>
        </w:rPr>
        <w:t>B.应建有堵截泄漏的裙角，地面与裙角要用兼顾防渗的材料建造，建筑材料必须与危险废物相容。</w:t>
      </w:r>
    </w:p>
    <w:p w14:paraId="4C0B1C14">
      <w:pPr>
        <w:spacing w:line="440" w:lineRule="exact"/>
        <w:ind w:firstLine="480" w:firstLineChars="200"/>
        <w:rPr>
          <w:color w:val="000000"/>
          <w:sz w:val="24"/>
          <w:szCs w:val="22"/>
        </w:rPr>
      </w:pPr>
      <w:r>
        <w:rPr>
          <w:color w:val="000000"/>
          <w:sz w:val="24"/>
          <w:szCs w:val="22"/>
        </w:rPr>
        <w:t>C.必须有泄漏液体收集装置及气体导出口和气体净化装置。</w:t>
      </w:r>
    </w:p>
    <w:p w14:paraId="4191204E">
      <w:pPr>
        <w:spacing w:line="440" w:lineRule="exact"/>
        <w:ind w:firstLine="480" w:firstLineChars="200"/>
        <w:rPr>
          <w:color w:val="000000"/>
          <w:sz w:val="24"/>
          <w:szCs w:val="22"/>
        </w:rPr>
      </w:pPr>
      <w:r>
        <w:rPr>
          <w:color w:val="000000"/>
          <w:sz w:val="24"/>
          <w:szCs w:val="22"/>
        </w:rPr>
        <w:t>D.应有安全照明观察窗口，并应设有应急防护设施。</w:t>
      </w:r>
    </w:p>
    <w:p w14:paraId="3EA390BA">
      <w:pPr>
        <w:spacing w:line="440" w:lineRule="exact"/>
        <w:ind w:firstLine="480" w:firstLineChars="200"/>
        <w:rPr>
          <w:color w:val="000000"/>
          <w:sz w:val="24"/>
          <w:szCs w:val="22"/>
        </w:rPr>
      </w:pPr>
      <w:r>
        <w:rPr>
          <w:color w:val="000000"/>
          <w:sz w:val="24"/>
          <w:szCs w:val="22"/>
        </w:rPr>
        <w:t>E.应有隔离设施、报警装置和防风、防晒、防雨设施以及消防设施。</w:t>
      </w:r>
    </w:p>
    <w:p w14:paraId="0454D766">
      <w:pPr>
        <w:spacing w:line="440" w:lineRule="exact"/>
        <w:ind w:firstLine="480" w:firstLineChars="200"/>
        <w:rPr>
          <w:color w:val="000000"/>
          <w:sz w:val="24"/>
          <w:szCs w:val="22"/>
        </w:rPr>
      </w:pPr>
      <w:r>
        <w:rPr>
          <w:color w:val="000000"/>
          <w:sz w:val="24"/>
          <w:szCs w:val="22"/>
        </w:rPr>
        <w:t>F.墙面、棚面应防吸附，用于存放装载液体、半固体危险废物容器的地方，必须有耐腐蚀的硬化地面，且表面无裂隙。</w:t>
      </w:r>
    </w:p>
    <w:p w14:paraId="7C541F25">
      <w:pPr>
        <w:spacing w:line="440" w:lineRule="exact"/>
        <w:ind w:firstLine="480" w:firstLineChars="200"/>
        <w:rPr>
          <w:color w:val="000000"/>
          <w:sz w:val="24"/>
          <w:szCs w:val="22"/>
        </w:rPr>
      </w:pPr>
      <w:r>
        <w:rPr>
          <w:color w:val="000000"/>
          <w:sz w:val="24"/>
          <w:szCs w:val="22"/>
        </w:rPr>
        <w:t>G.贮存库容量的设计应考虑工艺运行的要求并应满足设备大修（一般以15天为宜）。</w:t>
      </w:r>
    </w:p>
    <w:p w14:paraId="1580B341">
      <w:pPr>
        <w:pStyle w:val="296"/>
        <w:ind w:firstLine="480"/>
        <w:rPr>
          <w:rFonts w:cs="Times New Roman"/>
          <w:color w:val="000000" w:themeColor="text1"/>
        </w:rPr>
      </w:pPr>
      <w:r>
        <w:rPr>
          <w:color w:val="000000"/>
          <w:szCs w:val="22"/>
        </w:rPr>
        <w:t>H</w:t>
      </w:r>
      <w:r>
        <w:rPr>
          <w:rFonts w:hint="eastAsia"/>
          <w:color w:val="000000"/>
          <w:szCs w:val="22"/>
        </w:rPr>
        <w:t>.</w:t>
      </w:r>
      <w:r>
        <w:rPr>
          <w:rFonts w:cs="Times New Roman"/>
          <w:color w:val="000000" w:themeColor="text1"/>
        </w:rPr>
        <w:t xml:space="preserve"> </w:t>
      </w:r>
      <w:r>
        <w:rPr>
          <w:rFonts w:hint="eastAsia" w:cs="Times New Roman"/>
          <w:color w:val="000000" w:themeColor="text1"/>
        </w:rPr>
        <w:t>防渗要求：</w:t>
      </w:r>
      <w:r>
        <w:rPr>
          <w:rFonts w:cs="Times New Roman"/>
          <w:color w:val="000000" w:themeColor="text1"/>
        </w:rPr>
        <w:t>基础采用6m厚压实粘土防渗，上面再用混凝土进行硬化。防渗性能应等效于厚度≥6m，渗透系数K≤1.0×10</w:t>
      </w:r>
      <w:r>
        <w:rPr>
          <w:rFonts w:cs="Times New Roman"/>
          <w:color w:val="000000" w:themeColor="text1"/>
          <w:vertAlign w:val="superscript"/>
        </w:rPr>
        <w:t>-7</w:t>
      </w:r>
      <w:r>
        <w:rPr>
          <w:rFonts w:cs="Times New Roman"/>
          <w:color w:val="000000" w:themeColor="text1"/>
        </w:rPr>
        <w:t>cm/s的黏土层的防渗性能。</w:t>
      </w:r>
    </w:p>
    <w:p w14:paraId="728FF131">
      <w:pPr>
        <w:pStyle w:val="15"/>
        <w:adjustRightInd w:val="0"/>
        <w:snapToGrid w:val="0"/>
        <w:spacing w:line="360" w:lineRule="auto"/>
        <w:ind w:firstLine="480" w:firstLineChars="200"/>
        <w:rPr>
          <w:color w:val="000000" w:themeColor="text1"/>
          <w:sz w:val="24"/>
        </w:rPr>
      </w:pPr>
    </w:p>
    <w:p w14:paraId="7B699635">
      <w:pPr>
        <w:spacing w:line="360" w:lineRule="auto"/>
        <w:ind w:firstLine="480" w:firstLineChars="200"/>
        <w:rPr>
          <w:color w:val="000000" w:themeColor="text1"/>
          <w:sz w:val="24"/>
        </w:rPr>
      </w:pPr>
      <w:r>
        <w:rPr>
          <w:color w:val="000000" w:themeColor="text1"/>
          <w:sz w:val="24"/>
        </w:rPr>
        <w:t>项目产生的固体废物均得到科学合理的处置，处置率为100%，对环境影响不大，避免了二次污染的发生。</w:t>
      </w:r>
    </w:p>
    <w:p w14:paraId="40AE26E2">
      <w:pPr>
        <w:spacing w:line="360" w:lineRule="auto"/>
        <w:ind w:firstLine="480" w:firstLineChars="200"/>
        <w:rPr>
          <w:color w:val="000000" w:themeColor="text1"/>
          <w:sz w:val="24"/>
        </w:rPr>
      </w:pPr>
      <w:r>
        <w:rPr>
          <w:color w:val="000000" w:themeColor="text1"/>
          <w:sz w:val="24"/>
        </w:rPr>
        <w:t>此外，建设单位应强化废物产生、收集、贮放各环节的管理，各种固废按照类别分类存放，杜绝固废在厂区内散失、渗漏，达到无害化的目的，避免产生二次污染。因此，采取以上措施后，本项目产生的各种固体废物均得到了有效处理，不会造成二次污染，从环保角度考虑，固体废物防治措施可行。</w:t>
      </w:r>
    </w:p>
    <w:p w14:paraId="50469610">
      <w:pPr>
        <w:keepNext/>
        <w:keepLines/>
        <w:spacing w:line="360" w:lineRule="auto"/>
        <w:outlineLvl w:val="1"/>
        <w:rPr>
          <w:rFonts w:eastAsia="黑体"/>
          <w:b/>
          <w:bCs/>
          <w:sz w:val="30"/>
          <w:szCs w:val="32"/>
        </w:rPr>
      </w:pPr>
      <w:bookmarkStart w:id="399" w:name="_Toc28117715"/>
      <w:r>
        <w:rPr>
          <w:rFonts w:eastAsia="黑体"/>
          <w:b/>
          <w:bCs/>
          <w:sz w:val="30"/>
          <w:szCs w:val="32"/>
        </w:rPr>
        <w:t>6.5声环境影响预测与分析</w:t>
      </w:r>
      <w:bookmarkEnd w:id="399"/>
    </w:p>
    <w:p w14:paraId="5EC59012">
      <w:pPr>
        <w:widowControl/>
        <w:spacing w:line="360" w:lineRule="auto"/>
        <w:ind w:firstLine="480" w:firstLineChars="200"/>
        <w:jc w:val="left"/>
        <w:rPr>
          <w:sz w:val="24"/>
        </w:rPr>
      </w:pPr>
      <w:r>
        <w:rPr>
          <w:sz w:val="24"/>
        </w:rPr>
        <w:t>本项目运营期对声环境的影响主要为机械设备运行时产生的噪声。</w:t>
      </w:r>
    </w:p>
    <w:p w14:paraId="038B39BF">
      <w:pPr>
        <w:keepNext/>
        <w:keepLines/>
        <w:spacing w:line="360" w:lineRule="auto"/>
        <w:jc w:val="left"/>
        <w:outlineLvl w:val="2"/>
        <w:rPr>
          <w:b/>
          <w:sz w:val="28"/>
          <w:szCs w:val="20"/>
        </w:rPr>
      </w:pPr>
      <w:r>
        <w:rPr>
          <w:b/>
          <w:sz w:val="28"/>
          <w:szCs w:val="20"/>
        </w:rPr>
        <w:t>6.5.1 噪声源分析</w:t>
      </w:r>
    </w:p>
    <w:p w14:paraId="7AD04867">
      <w:pPr>
        <w:pStyle w:val="116"/>
        <w:ind w:firstLine="480"/>
        <w:rPr>
          <w:color w:val="auto"/>
        </w:rPr>
      </w:pPr>
      <w:r>
        <w:rPr>
          <w:color w:val="auto"/>
        </w:rPr>
        <w:t>见3.5.4章节，表3.5-6</w:t>
      </w:r>
    </w:p>
    <w:p w14:paraId="6206A36B">
      <w:pPr>
        <w:keepNext/>
        <w:keepLines/>
        <w:spacing w:line="360" w:lineRule="auto"/>
        <w:jc w:val="left"/>
        <w:outlineLvl w:val="2"/>
        <w:rPr>
          <w:b/>
          <w:sz w:val="24"/>
        </w:rPr>
      </w:pPr>
      <w:r>
        <w:rPr>
          <w:b/>
          <w:sz w:val="28"/>
          <w:szCs w:val="20"/>
        </w:rPr>
        <w:t>6.5.2</w:t>
      </w:r>
      <w:r>
        <w:rPr>
          <w:b/>
          <w:sz w:val="28"/>
          <w:szCs w:val="28"/>
        </w:rPr>
        <w:t>预测内容</w:t>
      </w:r>
    </w:p>
    <w:p w14:paraId="25D71814">
      <w:pPr>
        <w:pStyle w:val="296"/>
        <w:ind w:firstLine="480"/>
        <w:rPr>
          <w:rFonts w:cs="Times New Roman"/>
          <w:color w:val="FF0000"/>
        </w:rPr>
      </w:pPr>
      <w:r>
        <w:rPr>
          <w:rFonts w:cs="Times New Roman"/>
        </w:rPr>
        <w:t>针对项目总体布置情况，对项目区厂界噪声噪声分别进行预测评价。本项目各主要产噪设备距厂界距离见表</w:t>
      </w:r>
      <w:r>
        <w:rPr>
          <w:rFonts w:cs="Times New Roman"/>
          <w:color w:val="FF0000"/>
        </w:rPr>
        <w:t>6.5-1。</w:t>
      </w:r>
    </w:p>
    <w:p w14:paraId="22C1E395"/>
    <w:p w14:paraId="00B0B1D3"/>
    <w:p w14:paraId="420CF5CC">
      <w:pPr>
        <w:pStyle w:val="63"/>
        <w:spacing w:beforeLines="0" w:afterLines="0"/>
        <w:rPr>
          <w:lang w:bidi="en-US"/>
        </w:rPr>
      </w:pPr>
      <w:r>
        <w:rPr>
          <w:lang w:bidi="en-US"/>
        </w:rPr>
        <w:t>表6.5-1  主要产噪设备距厂界预测点的距离  单位：m</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476"/>
        <w:gridCol w:w="1766"/>
        <w:gridCol w:w="883"/>
        <w:gridCol w:w="879"/>
        <w:gridCol w:w="1030"/>
        <w:gridCol w:w="883"/>
        <w:gridCol w:w="1083"/>
      </w:tblGrid>
      <w:tr w14:paraId="3E7E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restart"/>
            <w:tcBorders>
              <w:top w:val="single" w:color="auto" w:sz="4" w:space="0"/>
              <w:left w:val="single" w:color="auto" w:sz="4" w:space="0"/>
              <w:right w:val="single" w:color="auto" w:sz="4" w:space="0"/>
            </w:tcBorders>
            <w:vAlign w:val="center"/>
          </w:tcPr>
          <w:p w14:paraId="0A36550B">
            <w:pPr>
              <w:ind w:right="105" w:rightChars="50"/>
              <w:jc w:val="center"/>
              <w:rPr>
                <w:b/>
                <w:szCs w:val="21"/>
              </w:rPr>
            </w:pPr>
            <w:r>
              <w:rPr>
                <w:b/>
                <w:szCs w:val="21"/>
              </w:rPr>
              <w:t>序号</w:t>
            </w:r>
          </w:p>
        </w:tc>
        <w:tc>
          <w:tcPr>
            <w:tcW w:w="834" w:type="pct"/>
            <w:vMerge w:val="restart"/>
            <w:tcBorders>
              <w:top w:val="single" w:color="auto" w:sz="4" w:space="0"/>
              <w:left w:val="single" w:color="auto" w:sz="4" w:space="0"/>
              <w:right w:val="single" w:color="auto" w:sz="4" w:space="0"/>
            </w:tcBorders>
            <w:vAlign w:val="center"/>
          </w:tcPr>
          <w:p w14:paraId="76096785">
            <w:pPr>
              <w:ind w:right="105" w:rightChars="50"/>
              <w:jc w:val="center"/>
              <w:rPr>
                <w:b/>
                <w:szCs w:val="21"/>
              </w:rPr>
            </w:pPr>
            <w:r>
              <w:rPr>
                <w:b/>
                <w:szCs w:val="21"/>
              </w:rPr>
              <w:t>区域</w:t>
            </w:r>
          </w:p>
        </w:tc>
        <w:tc>
          <w:tcPr>
            <w:tcW w:w="998" w:type="pct"/>
            <w:vMerge w:val="restart"/>
            <w:tcBorders>
              <w:top w:val="single" w:color="auto" w:sz="4" w:space="0"/>
              <w:left w:val="single" w:color="auto" w:sz="4" w:space="0"/>
              <w:right w:val="single" w:color="auto" w:sz="4" w:space="0"/>
            </w:tcBorders>
            <w:vAlign w:val="center"/>
          </w:tcPr>
          <w:p w14:paraId="2CAB872E">
            <w:pPr>
              <w:ind w:right="105" w:rightChars="50"/>
              <w:jc w:val="center"/>
              <w:rPr>
                <w:b/>
                <w:szCs w:val="21"/>
              </w:rPr>
            </w:pPr>
            <w:r>
              <w:rPr>
                <w:b/>
                <w:szCs w:val="21"/>
              </w:rPr>
              <w:t>声源</w:t>
            </w:r>
          </w:p>
        </w:tc>
        <w:tc>
          <w:tcPr>
            <w:tcW w:w="499" w:type="pct"/>
            <w:vMerge w:val="restart"/>
            <w:tcBorders>
              <w:top w:val="single" w:color="auto" w:sz="4" w:space="0"/>
              <w:left w:val="single" w:color="auto" w:sz="4" w:space="0"/>
              <w:right w:val="single" w:color="auto" w:sz="4" w:space="0"/>
            </w:tcBorders>
            <w:vAlign w:val="center"/>
          </w:tcPr>
          <w:p w14:paraId="66728EA2">
            <w:pPr>
              <w:ind w:right="105" w:rightChars="50"/>
              <w:jc w:val="center"/>
              <w:rPr>
                <w:b/>
                <w:szCs w:val="21"/>
              </w:rPr>
            </w:pPr>
            <w:r>
              <w:rPr>
                <w:b/>
                <w:szCs w:val="21"/>
              </w:rPr>
              <w:t>数量</w:t>
            </w:r>
          </w:p>
        </w:tc>
        <w:tc>
          <w:tcPr>
            <w:tcW w:w="2190" w:type="pct"/>
            <w:gridSpan w:val="4"/>
            <w:tcBorders>
              <w:top w:val="single" w:color="auto" w:sz="4" w:space="0"/>
              <w:left w:val="single" w:color="auto" w:sz="4" w:space="0"/>
              <w:bottom w:val="single" w:color="auto" w:sz="4" w:space="0"/>
              <w:right w:val="single" w:color="auto" w:sz="4" w:space="0"/>
            </w:tcBorders>
            <w:vAlign w:val="center"/>
          </w:tcPr>
          <w:p w14:paraId="6D7851C3">
            <w:pPr>
              <w:ind w:right="105" w:rightChars="50"/>
              <w:jc w:val="center"/>
              <w:rPr>
                <w:b/>
                <w:szCs w:val="21"/>
              </w:rPr>
            </w:pPr>
            <w:r>
              <w:rPr>
                <w:b/>
                <w:szCs w:val="21"/>
              </w:rPr>
              <w:t>与厂界距离m</w:t>
            </w:r>
          </w:p>
        </w:tc>
      </w:tr>
      <w:tr w14:paraId="364B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479" w:type="pct"/>
            <w:vMerge w:val="continue"/>
            <w:tcBorders>
              <w:left w:val="single" w:color="auto" w:sz="4" w:space="0"/>
              <w:bottom w:val="single" w:color="auto" w:sz="4" w:space="0"/>
              <w:right w:val="single" w:color="auto" w:sz="4" w:space="0"/>
            </w:tcBorders>
            <w:vAlign w:val="center"/>
          </w:tcPr>
          <w:p w14:paraId="195DF882">
            <w:pPr>
              <w:ind w:right="105" w:rightChars="50"/>
              <w:jc w:val="center"/>
              <w:rPr>
                <w:b/>
                <w:szCs w:val="21"/>
              </w:rPr>
            </w:pPr>
          </w:p>
        </w:tc>
        <w:tc>
          <w:tcPr>
            <w:tcW w:w="834" w:type="pct"/>
            <w:vMerge w:val="continue"/>
            <w:tcBorders>
              <w:left w:val="single" w:color="auto" w:sz="4" w:space="0"/>
              <w:bottom w:val="single" w:color="auto" w:sz="4" w:space="0"/>
              <w:right w:val="single" w:color="auto" w:sz="4" w:space="0"/>
            </w:tcBorders>
            <w:vAlign w:val="center"/>
          </w:tcPr>
          <w:p w14:paraId="432E520B">
            <w:pPr>
              <w:ind w:right="105" w:rightChars="50"/>
              <w:jc w:val="center"/>
              <w:rPr>
                <w:b/>
                <w:szCs w:val="21"/>
              </w:rPr>
            </w:pPr>
          </w:p>
        </w:tc>
        <w:tc>
          <w:tcPr>
            <w:tcW w:w="998" w:type="pct"/>
            <w:vMerge w:val="continue"/>
            <w:tcBorders>
              <w:left w:val="single" w:color="auto" w:sz="4" w:space="0"/>
              <w:bottom w:val="single" w:color="auto" w:sz="4" w:space="0"/>
              <w:right w:val="single" w:color="auto" w:sz="4" w:space="0"/>
            </w:tcBorders>
            <w:vAlign w:val="center"/>
          </w:tcPr>
          <w:p w14:paraId="059A8D63">
            <w:pPr>
              <w:ind w:right="105" w:rightChars="50"/>
              <w:jc w:val="center"/>
              <w:rPr>
                <w:b/>
                <w:szCs w:val="21"/>
              </w:rPr>
            </w:pPr>
          </w:p>
        </w:tc>
        <w:tc>
          <w:tcPr>
            <w:tcW w:w="499" w:type="pct"/>
            <w:vMerge w:val="continue"/>
            <w:tcBorders>
              <w:left w:val="single" w:color="auto" w:sz="4" w:space="0"/>
              <w:bottom w:val="single" w:color="auto" w:sz="4" w:space="0"/>
              <w:right w:val="single" w:color="auto" w:sz="4" w:space="0"/>
            </w:tcBorders>
            <w:vAlign w:val="center"/>
          </w:tcPr>
          <w:p w14:paraId="4F729777">
            <w:pPr>
              <w:ind w:right="105" w:rightChars="50"/>
              <w:jc w:val="center"/>
              <w:rPr>
                <w:b/>
                <w:szCs w:val="21"/>
              </w:rPr>
            </w:pPr>
          </w:p>
        </w:tc>
        <w:tc>
          <w:tcPr>
            <w:tcW w:w="497" w:type="pct"/>
            <w:tcBorders>
              <w:top w:val="single" w:color="auto" w:sz="4" w:space="0"/>
              <w:left w:val="single" w:color="auto" w:sz="4" w:space="0"/>
              <w:bottom w:val="single" w:color="auto" w:sz="4" w:space="0"/>
              <w:right w:val="single" w:color="auto" w:sz="4" w:space="0"/>
            </w:tcBorders>
            <w:vAlign w:val="center"/>
          </w:tcPr>
          <w:p w14:paraId="0375A03C">
            <w:pPr>
              <w:ind w:right="105" w:rightChars="50"/>
              <w:jc w:val="center"/>
              <w:rPr>
                <w:b/>
                <w:szCs w:val="21"/>
              </w:rPr>
            </w:pPr>
            <w:r>
              <w:rPr>
                <w:b/>
                <w:szCs w:val="21"/>
              </w:rPr>
              <w:t>东</w:t>
            </w:r>
          </w:p>
        </w:tc>
        <w:tc>
          <w:tcPr>
            <w:tcW w:w="582" w:type="pct"/>
            <w:tcBorders>
              <w:top w:val="single" w:color="auto" w:sz="4" w:space="0"/>
              <w:left w:val="single" w:color="auto" w:sz="4" w:space="0"/>
              <w:bottom w:val="single" w:color="auto" w:sz="4" w:space="0"/>
              <w:right w:val="single" w:color="auto" w:sz="4" w:space="0"/>
            </w:tcBorders>
            <w:vAlign w:val="center"/>
          </w:tcPr>
          <w:p w14:paraId="5C59CF15">
            <w:pPr>
              <w:ind w:right="105" w:rightChars="50"/>
              <w:jc w:val="center"/>
              <w:rPr>
                <w:b/>
                <w:szCs w:val="21"/>
              </w:rPr>
            </w:pPr>
            <w:r>
              <w:rPr>
                <w:b/>
                <w:szCs w:val="21"/>
              </w:rPr>
              <w:t>南</w:t>
            </w:r>
          </w:p>
        </w:tc>
        <w:tc>
          <w:tcPr>
            <w:tcW w:w="499" w:type="pct"/>
            <w:tcBorders>
              <w:top w:val="single" w:color="auto" w:sz="4" w:space="0"/>
              <w:left w:val="single" w:color="auto" w:sz="4" w:space="0"/>
              <w:bottom w:val="single" w:color="auto" w:sz="4" w:space="0"/>
              <w:right w:val="single" w:color="auto" w:sz="4" w:space="0"/>
            </w:tcBorders>
            <w:vAlign w:val="center"/>
          </w:tcPr>
          <w:p w14:paraId="0199E04C">
            <w:pPr>
              <w:ind w:right="105" w:rightChars="50"/>
              <w:jc w:val="center"/>
              <w:rPr>
                <w:b/>
                <w:szCs w:val="21"/>
              </w:rPr>
            </w:pPr>
            <w:r>
              <w:rPr>
                <w:b/>
                <w:szCs w:val="21"/>
              </w:rPr>
              <w:t>西</w:t>
            </w:r>
          </w:p>
        </w:tc>
        <w:tc>
          <w:tcPr>
            <w:tcW w:w="612" w:type="pct"/>
            <w:tcBorders>
              <w:top w:val="single" w:color="auto" w:sz="4" w:space="0"/>
              <w:left w:val="single" w:color="auto" w:sz="4" w:space="0"/>
              <w:bottom w:val="single" w:color="auto" w:sz="4" w:space="0"/>
              <w:right w:val="single" w:color="auto" w:sz="4" w:space="0"/>
            </w:tcBorders>
            <w:vAlign w:val="center"/>
          </w:tcPr>
          <w:p w14:paraId="44FF12B3">
            <w:pPr>
              <w:ind w:right="105" w:rightChars="50"/>
              <w:jc w:val="center"/>
              <w:rPr>
                <w:b/>
                <w:szCs w:val="21"/>
              </w:rPr>
            </w:pPr>
            <w:r>
              <w:rPr>
                <w:b/>
                <w:szCs w:val="21"/>
              </w:rPr>
              <w:t>北</w:t>
            </w:r>
          </w:p>
        </w:tc>
      </w:tr>
      <w:tr w14:paraId="0826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79" w:type="pct"/>
            <w:tcBorders>
              <w:top w:val="single" w:color="auto" w:sz="4" w:space="0"/>
              <w:left w:val="single" w:color="auto" w:sz="4" w:space="0"/>
              <w:bottom w:val="single" w:color="auto" w:sz="4" w:space="0"/>
              <w:right w:val="single" w:color="auto" w:sz="4" w:space="0"/>
            </w:tcBorders>
            <w:vAlign w:val="center"/>
          </w:tcPr>
          <w:p w14:paraId="7773EF3C">
            <w:pPr>
              <w:widowControl/>
              <w:jc w:val="center"/>
              <w:rPr>
                <w:kern w:val="0"/>
                <w:szCs w:val="21"/>
              </w:rPr>
            </w:pPr>
            <w:r>
              <w:rPr>
                <w:kern w:val="0"/>
                <w:szCs w:val="21"/>
              </w:rPr>
              <w:t>1</w:t>
            </w:r>
          </w:p>
        </w:tc>
        <w:tc>
          <w:tcPr>
            <w:tcW w:w="834" w:type="pct"/>
            <w:vMerge w:val="restart"/>
            <w:tcBorders>
              <w:top w:val="single" w:color="auto" w:sz="4" w:space="0"/>
              <w:left w:val="single" w:color="auto" w:sz="4" w:space="0"/>
              <w:right w:val="single" w:color="auto" w:sz="4" w:space="0"/>
            </w:tcBorders>
            <w:vAlign w:val="center"/>
          </w:tcPr>
          <w:p w14:paraId="005EC40B">
            <w:pPr>
              <w:adjustRightInd w:val="0"/>
              <w:spacing w:before="60" w:after="60"/>
              <w:jc w:val="center"/>
              <w:textAlignment w:val="baseline"/>
              <w:rPr>
                <w:kern w:val="0"/>
                <w:szCs w:val="21"/>
              </w:rPr>
            </w:pPr>
            <w:r>
              <w:rPr>
                <w:kern w:val="0"/>
                <w:szCs w:val="21"/>
              </w:rPr>
              <w:t>1#生产线（破碎清洗+造粒）</w:t>
            </w:r>
          </w:p>
        </w:tc>
        <w:tc>
          <w:tcPr>
            <w:tcW w:w="998" w:type="pct"/>
            <w:tcBorders>
              <w:top w:val="single" w:color="auto" w:sz="4" w:space="0"/>
              <w:left w:val="single" w:color="auto" w:sz="4" w:space="0"/>
              <w:bottom w:val="single" w:color="auto" w:sz="4" w:space="0"/>
              <w:right w:val="single" w:color="auto" w:sz="4" w:space="0"/>
            </w:tcBorders>
            <w:vAlign w:val="center"/>
          </w:tcPr>
          <w:p w14:paraId="126D4DBC">
            <w:pPr>
              <w:adjustRightInd w:val="0"/>
              <w:spacing w:before="60" w:after="60"/>
              <w:jc w:val="center"/>
              <w:textAlignment w:val="baseline"/>
              <w:rPr>
                <w:kern w:val="0"/>
                <w:szCs w:val="21"/>
              </w:rPr>
            </w:pPr>
            <w:r>
              <w:rPr>
                <w:kern w:val="0"/>
                <w:szCs w:val="21"/>
              </w:rPr>
              <w:t>带洗重型粉料机</w:t>
            </w:r>
          </w:p>
        </w:tc>
        <w:tc>
          <w:tcPr>
            <w:tcW w:w="499" w:type="pct"/>
            <w:tcBorders>
              <w:top w:val="single" w:color="auto" w:sz="4" w:space="0"/>
              <w:left w:val="single" w:color="auto" w:sz="4" w:space="0"/>
              <w:bottom w:val="single" w:color="auto" w:sz="4" w:space="0"/>
              <w:right w:val="single" w:color="auto" w:sz="4" w:space="0"/>
            </w:tcBorders>
            <w:vAlign w:val="center"/>
          </w:tcPr>
          <w:p w14:paraId="46E76E94">
            <w:pPr>
              <w:adjustRightInd w:val="0"/>
              <w:spacing w:before="60" w:after="60"/>
              <w:jc w:val="center"/>
              <w:textAlignment w:val="baseline"/>
              <w:rPr>
                <w:kern w:val="0"/>
                <w:szCs w:val="21"/>
              </w:rPr>
            </w:pPr>
            <w:r>
              <w:rPr>
                <w:kern w:val="0"/>
                <w:szCs w:val="21"/>
              </w:rPr>
              <w:t>1</w:t>
            </w:r>
          </w:p>
        </w:tc>
        <w:tc>
          <w:tcPr>
            <w:tcW w:w="497" w:type="pct"/>
            <w:tcBorders>
              <w:top w:val="single" w:color="auto" w:sz="4" w:space="0"/>
              <w:left w:val="single" w:color="auto" w:sz="4" w:space="0"/>
              <w:right w:val="single" w:color="auto" w:sz="4" w:space="0"/>
            </w:tcBorders>
            <w:vAlign w:val="center"/>
          </w:tcPr>
          <w:p w14:paraId="6F41B502">
            <w:pPr>
              <w:ind w:right="105" w:rightChars="50"/>
              <w:jc w:val="center"/>
              <w:rPr>
                <w:szCs w:val="21"/>
              </w:rPr>
            </w:pPr>
            <w:r>
              <w:rPr>
                <w:szCs w:val="21"/>
              </w:rPr>
              <w:t>25</w:t>
            </w:r>
          </w:p>
        </w:tc>
        <w:tc>
          <w:tcPr>
            <w:tcW w:w="582" w:type="pct"/>
            <w:tcBorders>
              <w:top w:val="single" w:color="auto" w:sz="4" w:space="0"/>
              <w:left w:val="single" w:color="auto" w:sz="4" w:space="0"/>
              <w:right w:val="single" w:color="auto" w:sz="4" w:space="0"/>
            </w:tcBorders>
            <w:vAlign w:val="center"/>
          </w:tcPr>
          <w:p w14:paraId="7248DA80">
            <w:pPr>
              <w:ind w:right="105" w:rightChars="50"/>
              <w:jc w:val="center"/>
              <w:rPr>
                <w:szCs w:val="21"/>
              </w:rPr>
            </w:pPr>
            <w:r>
              <w:rPr>
                <w:szCs w:val="21"/>
              </w:rPr>
              <w:t>70</w:t>
            </w:r>
          </w:p>
        </w:tc>
        <w:tc>
          <w:tcPr>
            <w:tcW w:w="499" w:type="pct"/>
            <w:tcBorders>
              <w:top w:val="single" w:color="auto" w:sz="4" w:space="0"/>
              <w:left w:val="single" w:color="auto" w:sz="4" w:space="0"/>
              <w:right w:val="single" w:color="auto" w:sz="4" w:space="0"/>
            </w:tcBorders>
            <w:vAlign w:val="center"/>
          </w:tcPr>
          <w:p w14:paraId="578AC554">
            <w:pPr>
              <w:ind w:right="105" w:rightChars="50"/>
              <w:jc w:val="center"/>
              <w:rPr>
                <w:szCs w:val="21"/>
              </w:rPr>
            </w:pPr>
            <w:r>
              <w:rPr>
                <w:szCs w:val="21"/>
              </w:rPr>
              <w:t>70</w:t>
            </w:r>
          </w:p>
        </w:tc>
        <w:tc>
          <w:tcPr>
            <w:tcW w:w="612" w:type="pct"/>
            <w:tcBorders>
              <w:top w:val="single" w:color="auto" w:sz="4" w:space="0"/>
              <w:left w:val="single" w:color="auto" w:sz="4" w:space="0"/>
              <w:right w:val="single" w:color="auto" w:sz="4" w:space="0"/>
            </w:tcBorders>
            <w:vAlign w:val="center"/>
          </w:tcPr>
          <w:p w14:paraId="0FBAC9C1">
            <w:pPr>
              <w:ind w:right="105" w:rightChars="50"/>
              <w:jc w:val="center"/>
              <w:rPr>
                <w:szCs w:val="21"/>
              </w:rPr>
            </w:pPr>
            <w:r>
              <w:rPr>
                <w:szCs w:val="21"/>
              </w:rPr>
              <w:t>68</w:t>
            </w:r>
          </w:p>
        </w:tc>
      </w:tr>
      <w:tr w14:paraId="50D5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tcBorders>
              <w:top w:val="single" w:color="auto" w:sz="4" w:space="0"/>
              <w:left w:val="single" w:color="auto" w:sz="4" w:space="0"/>
              <w:bottom w:val="single" w:color="auto" w:sz="4" w:space="0"/>
              <w:right w:val="single" w:color="auto" w:sz="4" w:space="0"/>
            </w:tcBorders>
            <w:vAlign w:val="center"/>
          </w:tcPr>
          <w:p w14:paraId="60973966">
            <w:pPr>
              <w:widowControl/>
              <w:jc w:val="center"/>
              <w:rPr>
                <w:kern w:val="0"/>
                <w:szCs w:val="21"/>
              </w:rPr>
            </w:pPr>
            <w:r>
              <w:rPr>
                <w:kern w:val="0"/>
                <w:szCs w:val="21"/>
              </w:rPr>
              <w:t>2</w:t>
            </w:r>
          </w:p>
        </w:tc>
        <w:tc>
          <w:tcPr>
            <w:tcW w:w="834" w:type="pct"/>
            <w:vMerge w:val="continue"/>
            <w:tcBorders>
              <w:left w:val="single" w:color="auto" w:sz="4" w:space="0"/>
              <w:right w:val="single" w:color="auto" w:sz="4" w:space="0"/>
            </w:tcBorders>
            <w:vAlign w:val="center"/>
          </w:tcPr>
          <w:p w14:paraId="500B9AAF">
            <w:pPr>
              <w:adjustRightInd w:val="0"/>
              <w:spacing w:before="60" w:after="60"/>
              <w:jc w:val="center"/>
              <w:textAlignment w:val="baseline"/>
              <w:rPr>
                <w:kern w:val="0"/>
                <w:szCs w:val="21"/>
              </w:rPr>
            </w:pPr>
          </w:p>
        </w:tc>
        <w:tc>
          <w:tcPr>
            <w:tcW w:w="998" w:type="pct"/>
            <w:tcBorders>
              <w:top w:val="single" w:color="auto" w:sz="4" w:space="0"/>
              <w:left w:val="single" w:color="auto" w:sz="4" w:space="0"/>
              <w:bottom w:val="single" w:color="auto" w:sz="4" w:space="0"/>
              <w:right w:val="single" w:color="auto" w:sz="4" w:space="0"/>
            </w:tcBorders>
            <w:vAlign w:val="center"/>
          </w:tcPr>
          <w:p w14:paraId="7C2140DF">
            <w:pPr>
              <w:widowControl/>
              <w:jc w:val="center"/>
              <w:rPr>
                <w:kern w:val="0"/>
                <w:szCs w:val="21"/>
              </w:rPr>
            </w:pPr>
            <w:r>
              <w:rPr>
                <w:szCs w:val="21"/>
              </w:rPr>
              <w:t>风干机</w:t>
            </w:r>
          </w:p>
        </w:tc>
        <w:tc>
          <w:tcPr>
            <w:tcW w:w="499" w:type="pct"/>
            <w:tcBorders>
              <w:top w:val="single" w:color="auto" w:sz="4" w:space="0"/>
              <w:left w:val="single" w:color="auto" w:sz="4" w:space="0"/>
              <w:bottom w:val="single" w:color="auto" w:sz="4" w:space="0"/>
              <w:right w:val="single" w:color="auto" w:sz="4" w:space="0"/>
            </w:tcBorders>
            <w:vAlign w:val="center"/>
          </w:tcPr>
          <w:p w14:paraId="7CEF1DC4">
            <w:pPr>
              <w:widowControl/>
              <w:jc w:val="center"/>
              <w:rPr>
                <w:kern w:val="0"/>
                <w:szCs w:val="21"/>
              </w:rPr>
            </w:pPr>
            <w:r>
              <w:rPr>
                <w:kern w:val="0"/>
                <w:szCs w:val="21"/>
              </w:rPr>
              <w:t>1</w:t>
            </w:r>
          </w:p>
        </w:tc>
        <w:tc>
          <w:tcPr>
            <w:tcW w:w="497" w:type="pct"/>
            <w:tcBorders>
              <w:top w:val="single" w:color="auto" w:sz="4" w:space="0"/>
              <w:left w:val="single" w:color="auto" w:sz="4" w:space="0"/>
              <w:right w:val="single" w:color="auto" w:sz="4" w:space="0"/>
            </w:tcBorders>
            <w:vAlign w:val="center"/>
          </w:tcPr>
          <w:p w14:paraId="0D5A2D7B">
            <w:pPr>
              <w:ind w:right="105" w:rightChars="50"/>
              <w:jc w:val="center"/>
              <w:rPr>
                <w:szCs w:val="21"/>
              </w:rPr>
            </w:pPr>
            <w:r>
              <w:rPr>
                <w:szCs w:val="21"/>
              </w:rPr>
              <w:t>25</w:t>
            </w:r>
          </w:p>
        </w:tc>
        <w:tc>
          <w:tcPr>
            <w:tcW w:w="582" w:type="pct"/>
            <w:tcBorders>
              <w:top w:val="single" w:color="auto" w:sz="4" w:space="0"/>
              <w:left w:val="single" w:color="auto" w:sz="4" w:space="0"/>
              <w:right w:val="single" w:color="auto" w:sz="4" w:space="0"/>
            </w:tcBorders>
            <w:vAlign w:val="center"/>
          </w:tcPr>
          <w:p w14:paraId="5F85DCE2">
            <w:pPr>
              <w:ind w:right="105" w:rightChars="50"/>
              <w:jc w:val="center"/>
              <w:rPr>
                <w:szCs w:val="21"/>
              </w:rPr>
            </w:pPr>
            <w:r>
              <w:rPr>
                <w:szCs w:val="21"/>
              </w:rPr>
              <w:t>60</w:t>
            </w:r>
          </w:p>
        </w:tc>
        <w:tc>
          <w:tcPr>
            <w:tcW w:w="499" w:type="pct"/>
            <w:tcBorders>
              <w:top w:val="single" w:color="auto" w:sz="4" w:space="0"/>
              <w:left w:val="single" w:color="auto" w:sz="4" w:space="0"/>
              <w:right w:val="single" w:color="auto" w:sz="4" w:space="0"/>
            </w:tcBorders>
            <w:vAlign w:val="center"/>
          </w:tcPr>
          <w:p w14:paraId="337C5A22">
            <w:pPr>
              <w:ind w:right="105" w:rightChars="50"/>
              <w:jc w:val="center"/>
              <w:rPr>
                <w:szCs w:val="21"/>
              </w:rPr>
            </w:pPr>
            <w:r>
              <w:rPr>
                <w:szCs w:val="21"/>
              </w:rPr>
              <w:t>70</w:t>
            </w:r>
          </w:p>
        </w:tc>
        <w:tc>
          <w:tcPr>
            <w:tcW w:w="612" w:type="pct"/>
            <w:tcBorders>
              <w:top w:val="single" w:color="auto" w:sz="4" w:space="0"/>
              <w:left w:val="single" w:color="auto" w:sz="4" w:space="0"/>
              <w:right w:val="single" w:color="auto" w:sz="4" w:space="0"/>
            </w:tcBorders>
            <w:vAlign w:val="center"/>
          </w:tcPr>
          <w:p w14:paraId="20443340">
            <w:pPr>
              <w:ind w:right="105" w:rightChars="50"/>
              <w:jc w:val="center"/>
              <w:rPr>
                <w:szCs w:val="21"/>
              </w:rPr>
            </w:pPr>
            <w:r>
              <w:rPr>
                <w:szCs w:val="21"/>
              </w:rPr>
              <w:t>80</w:t>
            </w:r>
          </w:p>
        </w:tc>
      </w:tr>
      <w:tr w14:paraId="7BF5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tcBorders>
              <w:top w:val="single" w:color="auto" w:sz="4" w:space="0"/>
              <w:left w:val="single" w:color="auto" w:sz="4" w:space="0"/>
              <w:bottom w:val="single" w:color="auto" w:sz="4" w:space="0"/>
              <w:right w:val="single" w:color="auto" w:sz="4" w:space="0"/>
            </w:tcBorders>
            <w:vAlign w:val="center"/>
          </w:tcPr>
          <w:p w14:paraId="1AA19803">
            <w:pPr>
              <w:widowControl/>
              <w:jc w:val="center"/>
              <w:rPr>
                <w:kern w:val="0"/>
                <w:szCs w:val="21"/>
              </w:rPr>
            </w:pPr>
            <w:r>
              <w:rPr>
                <w:kern w:val="0"/>
                <w:szCs w:val="21"/>
              </w:rPr>
              <w:t>3</w:t>
            </w:r>
          </w:p>
        </w:tc>
        <w:tc>
          <w:tcPr>
            <w:tcW w:w="834" w:type="pct"/>
            <w:vMerge w:val="continue"/>
            <w:tcBorders>
              <w:left w:val="single" w:color="auto" w:sz="4" w:space="0"/>
              <w:right w:val="single" w:color="auto" w:sz="4" w:space="0"/>
            </w:tcBorders>
            <w:vAlign w:val="center"/>
          </w:tcPr>
          <w:p w14:paraId="62D923CC">
            <w:pPr>
              <w:adjustRightInd w:val="0"/>
              <w:spacing w:before="60" w:after="60"/>
              <w:jc w:val="center"/>
              <w:textAlignment w:val="baseline"/>
              <w:rPr>
                <w:kern w:val="0"/>
                <w:szCs w:val="21"/>
              </w:rPr>
            </w:pPr>
          </w:p>
        </w:tc>
        <w:tc>
          <w:tcPr>
            <w:tcW w:w="998" w:type="pct"/>
            <w:tcBorders>
              <w:top w:val="single" w:color="auto" w:sz="4" w:space="0"/>
              <w:left w:val="single" w:color="auto" w:sz="4" w:space="0"/>
              <w:bottom w:val="single" w:color="auto" w:sz="4" w:space="0"/>
              <w:right w:val="single" w:color="auto" w:sz="4" w:space="0"/>
            </w:tcBorders>
            <w:vAlign w:val="center"/>
          </w:tcPr>
          <w:p w14:paraId="150571D4">
            <w:pPr>
              <w:widowControl/>
              <w:jc w:val="center"/>
              <w:rPr>
                <w:szCs w:val="21"/>
              </w:rPr>
            </w:pPr>
            <w:r>
              <w:rPr>
                <w:kern w:val="0"/>
                <w:szCs w:val="21"/>
              </w:rPr>
              <w:t>10T造粒机</w:t>
            </w:r>
          </w:p>
        </w:tc>
        <w:tc>
          <w:tcPr>
            <w:tcW w:w="499" w:type="pct"/>
            <w:tcBorders>
              <w:top w:val="single" w:color="auto" w:sz="4" w:space="0"/>
              <w:left w:val="single" w:color="auto" w:sz="4" w:space="0"/>
              <w:bottom w:val="single" w:color="auto" w:sz="4" w:space="0"/>
              <w:right w:val="single" w:color="auto" w:sz="4" w:space="0"/>
            </w:tcBorders>
            <w:vAlign w:val="center"/>
          </w:tcPr>
          <w:p w14:paraId="29E70179">
            <w:pPr>
              <w:widowControl/>
              <w:jc w:val="center"/>
              <w:rPr>
                <w:szCs w:val="21"/>
              </w:rPr>
            </w:pPr>
            <w:r>
              <w:rPr>
                <w:szCs w:val="21"/>
              </w:rPr>
              <w:t>1</w:t>
            </w:r>
          </w:p>
        </w:tc>
        <w:tc>
          <w:tcPr>
            <w:tcW w:w="497" w:type="pct"/>
            <w:tcBorders>
              <w:top w:val="single" w:color="auto" w:sz="4" w:space="0"/>
              <w:left w:val="single" w:color="auto" w:sz="4" w:space="0"/>
              <w:right w:val="single" w:color="auto" w:sz="4" w:space="0"/>
            </w:tcBorders>
            <w:vAlign w:val="center"/>
          </w:tcPr>
          <w:p w14:paraId="78476343">
            <w:pPr>
              <w:ind w:right="105" w:rightChars="50"/>
              <w:jc w:val="center"/>
              <w:rPr>
                <w:szCs w:val="21"/>
              </w:rPr>
            </w:pPr>
            <w:r>
              <w:rPr>
                <w:szCs w:val="21"/>
              </w:rPr>
              <w:t>25</w:t>
            </w:r>
          </w:p>
        </w:tc>
        <w:tc>
          <w:tcPr>
            <w:tcW w:w="582" w:type="pct"/>
            <w:tcBorders>
              <w:top w:val="single" w:color="auto" w:sz="4" w:space="0"/>
              <w:left w:val="single" w:color="auto" w:sz="4" w:space="0"/>
              <w:right w:val="single" w:color="auto" w:sz="4" w:space="0"/>
            </w:tcBorders>
            <w:vAlign w:val="center"/>
          </w:tcPr>
          <w:p w14:paraId="47EE8B09">
            <w:pPr>
              <w:ind w:right="105" w:rightChars="50"/>
              <w:jc w:val="center"/>
              <w:rPr>
                <w:szCs w:val="21"/>
              </w:rPr>
            </w:pPr>
            <w:r>
              <w:rPr>
                <w:szCs w:val="21"/>
              </w:rPr>
              <w:t>50</w:t>
            </w:r>
          </w:p>
        </w:tc>
        <w:tc>
          <w:tcPr>
            <w:tcW w:w="499" w:type="pct"/>
            <w:tcBorders>
              <w:top w:val="single" w:color="auto" w:sz="4" w:space="0"/>
              <w:left w:val="single" w:color="auto" w:sz="4" w:space="0"/>
              <w:right w:val="single" w:color="auto" w:sz="4" w:space="0"/>
            </w:tcBorders>
            <w:vAlign w:val="center"/>
          </w:tcPr>
          <w:p w14:paraId="3D273673">
            <w:pPr>
              <w:ind w:right="105" w:rightChars="50"/>
              <w:jc w:val="center"/>
              <w:rPr>
                <w:szCs w:val="21"/>
              </w:rPr>
            </w:pPr>
            <w:r>
              <w:rPr>
                <w:szCs w:val="21"/>
              </w:rPr>
              <w:t>70</w:t>
            </w:r>
          </w:p>
        </w:tc>
        <w:tc>
          <w:tcPr>
            <w:tcW w:w="612" w:type="pct"/>
            <w:tcBorders>
              <w:top w:val="single" w:color="auto" w:sz="4" w:space="0"/>
              <w:left w:val="single" w:color="auto" w:sz="4" w:space="0"/>
              <w:right w:val="single" w:color="auto" w:sz="4" w:space="0"/>
            </w:tcBorders>
            <w:vAlign w:val="center"/>
          </w:tcPr>
          <w:p w14:paraId="2E35A2EF">
            <w:pPr>
              <w:ind w:right="105" w:rightChars="50"/>
              <w:jc w:val="center"/>
              <w:rPr>
                <w:szCs w:val="21"/>
              </w:rPr>
            </w:pPr>
            <w:r>
              <w:rPr>
                <w:szCs w:val="21"/>
              </w:rPr>
              <w:t>85</w:t>
            </w:r>
          </w:p>
        </w:tc>
      </w:tr>
      <w:tr w14:paraId="12B8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tcBorders>
              <w:top w:val="single" w:color="auto" w:sz="4" w:space="0"/>
              <w:left w:val="single" w:color="auto" w:sz="4" w:space="0"/>
              <w:bottom w:val="single" w:color="auto" w:sz="4" w:space="0"/>
              <w:right w:val="single" w:color="auto" w:sz="4" w:space="0"/>
            </w:tcBorders>
            <w:vAlign w:val="center"/>
          </w:tcPr>
          <w:p w14:paraId="69B4E23C">
            <w:pPr>
              <w:widowControl/>
              <w:jc w:val="center"/>
              <w:rPr>
                <w:kern w:val="0"/>
                <w:szCs w:val="21"/>
              </w:rPr>
            </w:pPr>
            <w:r>
              <w:rPr>
                <w:kern w:val="0"/>
                <w:szCs w:val="21"/>
              </w:rPr>
              <w:t>4</w:t>
            </w:r>
          </w:p>
        </w:tc>
        <w:tc>
          <w:tcPr>
            <w:tcW w:w="834" w:type="pct"/>
            <w:vMerge w:val="continue"/>
            <w:tcBorders>
              <w:left w:val="single" w:color="auto" w:sz="4" w:space="0"/>
              <w:right w:val="single" w:color="auto" w:sz="4" w:space="0"/>
            </w:tcBorders>
            <w:vAlign w:val="center"/>
          </w:tcPr>
          <w:p w14:paraId="1A540EA4">
            <w:pPr>
              <w:adjustRightInd w:val="0"/>
              <w:spacing w:before="60" w:after="60"/>
              <w:jc w:val="center"/>
              <w:textAlignment w:val="baseline"/>
              <w:rPr>
                <w:kern w:val="0"/>
                <w:szCs w:val="21"/>
              </w:rPr>
            </w:pPr>
          </w:p>
        </w:tc>
        <w:tc>
          <w:tcPr>
            <w:tcW w:w="998" w:type="pct"/>
            <w:tcBorders>
              <w:top w:val="single" w:color="auto" w:sz="4" w:space="0"/>
              <w:left w:val="single" w:color="auto" w:sz="4" w:space="0"/>
              <w:bottom w:val="single" w:color="auto" w:sz="4" w:space="0"/>
              <w:right w:val="single" w:color="auto" w:sz="4" w:space="0"/>
            </w:tcBorders>
            <w:vAlign w:val="center"/>
          </w:tcPr>
          <w:p w14:paraId="00E1B483">
            <w:pPr>
              <w:widowControl/>
              <w:jc w:val="center"/>
              <w:rPr>
                <w:kern w:val="0"/>
                <w:szCs w:val="21"/>
              </w:rPr>
            </w:pPr>
            <w:r>
              <w:rPr>
                <w:kern w:val="0"/>
                <w:szCs w:val="21"/>
              </w:rPr>
              <w:t>吸烟机（集气罩）</w:t>
            </w:r>
          </w:p>
        </w:tc>
        <w:tc>
          <w:tcPr>
            <w:tcW w:w="499" w:type="pct"/>
            <w:tcBorders>
              <w:top w:val="single" w:color="auto" w:sz="4" w:space="0"/>
              <w:left w:val="single" w:color="auto" w:sz="4" w:space="0"/>
              <w:bottom w:val="single" w:color="auto" w:sz="4" w:space="0"/>
              <w:right w:val="single" w:color="auto" w:sz="4" w:space="0"/>
            </w:tcBorders>
            <w:vAlign w:val="center"/>
          </w:tcPr>
          <w:p w14:paraId="60724149">
            <w:pPr>
              <w:widowControl/>
              <w:jc w:val="center"/>
              <w:rPr>
                <w:szCs w:val="21"/>
              </w:rPr>
            </w:pPr>
            <w:r>
              <w:rPr>
                <w:szCs w:val="21"/>
              </w:rPr>
              <w:t>1</w:t>
            </w:r>
          </w:p>
        </w:tc>
        <w:tc>
          <w:tcPr>
            <w:tcW w:w="497" w:type="pct"/>
            <w:tcBorders>
              <w:top w:val="single" w:color="auto" w:sz="4" w:space="0"/>
              <w:left w:val="single" w:color="auto" w:sz="4" w:space="0"/>
              <w:right w:val="single" w:color="auto" w:sz="4" w:space="0"/>
            </w:tcBorders>
            <w:vAlign w:val="center"/>
          </w:tcPr>
          <w:p w14:paraId="6D3F2966">
            <w:pPr>
              <w:ind w:right="105" w:rightChars="50"/>
              <w:jc w:val="center"/>
              <w:rPr>
                <w:szCs w:val="21"/>
              </w:rPr>
            </w:pPr>
            <w:r>
              <w:rPr>
                <w:szCs w:val="21"/>
              </w:rPr>
              <w:t>30</w:t>
            </w:r>
          </w:p>
        </w:tc>
        <w:tc>
          <w:tcPr>
            <w:tcW w:w="582" w:type="pct"/>
            <w:tcBorders>
              <w:top w:val="single" w:color="auto" w:sz="4" w:space="0"/>
              <w:left w:val="single" w:color="auto" w:sz="4" w:space="0"/>
              <w:right w:val="single" w:color="auto" w:sz="4" w:space="0"/>
            </w:tcBorders>
            <w:vAlign w:val="center"/>
          </w:tcPr>
          <w:p w14:paraId="5D0358CC">
            <w:pPr>
              <w:ind w:right="105" w:rightChars="50"/>
              <w:jc w:val="center"/>
              <w:rPr>
                <w:szCs w:val="21"/>
              </w:rPr>
            </w:pPr>
            <w:r>
              <w:rPr>
                <w:szCs w:val="21"/>
              </w:rPr>
              <w:t>70</w:t>
            </w:r>
          </w:p>
        </w:tc>
        <w:tc>
          <w:tcPr>
            <w:tcW w:w="499" w:type="pct"/>
            <w:tcBorders>
              <w:top w:val="single" w:color="auto" w:sz="4" w:space="0"/>
              <w:left w:val="single" w:color="auto" w:sz="4" w:space="0"/>
              <w:right w:val="single" w:color="auto" w:sz="4" w:space="0"/>
            </w:tcBorders>
            <w:vAlign w:val="center"/>
          </w:tcPr>
          <w:p w14:paraId="61FC37FD">
            <w:pPr>
              <w:ind w:right="105" w:rightChars="50"/>
              <w:jc w:val="center"/>
              <w:rPr>
                <w:szCs w:val="21"/>
              </w:rPr>
            </w:pPr>
            <w:r>
              <w:rPr>
                <w:szCs w:val="21"/>
              </w:rPr>
              <w:t>70</w:t>
            </w:r>
          </w:p>
        </w:tc>
        <w:tc>
          <w:tcPr>
            <w:tcW w:w="612" w:type="pct"/>
            <w:tcBorders>
              <w:top w:val="single" w:color="auto" w:sz="4" w:space="0"/>
              <w:left w:val="single" w:color="auto" w:sz="4" w:space="0"/>
              <w:right w:val="single" w:color="auto" w:sz="4" w:space="0"/>
            </w:tcBorders>
            <w:vAlign w:val="center"/>
          </w:tcPr>
          <w:p w14:paraId="19E43A50">
            <w:pPr>
              <w:ind w:right="105" w:rightChars="50"/>
              <w:jc w:val="center"/>
              <w:rPr>
                <w:szCs w:val="21"/>
              </w:rPr>
            </w:pPr>
            <w:r>
              <w:rPr>
                <w:szCs w:val="21"/>
              </w:rPr>
              <w:t>90</w:t>
            </w:r>
          </w:p>
        </w:tc>
      </w:tr>
      <w:tr w14:paraId="5015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tcBorders>
              <w:top w:val="single" w:color="auto" w:sz="4" w:space="0"/>
              <w:left w:val="single" w:color="auto" w:sz="4" w:space="0"/>
              <w:bottom w:val="single" w:color="auto" w:sz="4" w:space="0"/>
              <w:right w:val="single" w:color="auto" w:sz="4" w:space="0"/>
            </w:tcBorders>
            <w:vAlign w:val="center"/>
          </w:tcPr>
          <w:p w14:paraId="01F7E04F">
            <w:pPr>
              <w:widowControl/>
              <w:jc w:val="center"/>
              <w:rPr>
                <w:kern w:val="0"/>
                <w:szCs w:val="21"/>
              </w:rPr>
            </w:pPr>
            <w:r>
              <w:rPr>
                <w:kern w:val="0"/>
                <w:szCs w:val="21"/>
              </w:rPr>
              <w:t>5</w:t>
            </w:r>
          </w:p>
        </w:tc>
        <w:tc>
          <w:tcPr>
            <w:tcW w:w="834" w:type="pct"/>
            <w:vMerge w:val="restart"/>
            <w:tcBorders>
              <w:left w:val="single" w:color="auto" w:sz="4" w:space="0"/>
              <w:right w:val="single" w:color="auto" w:sz="4" w:space="0"/>
            </w:tcBorders>
            <w:vAlign w:val="center"/>
          </w:tcPr>
          <w:p w14:paraId="5D537445">
            <w:pPr>
              <w:adjustRightInd w:val="0"/>
              <w:spacing w:before="60" w:after="60"/>
              <w:jc w:val="center"/>
              <w:textAlignment w:val="baseline"/>
              <w:rPr>
                <w:kern w:val="0"/>
                <w:szCs w:val="21"/>
              </w:rPr>
            </w:pPr>
            <w:r>
              <w:rPr>
                <w:kern w:val="0"/>
                <w:szCs w:val="21"/>
              </w:rPr>
              <w:t>2#生产线（破碎清洗+造粒）</w:t>
            </w:r>
          </w:p>
        </w:tc>
        <w:tc>
          <w:tcPr>
            <w:tcW w:w="998" w:type="pct"/>
            <w:tcBorders>
              <w:top w:val="single" w:color="auto" w:sz="4" w:space="0"/>
              <w:left w:val="single" w:color="auto" w:sz="4" w:space="0"/>
              <w:bottom w:val="single" w:color="auto" w:sz="4" w:space="0"/>
              <w:right w:val="single" w:color="auto" w:sz="4" w:space="0"/>
            </w:tcBorders>
            <w:vAlign w:val="center"/>
          </w:tcPr>
          <w:p w14:paraId="3D693614">
            <w:pPr>
              <w:adjustRightInd w:val="0"/>
              <w:spacing w:before="60" w:after="60"/>
              <w:jc w:val="center"/>
              <w:textAlignment w:val="baseline"/>
              <w:rPr>
                <w:kern w:val="0"/>
                <w:szCs w:val="21"/>
              </w:rPr>
            </w:pPr>
            <w:r>
              <w:rPr>
                <w:kern w:val="0"/>
                <w:szCs w:val="21"/>
              </w:rPr>
              <w:t>带洗重型粉料机</w:t>
            </w:r>
          </w:p>
        </w:tc>
        <w:tc>
          <w:tcPr>
            <w:tcW w:w="499" w:type="pct"/>
            <w:tcBorders>
              <w:top w:val="single" w:color="auto" w:sz="4" w:space="0"/>
              <w:left w:val="single" w:color="auto" w:sz="4" w:space="0"/>
              <w:bottom w:val="single" w:color="auto" w:sz="4" w:space="0"/>
              <w:right w:val="single" w:color="auto" w:sz="4" w:space="0"/>
            </w:tcBorders>
            <w:vAlign w:val="center"/>
          </w:tcPr>
          <w:p w14:paraId="67BCF155">
            <w:pPr>
              <w:widowControl/>
              <w:jc w:val="center"/>
              <w:rPr>
                <w:szCs w:val="21"/>
              </w:rPr>
            </w:pPr>
            <w:r>
              <w:rPr>
                <w:szCs w:val="21"/>
              </w:rPr>
              <w:t>1</w:t>
            </w:r>
          </w:p>
        </w:tc>
        <w:tc>
          <w:tcPr>
            <w:tcW w:w="497" w:type="pct"/>
            <w:tcBorders>
              <w:top w:val="single" w:color="auto" w:sz="4" w:space="0"/>
              <w:left w:val="single" w:color="auto" w:sz="4" w:space="0"/>
              <w:right w:val="single" w:color="auto" w:sz="4" w:space="0"/>
            </w:tcBorders>
            <w:vAlign w:val="center"/>
          </w:tcPr>
          <w:p w14:paraId="1AD390D6">
            <w:pPr>
              <w:ind w:right="105" w:rightChars="50"/>
              <w:jc w:val="center"/>
              <w:rPr>
                <w:szCs w:val="21"/>
              </w:rPr>
            </w:pPr>
            <w:r>
              <w:rPr>
                <w:szCs w:val="21"/>
              </w:rPr>
              <w:t>32</w:t>
            </w:r>
          </w:p>
        </w:tc>
        <w:tc>
          <w:tcPr>
            <w:tcW w:w="582" w:type="pct"/>
            <w:tcBorders>
              <w:top w:val="single" w:color="auto" w:sz="4" w:space="0"/>
              <w:left w:val="single" w:color="auto" w:sz="4" w:space="0"/>
              <w:right w:val="single" w:color="auto" w:sz="4" w:space="0"/>
            </w:tcBorders>
            <w:vAlign w:val="center"/>
          </w:tcPr>
          <w:p w14:paraId="39AE36C3">
            <w:pPr>
              <w:ind w:right="105" w:rightChars="50"/>
              <w:jc w:val="center"/>
              <w:rPr>
                <w:szCs w:val="21"/>
              </w:rPr>
            </w:pPr>
            <w:r>
              <w:rPr>
                <w:szCs w:val="21"/>
              </w:rPr>
              <w:t>60</w:t>
            </w:r>
          </w:p>
        </w:tc>
        <w:tc>
          <w:tcPr>
            <w:tcW w:w="499" w:type="pct"/>
            <w:tcBorders>
              <w:top w:val="single" w:color="auto" w:sz="4" w:space="0"/>
              <w:left w:val="single" w:color="auto" w:sz="4" w:space="0"/>
              <w:right w:val="single" w:color="auto" w:sz="4" w:space="0"/>
            </w:tcBorders>
            <w:vAlign w:val="center"/>
          </w:tcPr>
          <w:p w14:paraId="24D8BE75">
            <w:pPr>
              <w:ind w:right="105" w:rightChars="50"/>
              <w:jc w:val="center"/>
              <w:rPr>
                <w:szCs w:val="21"/>
              </w:rPr>
            </w:pPr>
            <w:r>
              <w:rPr>
                <w:szCs w:val="21"/>
              </w:rPr>
              <w:t>55</w:t>
            </w:r>
          </w:p>
        </w:tc>
        <w:tc>
          <w:tcPr>
            <w:tcW w:w="612" w:type="pct"/>
            <w:tcBorders>
              <w:top w:val="single" w:color="auto" w:sz="4" w:space="0"/>
              <w:left w:val="single" w:color="auto" w:sz="4" w:space="0"/>
              <w:right w:val="single" w:color="auto" w:sz="4" w:space="0"/>
            </w:tcBorders>
            <w:vAlign w:val="center"/>
          </w:tcPr>
          <w:p w14:paraId="1C410851">
            <w:pPr>
              <w:ind w:right="105" w:rightChars="50"/>
              <w:jc w:val="center"/>
              <w:rPr>
                <w:szCs w:val="21"/>
              </w:rPr>
            </w:pPr>
            <w:r>
              <w:rPr>
                <w:szCs w:val="21"/>
              </w:rPr>
              <w:t>68</w:t>
            </w:r>
          </w:p>
        </w:tc>
      </w:tr>
      <w:tr w14:paraId="2622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tcBorders>
              <w:top w:val="single" w:color="auto" w:sz="4" w:space="0"/>
              <w:left w:val="single" w:color="auto" w:sz="4" w:space="0"/>
              <w:bottom w:val="single" w:color="auto" w:sz="4" w:space="0"/>
              <w:right w:val="single" w:color="auto" w:sz="4" w:space="0"/>
            </w:tcBorders>
            <w:vAlign w:val="center"/>
          </w:tcPr>
          <w:p w14:paraId="6B3D2CCA">
            <w:pPr>
              <w:widowControl/>
              <w:jc w:val="center"/>
              <w:rPr>
                <w:kern w:val="0"/>
                <w:szCs w:val="21"/>
              </w:rPr>
            </w:pPr>
            <w:r>
              <w:rPr>
                <w:kern w:val="0"/>
                <w:szCs w:val="21"/>
              </w:rPr>
              <w:t>6</w:t>
            </w:r>
          </w:p>
        </w:tc>
        <w:tc>
          <w:tcPr>
            <w:tcW w:w="834" w:type="pct"/>
            <w:vMerge w:val="continue"/>
            <w:tcBorders>
              <w:left w:val="single" w:color="auto" w:sz="4" w:space="0"/>
              <w:right w:val="single" w:color="auto" w:sz="4" w:space="0"/>
            </w:tcBorders>
            <w:vAlign w:val="center"/>
          </w:tcPr>
          <w:p w14:paraId="408A5562">
            <w:pPr>
              <w:adjustRightInd w:val="0"/>
              <w:spacing w:before="60" w:after="60"/>
              <w:jc w:val="center"/>
              <w:textAlignment w:val="baseline"/>
              <w:rPr>
                <w:kern w:val="0"/>
                <w:szCs w:val="21"/>
              </w:rPr>
            </w:pPr>
          </w:p>
        </w:tc>
        <w:tc>
          <w:tcPr>
            <w:tcW w:w="998" w:type="pct"/>
            <w:tcBorders>
              <w:top w:val="single" w:color="auto" w:sz="4" w:space="0"/>
              <w:left w:val="single" w:color="auto" w:sz="4" w:space="0"/>
              <w:bottom w:val="single" w:color="auto" w:sz="4" w:space="0"/>
              <w:right w:val="single" w:color="auto" w:sz="4" w:space="0"/>
            </w:tcBorders>
            <w:vAlign w:val="center"/>
          </w:tcPr>
          <w:p w14:paraId="63490AD1">
            <w:pPr>
              <w:widowControl/>
              <w:jc w:val="center"/>
              <w:rPr>
                <w:kern w:val="0"/>
                <w:szCs w:val="21"/>
              </w:rPr>
            </w:pPr>
            <w:r>
              <w:rPr>
                <w:szCs w:val="21"/>
              </w:rPr>
              <w:t>风干机</w:t>
            </w:r>
          </w:p>
        </w:tc>
        <w:tc>
          <w:tcPr>
            <w:tcW w:w="499" w:type="pct"/>
            <w:tcBorders>
              <w:top w:val="single" w:color="auto" w:sz="4" w:space="0"/>
              <w:left w:val="single" w:color="auto" w:sz="4" w:space="0"/>
              <w:bottom w:val="single" w:color="auto" w:sz="4" w:space="0"/>
              <w:right w:val="single" w:color="auto" w:sz="4" w:space="0"/>
            </w:tcBorders>
            <w:vAlign w:val="center"/>
          </w:tcPr>
          <w:p w14:paraId="02CC855D">
            <w:pPr>
              <w:widowControl/>
              <w:jc w:val="center"/>
              <w:rPr>
                <w:szCs w:val="21"/>
              </w:rPr>
            </w:pPr>
            <w:r>
              <w:rPr>
                <w:szCs w:val="21"/>
              </w:rPr>
              <w:t>1</w:t>
            </w:r>
          </w:p>
        </w:tc>
        <w:tc>
          <w:tcPr>
            <w:tcW w:w="497" w:type="pct"/>
            <w:tcBorders>
              <w:top w:val="single" w:color="auto" w:sz="4" w:space="0"/>
              <w:left w:val="single" w:color="auto" w:sz="4" w:space="0"/>
              <w:right w:val="single" w:color="auto" w:sz="4" w:space="0"/>
            </w:tcBorders>
            <w:vAlign w:val="center"/>
          </w:tcPr>
          <w:p w14:paraId="7F2407CC">
            <w:pPr>
              <w:ind w:right="105" w:rightChars="50"/>
              <w:jc w:val="center"/>
              <w:rPr>
                <w:szCs w:val="21"/>
              </w:rPr>
            </w:pPr>
            <w:r>
              <w:rPr>
                <w:szCs w:val="21"/>
              </w:rPr>
              <w:t>32</w:t>
            </w:r>
          </w:p>
        </w:tc>
        <w:tc>
          <w:tcPr>
            <w:tcW w:w="582" w:type="pct"/>
            <w:tcBorders>
              <w:top w:val="single" w:color="auto" w:sz="4" w:space="0"/>
              <w:left w:val="single" w:color="auto" w:sz="4" w:space="0"/>
              <w:right w:val="single" w:color="auto" w:sz="4" w:space="0"/>
            </w:tcBorders>
            <w:vAlign w:val="center"/>
          </w:tcPr>
          <w:p w14:paraId="0914427A">
            <w:pPr>
              <w:ind w:right="105" w:rightChars="50"/>
              <w:jc w:val="center"/>
              <w:rPr>
                <w:szCs w:val="21"/>
              </w:rPr>
            </w:pPr>
            <w:r>
              <w:rPr>
                <w:szCs w:val="21"/>
              </w:rPr>
              <w:t>50</w:t>
            </w:r>
          </w:p>
        </w:tc>
        <w:tc>
          <w:tcPr>
            <w:tcW w:w="499" w:type="pct"/>
            <w:tcBorders>
              <w:top w:val="single" w:color="auto" w:sz="4" w:space="0"/>
              <w:left w:val="single" w:color="auto" w:sz="4" w:space="0"/>
              <w:right w:val="single" w:color="auto" w:sz="4" w:space="0"/>
            </w:tcBorders>
            <w:vAlign w:val="center"/>
          </w:tcPr>
          <w:p w14:paraId="2D599D68">
            <w:pPr>
              <w:ind w:right="105" w:rightChars="50"/>
              <w:jc w:val="center"/>
              <w:rPr>
                <w:szCs w:val="21"/>
              </w:rPr>
            </w:pPr>
            <w:r>
              <w:rPr>
                <w:szCs w:val="21"/>
              </w:rPr>
              <w:t>55</w:t>
            </w:r>
          </w:p>
        </w:tc>
        <w:tc>
          <w:tcPr>
            <w:tcW w:w="612" w:type="pct"/>
            <w:tcBorders>
              <w:top w:val="single" w:color="auto" w:sz="4" w:space="0"/>
              <w:left w:val="single" w:color="auto" w:sz="4" w:space="0"/>
              <w:right w:val="single" w:color="auto" w:sz="4" w:space="0"/>
            </w:tcBorders>
            <w:vAlign w:val="center"/>
          </w:tcPr>
          <w:p w14:paraId="1B1665BB">
            <w:pPr>
              <w:ind w:right="105" w:rightChars="50"/>
              <w:jc w:val="center"/>
              <w:rPr>
                <w:szCs w:val="21"/>
              </w:rPr>
            </w:pPr>
            <w:r>
              <w:rPr>
                <w:szCs w:val="21"/>
              </w:rPr>
              <w:t>80</w:t>
            </w:r>
          </w:p>
        </w:tc>
      </w:tr>
      <w:tr w14:paraId="23C3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tcBorders>
              <w:top w:val="single" w:color="auto" w:sz="4" w:space="0"/>
              <w:left w:val="single" w:color="auto" w:sz="4" w:space="0"/>
              <w:bottom w:val="single" w:color="auto" w:sz="4" w:space="0"/>
              <w:right w:val="single" w:color="auto" w:sz="4" w:space="0"/>
            </w:tcBorders>
            <w:vAlign w:val="center"/>
          </w:tcPr>
          <w:p w14:paraId="687ADD66">
            <w:pPr>
              <w:widowControl/>
              <w:jc w:val="center"/>
              <w:rPr>
                <w:kern w:val="0"/>
                <w:szCs w:val="21"/>
              </w:rPr>
            </w:pPr>
            <w:r>
              <w:rPr>
                <w:kern w:val="0"/>
                <w:szCs w:val="21"/>
              </w:rPr>
              <w:t>7</w:t>
            </w:r>
          </w:p>
        </w:tc>
        <w:tc>
          <w:tcPr>
            <w:tcW w:w="834" w:type="pct"/>
            <w:vMerge w:val="continue"/>
            <w:tcBorders>
              <w:left w:val="single" w:color="auto" w:sz="4" w:space="0"/>
              <w:right w:val="single" w:color="auto" w:sz="4" w:space="0"/>
            </w:tcBorders>
            <w:vAlign w:val="center"/>
          </w:tcPr>
          <w:p w14:paraId="1CDAFCE0">
            <w:pPr>
              <w:adjustRightInd w:val="0"/>
              <w:spacing w:before="60" w:after="60"/>
              <w:jc w:val="center"/>
              <w:textAlignment w:val="baseline"/>
              <w:rPr>
                <w:kern w:val="0"/>
                <w:szCs w:val="21"/>
              </w:rPr>
            </w:pPr>
          </w:p>
        </w:tc>
        <w:tc>
          <w:tcPr>
            <w:tcW w:w="998" w:type="pct"/>
            <w:tcBorders>
              <w:top w:val="single" w:color="auto" w:sz="4" w:space="0"/>
              <w:left w:val="single" w:color="auto" w:sz="4" w:space="0"/>
              <w:bottom w:val="single" w:color="auto" w:sz="4" w:space="0"/>
              <w:right w:val="single" w:color="auto" w:sz="4" w:space="0"/>
            </w:tcBorders>
            <w:vAlign w:val="center"/>
          </w:tcPr>
          <w:p w14:paraId="6C6C8461">
            <w:pPr>
              <w:widowControl/>
              <w:jc w:val="center"/>
              <w:rPr>
                <w:szCs w:val="21"/>
              </w:rPr>
            </w:pPr>
            <w:r>
              <w:rPr>
                <w:kern w:val="0"/>
                <w:szCs w:val="21"/>
              </w:rPr>
              <w:t>10T造粒机</w:t>
            </w:r>
          </w:p>
        </w:tc>
        <w:tc>
          <w:tcPr>
            <w:tcW w:w="499" w:type="pct"/>
            <w:tcBorders>
              <w:top w:val="single" w:color="auto" w:sz="4" w:space="0"/>
              <w:left w:val="single" w:color="auto" w:sz="4" w:space="0"/>
              <w:bottom w:val="single" w:color="auto" w:sz="4" w:space="0"/>
              <w:right w:val="single" w:color="auto" w:sz="4" w:space="0"/>
            </w:tcBorders>
            <w:vAlign w:val="center"/>
          </w:tcPr>
          <w:p w14:paraId="5F0EEEF6">
            <w:pPr>
              <w:widowControl/>
              <w:jc w:val="center"/>
              <w:rPr>
                <w:szCs w:val="21"/>
              </w:rPr>
            </w:pPr>
            <w:r>
              <w:rPr>
                <w:szCs w:val="21"/>
              </w:rPr>
              <w:t>1</w:t>
            </w:r>
          </w:p>
        </w:tc>
        <w:tc>
          <w:tcPr>
            <w:tcW w:w="497" w:type="pct"/>
            <w:tcBorders>
              <w:top w:val="single" w:color="auto" w:sz="4" w:space="0"/>
              <w:left w:val="single" w:color="auto" w:sz="4" w:space="0"/>
              <w:right w:val="single" w:color="auto" w:sz="4" w:space="0"/>
            </w:tcBorders>
            <w:vAlign w:val="center"/>
          </w:tcPr>
          <w:p w14:paraId="6809AE29">
            <w:pPr>
              <w:ind w:right="105" w:rightChars="50"/>
              <w:jc w:val="center"/>
              <w:rPr>
                <w:szCs w:val="21"/>
              </w:rPr>
            </w:pPr>
            <w:r>
              <w:rPr>
                <w:szCs w:val="21"/>
              </w:rPr>
              <w:t>32</w:t>
            </w:r>
          </w:p>
        </w:tc>
        <w:tc>
          <w:tcPr>
            <w:tcW w:w="582" w:type="pct"/>
            <w:tcBorders>
              <w:top w:val="single" w:color="auto" w:sz="4" w:space="0"/>
              <w:left w:val="single" w:color="auto" w:sz="4" w:space="0"/>
              <w:right w:val="single" w:color="auto" w:sz="4" w:space="0"/>
            </w:tcBorders>
            <w:vAlign w:val="center"/>
          </w:tcPr>
          <w:p w14:paraId="415AA2DB">
            <w:pPr>
              <w:ind w:right="105" w:rightChars="50"/>
              <w:jc w:val="center"/>
              <w:rPr>
                <w:szCs w:val="21"/>
              </w:rPr>
            </w:pPr>
            <w:r>
              <w:rPr>
                <w:szCs w:val="21"/>
              </w:rPr>
              <w:t>40</w:t>
            </w:r>
          </w:p>
        </w:tc>
        <w:tc>
          <w:tcPr>
            <w:tcW w:w="499" w:type="pct"/>
            <w:tcBorders>
              <w:top w:val="single" w:color="auto" w:sz="4" w:space="0"/>
              <w:left w:val="single" w:color="auto" w:sz="4" w:space="0"/>
              <w:right w:val="single" w:color="auto" w:sz="4" w:space="0"/>
            </w:tcBorders>
            <w:vAlign w:val="center"/>
          </w:tcPr>
          <w:p w14:paraId="47E4E4F3">
            <w:pPr>
              <w:ind w:right="105" w:rightChars="50"/>
              <w:jc w:val="center"/>
              <w:rPr>
                <w:szCs w:val="21"/>
              </w:rPr>
            </w:pPr>
            <w:r>
              <w:rPr>
                <w:szCs w:val="21"/>
              </w:rPr>
              <w:t>55</w:t>
            </w:r>
          </w:p>
        </w:tc>
        <w:tc>
          <w:tcPr>
            <w:tcW w:w="612" w:type="pct"/>
            <w:tcBorders>
              <w:top w:val="single" w:color="auto" w:sz="4" w:space="0"/>
              <w:left w:val="single" w:color="auto" w:sz="4" w:space="0"/>
              <w:right w:val="single" w:color="auto" w:sz="4" w:space="0"/>
            </w:tcBorders>
            <w:vAlign w:val="center"/>
          </w:tcPr>
          <w:p w14:paraId="242CCD5A">
            <w:pPr>
              <w:ind w:right="105" w:rightChars="50"/>
              <w:jc w:val="center"/>
              <w:rPr>
                <w:szCs w:val="21"/>
              </w:rPr>
            </w:pPr>
            <w:r>
              <w:rPr>
                <w:szCs w:val="21"/>
              </w:rPr>
              <w:t>85</w:t>
            </w:r>
          </w:p>
        </w:tc>
      </w:tr>
      <w:tr w14:paraId="4579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tcBorders>
              <w:top w:val="single" w:color="auto" w:sz="4" w:space="0"/>
              <w:left w:val="single" w:color="auto" w:sz="4" w:space="0"/>
              <w:bottom w:val="single" w:color="auto" w:sz="4" w:space="0"/>
              <w:right w:val="single" w:color="auto" w:sz="4" w:space="0"/>
            </w:tcBorders>
            <w:vAlign w:val="center"/>
          </w:tcPr>
          <w:p w14:paraId="60251AA4">
            <w:pPr>
              <w:widowControl/>
              <w:jc w:val="center"/>
              <w:rPr>
                <w:kern w:val="0"/>
                <w:szCs w:val="21"/>
              </w:rPr>
            </w:pPr>
            <w:r>
              <w:rPr>
                <w:kern w:val="0"/>
                <w:szCs w:val="21"/>
              </w:rPr>
              <w:t>8</w:t>
            </w:r>
          </w:p>
        </w:tc>
        <w:tc>
          <w:tcPr>
            <w:tcW w:w="834" w:type="pct"/>
            <w:vMerge w:val="continue"/>
            <w:tcBorders>
              <w:left w:val="single" w:color="auto" w:sz="4" w:space="0"/>
              <w:right w:val="single" w:color="auto" w:sz="4" w:space="0"/>
            </w:tcBorders>
            <w:vAlign w:val="center"/>
          </w:tcPr>
          <w:p w14:paraId="5F0F43A4">
            <w:pPr>
              <w:adjustRightInd w:val="0"/>
              <w:spacing w:before="60" w:after="60"/>
              <w:jc w:val="center"/>
              <w:textAlignment w:val="baseline"/>
              <w:rPr>
                <w:kern w:val="0"/>
                <w:szCs w:val="21"/>
              </w:rPr>
            </w:pPr>
          </w:p>
        </w:tc>
        <w:tc>
          <w:tcPr>
            <w:tcW w:w="998" w:type="pct"/>
            <w:tcBorders>
              <w:top w:val="single" w:color="auto" w:sz="4" w:space="0"/>
              <w:left w:val="single" w:color="auto" w:sz="4" w:space="0"/>
              <w:bottom w:val="single" w:color="auto" w:sz="4" w:space="0"/>
              <w:right w:val="single" w:color="auto" w:sz="4" w:space="0"/>
            </w:tcBorders>
            <w:vAlign w:val="center"/>
          </w:tcPr>
          <w:p w14:paraId="066F95A3">
            <w:pPr>
              <w:widowControl/>
              <w:jc w:val="center"/>
              <w:rPr>
                <w:szCs w:val="21"/>
              </w:rPr>
            </w:pPr>
            <w:r>
              <w:rPr>
                <w:kern w:val="0"/>
                <w:szCs w:val="21"/>
              </w:rPr>
              <w:t>吸烟机（集气罩）</w:t>
            </w:r>
          </w:p>
        </w:tc>
        <w:tc>
          <w:tcPr>
            <w:tcW w:w="499" w:type="pct"/>
            <w:tcBorders>
              <w:top w:val="single" w:color="auto" w:sz="4" w:space="0"/>
              <w:left w:val="single" w:color="auto" w:sz="4" w:space="0"/>
              <w:bottom w:val="single" w:color="auto" w:sz="4" w:space="0"/>
              <w:right w:val="single" w:color="auto" w:sz="4" w:space="0"/>
            </w:tcBorders>
            <w:vAlign w:val="center"/>
          </w:tcPr>
          <w:p w14:paraId="5016964C">
            <w:pPr>
              <w:widowControl/>
              <w:jc w:val="center"/>
              <w:rPr>
                <w:szCs w:val="21"/>
              </w:rPr>
            </w:pPr>
            <w:r>
              <w:rPr>
                <w:szCs w:val="21"/>
              </w:rPr>
              <w:t>1</w:t>
            </w:r>
          </w:p>
        </w:tc>
        <w:tc>
          <w:tcPr>
            <w:tcW w:w="497" w:type="pct"/>
            <w:tcBorders>
              <w:top w:val="single" w:color="auto" w:sz="4" w:space="0"/>
              <w:left w:val="single" w:color="auto" w:sz="4" w:space="0"/>
              <w:right w:val="single" w:color="auto" w:sz="4" w:space="0"/>
            </w:tcBorders>
            <w:vAlign w:val="center"/>
          </w:tcPr>
          <w:p w14:paraId="0C6BB9AD">
            <w:pPr>
              <w:ind w:right="105" w:rightChars="50"/>
              <w:jc w:val="center"/>
              <w:rPr>
                <w:szCs w:val="21"/>
              </w:rPr>
            </w:pPr>
            <w:r>
              <w:rPr>
                <w:szCs w:val="21"/>
              </w:rPr>
              <w:t>40</w:t>
            </w:r>
          </w:p>
        </w:tc>
        <w:tc>
          <w:tcPr>
            <w:tcW w:w="582" w:type="pct"/>
            <w:tcBorders>
              <w:top w:val="single" w:color="auto" w:sz="4" w:space="0"/>
              <w:left w:val="single" w:color="auto" w:sz="4" w:space="0"/>
              <w:right w:val="single" w:color="auto" w:sz="4" w:space="0"/>
            </w:tcBorders>
            <w:vAlign w:val="center"/>
          </w:tcPr>
          <w:p w14:paraId="4AC437D3">
            <w:pPr>
              <w:ind w:right="105" w:rightChars="50"/>
              <w:jc w:val="center"/>
              <w:rPr>
                <w:szCs w:val="21"/>
              </w:rPr>
            </w:pPr>
            <w:r>
              <w:rPr>
                <w:szCs w:val="21"/>
              </w:rPr>
              <w:t>60</w:t>
            </w:r>
          </w:p>
        </w:tc>
        <w:tc>
          <w:tcPr>
            <w:tcW w:w="499" w:type="pct"/>
            <w:tcBorders>
              <w:top w:val="single" w:color="auto" w:sz="4" w:space="0"/>
              <w:left w:val="single" w:color="auto" w:sz="4" w:space="0"/>
              <w:right w:val="single" w:color="auto" w:sz="4" w:space="0"/>
            </w:tcBorders>
            <w:vAlign w:val="center"/>
          </w:tcPr>
          <w:p w14:paraId="13F7DB44">
            <w:pPr>
              <w:ind w:right="105" w:rightChars="50"/>
              <w:jc w:val="center"/>
              <w:rPr>
                <w:szCs w:val="21"/>
              </w:rPr>
            </w:pPr>
            <w:r>
              <w:rPr>
                <w:szCs w:val="21"/>
              </w:rPr>
              <w:t>55</w:t>
            </w:r>
          </w:p>
        </w:tc>
        <w:tc>
          <w:tcPr>
            <w:tcW w:w="612" w:type="pct"/>
            <w:tcBorders>
              <w:top w:val="single" w:color="auto" w:sz="4" w:space="0"/>
              <w:left w:val="single" w:color="auto" w:sz="4" w:space="0"/>
              <w:right w:val="single" w:color="auto" w:sz="4" w:space="0"/>
            </w:tcBorders>
            <w:vAlign w:val="center"/>
          </w:tcPr>
          <w:p w14:paraId="49B18A74">
            <w:pPr>
              <w:ind w:right="105" w:rightChars="50"/>
              <w:jc w:val="center"/>
              <w:rPr>
                <w:szCs w:val="21"/>
              </w:rPr>
            </w:pPr>
            <w:r>
              <w:rPr>
                <w:szCs w:val="21"/>
              </w:rPr>
              <w:t>90</w:t>
            </w:r>
          </w:p>
        </w:tc>
      </w:tr>
      <w:tr w14:paraId="2688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tcBorders>
              <w:top w:val="single" w:color="auto" w:sz="4" w:space="0"/>
              <w:left w:val="single" w:color="auto" w:sz="4" w:space="0"/>
              <w:bottom w:val="single" w:color="auto" w:sz="4" w:space="0"/>
              <w:right w:val="single" w:color="auto" w:sz="4" w:space="0"/>
            </w:tcBorders>
            <w:vAlign w:val="center"/>
          </w:tcPr>
          <w:p w14:paraId="05AC5D77">
            <w:pPr>
              <w:widowControl/>
              <w:jc w:val="center"/>
              <w:rPr>
                <w:kern w:val="0"/>
                <w:szCs w:val="21"/>
              </w:rPr>
            </w:pPr>
            <w:r>
              <w:rPr>
                <w:kern w:val="0"/>
                <w:szCs w:val="21"/>
              </w:rPr>
              <w:t>9</w:t>
            </w:r>
          </w:p>
        </w:tc>
        <w:tc>
          <w:tcPr>
            <w:tcW w:w="834" w:type="pct"/>
            <w:vMerge w:val="restart"/>
            <w:tcBorders>
              <w:left w:val="single" w:color="auto" w:sz="4" w:space="0"/>
              <w:right w:val="single" w:color="auto" w:sz="4" w:space="0"/>
            </w:tcBorders>
            <w:vAlign w:val="center"/>
          </w:tcPr>
          <w:p w14:paraId="23DA1F4E">
            <w:pPr>
              <w:adjustRightInd w:val="0"/>
              <w:spacing w:before="60" w:after="60"/>
              <w:jc w:val="center"/>
              <w:textAlignment w:val="baseline"/>
              <w:rPr>
                <w:kern w:val="0"/>
                <w:szCs w:val="21"/>
              </w:rPr>
            </w:pPr>
            <w:r>
              <w:rPr>
                <w:kern w:val="0"/>
                <w:szCs w:val="21"/>
              </w:rPr>
              <w:t>3#生产线（编织袋生产）</w:t>
            </w:r>
          </w:p>
        </w:tc>
        <w:tc>
          <w:tcPr>
            <w:tcW w:w="998" w:type="pct"/>
            <w:tcBorders>
              <w:top w:val="single" w:color="auto" w:sz="4" w:space="0"/>
              <w:left w:val="single" w:color="auto" w:sz="4" w:space="0"/>
              <w:bottom w:val="single" w:color="auto" w:sz="4" w:space="0"/>
              <w:right w:val="single" w:color="auto" w:sz="4" w:space="0"/>
            </w:tcBorders>
            <w:vAlign w:val="center"/>
          </w:tcPr>
          <w:p w14:paraId="0E9A5C34">
            <w:pPr>
              <w:widowControl/>
              <w:jc w:val="center"/>
              <w:rPr>
                <w:szCs w:val="21"/>
              </w:rPr>
            </w:pPr>
            <w:r>
              <w:rPr>
                <w:szCs w:val="21"/>
              </w:rPr>
              <w:t>平模拉丝机组</w:t>
            </w:r>
          </w:p>
        </w:tc>
        <w:tc>
          <w:tcPr>
            <w:tcW w:w="499" w:type="pct"/>
            <w:tcBorders>
              <w:top w:val="single" w:color="auto" w:sz="4" w:space="0"/>
              <w:left w:val="single" w:color="auto" w:sz="4" w:space="0"/>
              <w:bottom w:val="single" w:color="auto" w:sz="4" w:space="0"/>
              <w:right w:val="single" w:color="auto" w:sz="4" w:space="0"/>
            </w:tcBorders>
            <w:vAlign w:val="center"/>
          </w:tcPr>
          <w:p w14:paraId="3B872EEA">
            <w:pPr>
              <w:widowControl/>
              <w:jc w:val="center"/>
              <w:rPr>
                <w:szCs w:val="21"/>
              </w:rPr>
            </w:pPr>
            <w:r>
              <w:rPr>
                <w:szCs w:val="21"/>
              </w:rPr>
              <w:t>2</w:t>
            </w:r>
          </w:p>
        </w:tc>
        <w:tc>
          <w:tcPr>
            <w:tcW w:w="497" w:type="pct"/>
            <w:tcBorders>
              <w:top w:val="single" w:color="auto" w:sz="4" w:space="0"/>
              <w:left w:val="single" w:color="auto" w:sz="4" w:space="0"/>
              <w:right w:val="single" w:color="auto" w:sz="4" w:space="0"/>
            </w:tcBorders>
            <w:vAlign w:val="center"/>
          </w:tcPr>
          <w:p w14:paraId="5EA6B500">
            <w:pPr>
              <w:ind w:right="105" w:rightChars="50"/>
              <w:jc w:val="center"/>
              <w:rPr>
                <w:szCs w:val="21"/>
              </w:rPr>
            </w:pPr>
            <w:r>
              <w:rPr>
                <w:szCs w:val="21"/>
              </w:rPr>
              <w:t>70</w:t>
            </w:r>
          </w:p>
        </w:tc>
        <w:tc>
          <w:tcPr>
            <w:tcW w:w="582" w:type="pct"/>
            <w:tcBorders>
              <w:top w:val="single" w:color="auto" w:sz="4" w:space="0"/>
              <w:left w:val="single" w:color="auto" w:sz="4" w:space="0"/>
              <w:right w:val="single" w:color="auto" w:sz="4" w:space="0"/>
            </w:tcBorders>
            <w:vAlign w:val="center"/>
          </w:tcPr>
          <w:p w14:paraId="316BE8D6">
            <w:pPr>
              <w:ind w:right="105" w:rightChars="50"/>
              <w:jc w:val="center"/>
              <w:rPr>
                <w:szCs w:val="21"/>
              </w:rPr>
            </w:pPr>
            <w:r>
              <w:rPr>
                <w:szCs w:val="21"/>
              </w:rPr>
              <w:t>40</w:t>
            </w:r>
          </w:p>
        </w:tc>
        <w:tc>
          <w:tcPr>
            <w:tcW w:w="499" w:type="pct"/>
            <w:tcBorders>
              <w:top w:val="single" w:color="auto" w:sz="4" w:space="0"/>
              <w:left w:val="single" w:color="auto" w:sz="4" w:space="0"/>
              <w:right w:val="single" w:color="auto" w:sz="4" w:space="0"/>
            </w:tcBorders>
            <w:vAlign w:val="center"/>
          </w:tcPr>
          <w:p w14:paraId="7FDA2687">
            <w:pPr>
              <w:ind w:right="105" w:rightChars="50"/>
              <w:jc w:val="center"/>
              <w:rPr>
                <w:szCs w:val="21"/>
              </w:rPr>
            </w:pPr>
            <w:r>
              <w:rPr>
                <w:szCs w:val="21"/>
              </w:rPr>
              <w:t>30</w:t>
            </w:r>
          </w:p>
        </w:tc>
        <w:tc>
          <w:tcPr>
            <w:tcW w:w="612" w:type="pct"/>
            <w:tcBorders>
              <w:top w:val="single" w:color="auto" w:sz="4" w:space="0"/>
              <w:left w:val="single" w:color="auto" w:sz="4" w:space="0"/>
              <w:right w:val="single" w:color="auto" w:sz="4" w:space="0"/>
            </w:tcBorders>
            <w:vAlign w:val="center"/>
          </w:tcPr>
          <w:p w14:paraId="4FD27304">
            <w:pPr>
              <w:ind w:right="105" w:rightChars="50"/>
              <w:jc w:val="center"/>
              <w:rPr>
                <w:szCs w:val="21"/>
              </w:rPr>
            </w:pPr>
            <w:r>
              <w:rPr>
                <w:szCs w:val="21"/>
              </w:rPr>
              <w:t>90</w:t>
            </w:r>
          </w:p>
        </w:tc>
      </w:tr>
      <w:tr w14:paraId="1C91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tcBorders>
              <w:top w:val="single" w:color="auto" w:sz="4" w:space="0"/>
              <w:left w:val="single" w:color="auto" w:sz="4" w:space="0"/>
              <w:bottom w:val="single" w:color="auto" w:sz="4" w:space="0"/>
              <w:right w:val="single" w:color="auto" w:sz="4" w:space="0"/>
            </w:tcBorders>
            <w:vAlign w:val="center"/>
          </w:tcPr>
          <w:p w14:paraId="7CB36776">
            <w:pPr>
              <w:widowControl/>
              <w:jc w:val="center"/>
              <w:rPr>
                <w:kern w:val="0"/>
                <w:szCs w:val="21"/>
              </w:rPr>
            </w:pPr>
            <w:r>
              <w:rPr>
                <w:kern w:val="0"/>
                <w:szCs w:val="21"/>
              </w:rPr>
              <w:t>10</w:t>
            </w:r>
          </w:p>
        </w:tc>
        <w:tc>
          <w:tcPr>
            <w:tcW w:w="834" w:type="pct"/>
            <w:vMerge w:val="continue"/>
            <w:tcBorders>
              <w:left w:val="single" w:color="auto" w:sz="4" w:space="0"/>
              <w:right w:val="single" w:color="auto" w:sz="4" w:space="0"/>
            </w:tcBorders>
            <w:vAlign w:val="center"/>
          </w:tcPr>
          <w:p w14:paraId="5834F642">
            <w:pPr>
              <w:adjustRightInd w:val="0"/>
              <w:spacing w:before="60" w:after="60"/>
              <w:jc w:val="center"/>
              <w:textAlignment w:val="baseline"/>
              <w:rPr>
                <w:kern w:val="0"/>
                <w:szCs w:val="21"/>
              </w:rPr>
            </w:pPr>
          </w:p>
        </w:tc>
        <w:tc>
          <w:tcPr>
            <w:tcW w:w="998" w:type="pct"/>
            <w:tcBorders>
              <w:top w:val="single" w:color="auto" w:sz="4" w:space="0"/>
              <w:left w:val="single" w:color="auto" w:sz="4" w:space="0"/>
              <w:bottom w:val="single" w:color="auto" w:sz="4" w:space="0"/>
              <w:right w:val="single" w:color="auto" w:sz="4" w:space="0"/>
            </w:tcBorders>
            <w:vAlign w:val="center"/>
          </w:tcPr>
          <w:p w14:paraId="0A7927FE">
            <w:pPr>
              <w:widowControl/>
              <w:jc w:val="center"/>
              <w:rPr>
                <w:szCs w:val="21"/>
              </w:rPr>
            </w:pPr>
            <w:r>
              <w:rPr>
                <w:szCs w:val="21"/>
              </w:rPr>
              <w:t>切缝一体机</w:t>
            </w:r>
          </w:p>
        </w:tc>
        <w:tc>
          <w:tcPr>
            <w:tcW w:w="499" w:type="pct"/>
            <w:tcBorders>
              <w:top w:val="single" w:color="auto" w:sz="4" w:space="0"/>
              <w:left w:val="single" w:color="auto" w:sz="4" w:space="0"/>
              <w:bottom w:val="single" w:color="auto" w:sz="4" w:space="0"/>
              <w:right w:val="single" w:color="auto" w:sz="4" w:space="0"/>
            </w:tcBorders>
            <w:vAlign w:val="center"/>
          </w:tcPr>
          <w:p w14:paraId="6F258C3C">
            <w:pPr>
              <w:widowControl/>
              <w:jc w:val="center"/>
              <w:rPr>
                <w:szCs w:val="21"/>
              </w:rPr>
            </w:pPr>
            <w:r>
              <w:rPr>
                <w:szCs w:val="21"/>
              </w:rPr>
              <w:t>8</w:t>
            </w:r>
          </w:p>
        </w:tc>
        <w:tc>
          <w:tcPr>
            <w:tcW w:w="497" w:type="pct"/>
            <w:tcBorders>
              <w:top w:val="single" w:color="auto" w:sz="4" w:space="0"/>
              <w:left w:val="single" w:color="auto" w:sz="4" w:space="0"/>
              <w:right w:val="single" w:color="auto" w:sz="4" w:space="0"/>
            </w:tcBorders>
            <w:vAlign w:val="center"/>
          </w:tcPr>
          <w:p w14:paraId="06567187">
            <w:pPr>
              <w:ind w:right="105" w:rightChars="50"/>
              <w:jc w:val="center"/>
              <w:rPr>
                <w:szCs w:val="21"/>
              </w:rPr>
            </w:pPr>
            <w:r>
              <w:rPr>
                <w:szCs w:val="21"/>
              </w:rPr>
              <w:t>70</w:t>
            </w:r>
          </w:p>
        </w:tc>
        <w:tc>
          <w:tcPr>
            <w:tcW w:w="582" w:type="pct"/>
            <w:tcBorders>
              <w:top w:val="single" w:color="auto" w:sz="4" w:space="0"/>
              <w:left w:val="single" w:color="auto" w:sz="4" w:space="0"/>
              <w:right w:val="single" w:color="auto" w:sz="4" w:space="0"/>
            </w:tcBorders>
            <w:vAlign w:val="center"/>
          </w:tcPr>
          <w:p w14:paraId="5D94CC4D">
            <w:pPr>
              <w:ind w:right="105" w:rightChars="50"/>
              <w:jc w:val="center"/>
              <w:rPr>
                <w:szCs w:val="21"/>
              </w:rPr>
            </w:pPr>
            <w:r>
              <w:rPr>
                <w:szCs w:val="21"/>
              </w:rPr>
              <w:t>35</w:t>
            </w:r>
          </w:p>
        </w:tc>
        <w:tc>
          <w:tcPr>
            <w:tcW w:w="499" w:type="pct"/>
            <w:tcBorders>
              <w:top w:val="single" w:color="auto" w:sz="4" w:space="0"/>
              <w:left w:val="single" w:color="auto" w:sz="4" w:space="0"/>
              <w:right w:val="single" w:color="auto" w:sz="4" w:space="0"/>
            </w:tcBorders>
            <w:vAlign w:val="center"/>
          </w:tcPr>
          <w:p w14:paraId="2416CF77">
            <w:pPr>
              <w:ind w:right="105" w:rightChars="50"/>
              <w:jc w:val="center"/>
              <w:rPr>
                <w:szCs w:val="21"/>
              </w:rPr>
            </w:pPr>
            <w:r>
              <w:rPr>
                <w:szCs w:val="21"/>
              </w:rPr>
              <w:t>30</w:t>
            </w:r>
          </w:p>
        </w:tc>
        <w:tc>
          <w:tcPr>
            <w:tcW w:w="612" w:type="pct"/>
            <w:tcBorders>
              <w:top w:val="single" w:color="auto" w:sz="4" w:space="0"/>
              <w:left w:val="single" w:color="auto" w:sz="4" w:space="0"/>
              <w:right w:val="single" w:color="auto" w:sz="4" w:space="0"/>
            </w:tcBorders>
            <w:vAlign w:val="center"/>
          </w:tcPr>
          <w:p w14:paraId="41242BBE">
            <w:pPr>
              <w:ind w:right="105" w:rightChars="50"/>
              <w:jc w:val="center"/>
              <w:rPr>
                <w:szCs w:val="21"/>
              </w:rPr>
            </w:pPr>
            <w:r>
              <w:rPr>
                <w:szCs w:val="21"/>
              </w:rPr>
              <w:t>95</w:t>
            </w:r>
          </w:p>
        </w:tc>
      </w:tr>
      <w:tr w14:paraId="1140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tcBorders>
              <w:top w:val="single" w:color="auto" w:sz="4" w:space="0"/>
              <w:left w:val="single" w:color="auto" w:sz="4" w:space="0"/>
              <w:bottom w:val="single" w:color="auto" w:sz="4" w:space="0"/>
              <w:right w:val="single" w:color="auto" w:sz="4" w:space="0"/>
            </w:tcBorders>
            <w:vAlign w:val="center"/>
          </w:tcPr>
          <w:p w14:paraId="6D42FCFF">
            <w:pPr>
              <w:widowControl/>
              <w:jc w:val="center"/>
              <w:rPr>
                <w:kern w:val="0"/>
                <w:szCs w:val="21"/>
              </w:rPr>
            </w:pPr>
            <w:r>
              <w:rPr>
                <w:kern w:val="0"/>
                <w:szCs w:val="21"/>
              </w:rPr>
              <w:t>11</w:t>
            </w:r>
          </w:p>
        </w:tc>
        <w:tc>
          <w:tcPr>
            <w:tcW w:w="834" w:type="pct"/>
            <w:vMerge w:val="continue"/>
            <w:tcBorders>
              <w:left w:val="single" w:color="auto" w:sz="4" w:space="0"/>
              <w:right w:val="single" w:color="auto" w:sz="4" w:space="0"/>
            </w:tcBorders>
            <w:vAlign w:val="center"/>
          </w:tcPr>
          <w:p w14:paraId="55685782">
            <w:pPr>
              <w:adjustRightInd w:val="0"/>
              <w:spacing w:before="60" w:after="60"/>
              <w:jc w:val="center"/>
              <w:textAlignment w:val="baseline"/>
              <w:rPr>
                <w:kern w:val="0"/>
                <w:szCs w:val="21"/>
              </w:rPr>
            </w:pPr>
          </w:p>
        </w:tc>
        <w:tc>
          <w:tcPr>
            <w:tcW w:w="998" w:type="pct"/>
            <w:tcBorders>
              <w:top w:val="single" w:color="auto" w:sz="4" w:space="0"/>
              <w:left w:val="single" w:color="auto" w:sz="4" w:space="0"/>
              <w:bottom w:val="single" w:color="auto" w:sz="4" w:space="0"/>
              <w:right w:val="single" w:color="auto" w:sz="4" w:space="0"/>
            </w:tcBorders>
            <w:vAlign w:val="center"/>
          </w:tcPr>
          <w:p w14:paraId="71F6843F">
            <w:pPr>
              <w:widowControl/>
              <w:jc w:val="center"/>
              <w:rPr>
                <w:szCs w:val="21"/>
              </w:rPr>
            </w:pPr>
            <w:r>
              <w:rPr>
                <w:szCs w:val="21"/>
              </w:rPr>
              <w:t>吸烟机（集气罩）</w:t>
            </w:r>
          </w:p>
        </w:tc>
        <w:tc>
          <w:tcPr>
            <w:tcW w:w="499" w:type="pct"/>
            <w:tcBorders>
              <w:top w:val="single" w:color="auto" w:sz="4" w:space="0"/>
              <w:left w:val="single" w:color="auto" w:sz="4" w:space="0"/>
              <w:bottom w:val="single" w:color="auto" w:sz="4" w:space="0"/>
              <w:right w:val="single" w:color="auto" w:sz="4" w:space="0"/>
            </w:tcBorders>
            <w:vAlign w:val="center"/>
          </w:tcPr>
          <w:p w14:paraId="58C899CB">
            <w:pPr>
              <w:widowControl/>
              <w:jc w:val="center"/>
              <w:rPr>
                <w:szCs w:val="21"/>
              </w:rPr>
            </w:pPr>
            <w:r>
              <w:rPr>
                <w:szCs w:val="21"/>
              </w:rPr>
              <w:t>1</w:t>
            </w:r>
          </w:p>
        </w:tc>
        <w:tc>
          <w:tcPr>
            <w:tcW w:w="497" w:type="pct"/>
            <w:tcBorders>
              <w:top w:val="single" w:color="auto" w:sz="4" w:space="0"/>
              <w:left w:val="single" w:color="auto" w:sz="4" w:space="0"/>
              <w:right w:val="single" w:color="auto" w:sz="4" w:space="0"/>
            </w:tcBorders>
            <w:vAlign w:val="center"/>
          </w:tcPr>
          <w:p w14:paraId="3B17D21E">
            <w:pPr>
              <w:ind w:right="105" w:rightChars="50"/>
              <w:jc w:val="center"/>
              <w:rPr>
                <w:szCs w:val="21"/>
              </w:rPr>
            </w:pPr>
            <w:r>
              <w:rPr>
                <w:szCs w:val="21"/>
              </w:rPr>
              <w:t>75</w:t>
            </w:r>
          </w:p>
        </w:tc>
        <w:tc>
          <w:tcPr>
            <w:tcW w:w="582" w:type="pct"/>
            <w:tcBorders>
              <w:top w:val="single" w:color="auto" w:sz="4" w:space="0"/>
              <w:left w:val="single" w:color="auto" w:sz="4" w:space="0"/>
              <w:right w:val="single" w:color="auto" w:sz="4" w:space="0"/>
            </w:tcBorders>
            <w:vAlign w:val="center"/>
          </w:tcPr>
          <w:p w14:paraId="62072C52">
            <w:pPr>
              <w:ind w:right="105" w:rightChars="50"/>
              <w:jc w:val="center"/>
              <w:rPr>
                <w:szCs w:val="21"/>
              </w:rPr>
            </w:pPr>
            <w:r>
              <w:rPr>
                <w:szCs w:val="21"/>
              </w:rPr>
              <w:t>45</w:t>
            </w:r>
          </w:p>
        </w:tc>
        <w:tc>
          <w:tcPr>
            <w:tcW w:w="499" w:type="pct"/>
            <w:tcBorders>
              <w:top w:val="single" w:color="auto" w:sz="4" w:space="0"/>
              <w:left w:val="single" w:color="auto" w:sz="4" w:space="0"/>
              <w:right w:val="single" w:color="auto" w:sz="4" w:space="0"/>
            </w:tcBorders>
            <w:vAlign w:val="center"/>
          </w:tcPr>
          <w:p w14:paraId="25D676E0">
            <w:pPr>
              <w:ind w:right="105" w:rightChars="50"/>
              <w:jc w:val="center"/>
              <w:rPr>
                <w:szCs w:val="21"/>
              </w:rPr>
            </w:pPr>
            <w:r>
              <w:rPr>
                <w:szCs w:val="21"/>
              </w:rPr>
              <w:t>30</w:t>
            </w:r>
          </w:p>
        </w:tc>
        <w:tc>
          <w:tcPr>
            <w:tcW w:w="612" w:type="pct"/>
            <w:tcBorders>
              <w:top w:val="single" w:color="auto" w:sz="4" w:space="0"/>
              <w:left w:val="single" w:color="auto" w:sz="4" w:space="0"/>
              <w:right w:val="single" w:color="auto" w:sz="4" w:space="0"/>
            </w:tcBorders>
            <w:vAlign w:val="center"/>
          </w:tcPr>
          <w:p w14:paraId="41290171">
            <w:pPr>
              <w:ind w:right="105" w:rightChars="50"/>
              <w:jc w:val="center"/>
              <w:rPr>
                <w:szCs w:val="21"/>
              </w:rPr>
            </w:pPr>
            <w:r>
              <w:rPr>
                <w:szCs w:val="21"/>
              </w:rPr>
              <w:t>90</w:t>
            </w:r>
          </w:p>
        </w:tc>
      </w:tr>
      <w:tr w14:paraId="70E8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tcBorders>
              <w:top w:val="single" w:color="auto" w:sz="4" w:space="0"/>
              <w:left w:val="single" w:color="auto" w:sz="4" w:space="0"/>
              <w:bottom w:val="single" w:color="auto" w:sz="4" w:space="0"/>
              <w:right w:val="single" w:color="auto" w:sz="4" w:space="0"/>
            </w:tcBorders>
            <w:vAlign w:val="center"/>
          </w:tcPr>
          <w:p w14:paraId="433AC813">
            <w:pPr>
              <w:widowControl/>
              <w:jc w:val="center"/>
              <w:rPr>
                <w:kern w:val="0"/>
                <w:szCs w:val="21"/>
              </w:rPr>
            </w:pPr>
            <w:r>
              <w:rPr>
                <w:kern w:val="0"/>
                <w:szCs w:val="21"/>
              </w:rPr>
              <w:t>12</w:t>
            </w:r>
          </w:p>
        </w:tc>
        <w:tc>
          <w:tcPr>
            <w:tcW w:w="834" w:type="pct"/>
            <w:tcBorders>
              <w:left w:val="single" w:color="auto" w:sz="4" w:space="0"/>
              <w:right w:val="single" w:color="auto" w:sz="4" w:space="0"/>
            </w:tcBorders>
            <w:vAlign w:val="center"/>
          </w:tcPr>
          <w:p w14:paraId="07C18298">
            <w:pPr>
              <w:adjustRightInd w:val="0"/>
              <w:spacing w:before="60" w:after="60"/>
              <w:jc w:val="center"/>
              <w:textAlignment w:val="baseline"/>
              <w:rPr>
                <w:kern w:val="0"/>
                <w:szCs w:val="21"/>
              </w:rPr>
            </w:pPr>
            <w:r>
              <w:rPr>
                <w:kern w:val="0"/>
                <w:szCs w:val="21"/>
              </w:rPr>
              <w:t>/</w:t>
            </w:r>
          </w:p>
        </w:tc>
        <w:tc>
          <w:tcPr>
            <w:tcW w:w="998" w:type="pct"/>
            <w:tcBorders>
              <w:top w:val="single" w:color="auto" w:sz="4" w:space="0"/>
              <w:left w:val="single" w:color="auto" w:sz="4" w:space="0"/>
              <w:bottom w:val="single" w:color="auto" w:sz="4" w:space="0"/>
              <w:right w:val="single" w:color="auto" w:sz="4" w:space="0"/>
            </w:tcBorders>
            <w:vAlign w:val="center"/>
          </w:tcPr>
          <w:p w14:paraId="6EAD7566">
            <w:pPr>
              <w:widowControl/>
              <w:jc w:val="center"/>
              <w:rPr>
                <w:kern w:val="0"/>
                <w:szCs w:val="21"/>
              </w:rPr>
            </w:pPr>
            <w:r>
              <w:rPr>
                <w:kern w:val="0"/>
                <w:szCs w:val="21"/>
              </w:rPr>
              <w:t>循环水泵</w:t>
            </w:r>
          </w:p>
        </w:tc>
        <w:tc>
          <w:tcPr>
            <w:tcW w:w="499" w:type="pct"/>
            <w:tcBorders>
              <w:top w:val="single" w:color="auto" w:sz="4" w:space="0"/>
              <w:left w:val="single" w:color="auto" w:sz="4" w:space="0"/>
              <w:bottom w:val="single" w:color="auto" w:sz="4" w:space="0"/>
              <w:right w:val="single" w:color="auto" w:sz="4" w:space="0"/>
            </w:tcBorders>
            <w:vAlign w:val="center"/>
          </w:tcPr>
          <w:p w14:paraId="6F800BD8">
            <w:pPr>
              <w:widowControl/>
              <w:jc w:val="center"/>
              <w:rPr>
                <w:kern w:val="0"/>
                <w:szCs w:val="21"/>
              </w:rPr>
            </w:pPr>
            <w:r>
              <w:rPr>
                <w:kern w:val="0"/>
                <w:szCs w:val="21"/>
              </w:rPr>
              <w:t>2</w:t>
            </w:r>
          </w:p>
        </w:tc>
        <w:tc>
          <w:tcPr>
            <w:tcW w:w="497" w:type="pct"/>
            <w:tcBorders>
              <w:top w:val="single" w:color="auto" w:sz="4" w:space="0"/>
              <w:left w:val="single" w:color="auto" w:sz="4" w:space="0"/>
              <w:right w:val="single" w:color="auto" w:sz="4" w:space="0"/>
            </w:tcBorders>
            <w:vAlign w:val="center"/>
          </w:tcPr>
          <w:p w14:paraId="521A1645">
            <w:pPr>
              <w:ind w:right="105" w:rightChars="50"/>
              <w:jc w:val="center"/>
              <w:rPr>
                <w:szCs w:val="21"/>
              </w:rPr>
            </w:pPr>
            <w:r>
              <w:rPr>
                <w:szCs w:val="21"/>
              </w:rPr>
              <w:t>25</w:t>
            </w:r>
          </w:p>
        </w:tc>
        <w:tc>
          <w:tcPr>
            <w:tcW w:w="582" w:type="pct"/>
            <w:tcBorders>
              <w:top w:val="single" w:color="auto" w:sz="4" w:space="0"/>
              <w:left w:val="single" w:color="auto" w:sz="4" w:space="0"/>
              <w:right w:val="single" w:color="auto" w:sz="4" w:space="0"/>
            </w:tcBorders>
            <w:vAlign w:val="center"/>
          </w:tcPr>
          <w:p w14:paraId="0529E572">
            <w:pPr>
              <w:ind w:right="105" w:rightChars="50"/>
              <w:jc w:val="center"/>
              <w:rPr>
                <w:szCs w:val="21"/>
              </w:rPr>
            </w:pPr>
            <w:r>
              <w:rPr>
                <w:szCs w:val="21"/>
              </w:rPr>
              <w:t>10</w:t>
            </w:r>
          </w:p>
        </w:tc>
        <w:tc>
          <w:tcPr>
            <w:tcW w:w="499" w:type="pct"/>
            <w:tcBorders>
              <w:top w:val="single" w:color="auto" w:sz="4" w:space="0"/>
              <w:left w:val="single" w:color="auto" w:sz="4" w:space="0"/>
              <w:right w:val="single" w:color="auto" w:sz="4" w:space="0"/>
            </w:tcBorders>
            <w:vAlign w:val="center"/>
          </w:tcPr>
          <w:p w14:paraId="5E4E10A3">
            <w:pPr>
              <w:ind w:right="105" w:rightChars="50"/>
              <w:jc w:val="center"/>
              <w:rPr>
                <w:szCs w:val="21"/>
              </w:rPr>
            </w:pPr>
            <w:r>
              <w:rPr>
                <w:szCs w:val="21"/>
              </w:rPr>
              <w:t>65</w:t>
            </w:r>
          </w:p>
        </w:tc>
        <w:tc>
          <w:tcPr>
            <w:tcW w:w="612" w:type="pct"/>
            <w:tcBorders>
              <w:top w:val="single" w:color="auto" w:sz="4" w:space="0"/>
              <w:left w:val="single" w:color="auto" w:sz="4" w:space="0"/>
              <w:right w:val="single" w:color="auto" w:sz="4" w:space="0"/>
            </w:tcBorders>
            <w:vAlign w:val="center"/>
          </w:tcPr>
          <w:p w14:paraId="3CDFEFBB">
            <w:pPr>
              <w:ind w:right="105" w:rightChars="50"/>
              <w:jc w:val="center"/>
              <w:rPr>
                <w:szCs w:val="21"/>
              </w:rPr>
            </w:pPr>
            <w:r>
              <w:rPr>
                <w:szCs w:val="21"/>
              </w:rPr>
              <w:t>120</w:t>
            </w:r>
          </w:p>
        </w:tc>
      </w:tr>
    </w:tbl>
    <w:p w14:paraId="2DF710FB">
      <w:pPr>
        <w:pStyle w:val="105"/>
        <w:rPr>
          <w:rFonts w:cs="Times New Roman"/>
        </w:rPr>
      </w:pPr>
      <w:r>
        <w:rPr>
          <w:rFonts w:cs="Times New Roman"/>
        </w:rPr>
        <w:t>6.5.3预测模式</w:t>
      </w:r>
    </w:p>
    <w:p w14:paraId="540F2406">
      <w:pPr>
        <w:pStyle w:val="297"/>
        <w:ind w:firstLine="480"/>
      </w:pPr>
      <w:r>
        <w:t>运营期噪声源主要是设备噪声，所以按照点声源考虑，采用点声源评价模式：</w:t>
      </w:r>
    </w:p>
    <w:p w14:paraId="2757EFF8">
      <w:pPr>
        <w:widowControl/>
        <w:spacing w:line="360" w:lineRule="auto"/>
        <w:ind w:firstLine="480" w:firstLineChars="200"/>
        <w:jc w:val="left"/>
        <w:rPr>
          <w:sz w:val="24"/>
        </w:rPr>
      </w:pPr>
      <w:r>
        <w:rPr>
          <w:sz w:val="24"/>
        </w:rPr>
        <w:pict>
          <v:shape id="_x0000_s1197" o:spid="_x0000_s1197" o:spt="75" type="#_x0000_t75" style="position:absolute;left:0pt;margin-left:117.3pt;margin-top:21.45pt;height:43.15pt;width:119.1pt;mso-position-horizontal-relative:page;mso-wrap-distance-bottom:0pt;mso-wrap-distance-top:0pt;z-index:251661312;mso-width-relative:page;mso-height-relative:page;" o:ole="t" filled="f" o:preferrelative="t" stroked="f" coordsize="21600,21600">
            <v:path/>
            <v:fill on="f" focussize="0,0"/>
            <v:stroke on="f" joinstyle="miter"/>
            <v:imagedata r:id="rId36" o:title=""/>
            <o:lock v:ext="edit" aspectratio="t"/>
            <w10:wrap type="topAndBottom"/>
          </v:shape>
          <o:OLEObject Type="Embed" ProgID="Equation.3" ShapeID="_x0000_s1197" DrawAspect="Content" ObjectID="_1468075730" r:id="rId35">
            <o:LockedField>false</o:LockedField>
          </o:OLEObject>
        </w:pict>
      </w:r>
      <w:r>
        <w:rPr>
          <w:sz w:val="24"/>
        </w:rPr>
        <w:t>各点声源至预测点噪声衰减模式为：</w:t>
      </w:r>
    </w:p>
    <w:p w14:paraId="1AF1E4D9">
      <w:pPr>
        <w:widowControl/>
        <w:spacing w:line="360" w:lineRule="auto"/>
        <w:ind w:firstLine="480" w:firstLineChars="200"/>
        <w:jc w:val="left"/>
        <w:rPr>
          <w:sz w:val="24"/>
        </w:rPr>
      </w:pPr>
      <w:r>
        <w:rPr>
          <w:sz w:val="24"/>
        </w:rPr>
        <w:t>式中：Lp：预测声级值，dB(A)</w:t>
      </w:r>
    </w:p>
    <w:p w14:paraId="06ABA468">
      <w:pPr>
        <w:widowControl/>
        <w:spacing w:line="360" w:lineRule="auto"/>
        <w:ind w:firstLine="480" w:firstLineChars="200"/>
        <w:jc w:val="left"/>
        <w:rPr>
          <w:sz w:val="24"/>
        </w:rPr>
      </w:pPr>
      <w:r>
        <w:rPr>
          <w:sz w:val="24"/>
        </w:rPr>
        <w:t>L</w:t>
      </w:r>
      <w:r>
        <w:rPr>
          <w:sz w:val="24"/>
          <w:vertAlign w:val="subscript"/>
        </w:rPr>
        <w:t>p0</w:t>
      </w:r>
      <w:r>
        <w:rPr>
          <w:sz w:val="24"/>
        </w:rPr>
        <w:t>：参考位置r</w:t>
      </w:r>
      <w:r>
        <w:rPr>
          <w:sz w:val="24"/>
          <w:vertAlign w:val="subscript"/>
        </w:rPr>
        <w:t>0</w:t>
      </w:r>
      <w:r>
        <w:rPr>
          <w:sz w:val="24"/>
        </w:rPr>
        <w:t>处的声级值，dB(A)</w:t>
      </w:r>
    </w:p>
    <w:p w14:paraId="123E0D2F">
      <w:pPr>
        <w:widowControl/>
        <w:spacing w:line="360" w:lineRule="auto"/>
        <w:ind w:firstLine="480" w:firstLineChars="200"/>
        <w:jc w:val="left"/>
        <w:rPr>
          <w:sz w:val="24"/>
        </w:rPr>
      </w:pPr>
      <w:r>
        <w:rPr>
          <w:sz w:val="24"/>
        </w:rPr>
        <w:t>r</w:t>
      </w:r>
      <w:r>
        <w:rPr>
          <w:sz w:val="24"/>
          <w:vertAlign w:val="subscript"/>
        </w:rPr>
        <w:t>p</w:t>
      </w:r>
      <w:r>
        <w:rPr>
          <w:sz w:val="24"/>
        </w:rPr>
        <w:t>-：预测点与声源之间的距离， m</w:t>
      </w:r>
    </w:p>
    <w:p w14:paraId="3EFD5F77">
      <w:pPr>
        <w:widowControl/>
        <w:spacing w:line="360" w:lineRule="auto"/>
        <w:ind w:firstLine="480" w:firstLineChars="200"/>
        <w:jc w:val="left"/>
        <w:rPr>
          <w:sz w:val="24"/>
        </w:rPr>
      </w:pPr>
      <w:r>
        <w:rPr>
          <w:sz w:val="24"/>
        </w:rPr>
        <w:t>r</w:t>
      </w:r>
      <w:r>
        <w:rPr>
          <w:sz w:val="24"/>
          <w:vertAlign w:val="subscript"/>
        </w:rPr>
        <w:t>0</w:t>
      </w:r>
      <w:r>
        <w:rPr>
          <w:sz w:val="24"/>
        </w:rPr>
        <w:t>： 参考声级与点声源间的距离，m</w:t>
      </w:r>
    </w:p>
    <w:p w14:paraId="7748D49F">
      <w:pPr>
        <w:widowControl/>
        <w:spacing w:line="360" w:lineRule="auto"/>
        <w:ind w:firstLine="480" w:firstLineChars="200"/>
        <w:jc w:val="left"/>
        <w:rPr>
          <w:sz w:val="24"/>
        </w:rPr>
      </w:pPr>
      <w:r>
        <w:rPr>
          <w:rFonts w:ascii="Cambria Math" w:hAnsi="Cambria Math" w:cs="Cambria Math"/>
          <w:sz w:val="24"/>
        </w:rPr>
        <w:t>△</w:t>
      </w:r>
      <w:r>
        <w:rPr>
          <w:sz w:val="24"/>
        </w:rPr>
        <w:t>L：附加衰减量，dB(A)（本次评价取值为10）</w:t>
      </w:r>
    </w:p>
    <w:p w14:paraId="723E750D">
      <w:pPr>
        <w:pStyle w:val="297"/>
        <w:ind w:firstLine="480"/>
      </w:pPr>
      <w:r>
        <w:t>各受声点的声源叠加按下列公式计算：</w:t>
      </w:r>
    </w:p>
    <w:p w14:paraId="404A8F72">
      <w:pPr>
        <w:pStyle w:val="297"/>
        <w:ind w:firstLine="480"/>
      </w:pPr>
      <w:r>
        <w:t xml:space="preserve">             </w:t>
      </w:r>
      <w:r>
        <w:drawing>
          <wp:inline distT="0" distB="0" distL="0" distR="0">
            <wp:extent cx="1247140" cy="4851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47140" cy="485140"/>
                    </a:xfrm>
                    <a:prstGeom prst="rect">
                      <a:avLst/>
                    </a:prstGeom>
                    <a:noFill/>
                    <a:ln>
                      <a:noFill/>
                    </a:ln>
                  </pic:spPr>
                </pic:pic>
              </a:graphicData>
            </a:graphic>
          </wp:inline>
        </w:drawing>
      </w:r>
    </w:p>
    <w:p w14:paraId="00CA2E0C">
      <w:pPr>
        <w:pStyle w:val="297"/>
        <w:ind w:firstLine="480"/>
      </w:pPr>
      <w:r>
        <w:t>式中：Li--- 第i个声源声值；</w:t>
      </w:r>
    </w:p>
    <w:p w14:paraId="1A1231E4">
      <w:pPr>
        <w:pStyle w:val="297"/>
        <w:ind w:firstLine="480"/>
      </w:pPr>
      <w:r>
        <w:t xml:space="preserve">      LA-- 某点噪声总叠加值；</w:t>
      </w:r>
    </w:p>
    <w:p w14:paraId="3B69B8EA">
      <w:pPr>
        <w:pStyle w:val="297"/>
        <w:ind w:firstLine="480"/>
      </w:pPr>
      <w:r>
        <w:t xml:space="preserve"> n---声源个数；</w:t>
      </w:r>
    </w:p>
    <w:p w14:paraId="50CFBC4D">
      <w:pPr>
        <w:pStyle w:val="105"/>
        <w:rPr>
          <w:rFonts w:cs="Times New Roman"/>
        </w:rPr>
      </w:pPr>
      <w:r>
        <w:rPr>
          <w:rFonts w:cs="Times New Roman"/>
        </w:rPr>
        <w:t>6.5.4预测方法</w:t>
      </w:r>
    </w:p>
    <w:p w14:paraId="1B752DBA">
      <w:pPr>
        <w:widowControl/>
        <w:spacing w:line="360" w:lineRule="auto"/>
        <w:ind w:firstLine="480" w:firstLineChars="200"/>
        <w:jc w:val="left"/>
        <w:rPr>
          <w:sz w:val="24"/>
        </w:rPr>
      </w:pPr>
      <w:r>
        <w:rPr>
          <w:sz w:val="24"/>
        </w:rPr>
        <w:t>采用软件预测，版本为”环安科技 噪声环境影响评价系统”，预测时，各种机械设备产生的噪声取最大值进行预测，项目夜间不生产。预测噪声等值线图详见附图5（昼间）。</w:t>
      </w:r>
    </w:p>
    <w:p w14:paraId="3C49D76E">
      <w:pPr>
        <w:pStyle w:val="105"/>
        <w:rPr>
          <w:rFonts w:cs="Times New Roman"/>
        </w:rPr>
      </w:pPr>
      <w:r>
        <w:rPr>
          <w:rFonts w:cs="Times New Roman"/>
        </w:rPr>
        <w:t>6.5.5预测结果</w:t>
      </w:r>
    </w:p>
    <w:p w14:paraId="122FD1A2">
      <w:pPr>
        <w:widowControl/>
        <w:spacing w:line="360" w:lineRule="auto"/>
        <w:ind w:firstLine="480" w:firstLineChars="200"/>
        <w:jc w:val="left"/>
        <w:rPr>
          <w:sz w:val="24"/>
        </w:rPr>
      </w:pPr>
      <w:r>
        <w:rPr>
          <w:sz w:val="24"/>
        </w:rPr>
        <w:t>运营期噪声厂界影响预测结果详见下表：</w:t>
      </w:r>
    </w:p>
    <w:p w14:paraId="7AC931C5">
      <w:pPr>
        <w:widowControl/>
        <w:ind w:firstLine="482" w:firstLineChars="200"/>
        <w:jc w:val="center"/>
        <w:rPr>
          <w:b/>
          <w:sz w:val="24"/>
        </w:rPr>
      </w:pPr>
      <w:r>
        <w:rPr>
          <w:b/>
          <w:sz w:val="24"/>
        </w:rPr>
        <w:t>表6.5-1   运营期噪声厂界影响预测   单位：dB（A）</w:t>
      </w:r>
    </w:p>
    <w:tbl>
      <w:tblPr>
        <w:tblStyle w:val="42"/>
        <w:tblW w:w="5000"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97"/>
        <w:gridCol w:w="1916"/>
        <w:gridCol w:w="1913"/>
        <w:gridCol w:w="1920"/>
      </w:tblGrid>
      <w:tr w14:paraId="2986D1C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51" w:type="pct"/>
            <w:vMerge w:val="restart"/>
            <w:vAlign w:val="center"/>
          </w:tcPr>
          <w:p w14:paraId="48D10092">
            <w:pPr>
              <w:widowControl/>
              <w:jc w:val="center"/>
              <w:rPr>
                <w:kern w:val="0"/>
                <w:szCs w:val="21"/>
              </w:rPr>
            </w:pPr>
            <w:r>
              <w:rPr>
                <w:kern w:val="0"/>
                <w:szCs w:val="21"/>
              </w:rPr>
              <w:t>厂界最大预测值</w:t>
            </w:r>
          </w:p>
        </w:tc>
        <w:tc>
          <w:tcPr>
            <w:tcW w:w="3249" w:type="pct"/>
            <w:gridSpan w:val="3"/>
            <w:vAlign w:val="center"/>
          </w:tcPr>
          <w:p w14:paraId="105ECCDC">
            <w:pPr>
              <w:widowControl/>
              <w:jc w:val="center"/>
              <w:rPr>
                <w:kern w:val="0"/>
                <w:szCs w:val="21"/>
              </w:rPr>
            </w:pPr>
            <w:r>
              <w:rPr>
                <w:kern w:val="0"/>
                <w:szCs w:val="21"/>
              </w:rPr>
              <w:t>昼间</w:t>
            </w:r>
          </w:p>
        </w:tc>
      </w:tr>
      <w:tr w14:paraId="1B6BE05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51" w:type="pct"/>
            <w:vMerge w:val="continue"/>
            <w:vAlign w:val="center"/>
          </w:tcPr>
          <w:p w14:paraId="175F82D8">
            <w:pPr>
              <w:widowControl/>
              <w:jc w:val="center"/>
              <w:rPr>
                <w:kern w:val="0"/>
                <w:szCs w:val="21"/>
              </w:rPr>
            </w:pPr>
          </w:p>
        </w:tc>
        <w:tc>
          <w:tcPr>
            <w:tcW w:w="1083" w:type="pct"/>
            <w:vAlign w:val="center"/>
          </w:tcPr>
          <w:p w14:paraId="528984A3">
            <w:pPr>
              <w:widowControl/>
              <w:jc w:val="center"/>
              <w:rPr>
                <w:kern w:val="0"/>
                <w:szCs w:val="21"/>
              </w:rPr>
            </w:pPr>
            <w:r>
              <w:rPr>
                <w:kern w:val="0"/>
                <w:szCs w:val="21"/>
              </w:rPr>
              <w:t>贡献值</w:t>
            </w:r>
          </w:p>
        </w:tc>
        <w:tc>
          <w:tcPr>
            <w:tcW w:w="1081" w:type="pct"/>
            <w:vAlign w:val="center"/>
          </w:tcPr>
          <w:p w14:paraId="6F807EFF">
            <w:pPr>
              <w:widowControl/>
              <w:jc w:val="center"/>
              <w:rPr>
                <w:kern w:val="0"/>
                <w:szCs w:val="21"/>
              </w:rPr>
            </w:pPr>
            <w:r>
              <w:rPr>
                <w:kern w:val="0"/>
                <w:szCs w:val="21"/>
              </w:rPr>
              <w:t>标准值</w:t>
            </w:r>
          </w:p>
        </w:tc>
        <w:tc>
          <w:tcPr>
            <w:tcW w:w="1085" w:type="pct"/>
            <w:vAlign w:val="center"/>
          </w:tcPr>
          <w:p w14:paraId="442E6F6C">
            <w:pPr>
              <w:widowControl/>
              <w:jc w:val="center"/>
              <w:rPr>
                <w:kern w:val="0"/>
                <w:szCs w:val="21"/>
              </w:rPr>
            </w:pPr>
            <w:r>
              <w:rPr>
                <w:kern w:val="0"/>
                <w:szCs w:val="21"/>
              </w:rPr>
              <w:t>达标情况</w:t>
            </w:r>
          </w:p>
        </w:tc>
      </w:tr>
      <w:tr w14:paraId="4F7BDC5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51" w:type="pct"/>
            <w:vAlign w:val="center"/>
          </w:tcPr>
          <w:p w14:paraId="08867189">
            <w:pPr>
              <w:jc w:val="center"/>
              <w:rPr>
                <w:szCs w:val="21"/>
              </w:rPr>
            </w:pPr>
            <w:r>
              <w:rPr>
                <w:szCs w:val="21"/>
              </w:rPr>
              <w:t>东厂界最大预测值</w:t>
            </w:r>
          </w:p>
        </w:tc>
        <w:tc>
          <w:tcPr>
            <w:tcW w:w="1083" w:type="pct"/>
            <w:vAlign w:val="center"/>
          </w:tcPr>
          <w:p w14:paraId="1AE07D3B">
            <w:pPr>
              <w:jc w:val="center"/>
              <w:rPr>
                <w:szCs w:val="21"/>
              </w:rPr>
            </w:pPr>
            <w:r>
              <w:rPr>
                <w:szCs w:val="21"/>
              </w:rPr>
              <w:t>52.52</w:t>
            </w:r>
          </w:p>
        </w:tc>
        <w:tc>
          <w:tcPr>
            <w:tcW w:w="1081" w:type="pct"/>
            <w:vAlign w:val="center"/>
          </w:tcPr>
          <w:p w14:paraId="4FBE6739">
            <w:pPr>
              <w:widowControl/>
              <w:jc w:val="center"/>
              <w:rPr>
                <w:kern w:val="0"/>
                <w:szCs w:val="21"/>
              </w:rPr>
            </w:pPr>
            <w:r>
              <w:rPr>
                <w:kern w:val="0"/>
                <w:szCs w:val="21"/>
              </w:rPr>
              <w:t>60</w:t>
            </w:r>
          </w:p>
        </w:tc>
        <w:tc>
          <w:tcPr>
            <w:tcW w:w="1085" w:type="pct"/>
            <w:vAlign w:val="center"/>
          </w:tcPr>
          <w:p w14:paraId="1BF284D8">
            <w:pPr>
              <w:widowControl/>
              <w:jc w:val="center"/>
              <w:rPr>
                <w:kern w:val="0"/>
                <w:szCs w:val="21"/>
              </w:rPr>
            </w:pPr>
            <w:r>
              <w:rPr>
                <w:kern w:val="0"/>
                <w:szCs w:val="21"/>
              </w:rPr>
              <w:t>达标</w:t>
            </w:r>
          </w:p>
        </w:tc>
      </w:tr>
      <w:tr w14:paraId="1FE6305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51" w:type="pct"/>
            <w:vAlign w:val="center"/>
          </w:tcPr>
          <w:p w14:paraId="5D5C202A">
            <w:pPr>
              <w:jc w:val="center"/>
              <w:rPr>
                <w:szCs w:val="21"/>
              </w:rPr>
            </w:pPr>
            <w:r>
              <w:rPr>
                <w:szCs w:val="21"/>
              </w:rPr>
              <w:t>南厂界最大预测值</w:t>
            </w:r>
          </w:p>
        </w:tc>
        <w:tc>
          <w:tcPr>
            <w:tcW w:w="1083" w:type="pct"/>
            <w:vAlign w:val="center"/>
          </w:tcPr>
          <w:p w14:paraId="171C9675">
            <w:pPr>
              <w:jc w:val="center"/>
              <w:rPr>
                <w:szCs w:val="21"/>
              </w:rPr>
            </w:pPr>
            <w:r>
              <w:rPr>
                <w:szCs w:val="21"/>
              </w:rPr>
              <w:t>55.38</w:t>
            </w:r>
          </w:p>
        </w:tc>
        <w:tc>
          <w:tcPr>
            <w:tcW w:w="1081" w:type="pct"/>
            <w:vAlign w:val="center"/>
          </w:tcPr>
          <w:p w14:paraId="25299436">
            <w:pPr>
              <w:widowControl/>
              <w:jc w:val="center"/>
              <w:rPr>
                <w:kern w:val="0"/>
                <w:szCs w:val="21"/>
              </w:rPr>
            </w:pPr>
            <w:r>
              <w:rPr>
                <w:kern w:val="0"/>
                <w:szCs w:val="21"/>
              </w:rPr>
              <w:t>60</w:t>
            </w:r>
          </w:p>
        </w:tc>
        <w:tc>
          <w:tcPr>
            <w:tcW w:w="1085" w:type="pct"/>
            <w:vAlign w:val="center"/>
          </w:tcPr>
          <w:p w14:paraId="71051FB6">
            <w:pPr>
              <w:widowControl/>
              <w:jc w:val="center"/>
              <w:rPr>
                <w:kern w:val="0"/>
                <w:szCs w:val="21"/>
              </w:rPr>
            </w:pPr>
            <w:r>
              <w:rPr>
                <w:kern w:val="0"/>
                <w:szCs w:val="21"/>
              </w:rPr>
              <w:t>达标</w:t>
            </w:r>
          </w:p>
        </w:tc>
      </w:tr>
      <w:tr w14:paraId="23B25E8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51" w:type="pct"/>
            <w:vAlign w:val="center"/>
          </w:tcPr>
          <w:p w14:paraId="7CBA9467">
            <w:pPr>
              <w:jc w:val="center"/>
              <w:rPr>
                <w:szCs w:val="21"/>
              </w:rPr>
            </w:pPr>
            <w:r>
              <w:rPr>
                <w:szCs w:val="21"/>
              </w:rPr>
              <w:t>西厂界最大预测值</w:t>
            </w:r>
          </w:p>
        </w:tc>
        <w:tc>
          <w:tcPr>
            <w:tcW w:w="1083" w:type="pct"/>
            <w:vAlign w:val="center"/>
          </w:tcPr>
          <w:p w14:paraId="6FFDBFC7">
            <w:pPr>
              <w:jc w:val="center"/>
              <w:rPr>
                <w:szCs w:val="21"/>
              </w:rPr>
            </w:pPr>
            <w:r>
              <w:rPr>
                <w:szCs w:val="21"/>
              </w:rPr>
              <w:t>44.70</w:t>
            </w:r>
          </w:p>
        </w:tc>
        <w:tc>
          <w:tcPr>
            <w:tcW w:w="1081" w:type="pct"/>
            <w:vAlign w:val="center"/>
          </w:tcPr>
          <w:p w14:paraId="6649F932">
            <w:pPr>
              <w:widowControl/>
              <w:jc w:val="center"/>
              <w:rPr>
                <w:kern w:val="0"/>
                <w:szCs w:val="21"/>
              </w:rPr>
            </w:pPr>
            <w:r>
              <w:rPr>
                <w:kern w:val="0"/>
                <w:szCs w:val="21"/>
              </w:rPr>
              <w:t>60</w:t>
            </w:r>
          </w:p>
        </w:tc>
        <w:tc>
          <w:tcPr>
            <w:tcW w:w="1085" w:type="pct"/>
            <w:vAlign w:val="center"/>
          </w:tcPr>
          <w:p w14:paraId="67F73A03">
            <w:pPr>
              <w:widowControl/>
              <w:jc w:val="center"/>
              <w:rPr>
                <w:kern w:val="0"/>
                <w:szCs w:val="21"/>
              </w:rPr>
            </w:pPr>
            <w:r>
              <w:rPr>
                <w:kern w:val="0"/>
                <w:szCs w:val="21"/>
              </w:rPr>
              <w:t>达标</w:t>
            </w:r>
          </w:p>
        </w:tc>
      </w:tr>
      <w:tr w14:paraId="6BAA148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51" w:type="pct"/>
            <w:vAlign w:val="center"/>
          </w:tcPr>
          <w:p w14:paraId="61FC2C89">
            <w:pPr>
              <w:jc w:val="center"/>
              <w:rPr>
                <w:szCs w:val="21"/>
              </w:rPr>
            </w:pPr>
            <w:r>
              <w:rPr>
                <w:szCs w:val="21"/>
              </w:rPr>
              <w:t>北厂界最大预测值</w:t>
            </w:r>
          </w:p>
        </w:tc>
        <w:tc>
          <w:tcPr>
            <w:tcW w:w="1083" w:type="pct"/>
            <w:vAlign w:val="center"/>
          </w:tcPr>
          <w:p w14:paraId="18170E14">
            <w:pPr>
              <w:jc w:val="center"/>
              <w:rPr>
                <w:szCs w:val="21"/>
              </w:rPr>
            </w:pPr>
            <w:r>
              <w:rPr>
                <w:szCs w:val="21"/>
              </w:rPr>
              <w:t>45.61</w:t>
            </w:r>
          </w:p>
        </w:tc>
        <w:tc>
          <w:tcPr>
            <w:tcW w:w="1081" w:type="pct"/>
            <w:vAlign w:val="center"/>
          </w:tcPr>
          <w:p w14:paraId="48688B2F">
            <w:pPr>
              <w:widowControl/>
              <w:jc w:val="center"/>
              <w:rPr>
                <w:kern w:val="0"/>
                <w:szCs w:val="21"/>
              </w:rPr>
            </w:pPr>
            <w:r>
              <w:rPr>
                <w:kern w:val="0"/>
                <w:szCs w:val="21"/>
              </w:rPr>
              <w:t>60</w:t>
            </w:r>
          </w:p>
        </w:tc>
        <w:tc>
          <w:tcPr>
            <w:tcW w:w="1085" w:type="pct"/>
            <w:vAlign w:val="center"/>
          </w:tcPr>
          <w:p w14:paraId="4893F798">
            <w:pPr>
              <w:widowControl/>
              <w:jc w:val="center"/>
              <w:rPr>
                <w:kern w:val="0"/>
                <w:szCs w:val="21"/>
              </w:rPr>
            </w:pPr>
            <w:r>
              <w:rPr>
                <w:kern w:val="0"/>
                <w:szCs w:val="21"/>
              </w:rPr>
              <w:t>达标</w:t>
            </w:r>
          </w:p>
        </w:tc>
      </w:tr>
    </w:tbl>
    <w:p w14:paraId="180FE9C7">
      <w:pPr>
        <w:widowControl/>
        <w:spacing w:line="360" w:lineRule="auto"/>
        <w:ind w:firstLine="480" w:firstLineChars="200"/>
        <w:jc w:val="left"/>
        <w:rPr>
          <w:sz w:val="24"/>
        </w:rPr>
      </w:pPr>
      <w:r>
        <w:rPr>
          <w:sz w:val="24"/>
        </w:rPr>
        <w:t>根据上表计算结果可知，项目运营期间厂界噪声昼间（夜间不生产）可满足GB12348-2008《工业企业厂界环境噪声排放标准》2类标准。</w:t>
      </w:r>
    </w:p>
    <w:p w14:paraId="2E43087A">
      <w:pPr>
        <w:widowControl/>
        <w:spacing w:line="360" w:lineRule="auto"/>
        <w:ind w:firstLine="480" w:firstLineChars="200"/>
        <w:jc w:val="left"/>
        <w:rPr>
          <w:sz w:val="24"/>
        </w:rPr>
      </w:pPr>
      <w:r>
        <w:rPr>
          <w:sz w:val="24"/>
        </w:rPr>
        <w:t>项目区周边200m范围内无声环境保护目标，项目噪声对周围环境影响较小。</w:t>
      </w:r>
    </w:p>
    <w:p w14:paraId="49A729D3">
      <w:pPr>
        <w:pStyle w:val="4"/>
        <w:rPr>
          <w:rFonts w:ascii="Times New Roman" w:hAnsi="Times New Roman"/>
          <w:color w:val="000000" w:themeColor="text1"/>
        </w:rPr>
      </w:pPr>
      <w:bookmarkStart w:id="400" w:name="_Toc28117716"/>
      <w:r>
        <w:rPr>
          <w:rFonts w:ascii="Times New Roman" w:hAnsi="Times New Roman"/>
          <w:color w:val="000000" w:themeColor="text1"/>
        </w:rPr>
        <w:t>6.6生态环境影响分析</w:t>
      </w:r>
      <w:bookmarkEnd w:id="400"/>
    </w:p>
    <w:p w14:paraId="6BCDE58E">
      <w:pPr>
        <w:pStyle w:val="57"/>
        <w:ind w:firstLine="480" w:firstLineChars="200"/>
        <w:rPr>
          <w:color w:val="000000" w:themeColor="text1"/>
        </w:rPr>
      </w:pPr>
      <w:bookmarkStart w:id="401" w:name="_Toc103649474"/>
      <w:bookmarkStart w:id="402" w:name="_Toc205265923"/>
      <w:bookmarkStart w:id="403" w:name="_Toc142735927"/>
      <w:bookmarkStart w:id="404" w:name="_Toc79481684"/>
      <w:bookmarkStart w:id="405" w:name="_Toc108595583"/>
      <w:bookmarkStart w:id="406" w:name="_Toc241370899"/>
      <w:r>
        <w:rPr>
          <w:color w:val="000000" w:themeColor="text1"/>
        </w:rPr>
        <w:t>项目占地面积为0.8hm</w:t>
      </w:r>
      <w:r>
        <w:rPr>
          <w:color w:val="000000" w:themeColor="text1"/>
          <w:vertAlign w:val="superscript"/>
        </w:rPr>
        <w:t>2</w:t>
      </w:r>
      <w:r>
        <w:rPr>
          <w:color w:val="000000" w:themeColor="text1"/>
        </w:rPr>
        <w:t>。本项目</w:t>
      </w:r>
      <w:r>
        <w:rPr>
          <w:rFonts w:eastAsiaTheme="minorEastAsia"/>
          <w:color w:val="000000" w:themeColor="text1"/>
        </w:rPr>
        <w:t>租用盛达泰硅业的土地</w:t>
      </w:r>
      <w:r>
        <w:rPr>
          <w:bCs/>
          <w:color w:val="000000" w:themeColor="text1"/>
        </w:rPr>
        <w:t>，不新增用地，</w:t>
      </w:r>
      <w:r>
        <w:rPr>
          <w:color w:val="000000" w:themeColor="text1"/>
        </w:rPr>
        <w:t>不会导致土地利用格局改变和植被破坏。</w:t>
      </w:r>
    </w:p>
    <w:p w14:paraId="69E727F4">
      <w:pPr>
        <w:pStyle w:val="116"/>
        <w:ind w:firstLine="480"/>
        <w:rPr>
          <w:color w:val="000000" w:themeColor="text1"/>
        </w:rPr>
      </w:pPr>
      <w:r>
        <w:rPr>
          <w:color w:val="000000" w:themeColor="text1"/>
        </w:rPr>
        <w:t>同时项目建成后对厂区实施绿化，在绿化方案中注意了绿化植物品种的多样性，并根据各种植物的生态关系营建稳定的植物群落，提高了生态含量，对该区生态环境产生有利影响。</w:t>
      </w:r>
    </w:p>
    <w:p w14:paraId="2BD77225">
      <w:pPr>
        <w:pStyle w:val="57"/>
        <w:ind w:firstLine="480" w:firstLineChars="200"/>
        <w:rPr>
          <w:color w:val="000000" w:themeColor="text1"/>
          <w:szCs w:val="24"/>
        </w:rPr>
      </w:pPr>
      <w:r>
        <w:rPr>
          <w:color w:val="000000" w:themeColor="text1"/>
        </w:rPr>
        <w:t>总之，整个项目实施后对生态环境影响在可接受范围内，运营期</w:t>
      </w:r>
      <w:bookmarkEnd w:id="401"/>
      <w:bookmarkEnd w:id="402"/>
      <w:bookmarkEnd w:id="403"/>
      <w:bookmarkEnd w:id="404"/>
      <w:bookmarkEnd w:id="405"/>
      <w:bookmarkEnd w:id="406"/>
      <w:r>
        <w:rPr>
          <w:color w:val="000000" w:themeColor="text1"/>
          <w:szCs w:val="24"/>
        </w:rPr>
        <w:t>绿化工程使生态环境得到补偿和恢复。</w:t>
      </w:r>
    </w:p>
    <w:p w14:paraId="4D092049">
      <w:pPr>
        <w:pStyle w:val="4"/>
        <w:rPr>
          <w:rFonts w:ascii="Times New Roman" w:hAnsi="Times New Roman"/>
          <w:color w:val="000000" w:themeColor="text1"/>
        </w:rPr>
      </w:pPr>
      <w:bookmarkStart w:id="407" w:name="_Toc28117717"/>
      <w:r>
        <w:rPr>
          <w:rFonts w:ascii="Times New Roman" w:hAnsi="Times New Roman"/>
          <w:color w:val="000000" w:themeColor="text1"/>
        </w:rPr>
        <w:t>6.7项目与周围环境相容性分析</w:t>
      </w:r>
      <w:bookmarkEnd w:id="407"/>
    </w:p>
    <w:p w14:paraId="70EB8A2B">
      <w:pPr>
        <w:spacing w:line="360" w:lineRule="auto"/>
        <w:ind w:firstLine="482" w:firstLineChars="200"/>
        <w:rPr>
          <w:b/>
          <w:color w:val="000000" w:themeColor="text1"/>
          <w:sz w:val="24"/>
        </w:rPr>
      </w:pPr>
      <w:r>
        <w:rPr>
          <w:b/>
          <w:color w:val="000000" w:themeColor="text1"/>
          <w:sz w:val="24"/>
        </w:rPr>
        <w:t>1、项目运营对外环境的影响</w:t>
      </w:r>
    </w:p>
    <w:p w14:paraId="6692E540">
      <w:pPr>
        <w:spacing w:line="360" w:lineRule="auto"/>
        <w:ind w:firstLine="480" w:firstLineChars="200"/>
        <w:rPr>
          <w:color w:val="000000" w:themeColor="text1"/>
          <w:sz w:val="24"/>
        </w:rPr>
      </w:pPr>
      <w:r>
        <w:rPr>
          <w:color w:val="000000" w:themeColor="text1"/>
          <w:sz w:val="24"/>
        </w:rPr>
        <w:t xml:space="preserve">根据本项目污染物排放特性，对周围环境有可能产生影响的主要是造粒过程、塑料编织袋产生的颗粒物及非甲烷总烃，而项目设计及建设中已考虑采用清洁能源（电）、安装过滤棉+UV光解处置废气，同时降噪、分类处置固废等污染防治措施，确保达标排放，对周围的影响不大； </w:t>
      </w:r>
    </w:p>
    <w:p w14:paraId="0097FDD0">
      <w:pPr>
        <w:spacing w:line="360" w:lineRule="auto"/>
        <w:ind w:firstLine="420" w:firstLineChars="200"/>
        <w:rPr>
          <w:bCs/>
          <w:color w:val="000000" w:themeColor="text1"/>
          <w:sz w:val="24"/>
        </w:rPr>
      </w:pPr>
      <w:r>
        <w:rPr>
          <w:color w:val="000000" w:themeColor="text1"/>
        </w:rPr>
        <w:t xml:space="preserve"> </w:t>
      </w:r>
      <w:r>
        <w:rPr>
          <w:color w:val="000000" w:themeColor="text1"/>
          <w:sz w:val="24"/>
        </w:rPr>
        <w:t>从项目位置上看，从预测结果分析对保护目标影响很小，叠加现状背景值后，关心点预测颗粒物能达GB3095－2012《环境空气质量标准》二级标准，非甲烷总烃污染物预测值能满足《大气污染物综合排放标准详解》中2mg/m</w:t>
      </w:r>
      <w:r>
        <w:rPr>
          <w:color w:val="000000" w:themeColor="text1"/>
          <w:sz w:val="24"/>
          <w:vertAlign w:val="superscript"/>
        </w:rPr>
        <w:t>3</w:t>
      </w:r>
      <w:r>
        <w:rPr>
          <w:color w:val="000000" w:themeColor="text1"/>
          <w:sz w:val="24"/>
        </w:rPr>
        <w:t>要求，从估算结果可以看出废气对保护目标的影响可接受</w:t>
      </w:r>
      <w:r>
        <w:rPr>
          <w:bCs/>
          <w:color w:val="000000" w:themeColor="text1"/>
          <w:sz w:val="24"/>
        </w:rPr>
        <w:t>。</w:t>
      </w:r>
    </w:p>
    <w:p w14:paraId="6E969296">
      <w:pPr>
        <w:spacing w:line="360" w:lineRule="auto"/>
        <w:ind w:firstLine="480" w:firstLineChars="200"/>
        <w:rPr>
          <w:color w:val="000000" w:themeColor="text1"/>
          <w:sz w:val="24"/>
        </w:rPr>
      </w:pPr>
      <w:r>
        <w:rPr>
          <w:color w:val="000000" w:themeColor="text1"/>
          <w:sz w:val="24"/>
        </w:rPr>
        <w:t>项目设备均为小型精密设备，噪声源不大，最大为破碎噪声，根据预测，项目建设对周围环境声环境的影响可接受。</w:t>
      </w:r>
    </w:p>
    <w:p w14:paraId="6C30E71A">
      <w:pPr>
        <w:spacing w:line="360" w:lineRule="auto"/>
        <w:ind w:firstLine="482" w:firstLineChars="200"/>
        <w:rPr>
          <w:b/>
          <w:color w:val="000000" w:themeColor="text1"/>
          <w:sz w:val="24"/>
        </w:rPr>
      </w:pPr>
      <w:r>
        <w:rPr>
          <w:b/>
          <w:color w:val="000000" w:themeColor="text1"/>
          <w:sz w:val="24"/>
        </w:rPr>
        <w:t>2、外环境对项目运营的影响</w:t>
      </w:r>
    </w:p>
    <w:p w14:paraId="2FFD27FE">
      <w:pPr>
        <w:spacing w:line="360" w:lineRule="auto"/>
        <w:ind w:firstLine="480" w:firstLineChars="200"/>
        <w:rPr>
          <w:color w:val="000000" w:themeColor="text1"/>
          <w:sz w:val="24"/>
        </w:rPr>
      </w:pPr>
      <w:r>
        <w:rPr>
          <w:color w:val="000000" w:themeColor="text1"/>
          <w:sz w:val="24"/>
        </w:rPr>
        <w:t>根据现场勘察，项目周边基本无工况企业（硅厂未运营多年），大多为居民区，对本项目生产无影响。</w:t>
      </w:r>
    </w:p>
    <w:p w14:paraId="26C6AF56">
      <w:pPr>
        <w:widowControl/>
        <w:jc w:val="left"/>
        <w:rPr>
          <w:rFonts w:eastAsia="黑体"/>
          <w:b/>
          <w:bCs/>
          <w:color w:val="FF0000"/>
          <w:kern w:val="44"/>
          <w:sz w:val="36"/>
          <w:szCs w:val="36"/>
        </w:rPr>
      </w:pPr>
      <w:r>
        <w:rPr>
          <w:color w:val="FF0000"/>
        </w:rPr>
        <w:br w:type="page"/>
      </w:r>
    </w:p>
    <w:p w14:paraId="77470B37">
      <w:pPr>
        <w:pStyle w:val="3"/>
        <w:rPr>
          <w:color w:val="000000" w:themeColor="text1"/>
        </w:rPr>
      </w:pPr>
      <w:bookmarkStart w:id="408" w:name="_Toc28117718"/>
      <w:r>
        <w:rPr>
          <w:color w:val="000000" w:themeColor="text1"/>
        </w:rPr>
        <w:t>7环境风险分析</w:t>
      </w:r>
      <w:bookmarkEnd w:id="408"/>
    </w:p>
    <w:p w14:paraId="6D733A1F">
      <w:pPr>
        <w:pStyle w:val="4"/>
        <w:rPr>
          <w:rFonts w:ascii="Times New Roman" w:hAnsi="Times New Roman"/>
          <w:color w:val="000000" w:themeColor="text1"/>
        </w:rPr>
      </w:pPr>
      <w:bookmarkStart w:id="409" w:name="_Toc28117719"/>
      <w:r>
        <w:rPr>
          <w:rFonts w:ascii="Times New Roman" w:hAnsi="Times New Roman"/>
          <w:color w:val="000000" w:themeColor="text1"/>
        </w:rPr>
        <w:t>7.1环境风险评价的目的和重点</w:t>
      </w:r>
      <w:bookmarkEnd w:id="409"/>
    </w:p>
    <w:p w14:paraId="2B3131F5">
      <w:pPr>
        <w:adjustRightInd w:val="0"/>
        <w:snapToGrid w:val="0"/>
        <w:spacing w:line="360" w:lineRule="auto"/>
        <w:ind w:firstLine="480" w:firstLineChars="200"/>
        <w:rPr>
          <w:color w:val="000000" w:themeColor="text1"/>
          <w:sz w:val="24"/>
        </w:rPr>
      </w:pPr>
      <w:r>
        <w:rPr>
          <w:color w:val="000000" w:themeColor="text1"/>
          <w:sz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14:paraId="79B431C9">
      <w:pPr>
        <w:adjustRightInd w:val="0"/>
        <w:snapToGrid w:val="0"/>
        <w:spacing w:line="360" w:lineRule="auto"/>
        <w:ind w:firstLine="480" w:firstLineChars="200"/>
        <w:rPr>
          <w:color w:val="000000" w:themeColor="text1"/>
          <w:sz w:val="24"/>
        </w:rPr>
      </w:pPr>
      <w:r>
        <w:rPr>
          <w:color w:val="000000" w:themeColor="text1"/>
          <w:sz w:val="24"/>
        </w:rPr>
        <w:t>环境风险评价关注点是事故对单位外环境的影响。环境风险评价应把事故引起厂（场）界外人群的伤害、环境质量的恶化及对生态系统影响的预测，以及提出相对应的防范、减少、消除措施作为评价工作重点。</w:t>
      </w:r>
    </w:p>
    <w:p w14:paraId="3A9F71BA">
      <w:pPr>
        <w:pStyle w:val="4"/>
        <w:rPr>
          <w:rFonts w:ascii="Times New Roman" w:hAnsi="Times New Roman"/>
          <w:color w:val="000000" w:themeColor="text1"/>
        </w:rPr>
      </w:pPr>
      <w:bookmarkStart w:id="410" w:name="_Toc28117720"/>
      <w:r>
        <w:rPr>
          <w:rFonts w:ascii="Times New Roman" w:hAnsi="Times New Roman"/>
          <w:color w:val="000000" w:themeColor="text1"/>
        </w:rPr>
        <w:t>7.2风险识别</w:t>
      </w:r>
      <w:bookmarkEnd w:id="410"/>
    </w:p>
    <w:p w14:paraId="248A1006">
      <w:pPr>
        <w:adjustRightInd w:val="0"/>
        <w:snapToGrid w:val="0"/>
        <w:spacing w:line="360" w:lineRule="auto"/>
        <w:ind w:firstLine="480" w:firstLineChars="200"/>
        <w:rPr>
          <w:color w:val="000000" w:themeColor="text1"/>
          <w:sz w:val="24"/>
        </w:rPr>
      </w:pPr>
      <w:r>
        <w:rPr>
          <w:color w:val="000000" w:themeColor="text1"/>
          <w:sz w:val="24"/>
        </w:rPr>
        <w:t>物质风险识别范围包括主要原材料及辅助材料、燃料、中间产品、最终产品以及生产过程排放的“三废”污染物等。</w:t>
      </w:r>
    </w:p>
    <w:p w14:paraId="0587F970">
      <w:pPr>
        <w:spacing w:line="360" w:lineRule="auto"/>
        <w:ind w:firstLine="480" w:firstLineChars="200"/>
        <w:rPr>
          <w:rFonts w:eastAsia="新宋体"/>
          <w:color w:val="000000" w:themeColor="text1"/>
          <w:sz w:val="24"/>
          <w:szCs w:val="21"/>
        </w:rPr>
      </w:pPr>
      <w:r>
        <w:rPr>
          <w:rFonts w:eastAsia="新宋体"/>
          <w:color w:val="000000" w:themeColor="text1"/>
          <w:sz w:val="24"/>
          <w:szCs w:val="21"/>
        </w:rPr>
        <w:t>确定风险物质的依据为</w:t>
      </w:r>
      <w:r>
        <w:rPr>
          <w:color w:val="000000" w:themeColor="text1"/>
          <w:sz w:val="24"/>
        </w:rPr>
        <w:t>HJ/T169-2018《建设项目环境风险评价技术导则》</w:t>
      </w:r>
      <w:r>
        <w:rPr>
          <w:rFonts w:eastAsia="新宋体"/>
          <w:color w:val="000000" w:themeColor="text1"/>
          <w:sz w:val="24"/>
          <w:szCs w:val="21"/>
        </w:rPr>
        <w:t>附录B。</w:t>
      </w:r>
    </w:p>
    <w:p w14:paraId="667E7F79">
      <w:pPr>
        <w:jc w:val="center"/>
        <w:rPr>
          <w:b/>
          <w:color w:val="000000" w:themeColor="text1"/>
          <w:sz w:val="24"/>
        </w:rPr>
      </w:pPr>
      <w:r>
        <w:rPr>
          <w:b/>
          <w:color w:val="000000" w:themeColor="text1"/>
          <w:sz w:val="24"/>
        </w:rPr>
        <w:t>表7.2-1  项目原辅料、废物、产品等统计表</w:t>
      </w:r>
    </w:p>
    <w:tbl>
      <w:tblPr>
        <w:tblStyle w:val="4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2097"/>
        <w:gridCol w:w="1693"/>
        <w:gridCol w:w="2040"/>
        <w:gridCol w:w="2036"/>
      </w:tblGrid>
      <w:tr w14:paraId="0AB9D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4" w:type="pct"/>
            <w:vAlign w:val="center"/>
          </w:tcPr>
          <w:p w14:paraId="6A6224FC">
            <w:pPr>
              <w:jc w:val="center"/>
              <w:rPr>
                <w:color w:val="000000" w:themeColor="text1"/>
                <w:szCs w:val="21"/>
              </w:rPr>
            </w:pPr>
            <w:r>
              <w:rPr>
                <w:color w:val="000000" w:themeColor="text1"/>
                <w:szCs w:val="21"/>
              </w:rPr>
              <w:t>序号</w:t>
            </w:r>
          </w:p>
        </w:tc>
        <w:tc>
          <w:tcPr>
            <w:tcW w:w="1185" w:type="pct"/>
            <w:vAlign w:val="center"/>
          </w:tcPr>
          <w:p w14:paraId="5AF372A4">
            <w:pPr>
              <w:jc w:val="center"/>
              <w:rPr>
                <w:color w:val="000000" w:themeColor="text1"/>
                <w:szCs w:val="21"/>
              </w:rPr>
            </w:pPr>
            <w:r>
              <w:rPr>
                <w:color w:val="000000" w:themeColor="text1"/>
                <w:szCs w:val="21"/>
              </w:rPr>
              <w:t>名称</w:t>
            </w:r>
          </w:p>
        </w:tc>
        <w:tc>
          <w:tcPr>
            <w:tcW w:w="957" w:type="pct"/>
            <w:vAlign w:val="center"/>
          </w:tcPr>
          <w:p w14:paraId="29082884">
            <w:pPr>
              <w:jc w:val="center"/>
              <w:rPr>
                <w:color w:val="000000" w:themeColor="text1"/>
                <w:szCs w:val="21"/>
              </w:rPr>
            </w:pPr>
            <w:r>
              <w:rPr>
                <w:color w:val="000000" w:themeColor="text1"/>
                <w:szCs w:val="21"/>
              </w:rPr>
              <w:t>用量（t/a)</w:t>
            </w:r>
          </w:p>
        </w:tc>
        <w:tc>
          <w:tcPr>
            <w:tcW w:w="1153" w:type="pct"/>
            <w:vAlign w:val="center"/>
          </w:tcPr>
          <w:p w14:paraId="605E0E78">
            <w:pPr>
              <w:jc w:val="center"/>
              <w:rPr>
                <w:color w:val="000000" w:themeColor="text1"/>
                <w:szCs w:val="21"/>
              </w:rPr>
            </w:pPr>
            <w:r>
              <w:rPr>
                <w:color w:val="000000" w:themeColor="text1"/>
                <w:szCs w:val="21"/>
              </w:rPr>
              <w:t>最大储存量（t）</w:t>
            </w:r>
          </w:p>
        </w:tc>
        <w:tc>
          <w:tcPr>
            <w:tcW w:w="1151" w:type="pct"/>
            <w:vAlign w:val="center"/>
          </w:tcPr>
          <w:p w14:paraId="5F303A22">
            <w:pPr>
              <w:jc w:val="center"/>
              <w:rPr>
                <w:color w:val="000000" w:themeColor="text1"/>
                <w:szCs w:val="21"/>
              </w:rPr>
            </w:pPr>
            <w:r>
              <w:rPr>
                <w:color w:val="000000" w:themeColor="text1"/>
                <w:szCs w:val="21"/>
              </w:rPr>
              <w:t>判定</w:t>
            </w:r>
          </w:p>
        </w:tc>
      </w:tr>
      <w:tr w14:paraId="6574A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4" w:type="pct"/>
            <w:vAlign w:val="center"/>
          </w:tcPr>
          <w:p w14:paraId="123B57C9">
            <w:pPr>
              <w:jc w:val="center"/>
              <w:rPr>
                <w:color w:val="000000" w:themeColor="text1"/>
                <w:szCs w:val="21"/>
              </w:rPr>
            </w:pPr>
            <w:r>
              <w:rPr>
                <w:color w:val="000000" w:themeColor="text1"/>
                <w:szCs w:val="21"/>
              </w:rPr>
              <w:t>1</w:t>
            </w:r>
          </w:p>
        </w:tc>
        <w:tc>
          <w:tcPr>
            <w:tcW w:w="1185" w:type="pct"/>
            <w:vAlign w:val="center"/>
          </w:tcPr>
          <w:p w14:paraId="26D519CB">
            <w:pPr>
              <w:jc w:val="center"/>
              <w:rPr>
                <w:color w:val="000000" w:themeColor="text1"/>
                <w:szCs w:val="21"/>
              </w:rPr>
            </w:pPr>
            <w:r>
              <w:rPr>
                <w:color w:val="000000" w:themeColor="text1"/>
                <w:szCs w:val="21"/>
              </w:rPr>
              <w:t>废塑料</w:t>
            </w:r>
          </w:p>
        </w:tc>
        <w:tc>
          <w:tcPr>
            <w:tcW w:w="957" w:type="pct"/>
            <w:vAlign w:val="center"/>
          </w:tcPr>
          <w:p w14:paraId="228A3143">
            <w:pPr>
              <w:jc w:val="center"/>
              <w:rPr>
                <w:color w:val="000000" w:themeColor="text1"/>
                <w:szCs w:val="21"/>
              </w:rPr>
            </w:pPr>
            <w:r>
              <w:rPr>
                <w:color w:val="000000" w:themeColor="text1"/>
                <w:szCs w:val="21"/>
              </w:rPr>
              <w:t>5008.014</w:t>
            </w:r>
          </w:p>
        </w:tc>
        <w:tc>
          <w:tcPr>
            <w:tcW w:w="1153" w:type="pct"/>
            <w:vAlign w:val="center"/>
          </w:tcPr>
          <w:p w14:paraId="78B80B77">
            <w:pPr>
              <w:jc w:val="center"/>
              <w:rPr>
                <w:color w:val="000000" w:themeColor="text1"/>
                <w:szCs w:val="21"/>
              </w:rPr>
            </w:pPr>
            <w:r>
              <w:rPr>
                <w:color w:val="000000" w:themeColor="text1"/>
                <w:szCs w:val="21"/>
              </w:rPr>
              <w:t>500</w:t>
            </w:r>
          </w:p>
        </w:tc>
        <w:tc>
          <w:tcPr>
            <w:tcW w:w="1151" w:type="pct"/>
            <w:vMerge w:val="restart"/>
            <w:vAlign w:val="center"/>
          </w:tcPr>
          <w:p w14:paraId="6F63B587">
            <w:pPr>
              <w:jc w:val="center"/>
              <w:rPr>
                <w:color w:val="000000" w:themeColor="text1"/>
                <w:szCs w:val="21"/>
              </w:rPr>
            </w:pPr>
            <w:r>
              <w:rPr>
                <w:color w:val="000000" w:themeColor="text1"/>
                <w:szCs w:val="21"/>
              </w:rPr>
              <w:t>不属于附录B中风险物质</w:t>
            </w:r>
          </w:p>
        </w:tc>
      </w:tr>
      <w:tr w14:paraId="5B8E8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4" w:type="pct"/>
            <w:vAlign w:val="center"/>
          </w:tcPr>
          <w:p w14:paraId="406FD3ED">
            <w:pPr>
              <w:jc w:val="center"/>
              <w:rPr>
                <w:color w:val="000000" w:themeColor="text1"/>
                <w:szCs w:val="21"/>
              </w:rPr>
            </w:pPr>
            <w:r>
              <w:rPr>
                <w:color w:val="000000" w:themeColor="text1"/>
                <w:szCs w:val="21"/>
              </w:rPr>
              <w:t>2</w:t>
            </w:r>
          </w:p>
        </w:tc>
        <w:tc>
          <w:tcPr>
            <w:tcW w:w="1185" w:type="pct"/>
            <w:vAlign w:val="center"/>
          </w:tcPr>
          <w:p w14:paraId="054D1C5D">
            <w:pPr>
              <w:jc w:val="center"/>
              <w:rPr>
                <w:color w:val="000000" w:themeColor="text1"/>
                <w:szCs w:val="21"/>
              </w:rPr>
            </w:pPr>
            <w:r>
              <w:rPr>
                <w:color w:val="000000" w:themeColor="text1"/>
                <w:szCs w:val="21"/>
              </w:rPr>
              <w:t>再生塑料颗粒</w:t>
            </w:r>
          </w:p>
        </w:tc>
        <w:tc>
          <w:tcPr>
            <w:tcW w:w="957" w:type="pct"/>
            <w:vAlign w:val="center"/>
          </w:tcPr>
          <w:p w14:paraId="04D9F8D6">
            <w:pPr>
              <w:jc w:val="center"/>
              <w:rPr>
                <w:color w:val="000000" w:themeColor="text1"/>
                <w:szCs w:val="21"/>
              </w:rPr>
            </w:pPr>
            <w:r>
              <w:rPr>
                <w:color w:val="000000" w:themeColor="text1"/>
                <w:szCs w:val="21"/>
              </w:rPr>
              <w:t>/</w:t>
            </w:r>
          </w:p>
        </w:tc>
        <w:tc>
          <w:tcPr>
            <w:tcW w:w="1153" w:type="pct"/>
            <w:vAlign w:val="center"/>
          </w:tcPr>
          <w:p w14:paraId="53424D60">
            <w:pPr>
              <w:jc w:val="center"/>
              <w:rPr>
                <w:color w:val="000000" w:themeColor="text1"/>
                <w:szCs w:val="21"/>
              </w:rPr>
            </w:pPr>
            <w:r>
              <w:rPr>
                <w:color w:val="000000" w:themeColor="text1"/>
                <w:szCs w:val="21"/>
              </w:rPr>
              <w:t>200</w:t>
            </w:r>
          </w:p>
        </w:tc>
        <w:tc>
          <w:tcPr>
            <w:tcW w:w="1151" w:type="pct"/>
            <w:vMerge w:val="continue"/>
            <w:vAlign w:val="center"/>
          </w:tcPr>
          <w:p w14:paraId="2CC0B578">
            <w:pPr>
              <w:jc w:val="center"/>
              <w:rPr>
                <w:color w:val="000000" w:themeColor="text1"/>
                <w:szCs w:val="21"/>
              </w:rPr>
            </w:pPr>
          </w:p>
        </w:tc>
      </w:tr>
      <w:tr w14:paraId="3A678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4" w:type="pct"/>
            <w:vAlign w:val="center"/>
          </w:tcPr>
          <w:p w14:paraId="7C2A4D2B">
            <w:pPr>
              <w:jc w:val="center"/>
              <w:rPr>
                <w:color w:val="000000" w:themeColor="text1"/>
                <w:szCs w:val="21"/>
              </w:rPr>
            </w:pPr>
            <w:r>
              <w:rPr>
                <w:color w:val="000000" w:themeColor="text1"/>
                <w:szCs w:val="21"/>
              </w:rPr>
              <w:t>3</w:t>
            </w:r>
          </w:p>
        </w:tc>
        <w:tc>
          <w:tcPr>
            <w:tcW w:w="1185" w:type="pct"/>
            <w:vAlign w:val="center"/>
          </w:tcPr>
          <w:p w14:paraId="4004DF75">
            <w:pPr>
              <w:jc w:val="center"/>
              <w:rPr>
                <w:color w:val="000000" w:themeColor="text1"/>
                <w:szCs w:val="21"/>
              </w:rPr>
            </w:pPr>
            <w:r>
              <w:rPr>
                <w:color w:val="000000" w:themeColor="text1"/>
                <w:szCs w:val="21"/>
              </w:rPr>
              <w:t>编织袋</w:t>
            </w:r>
          </w:p>
        </w:tc>
        <w:tc>
          <w:tcPr>
            <w:tcW w:w="957" w:type="pct"/>
            <w:vAlign w:val="center"/>
          </w:tcPr>
          <w:p w14:paraId="15B97961">
            <w:pPr>
              <w:jc w:val="center"/>
              <w:rPr>
                <w:color w:val="000000" w:themeColor="text1"/>
                <w:szCs w:val="21"/>
              </w:rPr>
            </w:pPr>
            <w:r>
              <w:rPr>
                <w:color w:val="000000" w:themeColor="text1"/>
                <w:szCs w:val="21"/>
              </w:rPr>
              <w:t>/</w:t>
            </w:r>
          </w:p>
        </w:tc>
        <w:tc>
          <w:tcPr>
            <w:tcW w:w="1153" w:type="pct"/>
            <w:vAlign w:val="center"/>
          </w:tcPr>
          <w:p w14:paraId="268BFD17">
            <w:pPr>
              <w:jc w:val="center"/>
              <w:rPr>
                <w:color w:val="000000" w:themeColor="text1"/>
                <w:szCs w:val="21"/>
              </w:rPr>
            </w:pPr>
            <w:r>
              <w:rPr>
                <w:color w:val="000000" w:themeColor="text1"/>
                <w:szCs w:val="21"/>
              </w:rPr>
              <w:t>150</w:t>
            </w:r>
          </w:p>
        </w:tc>
        <w:tc>
          <w:tcPr>
            <w:tcW w:w="1151" w:type="pct"/>
            <w:vMerge w:val="continue"/>
            <w:vAlign w:val="center"/>
          </w:tcPr>
          <w:p w14:paraId="2A0D90D3">
            <w:pPr>
              <w:jc w:val="center"/>
              <w:rPr>
                <w:color w:val="000000" w:themeColor="text1"/>
                <w:szCs w:val="21"/>
              </w:rPr>
            </w:pPr>
          </w:p>
        </w:tc>
      </w:tr>
    </w:tbl>
    <w:p w14:paraId="670AE9DD">
      <w:pPr>
        <w:adjustRightInd w:val="0"/>
        <w:snapToGrid w:val="0"/>
        <w:spacing w:line="360" w:lineRule="auto"/>
        <w:ind w:firstLine="482" w:firstLineChars="200"/>
        <w:rPr>
          <w:b/>
          <w:color w:val="000000" w:themeColor="text1"/>
          <w:sz w:val="24"/>
        </w:rPr>
      </w:pPr>
    </w:p>
    <w:p w14:paraId="211B8BD3">
      <w:pPr>
        <w:pStyle w:val="4"/>
        <w:rPr>
          <w:rFonts w:ascii="Times New Roman" w:hAnsi="Times New Roman"/>
          <w:color w:val="000000" w:themeColor="text1"/>
        </w:rPr>
      </w:pPr>
      <w:bookmarkStart w:id="411" w:name="_Toc28117721"/>
      <w:r>
        <w:rPr>
          <w:rFonts w:ascii="Times New Roman" w:hAnsi="Times New Roman"/>
          <w:color w:val="000000" w:themeColor="text1"/>
        </w:rPr>
        <w:t>7.3环境风险评价等级</w:t>
      </w:r>
      <w:bookmarkEnd w:id="411"/>
    </w:p>
    <w:p w14:paraId="1538FFB3">
      <w:pPr>
        <w:pStyle w:val="105"/>
        <w:rPr>
          <w:rFonts w:cs="Times New Roman"/>
          <w:color w:val="000000" w:themeColor="text1"/>
        </w:rPr>
      </w:pPr>
      <w:r>
        <w:rPr>
          <w:rFonts w:cs="Times New Roman"/>
          <w:color w:val="000000" w:themeColor="text1"/>
        </w:rPr>
        <w:t>7.3.1 环境风险潜势划分</w:t>
      </w:r>
    </w:p>
    <w:p w14:paraId="03080679">
      <w:pPr>
        <w:adjustRightInd w:val="0"/>
        <w:snapToGrid w:val="0"/>
        <w:spacing w:line="360" w:lineRule="auto"/>
        <w:ind w:firstLine="480" w:firstLineChars="200"/>
        <w:rPr>
          <w:color w:val="000000" w:themeColor="text1"/>
          <w:sz w:val="24"/>
        </w:rPr>
      </w:pPr>
      <w:r>
        <w:rPr>
          <w:color w:val="000000" w:themeColor="text1"/>
          <w:sz w:val="24"/>
        </w:rPr>
        <w:t>根据HJ/T169-2018《建设项目环境风险评价技术导则》，建设项目环境风险潜势划分为Ⅰ、Ⅱ、Ⅲ、Ⅳ/Ⅳ+级。</w:t>
      </w:r>
    </w:p>
    <w:p w14:paraId="50FF7863">
      <w:pPr>
        <w:adjustRightInd w:val="0"/>
        <w:snapToGrid w:val="0"/>
        <w:spacing w:line="360" w:lineRule="auto"/>
        <w:ind w:firstLine="482" w:firstLineChars="200"/>
        <w:rPr>
          <w:b/>
          <w:bCs/>
          <w:color w:val="000000" w:themeColor="text1"/>
          <w:sz w:val="24"/>
        </w:rPr>
      </w:pPr>
      <w:r>
        <w:rPr>
          <w:b/>
          <w:color w:val="000000" w:themeColor="text1"/>
          <w:sz w:val="24"/>
        </w:rPr>
        <w:t>1、</w:t>
      </w:r>
      <w:r>
        <w:rPr>
          <w:b/>
          <w:bCs/>
          <w:color w:val="000000" w:themeColor="text1"/>
          <w:sz w:val="24"/>
        </w:rPr>
        <w:t>危险物质数量与临界量比值（</w:t>
      </w:r>
      <w:r>
        <w:rPr>
          <w:b/>
          <w:bCs/>
          <w:i/>
          <w:color w:val="000000" w:themeColor="text1"/>
          <w:sz w:val="24"/>
        </w:rPr>
        <w:t>Q</w:t>
      </w:r>
      <w:r>
        <w:rPr>
          <w:b/>
          <w:bCs/>
          <w:color w:val="000000" w:themeColor="text1"/>
          <w:sz w:val="24"/>
        </w:rPr>
        <w:t>）</w:t>
      </w:r>
    </w:p>
    <w:p w14:paraId="597B8DA4">
      <w:pPr>
        <w:adjustRightInd w:val="0"/>
        <w:snapToGrid w:val="0"/>
        <w:spacing w:line="360" w:lineRule="auto"/>
        <w:ind w:firstLine="480" w:firstLineChars="200"/>
        <w:rPr>
          <w:color w:val="000000" w:themeColor="text1"/>
          <w:sz w:val="24"/>
        </w:rPr>
      </w:pPr>
      <w:r>
        <w:rPr>
          <w:color w:val="000000" w:themeColor="text1"/>
          <w:sz w:val="24"/>
        </w:rPr>
        <w:t>根据HJ/T169-2018《建设项目环境风险评价技术导则》中附录B，关于物质危险性判定标准，见表7.3-1。</w:t>
      </w:r>
    </w:p>
    <w:p w14:paraId="674419B1">
      <w:pPr>
        <w:adjustRightInd w:val="0"/>
        <w:snapToGrid w:val="0"/>
        <w:spacing w:line="360" w:lineRule="auto"/>
        <w:ind w:firstLine="480" w:firstLineChars="200"/>
        <w:rPr>
          <w:color w:val="000000" w:themeColor="text1"/>
          <w:sz w:val="24"/>
        </w:rPr>
      </w:pPr>
      <w:r>
        <w:rPr>
          <w:color w:val="000000" w:themeColor="text1"/>
          <w:sz w:val="24"/>
        </w:rPr>
        <w:t>计算所涉及的每种危险物质在厂界内的最大存在总量与其在附录 B  中对应临界量的比值Q。</w:t>
      </w:r>
    </w:p>
    <w:p w14:paraId="201CA746">
      <w:pPr>
        <w:adjustRightInd w:val="0"/>
        <w:snapToGrid w:val="0"/>
        <w:spacing w:line="360" w:lineRule="auto"/>
        <w:ind w:firstLine="480" w:firstLineChars="200"/>
        <w:rPr>
          <w:color w:val="000000" w:themeColor="text1"/>
          <w:sz w:val="24"/>
        </w:rPr>
      </w:pPr>
      <w:r>
        <w:rPr>
          <w:color w:val="000000" w:themeColor="text1"/>
          <w:sz w:val="24"/>
        </w:rPr>
        <w:t>当只涉及一种危险物质时，计算该物质的总量与其临界量比值，即为 Q；</w:t>
      </w:r>
    </w:p>
    <w:p w14:paraId="55E8C394">
      <w:pPr>
        <w:adjustRightInd w:val="0"/>
        <w:snapToGrid w:val="0"/>
        <w:spacing w:line="360" w:lineRule="auto"/>
        <w:ind w:firstLine="480" w:firstLineChars="200"/>
        <w:rPr>
          <w:color w:val="000000" w:themeColor="text1"/>
          <w:sz w:val="24"/>
        </w:rPr>
      </w:pPr>
      <w:r>
        <w:rPr>
          <w:color w:val="000000" w:themeColor="text1"/>
          <w:sz w:val="24"/>
        </w:rPr>
        <w:t>当存在多种危险物质时，则按式（C.1）计算物质总量与其临界量比值（Q）：</w:t>
      </w:r>
    </w:p>
    <w:p w14:paraId="6F65103E">
      <w:pPr>
        <w:adjustRightInd w:val="0"/>
        <w:snapToGrid w:val="0"/>
        <w:spacing w:line="360" w:lineRule="auto"/>
        <w:ind w:firstLine="420" w:firstLineChars="200"/>
        <w:jc w:val="center"/>
        <w:rPr>
          <w:color w:val="000000" w:themeColor="text1"/>
          <w:sz w:val="24"/>
        </w:rPr>
      </w:pPr>
      <w:r>
        <w:drawing>
          <wp:inline distT="0" distB="0" distL="0" distR="0">
            <wp:extent cx="1849755" cy="6184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8"/>
                    <a:stretch>
                      <a:fillRect/>
                    </a:stretch>
                  </pic:blipFill>
                  <pic:spPr>
                    <a:xfrm>
                      <a:off x="0" y="0"/>
                      <a:ext cx="1874887" cy="626829"/>
                    </a:xfrm>
                    <a:prstGeom prst="rect">
                      <a:avLst/>
                    </a:prstGeom>
                  </pic:spPr>
                </pic:pic>
              </a:graphicData>
            </a:graphic>
          </wp:inline>
        </w:drawing>
      </w:r>
    </w:p>
    <w:p w14:paraId="61B681E8">
      <w:pPr>
        <w:adjustRightInd w:val="0"/>
        <w:snapToGrid w:val="0"/>
        <w:spacing w:line="360" w:lineRule="auto"/>
        <w:ind w:firstLine="480" w:firstLineChars="200"/>
        <w:rPr>
          <w:color w:val="000000" w:themeColor="text1"/>
          <w:sz w:val="24"/>
        </w:rPr>
      </w:pPr>
      <w:r>
        <w:rPr>
          <w:color w:val="000000" w:themeColor="text1"/>
          <w:sz w:val="24"/>
        </w:rPr>
        <w:t>式中：</w:t>
      </w:r>
      <w:r>
        <w:rPr>
          <w:i/>
          <w:color w:val="000000" w:themeColor="text1"/>
          <w:sz w:val="24"/>
        </w:rPr>
        <w:t>q</w:t>
      </w:r>
      <w:r>
        <w:rPr>
          <w:color w:val="000000" w:themeColor="text1"/>
          <w:sz w:val="24"/>
        </w:rPr>
        <w:t>1，</w:t>
      </w:r>
      <w:r>
        <w:rPr>
          <w:i/>
          <w:color w:val="000000" w:themeColor="text1"/>
          <w:sz w:val="24"/>
        </w:rPr>
        <w:t>q</w:t>
      </w:r>
      <w:r>
        <w:rPr>
          <w:color w:val="000000" w:themeColor="text1"/>
          <w:sz w:val="24"/>
        </w:rPr>
        <w:t>2，...，</w:t>
      </w:r>
      <w:r>
        <w:rPr>
          <w:i/>
          <w:color w:val="000000" w:themeColor="text1"/>
          <w:sz w:val="24"/>
        </w:rPr>
        <w:t>qn</w:t>
      </w:r>
      <w:r>
        <w:rPr>
          <w:color w:val="000000" w:themeColor="text1"/>
          <w:sz w:val="24"/>
        </w:rPr>
        <w:t>——每种危险物质的最大存在总量，t；</w:t>
      </w:r>
    </w:p>
    <w:p w14:paraId="1E67355A">
      <w:pPr>
        <w:adjustRightInd w:val="0"/>
        <w:snapToGrid w:val="0"/>
        <w:spacing w:line="360" w:lineRule="auto"/>
        <w:ind w:firstLine="1200" w:firstLineChars="500"/>
        <w:rPr>
          <w:color w:val="000000" w:themeColor="text1"/>
          <w:sz w:val="24"/>
        </w:rPr>
      </w:pPr>
      <w:r>
        <w:rPr>
          <w:i/>
          <w:color w:val="000000" w:themeColor="text1"/>
          <w:sz w:val="24"/>
        </w:rPr>
        <w:t>Q</w:t>
      </w:r>
      <w:r>
        <w:rPr>
          <w:color w:val="000000" w:themeColor="text1"/>
          <w:sz w:val="24"/>
        </w:rPr>
        <w:t xml:space="preserve">1, </w:t>
      </w:r>
      <w:r>
        <w:rPr>
          <w:i/>
          <w:color w:val="000000" w:themeColor="text1"/>
          <w:sz w:val="24"/>
        </w:rPr>
        <w:t>Q</w:t>
      </w:r>
      <w:r>
        <w:rPr>
          <w:color w:val="000000" w:themeColor="text1"/>
          <w:sz w:val="24"/>
        </w:rPr>
        <w:t xml:space="preserve">2, ..., </w:t>
      </w:r>
      <w:r>
        <w:rPr>
          <w:i/>
          <w:color w:val="000000" w:themeColor="text1"/>
          <w:sz w:val="24"/>
        </w:rPr>
        <w:t>Qn</w:t>
      </w:r>
      <w:r>
        <w:rPr>
          <w:color w:val="000000" w:themeColor="text1"/>
          <w:sz w:val="24"/>
        </w:rPr>
        <w:t xml:space="preserve">——每种危险物质的临界量，t。当 </w:t>
      </w:r>
      <w:r>
        <w:rPr>
          <w:i/>
          <w:color w:val="000000" w:themeColor="text1"/>
          <w:sz w:val="24"/>
        </w:rPr>
        <w:t>Q</w:t>
      </w:r>
      <w:r>
        <w:rPr>
          <w:color w:val="000000" w:themeColor="text1"/>
          <w:sz w:val="24"/>
        </w:rPr>
        <w:t>＜1 时，该项目环境风险潜势为Ⅰ。</w:t>
      </w:r>
    </w:p>
    <w:p w14:paraId="6DB9B48A">
      <w:pPr>
        <w:adjustRightInd w:val="0"/>
        <w:snapToGrid w:val="0"/>
        <w:spacing w:line="360" w:lineRule="auto"/>
        <w:ind w:firstLine="960" w:firstLineChars="400"/>
        <w:rPr>
          <w:color w:val="000000" w:themeColor="text1"/>
          <w:sz w:val="24"/>
        </w:rPr>
      </w:pPr>
      <w:r>
        <w:rPr>
          <w:color w:val="000000" w:themeColor="text1"/>
          <w:sz w:val="24"/>
        </w:rPr>
        <w:t xml:space="preserve">当 </w:t>
      </w:r>
      <w:r>
        <w:rPr>
          <w:i/>
          <w:color w:val="000000" w:themeColor="text1"/>
          <w:sz w:val="24"/>
        </w:rPr>
        <w:t>Q</w:t>
      </w:r>
      <w:r>
        <w:rPr>
          <w:color w:val="000000" w:themeColor="text1"/>
          <w:sz w:val="24"/>
        </w:rPr>
        <w:t xml:space="preserve">≥1 时，将 </w:t>
      </w:r>
      <w:r>
        <w:rPr>
          <w:i/>
          <w:color w:val="000000" w:themeColor="text1"/>
          <w:sz w:val="24"/>
        </w:rPr>
        <w:t xml:space="preserve">Q </w:t>
      </w:r>
      <w:r>
        <w:rPr>
          <w:color w:val="000000" w:themeColor="text1"/>
          <w:sz w:val="24"/>
        </w:rPr>
        <w:t>值划分为：（1）1≤</w:t>
      </w:r>
      <w:r>
        <w:rPr>
          <w:i/>
          <w:color w:val="000000" w:themeColor="text1"/>
          <w:sz w:val="24"/>
        </w:rPr>
        <w:t>Q</w:t>
      </w:r>
      <w:r>
        <w:rPr>
          <w:color w:val="000000" w:themeColor="text1"/>
          <w:sz w:val="24"/>
        </w:rPr>
        <w:t>＜10；（2）10≤</w:t>
      </w:r>
      <w:r>
        <w:rPr>
          <w:i/>
          <w:color w:val="000000" w:themeColor="text1"/>
          <w:sz w:val="24"/>
        </w:rPr>
        <w:t>Q</w:t>
      </w:r>
      <w:r>
        <w:rPr>
          <w:color w:val="000000" w:themeColor="text1"/>
          <w:sz w:val="24"/>
        </w:rPr>
        <w:t>＜100；（3）</w:t>
      </w:r>
      <w:r>
        <w:rPr>
          <w:i/>
          <w:color w:val="000000" w:themeColor="text1"/>
          <w:sz w:val="24"/>
        </w:rPr>
        <w:t>Q</w:t>
      </w:r>
      <w:r>
        <w:rPr>
          <w:color w:val="000000" w:themeColor="text1"/>
          <w:sz w:val="24"/>
        </w:rPr>
        <w:t>≥100。</w:t>
      </w:r>
    </w:p>
    <w:p w14:paraId="7F0F0AE2">
      <w:pPr>
        <w:adjustRightInd w:val="0"/>
        <w:snapToGrid w:val="0"/>
        <w:spacing w:line="360" w:lineRule="auto"/>
        <w:ind w:firstLine="480" w:firstLineChars="200"/>
        <w:rPr>
          <w:color w:val="000000" w:themeColor="text1"/>
          <w:sz w:val="24"/>
        </w:rPr>
      </w:pPr>
      <w:r>
        <w:rPr>
          <w:color w:val="000000" w:themeColor="text1"/>
          <w:sz w:val="24"/>
        </w:rPr>
        <w:t>在不同厂区的同一种物质，按其在厂界内的最大存在总量计算。物质风险识别范围包括主要原材料及辅助材料、燃料、中间产品、最终产品以及生产过程排放的”三废”污染物等。</w:t>
      </w:r>
    </w:p>
    <w:p w14:paraId="1381C66A">
      <w:pPr>
        <w:spacing w:line="360" w:lineRule="auto"/>
        <w:ind w:firstLine="480" w:firstLineChars="200"/>
        <w:rPr>
          <w:rFonts w:eastAsia="新宋体"/>
          <w:color w:val="000000" w:themeColor="text1"/>
          <w:sz w:val="24"/>
          <w:szCs w:val="21"/>
        </w:rPr>
      </w:pPr>
      <w:r>
        <w:rPr>
          <w:rFonts w:eastAsia="新宋体"/>
          <w:color w:val="000000" w:themeColor="text1"/>
          <w:sz w:val="24"/>
          <w:szCs w:val="21"/>
        </w:rPr>
        <w:t>确定重大危险源辨识的依据为国家标准《危险化学品重大危险源辨识》（GB18218-2014）、</w:t>
      </w:r>
      <w:r>
        <w:rPr>
          <w:color w:val="000000" w:themeColor="text1"/>
          <w:sz w:val="24"/>
        </w:rPr>
        <w:t>HJ/T169-2018《建设项目环境风险评价技术导则》附录B</w:t>
      </w:r>
      <w:r>
        <w:rPr>
          <w:rFonts w:eastAsia="新宋体"/>
          <w:color w:val="000000" w:themeColor="text1"/>
          <w:sz w:val="24"/>
          <w:szCs w:val="21"/>
        </w:rPr>
        <w:t>相关文件中规定的重大危险源辨识的依据，本项目在生产过程中使用的主要原材料为废塑料（主要成分PP、PE），产品为塑料颗粒及编织袋，未被列入HJ/T169-2018《建设项目环境风险评价技术导则》</w:t>
      </w:r>
      <w:r>
        <w:rPr>
          <w:color w:val="000000" w:themeColor="text1"/>
          <w:sz w:val="24"/>
        </w:rPr>
        <w:t>附录B</w:t>
      </w:r>
      <w:r>
        <w:rPr>
          <w:rFonts w:eastAsia="新宋体"/>
          <w:color w:val="000000" w:themeColor="text1"/>
          <w:sz w:val="24"/>
          <w:szCs w:val="21"/>
        </w:rPr>
        <w:t>。</w:t>
      </w:r>
    </w:p>
    <w:p w14:paraId="28C9ED56">
      <w:pPr>
        <w:jc w:val="center"/>
        <w:rPr>
          <w:b/>
          <w:color w:val="000000" w:themeColor="text1"/>
          <w:sz w:val="24"/>
        </w:rPr>
      </w:pPr>
      <w:r>
        <w:rPr>
          <w:b/>
          <w:color w:val="000000" w:themeColor="text1"/>
          <w:sz w:val="24"/>
        </w:rPr>
        <w:t>表7.3-1  危险物质数量与临界量</w:t>
      </w:r>
    </w:p>
    <w:tbl>
      <w:tblPr>
        <w:tblStyle w:val="4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550"/>
        <w:gridCol w:w="1472"/>
        <w:gridCol w:w="1177"/>
        <w:gridCol w:w="1472"/>
        <w:gridCol w:w="1030"/>
        <w:gridCol w:w="1376"/>
      </w:tblGrid>
      <w:tr w14:paraId="31D34C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35" w:type="pct"/>
            <w:vAlign w:val="center"/>
          </w:tcPr>
          <w:p w14:paraId="13F42C0B">
            <w:pPr>
              <w:jc w:val="center"/>
              <w:rPr>
                <w:color w:val="000000" w:themeColor="text1"/>
                <w:szCs w:val="21"/>
              </w:rPr>
            </w:pPr>
            <w:r>
              <w:rPr>
                <w:color w:val="000000" w:themeColor="text1"/>
                <w:szCs w:val="21"/>
              </w:rPr>
              <w:t>序号</w:t>
            </w:r>
          </w:p>
        </w:tc>
        <w:tc>
          <w:tcPr>
            <w:tcW w:w="876" w:type="pct"/>
            <w:vAlign w:val="center"/>
          </w:tcPr>
          <w:p w14:paraId="2AE1FA47">
            <w:pPr>
              <w:jc w:val="center"/>
              <w:rPr>
                <w:color w:val="000000" w:themeColor="text1"/>
                <w:szCs w:val="21"/>
              </w:rPr>
            </w:pPr>
            <w:r>
              <w:rPr>
                <w:color w:val="000000" w:themeColor="text1"/>
                <w:szCs w:val="21"/>
              </w:rPr>
              <w:t>名称</w:t>
            </w:r>
          </w:p>
        </w:tc>
        <w:tc>
          <w:tcPr>
            <w:tcW w:w="832" w:type="pct"/>
            <w:vAlign w:val="center"/>
          </w:tcPr>
          <w:p w14:paraId="7747533F">
            <w:pPr>
              <w:jc w:val="center"/>
              <w:rPr>
                <w:color w:val="000000" w:themeColor="text1"/>
                <w:szCs w:val="21"/>
              </w:rPr>
            </w:pPr>
            <w:r>
              <w:rPr>
                <w:color w:val="000000" w:themeColor="text1"/>
                <w:szCs w:val="21"/>
              </w:rPr>
              <w:t>用量（t/a)</w:t>
            </w:r>
          </w:p>
        </w:tc>
        <w:tc>
          <w:tcPr>
            <w:tcW w:w="665" w:type="pct"/>
            <w:vAlign w:val="center"/>
          </w:tcPr>
          <w:p w14:paraId="50513FB2">
            <w:pPr>
              <w:jc w:val="center"/>
              <w:rPr>
                <w:color w:val="000000" w:themeColor="text1"/>
                <w:szCs w:val="21"/>
              </w:rPr>
            </w:pPr>
            <w:r>
              <w:rPr>
                <w:color w:val="000000" w:themeColor="text1"/>
                <w:szCs w:val="21"/>
              </w:rPr>
              <w:t>最大储存量（t）</w:t>
            </w:r>
          </w:p>
        </w:tc>
        <w:tc>
          <w:tcPr>
            <w:tcW w:w="832" w:type="pct"/>
            <w:vAlign w:val="center"/>
          </w:tcPr>
          <w:p w14:paraId="2517A9F4">
            <w:pPr>
              <w:jc w:val="center"/>
              <w:rPr>
                <w:color w:val="000000" w:themeColor="text1"/>
                <w:szCs w:val="21"/>
              </w:rPr>
            </w:pPr>
            <w:r>
              <w:rPr>
                <w:color w:val="000000" w:themeColor="text1"/>
                <w:szCs w:val="21"/>
              </w:rPr>
              <w:t>CAS 号</w:t>
            </w:r>
          </w:p>
        </w:tc>
        <w:tc>
          <w:tcPr>
            <w:tcW w:w="582" w:type="pct"/>
            <w:vAlign w:val="center"/>
          </w:tcPr>
          <w:p w14:paraId="0C2F5D72">
            <w:pPr>
              <w:jc w:val="center"/>
              <w:rPr>
                <w:color w:val="000000" w:themeColor="text1"/>
                <w:szCs w:val="21"/>
              </w:rPr>
            </w:pPr>
            <w:r>
              <w:rPr>
                <w:color w:val="000000" w:themeColor="text1"/>
                <w:szCs w:val="21"/>
              </w:rPr>
              <w:t>临界量（t）</w:t>
            </w:r>
          </w:p>
        </w:tc>
        <w:tc>
          <w:tcPr>
            <w:tcW w:w="778" w:type="pct"/>
            <w:vAlign w:val="center"/>
          </w:tcPr>
          <w:p w14:paraId="4F673E8C">
            <w:pPr>
              <w:jc w:val="center"/>
              <w:rPr>
                <w:color w:val="000000" w:themeColor="text1"/>
                <w:szCs w:val="21"/>
              </w:rPr>
            </w:pPr>
            <w:r>
              <w:rPr>
                <w:color w:val="000000" w:themeColor="text1"/>
                <w:szCs w:val="21"/>
              </w:rPr>
              <w:t xml:space="preserve">该种危险物质 </w:t>
            </w:r>
            <w:r>
              <w:rPr>
                <w:i/>
                <w:color w:val="000000" w:themeColor="text1"/>
                <w:szCs w:val="21"/>
              </w:rPr>
              <w:t xml:space="preserve">Q </w:t>
            </w:r>
            <w:r>
              <w:rPr>
                <w:color w:val="000000" w:themeColor="text1"/>
                <w:szCs w:val="21"/>
              </w:rPr>
              <w:t>值</w:t>
            </w:r>
          </w:p>
        </w:tc>
      </w:tr>
      <w:tr w14:paraId="6630E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35" w:type="pct"/>
            <w:vAlign w:val="center"/>
          </w:tcPr>
          <w:p w14:paraId="59E5DDC1">
            <w:pPr>
              <w:jc w:val="center"/>
              <w:rPr>
                <w:color w:val="000000" w:themeColor="text1"/>
                <w:szCs w:val="21"/>
              </w:rPr>
            </w:pPr>
            <w:r>
              <w:rPr>
                <w:color w:val="000000" w:themeColor="text1"/>
                <w:szCs w:val="21"/>
              </w:rPr>
              <w:t>1</w:t>
            </w:r>
          </w:p>
        </w:tc>
        <w:tc>
          <w:tcPr>
            <w:tcW w:w="876" w:type="pct"/>
            <w:vAlign w:val="center"/>
          </w:tcPr>
          <w:p w14:paraId="131C911C">
            <w:pPr>
              <w:jc w:val="center"/>
              <w:rPr>
                <w:color w:val="000000" w:themeColor="text1"/>
                <w:szCs w:val="21"/>
              </w:rPr>
            </w:pPr>
            <w:r>
              <w:rPr>
                <w:color w:val="000000" w:themeColor="text1"/>
                <w:szCs w:val="21"/>
              </w:rPr>
              <w:t>废塑料</w:t>
            </w:r>
          </w:p>
        </w:tc>
        <w:tc>
          <w:tcPr>
            <w:tcW w:w="832" w:type="pct"/>
            <w:vAlign w:val="center"/>
          </w:tcPr>
          <w:p w14:paraId="48B204B9">
            <w:pPr>
              <w:jc w:val="center"/>
              <w:rPr>
                <w:color w:val="000000" w:themeColor="text1"/>
                <w:szCs w:val="21"/>
              </w:rPr>
            </w:pPr>
            <w:r>
              <w:rPr>
                <w:color w:val="000000" w:themeColor="text1"/>
                <w:szCs w:val="21"/>
              </w:rPr>
              <w:t>5008.014</w:t>
            </w:r>
          </w:p>
        </w:tc>
        <w:tc>
          <w:tcPr>
            <w:tcW w:w="665" w:type="pct"/>
            <w:vAlign w:val="center"/>
          </w:tcPr>
          <w:p w14:paraId="612B4416">
            <w:pPr>
              <w:jc w:val="center"/>
              <w:rPr>
                <w:color w:val="000000" w:themeColor="text1"/>
                <w:szCs w:val="21"/>
              </w:rPr>
            </w:pPr>
            <w:r>
              <w:rPr>
                <w:color w:val="000000" w:themeColor="text1"/>
                <w:szCs w:val="21"/>
              </w:rPr>
              <w:t>500</w:t>
            </w:r>
          </w:p>
        </w:tc>
        <w:tc>
          <w:tcPr>
            <w:tcW w:w="832" w:type="pct"/>
            <w:vMerge w:val="restart"/>
            <w:vAlign w:val="center"/>
          </w:tcPr>
          <w:p w14:paraId="49C8E3FD">
            <w:pPr>
              <w:jc w:val="center"/>
              <w:rPr>
                <w:color w:val="000000" w:themeColor="text1"/>
                <w:szCs w:val="21"/>
              </w:rPr>
            </w:pPr>
            <w:r>
              <w:rPr>
                <w:color w:val="000000" w:themeColor="text1"/>
                <w:szCs w:val="21"/>
              </w:rPr>
              <w:t>不属于附录B</w:t>
            </w:r>
          </w:p>
        </w:tc>
        <w:tc>
          <w:tcPr>
            <w:tcW w:w="582" w:type="pct"/>
            <w:tcBorders>
              <w:bottom w:val="single" w:color="auto" w:sz="4" w:space="0"/>
            </w:tcBorders>
            <w:vAlign w:val="center"/>
          </w:tcPr>
          <w:p w14:paraId="7581EA53">
            <w:pPr>
              <w:jc w:val="center"/>
              <w:rPr>
                <w:color w:val="000000" w:themeColor="text1"/>
                <w:szCs w:val="21"/>
              </w:rPr>
            </w:pPr>
            <w:r>
              <w:rPr>
                <w:color w:val="000000" w:themeColor="text1"/>
                <w:szCs w:val="21"/>
              </w:rPr>
              <w:t>/</w:t>
            </w:r>
          </w:p>
        </w:tc>
        <w:tc>
          <w:tcPr>
            <w:tcW w:w="778" w:type="pct"/>
            <w:vAlign w:val="center"/>
          </w:tcPr>
          <w:p w14:paraId="4F8D10A8">
            <w:pPr>
              <w:jc w:val="center"/>
              <w:rPr>
                <w:color w:val="000000" w:themeColor="text1"/>
                <w:szCs w:val="21"/>
              </w:rPr>
            </w:pPr>
            <w:r>
              <w:rPr>
                <w:color w:val="000000" w:themeColor="text1"/>
                <w:szCs w:val="21"/>
              </w:rPr>
              <w:t>0</w:t>
            </w:r>
          </w:p>
        </w:tc>
      </w:tr>
      <w:tr w14:paraId="03D38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35" w:type="pct"/>
            <w:vAlign w:val="center"/>
          </w:tcPr>
          <w:p w14:paraId="4B3A3B2D">
            <w:pPr>
              <w:jc w:val="center"/>
              <w:rPr>
                <w:color w:val="000000" w:themeColor="text1"/>
                <w:szCs w:val="21"/>
              </w:rPr>
            </w:pPr>
            <w:r>
              <w:rPr>
                <w:color w:val="000000" w:themeColor="text1"/>
                <w:szCs w:val="21"/>
              </w:rPr>
              <w:t>2</w:t>
            </w:r>
          </w:p>
        </w:tc>
        <w:tc>
          <w:tcPr>
            <w:tcW w:w="876" w:type="pct"/>
            <w:vAlign w:val="center"/>
          </w:tcPr>
          <w:p w14:paraId="54446E3E">
            <w:pPr>
              <w:jc w:val="center"/>
              <w:rPr>
                <w:color w:val="000000" w:themeColor="text1"/>
                <w:szCs w:val="21"/>
              </w:rPr>
            </w:pPr>
            <w:r>
              <w:rPr>
                <w:color w:val="000000" w:themeColor="text1"/>
                <w:szCs w:val="21"/>
              </w:rPr>
              <w:t>再生塑料颗粒</w:t>
            </w:r>
          </w:p>
        </w:tc>
        <w:tc>
          <w:tcPr>
            <w:tcW w:w="832" w:type="pct"/>
            <w:vAlign w:val="center"/>
          </w:tcPr>
          <w:p w14:paraId="6EDBD834">
            <w:pPr>
              <w:jc w:val="center"/>
              <w:rPr>
                <w:color w:val="000000" w:themeColor="text1"/>
                <w:szCs w:val="21"/>
              </w:rPr>
            </w:pPr>
            <w:r>
              <w:rPr>
                <w:color w:val="000000" w:themeColor="text1"/>
                <w:szCs w:val="21"/>
              </w:rPr>
              <w:t>/</w:t>
            </w:r>
          </w:p>
        </w:tc>
        <w:tc>
          <w:tcPr>
            <w:tcW w:w="665" w:type="pct"/>
            <w:vAlign w:val="center"/>
          </w:tcPr>
          <w:p w14:paraId="3DC7AEE8">
            <w:pPr>
              <w:jc w:val="center"/>
              <w:rPr>
                <w:color w:val="000000" w:themeColor="text1"/>
                <w:szCs w:val="21"/>
              </w:rPr>
            </w:pPr>
            <w:r>
              <w:rPr>
                <w:color w:val="000000" w:themeColor="text1"/>
                <w:szCs w:val="21"/>
              </w:rPr>
              <w:t>200</w:t>
            </w:r>
          </w:p>
        </w:tc>
        <w:tc>
          <w:tcPr>
            <w:tcW w:w="832" w:type="pct"/>
            <w:vMerge w:val="continue"/>
            <w:vAlign w:val="center"/>
          </w:tcPr>
          <w:p w14:paraId="09239934">
            <w:pPr>
              <w:jc w:val="center"/>
              <w:rPr>
                <w:color w:val="000000" w:themeColor="text1"/>
                <w:szCs w:val="21"/>
              </w:rPr>
            </w:pPr>
          </w:p>
        </w:tc>
        <w:tc>
          <w:tcPr>
            <w:tcW w:w="582" w:type="pct"/>
            <w:tcBorders>
              <w:top w:val="single" w:color="auto" w:sz="4" w:space="0"/>
              <w:bottom w:val="single" w:color="auto" w:sz="4" w:space="0"/>
            </w:tcBorders>
            <w:vAlign w:val="center"/>
          </w:tcPr>
          <w:p w14:paraId="7FA640C3">
            <w:pPr>
              <w:jc w:val="center"/>
              <w:rPr>
                <w:color w:val="000000" w:themeColor="text1"/>
                <w:szCs w:val="21"/>
              </w:rPr>
            </w:pPr>
            <w:r>
              <w:rPr>
                <w:color w:val="000000" w:themeColor="text1"/>
                <w:szCs w:val="21"/>
              </w:rPr>
              <w:t>/</w:t>
            </w:r>
          </w:p>
        </w:tc>
        <w:tc>
          <w:tcPr>
            <w:tcW w:w="778" w:type="pct"/>
            <w:vAlign w:val="center"/>
          </w:tcPr>
          <w:p w14:paraId="36DAFFD2">
            <w:pPr>
              <w:jc w:val="center"/>
              <w:rPr>
                <w:color w:val="000000" w:themeColor="text1"/>
                <w:szCs w:val="21"/>
              </w:rPr>
            </w:pPr>
            <w:r>
              <w:rPr>
                <w:color w:val="000000" w:themeColor="text1"/>
                <w:szCs w:val="21"/>
              </w:rPr>
              <w:t>0</w:t>
            </w:r>
          </w:p>
        </w:tc>
      </w:tr>
      <w:tr w14:paraId="787CE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35" w:type="pct"/>
            <w:vAlign w:val="center"/>
          </w:tcPr>
          <w:p w14:paraId="1C7B5F91">
            <w:pPr>
              <w:jc w:val="center"/>
              <w:rPr>
                <w:color w:val="000000" w:themeColor="text1"/>
                <w:szCs w:val="21"/>
              </w:rPr>
            </w:pPr>
            <w:r>
              <w:rPr>
                <w:color w:val="000000" w:themeColor="text1"/>
                <w:szCs w:val="21"/>
              </w:rPr>
              <w:t>3</w:t>
            </w:r>
          </w:p>
        </w:tc>
        <w:tc>
          <w:tcPr>
            <w:tcW w:w="876" w:type="pct"/>
            <w:vAlign w:val="center"/>
          </w:tcPr>
          <w:p w14:paraId="58002975">
            <w:pPr>
              <w:jc w:val="center"/>
              <w:rPr>
                <w:color w:val="000000" w:themeColor="text1"/>
                <w:szCs w:val="21"/>
              </w:rPr>
            </w:pPr>
            <w:r>
              <w:rPr>
                <w:color w:val="000000" w:themeColor="text1"/>
                <w:szCs w:val="21"/>
              </w:rPr>
              <w:t>编织袋</w:t>
            </w:r>
          </w:p>
        </w:tc>
        <w:tc>
          <w:tcPr>
            <w:tcW w:w="832" w:type="pct"/>
            <w:vAlign w:val="center"/>
          </w:tcPr>
          <w:p w14:paraId="1A8F7DFC">
            <w:pPr>
              <w:jc w:val="center"/>
              <w:rPr>
                <w:color w:val="000000" w:themeColor="text1"/>
                <w:szCs w:val="21"/>
              </w:rPr>
            </w:pPr>
            <w:r>
              <w:rPr>
                <w:color w:val="000000" w:themeColor="text1"/>
                <w:szCs w:val="21"/>
              </w:rPr>
              <w:t>/</w:t>
            </w:r>
          </w:p>
        </w:tc>
        <w:tc>
          <w:tcPr>
            <w:tcW w:w="665" w:type="pct"/>
            <w:vAlign w:val="center"/>
          </w:tcPr>
          <w:p w14:paraId="330BE691">
            <w:pPr>
              <w:jc w:val="center"/>
              <w:rPr>
                <w:color w:val="000000" w:themeColor="text1"/>
                <w:szCs w:val="21"/>
              </w:rPr>
            </w:pPr>
            <w:r>
              <w:rPr>
                <w:color w:val="000000" w:themeColor="text1"/>
                <w:szCs w:val="21"/>
              </w:rPr>
              <w:t>150</w:t>
            </w:r>
          </w:p>
        </w:tc>
        <w:tc>
          <w:tcPr>
            <w:tcW w:w="832" w:type="pct"/>
            <w:vMerge w:val="continue"/>
            <w:vAlign w:val="center"/>
          </w:tcPr>
          <w:p w14:paraId="295C2292">
            <w:pPr>
              <w:jc w:val="center"/>
              <w:rPr>
                <w:color w:val="000000" w:themeColor="text1"/>
                <w:szCs w:val="21"/>
              </w:rPr>
            </w:pPr>
          </w:p>
        </w:tc>
        <w:tc>
          <w:tcPr>
            <w:tcW w:w="582" w:type="pct"/>
            <w:tcBorders>
              <w:top w:val="single" w:color="auto" w:sz="4" w:space="0"/>
              <w:bottom w:val="single" w:color="auto" w:sz="4" w:space="0"/>
            </w:tcBorders>
            <w:vAlign w:val="center"/>
          </w:tcPr>
          <w:p w14:paraId="6E671F0C">
            <w:pPr>
              <w:jc w:val="center"/>
              <w:rPr>
                <w:color w:val="000000" w:themeColor="text1"/>
                <w:szCs w:val="21"/>
              </w:rPr>
            </w:pPr>
            <w:r>
              <w:rPr>
                <w:color w:val="000000" w:themeColor="text1"/>
                <w:szCs w:val="21"/>
              </w:rPr>
              <w:t>/</w:t>
            </w:r>
          </w:p>
        </w:tc>
        <w:tc>
          <w:tcPr>
            <w:tcW w:w="778" w:type="pct"/>
            <w:vAlign w:val="center"/>
          </w:tcPr>
          <w:p w14:paraId="200D00A0">
            <w:pPr>
              <w:jc w:val="center"/>
              <w:rPr>
                <w:color w:val="000000" w:themeColor="text1"/>
                <w:szCs w:val="21"/>
              </w:rPr>
            </w:pPr>
            <w:r>
              <w:rPr>
                <w:color w:val="000000" w:themeColor="text1"/>
                <w:szCs w:val="21"/>
              </w:rPr>
              <w:t>0</w:t>
            </w:r>
          </w:p>
        </w:tc>
      </w:tr>
      <w:tr w14:paraId="2BB6C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35" w:type="pct"/>
            <w:vAlign w:val="center"/>
          </w:tcPr>
          <w:p w14:paraId="645A8B0E">
            <w:pPr>
              <w:jc w:val="center"/>
              <w:rPr>
                <w:color w:val="000000" w:themeColor="text1"/>
                <w:szCs w:val="21"/>
              </w:rPr>
            </w:pPr>
            <w:r>
              <w:rPr>
                <w:color w:val="000000" w:themeColor="text1"/>
                <w:szCs w:val="21"/>
              </w:rPr>
              <w:t>4</w:t>
            </w:r>
          </w:p>
        </w:tc>
        <w:tc>
          <w:tcPr>
            <w:tcW w:w="876" w:type="pct"/>
            <w:vAlign w:val="center"/>
          </w:tcPr>
          <w:p w14:paraId="74C2D18D">
            <w:pPr>
              <w:jc w:val="center"/>
              <w:rPr>
                <w:color w:val="000000" w:themeColor="text1"/>
                <w:szCs w:val="21"/>
              </w:rPr>
            </w:pPr>
            <w:r>
              <w:rPr>
                <w:color w:val="000000" w:themeColor="text1"/>
                <w:szCs w:val="21"/>
              </w:rPr>
              <w:t>合计</w:t>
            </w:r>
          </w:p>
        </w:tc>
        <w:tc>
          <w:tcPr>
            <w:tcW w:w="832" w:type="pct"/>
            <w:vAlign w:val="center"/>
          </w:tcPr>
          <w:p w14:paraId="6DF9ED68">
            <w:pPr>
              <w:jc w:val="center"/>
              <w:rPr>
                <w:color w:val="000000" w:themeColor="text1"/>
                <w:szCs w:val="21"/>
              </w:rPr>
            </w:pPr>
            <w:r>
              <w:rPr>
                <w:color w:val="000000" w:themeColor="text1"/>
                <w:szCs w:val="21"/>
              </w:rPr>
              <w:t>/</w:t>
            </w:r>
          </w:p>
        </w:tc>
        <w:tc>
          <w:tcPr>
            <w:tcW w:w="665" w:type="pct"/>
            <w:vAlign w:val="center"/>
          </w:tcPr>
          <w:p w14:paraId="3D6FBE9A">
            <w:pPr>
              <w:jc w:val="center"/>
              <w:rPr>
                <w:color w:val="000000" w:themeColor="text1"/>
                <w:szCs w:val="21"/>
              </w:rPr>
            </w:pPr>
            <w:r>
              <w:rPr>
                <w:color w:val="000000" w:themeColor="text1"/>
                <w:szCs w:val="21"/>
              </w:rPr>
              <w:t>/</w:t>
            </w:r>
          </w:p>
        </w:tc>
        <w:tc>
          <w:tcPr>
            <w:tcW w:w="832" w:type="pct"/>
            <w:tcBorders>
              <w:bottom w:val="single" w:color="auto" w:sz="4" w:space="0"/>
            </w:tcBorders>
            <w:vAlign w:val="center"/>
          </w:tcPr>
          <w:p w14:paraId="4ACBF922">
            <w:pPr>
              <w:jc w:val="center"/>
              <w:rPr>
                <w:color w:val="000000" w:themeColor="text1"/>
                <w:szCs w:val="21"/>
              </w:rPr>
            </w:pPr>
            <w:r>
              <w:rPr>
                <w:color w:val="000000" w:themeColor="text1"/>
                <w:szCs w:val="21"/>
              </w:rPr>
              <w:t>/</w:t>
            </w:r>
          </w:p>
        </w:tc>
        <w:tc>
          <w:tcPr>
            <w:tcW w:w="582" w:type="pct"/>
            <w:tcBorders>
              <w:top w:val="single" w:color="auto" w:sz="4" w:space="0"/>
              <w:bottom w:val="single" w:color="auto" w:sz="4" w:space="0"/>
            </w:tcBorders>
            <w:vAlign w:val="center"/>
          </w:tcPr>
          <w:p w14:paraId="7C452E8E">
            <w:pPr>
              <w:jc w:val="center"/>
              <w:rPr>
                <w:color w:val="000000" w:themeColor="text1"/>
                <w:szCs w:val="21"/>
              </w:rPr>
            </w:pPr>
            <w:r>
              <w:rPr>
                <w:color w:val="000000" w:themeColor="text1"/>
                <w:szCs w:val="21"/>
              </w:rPr>
              <w:t>/</w:t>
            </w:r>
          </w:p>
        </w:tc>
        <w:tc>
          <w:tcPr>
            <w:tcW w:w="778" w:type="pct"/>
            <w:vAlign w:val="center"/>
          </w:tcPr>
          <w:p w14:paraId="68CF937C">
            <w:pPr>
              <w:jc w:val="center"/>
              <w:rPr>
                <w:color w:val="000000" w:themeColor="text1"/>
                <w:szCs w:val="21"/>
              </w:rPr>
            </w:pPr>
            <w:r>
              <w:rPr>
                <w:color w:val="000000" w:themeColor="text1"/>
                <w:szCs w:val="21"/>
              </w:rPr>
              <w:t>0</w:t>
            </w:r>
          </w:p>
        </w:tc>
      </w:tr>
    </w:tbl>
    <w:p w14:paraId="6F10676C">
      <w:pPr>
        <w:pStyle w:val="11"/>
        <w:adjustRightInd w:val="0"/>
        <w:snapToGrid w:val="0"/>
        <w:spacing w:line="360" w:lineRule="auto"/>
        <w:ind w:firstLine="482"/>
        <w:rPr>
          <w:b/>
          <w:color w:val="000000" w:themeColor="text1"/>
          <w:sz w:val="24"/>
        </w:rPr>
      </w:pPr>
      <w:r>
        <w:rPr>
          <w:b/>
          <w:color w:val="000000" w:themeColor="text1"/>
          <w:sz w:val="24"/>
        </w:rPr>
        <w:t>2、项目环境风险潜势判定</w:t>
      </w:r>
    </w:p>
    <w:p w14:paraId="3FA040C9">
      <w:pPr>
        <w:pStyle w:val="11"/>
        <w:adjustRightInd w:val="0"/>
        <w:snapToGrid w:val="0"/>
        <w:spacing w:line="360" w:lineRule="auto"/>
        <w:ind w:firstLine="480"/>
        <w:rPr>
          <w:color w:val="000000" w:themeColor="text1"/>
          <w:sz w:val="24"/>
        </w:rPr>
      </w:pPr>
      <w:r>
        <w:rPr>
          <w:color w:val="000000" w:themeColor="text1"/>
          <w:sz w:val="24"/>
        </w:rPr>
        <w:t xml:space="preserve">根据HJ/T169-2018《建设项目环境风险评价技术导则》，当 </w:t>
      </w:r>
      <w:r>
        <w:rPr>
          <w:i/>
          <w:color w:val="000000" w:themeColor="text1"/>
          <w:sz w:val="24"/>
        </w:rPr>
        <w:t>Q</w:t>
      </w:r>
      <w:r>
        <w:rPr>
          <w:color w:val="000000" w:themeColor="text1"/>
          <w:sz w:val="24"/>
        </w:rPr>
        <w:t>＜1 时，该项目环境风险潜势为Ⅰ。</w:t>
      </w:r>
    </w:p>
    <w:p w14:paraId="199A056B">
      <w:pPr>
        <w:pStyle w:val="105"/>
        <w:rPr>
          <w:rFonts w:cs="Times New Roman"/>
          <w:b w:val="0"/>
          <w:color w:val="000000" w:themeColor="text1"/>
          <w:sz w:val="24"/>
        </w:rPr>
      </w:pPr>
      <w:bookmarkStart w:id="412" w:name="_Toc363823341"/>
      <w:bookmarkStart w:id="413" w:name="_Toc362794295"/>
      <w:bookmarkStart w:id="414" w:name="_Toc362882209"/>
      <w:bookmarkStart w:id="415" w:name="_Toc362618177"/>
      <w:r>
        <w:rPr>
          <w:rFonts w:cs="Times New Roman"/>
          <w:color w:val="000000" w:themeColor="text1"/>
        </w:rPr>
        <w:t>7.3.2 环境风险评价等级</w:t>
      </w:r>
      <w:bookmarkEnd w:id="412"/>
      <w:bookmarkEnd w:id="413"/>
      <w:bookmarkEnd w:id="414"/>
      <w:bookmarkEnd w:id="415"/>
      <w:r>
        <w:rPr>
          <w:rFonts w:cs="Times New Roman"/>
          <w:color w:val="000000" w:themeColor="text1"/>
        </w:rPr>
        <w:t>及范围</w:t>
      </w:r>
    </w:p>
    <w:p w14:paraId="6299D008">
      <w:pPr>
        <w:pStyle w:val="11"/>
        <w:adjustRightInd w:val="0"/>
        <w:snapToGrid w:val="0"/>
        <w:spacing w:line="360" w:lineRule="auto"/>
        <w:ind w:firstLine="480"/>
        <w:rPr>
          <w:color w:val="000000" w:themeColor="text1"/>
          <w:sz w:val="24"/>
        </w:rPr>
      </w:pPr>
      <w:r>
        <w:rPr>
          <w:color w:val="000000" w:themeColor="text1"/>
          <w:sz w:val="24"/>
        </w:rPr>
        <w:t>根据HJ/T169-2018《建设项目环境风险评价技术导则》，具体等级划分依据见表7.3-3。</w:t>
      </w:r>
    </w:p>
    <w:p w14:paraId="6FCE4E9E">
      <w:pPr>
        <w:adjustRightInd w:val="0"/>
        <w:snapToGrid w:val="0"/>
        <w:jc w:val="center"/>
        <w:rPr>
          <w:b/>
          <w:color w:val="000000" w:themeColor="text1"/>
          <w:sz w:val="24"/>
        </w:rPr>
      </w:pPr>
      <w:r>
        <w:rPr>
          <w:b/>
          <w:color w:val="000000" w:themeColor="text1"/>
          <w:sz w:val="24"/>
        </w:rPr>
        <w:t>表7.3-2  环境风险评价工作等级</w:t>
      </w:r>
    </w:p>
    <w:tbl>
      <w:tblPr>
        <w:tblStyle w:val="280"/>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17"/>
        <w:gridCol w:w="1524"/>
        <w:gridCol w:w="1754"/>
        <w:gridCol w:w="1754"/>
        <w:gridCol w:w="1981"/>
      </w:tblGrid>
      <w:tr w14:paraId="5BAF1FD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937" w:type="pct"/>
            <w:vAlign w:val="center"/>
          </w:tcPr>
          <w:p w14:paraId="611597C7">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环境风险潜势</w:t>
            </w:r>
          </w:p>
        </w:tc>
        <w:tc>
          <w:tcPr>
            <w:tcW w:w="883" w:type="pct"/>
            <w:vAlign w:val="center"/>
          </w:tcPr>
          <w:p w14:paraId="7A20845B">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Ⅳ、Ⅳ</w:t>
            </w:r>
          </w:p>
        </w:tc>
        <w:tc>
          <w:tcPr>
            <w:tcW w:w="1016" w:type="pct"/>
            <w:vAlign w:val="center"/>
          </w:tcPr>
          <w:p w14:paraId="3A5A8E8C">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Ⅲ</w:t>
            </w:r>
          </w:p>
        </w:tc>
        <w:tc>
          <w:tcPr>
            <w:tcW w:w="1016" w:type="pct"/>
            <w:vAlign w:val="center"/>
          </w:tcPr>
          <w:p w14:paraId="290FAE48">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Ⅱ</w:t>
            </w:r>
          </w:p>
        </w:tc>
        <w:tc>
          <w:tcPr>
            <w:tcW w:w="1148" w:type="pct"/>
            <w:vAlign w:val="center"/>
          </w:tcPr>
          <w:p w14:paraId="30B7AE04">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Ⅰ</w:t>
            </w:r>
          </w:p>
        </w:tc>
      </w:tr>
      <w:tr w14:paraId="53AA147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937" w:type="pct"/>
            <w:vAlign w:val="center"/>
          </w:tcPr>
          <w:p w14:paraId="7C289E8A">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评价工作等级</w:t>
            </w:r>
          </w:p>
        </w:tc>
        <w:tc>
          <w:tcPr>
            <w:tcW w:w="883" w:type="pct"/>
            <w:vAlign w:val="center"/>
          </w:tcPr>
          <w:p w14:paraId="2843D54E">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一</w:t>
            </w:r>
          </w:p>
        </w:tc>
        <w:tc>
          <w:tcPr>
            <w:tcW w:w="1016" w:type="pct"/>
            <w:vAlign w:val="center"/>
          </w:tcPr>
          <w:p w14:paraId="4D1380E8">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二</w:t>
            </w:r>
          </w:p>
        </w:tc>
        <w:tc>
          <w:tcPr>
            <w:tcW w:w="1016" w:type="pct"/>
            <w:vAlign w:val="center"/>
          </w:tcPr>
          <w:p w14:paraId="42E69C44">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三</w:t>
            </w:r>
          </w:p>
        </w:tc>
        <w:tc>
          <w:tcPr>
            <w:tcW w:w="1148" w:type="pct"/>
            <w:vAlign w:val="center"/>
          </w:tcPr>
          <w:p w14:paraId="2A7AFBAC">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简单分析</w:t>
            </w:r>
          </w:p>
        </w:tc>
      </w:tr>
      <w:tr w14:paraId="172308D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000" w:type="pct"/>
            <w:gridSpan w:val="5"/>
            <w:vAlign w:val="center"/>
          </w:tcPr>
          <w:p w14:paraId="1CC8037E">
            <w:pPr>
              <w:adjustRightInd w:val="0"/>
              <w:snapToGrid w:val="0"/>
              <w:jc w:val="center"/>
              <w:rPr>
                <w:rFonts w:ascii="Times New Roman" w:hAnsi="Times New Roman" w:eastAsia="宋体" w:cs="Times New Roman"/>
                <w:color w:val="000000" w:themeColor="text1"/>
                <w:szCs w:val="21"/>
                <w:lang w:eastAsia="zh-CN"/>
              </w:rPr>
            </w:pPr>
            <w:r>
              <w:rPr>
                <w:rFonts w:ascii="Times New Roman" w:hAnsi="Times New Roman" w:eastAsia="宋体" w:cs="Times New Roman"/>
                <w:color w:val="000000" w:themeColor="text1"/>
                <w:szCs w:val="21"/>
                <w:lang w:eastAsia="zh-CN"/>
              </w:rPr>
              <w:t>a 是相对于详细评价工作内容而言，在描述危险物质、环境影响途径、环境危害后果、风险防范措施等方面给出定性的说明。见附录A。</w:t>
            </w:r>
          </w:p>
        </w:tc>
      </w:tr>
    </w:tbl>
    <w:p w14:paraId="3FDCF48F">
      <w:pPr>
        <w:adjustRightInd w:val="0"/>
        <w:snapToGrid w:val="0"/>
        <w:spacing w:line="360" w:lineRule="auto"/>
        <w:ind w:firstLine="482" w:firstLineChars="200"/>
        <w:rPr>
          <w:color w:val="000000" w:themeColor="text1"/>
          <w:sz w:val="24"/>
        </w:rPr>
      </w:pPr>
      <w:r>
        <w:rPr>
          <w:b/>
          <w:color w:val="000000" w:themeColor="text1"/>
          <w:sz w:val="24"/>
        </w:rPr>
        <w:t>评价等级：</w:t>
      </w:r>
      <w:r>
        <w:rPr>
          <w:color w:val="000000" w:themeColor="text1"/>
          <w:sz w:val="24"/>
        </w:rPr>
        <w:t>本项目在生产过程中使用的主要原材料为废PE、PP塑料，产品为PE、PP再生颗粒及编织袋，未被列入</w:t>
      </w:r>
      <w:r>
        <w:rPr>
          <w:rFonts w:eastAsia="新宋体"/>
          <w:color w:val="000000" w:themeColor="text1"/>
          <w:sz w:val="24"/>
          <w:szCs w:val="21"/>
        </w:rPr>
        <w:t>HJ/T169-2018《建设项目环境风险评价技术导则》</w:t>
      </w:r>
      <w:r>
        <w:rPr>
          <w:color w:val="000000" w:themeColor="text1"/>
          <w:sz w:val="24"/>
        </w:rPr>
        <w:t>附录B，本项目不涉及危险物质，</w:t>
      </w:r>
      <w:r>
        <w:rPr>
          <w:i/>
          <w:color w:val="000000" w:themeColor="text1"/>
          <w:sz w:val="24"/>
        </w:rPr>
        <w:t>Q</w:t>
      </w:r>
      <w:r>
        <w:rPr>
          <w:color w:val="000000" w:themeColor="text1"/>
          <w:sz w:val="24"/>
        </w:rPr>
        <w:t>＜1，因此判定本项目环境风险潜势为I。</w:t>
      </w:r>
    </w:p>
    <w:p w14:paraId="79329855">
      <w:pPr>
        <w:adjustRightInd w:val="0"/>
        <w:snapToGrid w:val="0"/>
        <w:spacing w:line="360" w:lineRule="auto"/>
        <w:ind w:firstLine="480" w:firstLineChars="200"/>
        <w:rPr>
          <w:color w:val="000000" w:themeColor="text1"/>
          <w:sz w:val="24"/>
        </w:rPr>
      </w:pPr>
      <w:r>
        <w:rPr>
          <w:color w:val="000000" w:themeColor="text1"/>
          <w:sz w:val="24"/>
        </w:rPr>
        <w:t>因此，环境风险评价工作等级为简单分析。</w:t>
      </w:r>
    </w:p>
    <w:p w14:paraId="32B42938">
      <w:pPr>
        <w:adjustRightInd w:val="0"/>
        <w:snapToGrid w:val="0"/>
        <w:spacing w:line="360" w:lineRule="auto"/>
        <w:ind w:firstLine="482" w:firstLineChars="200"/>
        <w:rPr>
          <w:color w:val="000000" w:themeColor="text1"/>
          <w:sz w:val="24"/>
        </w:rPr>
      </w:pPr>
      <w:r>
        <w:rPr>
          <w:b/>
          <w:color w:val="000000" w:themeColor="text1"/>
          <w:sz w:val="24"/>
        </w:rPr>
        <w:t>评价范围：</w:t>
      </w:r>
      <w:r>
        <w:rPr>
          <w:color w:val="000000" w:themeColor="text1"/>
          <w:sz w:val="24"/>
        </w:rPr>
        <w:t>本项目环境风险评价工作等级为简单分析，不设评价范围；</w:t>
      </w:r>
    </w:p>
    <w:p w14:paraId="5517C8E2">
      <w:pPr>
        <w:adjustRightInd w:val="0"/>
        <w:snapToGrid w:val="0"/>
        <w:spacing w:line="360" w:lineRule="auto"/>
        <w:ind w:firstLine="480" w:firstLineChars="200"/>
        <w:rPr>
          <w:color w:val="000000" w:themeColor="text1"/>
          <w:sz w:val="24"/>
        </w:rPr>
      </w:pPr>
      <w:r>
        <w:rPr>
          <w:color w:val="000000" w:themeColor="text1"/>
          <w:sz w:val="24"/>
        </w:rPr>
        <w:t>按照风险评价技术导则进行风险识别、源项分析和对事故影响进行简要分析，提出防范、减缓和应急措施。</w:t>
      </w:r>
    </w:p>
    <w:p w14:paraId="3B612196">
      <w:pPr>
        <w:pStyle w:val="4"/>
        <w:rPr>
          <w:rFonts w:ascii="Times New Roman" w:hAnsi="Times New Roman"/>
          <w:color w:val="000000" w:themeColor="text1"/>
        </w:rPr>
      </w:pPr>
      <w:bookmarkStart w:id="416" w:name="_Toc28117722"/>
      <w:r>
        <w:rPr>
          <w:rFonts w:ascii="Times New Roman" w:hAnsi="Times New Roman"/>
          <w:color w:val="000000" w:themeColor="text1"/>
        </w:rPr>
        <w:t>7.4环境风险识别</w:t>
      </w:r>
      <w:bookmarkEnd w:id="416"/>
    </w:p>
    <w:p w14:paraId="03278A4D">
      <w:pPr>
        <w:pStyle w:val="105"/>
        <w:rPr>
          <w:rFonts w:cs="Times New Roman"/>
          <w:color w:val="000000" w:themeColor="text1"/>
        </w:rPr>
      </w:pPr>
      <w:r>
        <w:rPr>
          <w:rFonts w:cs="Times New Roman"/>
          <w:color w:val="000000" w:themeColor="text1"/>
        </w:rPr>
        <w:t>7.4.1物质危险性识别</w:t>
      </w:r>
    </w:p>
    <w:p w14:paraId="39586303">
      <w:pPr>
        <w:spacing w:line="360" w:lineRule="auto"/>
        <w:ind w:firstLine="480" w:firstLineChars="200"/>
        <w:rPr>
          <w:rFonts w:eastAsia="新宋体"/>
          <w:color w:val="000000" w:themeColor="text1"/>
          <w:sz w:val="24"/>
          <w:szCs w:val="21"/>
        </w:rPr>
      </w:pPr>
      <w:r>
        <w:rPr>
          <w:rFonts w:eastAsia="新宋体"/>
          <w:color w:val="000000" w:themeColor="text1"/>
          <w:sz w:val="24"/>
          <w:szCs w:val="21"/>
        </w:rPr>
        <w:t>本项目涉及到的塑料不属于剧毒、有毒、爆炸性危险物质，本项目在生产过程中使用的主要原材料为废塑料（主要成分PP、PE），产品为塑料颗粒及编织袋，属于可燃物质，潜在的危险主要为火灾风险及火灾次生环境风险。</w:t>
      </w:r>
    </w:p>
    <w:p w14:paraId="6F3326D1">
      <w:pPr>
        <w:pStyle w:val="105"/>
        <w:rPr>
          <w:rFonts w:cs="Times New Roman"/>
          <w:bCs/>
          <w:color w:val="000000" w:themeColor="text1"/>
        </w:rPr>
      </w:pPr>
      <w:r>
        <w:rPr>
          <w:rFonts w:cs="Times New Roman"/>
          <w:color w:val="000000" w:themeColor="text1"/>
        </w:rPr>
        <w:t>7.4.2</w:t>
      </w:r>
      <w:r>
        <w:rPr>
          <w:rFonts w:cs="Times New Roman"/>
          <w:bCs/>
          <w:color w:val="000000" w:themeColor="text1"/>
        </w:rPr>
        <w:t>可能影响环境的途径</w:t>
      </w:r>
    </w:p>
    <w:p w14:paraId="36F50AF7">
      <w:pPr>
        <w:spacing w:line="360" w:lineRule="auto"/>
        <w:ind w:firstLine="480" w:firstLineChars="200"/>
        <w:rPr>
          <w:rFonts w:eastAsia="新宋体"/>
          <w:color w:val="000000" w:themeColor="text1"/>
          <w:sz w:val="24"/>
          <w:szCs w:val="21"/>
        </w:rPr>
      </w:pPr>
      <w:r>
        <w:rPr>
          <w:rFonts w:eastAsia="新宋体"/>
          <w:color w:val="000000" w:themeColor="text1"/>
          <w:sz w:val="24"/>
          <w:szCs w:val="21"/>
        </w:rPr>
        <w:t>本项目原料废塑料及产品再生塑料颗粒易燃，在原料区、生产车间及成品存放区发生火灾，燃烧后释放CO等有害废气进入空气中，将威胁作业人员的生命安全，并对周围环境空气产生影响。发生火灾事故后，会产生大量的消防污水， 如果下渗或者外排则会造成地下水和地表水污染。</w:t>
      </w:r>
    </w:p>
    <w:p w14:paraId="04A86B5F">
      <w:pPr>
        <w:pStyle w:val="4"/>
        <w:rPr>
          <w:rFonts w:ascii="Times New Roman" w:hAnsi="Times New Roman"/>
          <w:color w:val="000000" w:themeColor="text1"/>
        </w:rPr>
      </w:pPr>
      <w:bookmarkStart w:id="417" w:name="_Toc28117723"/>
      <w:r>
        <w:rPr>
          <w:rFonts w:ascii="Times New Roman" w:hAnsi="Times New Roman"/>
          <w:color w:val="000000" w:themeColor="text1"/>
        </w:rPr>
        <w:t>7.5环境风险分析</w:t>
      </w:r>
      <w:bookmarkEnd w:id="417"/>
    </w:p>
    <w:p w14:paraId="7418FADC">
      <w:pPr>
        <w:pStyle w:val="105"/>
        <w:rPr>
          <w:rFonts w:cs="Times New Roman"/>
          <w:color w:val="000000" w:themeColor="text1"/>
        </w:rPr>
      </w:pPr>
      <w:bookmarkStart w:id="418" w:name="5.8.3.1火灾风险影响分析"/>
      <w:bookmarkEnd w:id="418"/>
      <w:r>
        <w:rPr>
          <w:rFonts w:cs="Times New Roman"/>
          <w:color w:val="000000" w:themeColor="text1"/>
        </w:rPr>
        <w:t>7.5.1火灾风险影响分析</w:t>
      </w:r>
    </w:p>
    <w:p w14:paraId="242CB62E">
      <w:pPr>
        <w:spacing w:line="360" w:lineRule="auto"/>
        <w:ind w:firstLine="482" w:firstLineChars="200"/>
        <w:rPr>
          <w:rFonts w:eastAsia="新宋体"/>
          <w:b/>
          <w:color w:val="000000" w:themeColor="text1"/>
          <w:sz w:val="24"/>
          <w:szCs w:val="21"/>
        </w:rPr>
      </w:pPr>
      <w:r>
        <w:rPr>
          <w:rFonts w:eastAsia="新宋体"/>
          <w:b/>
          <w:color w:val="000000" w:themeColor="text1"/>
          <w:sz w:val="24"/>
          <w:szCs w:val="21"/>
        </w:rPr>
        <w:t>1、产品存储环境因素分析</w:t>
      </w:r>
    </w:p>
    <w:p w14:paraId="52BE06B8">
      <w:pPr>
        <w:adjustRightInd w:val="0"/>
        <w:snapToGrid w:val="0"/>
        <w:spacing w:line="360" w:lineRule="auto"/>
        <w:ind w:firstLine="480" w:firstLineChars="200"/>
        <w:rPr>
          <w:color w:val="000000" w:themeColor="text1"/>
          <w:sz w:val="24"/>
        </w:rPr>
      </w:pPr>
      <w:r>
        <w:rPr>
          <w:color w:val="000000" w:themeColor="text1"/>
          <w:sz w:val="24"/>
        </w:rPr>
        <w:t>项目原料及产品储存过程中存在的环境风险为火灾风险。诱发火灾的因素主要有：违章吸烟、动火；使用气焊、电焊等进行维修时，未采取有效防护措施； 电气线路和电气设施在开关断开、接触不良、短路、漏电时产生火花，以及静电放电火花；未采取有效避雷措施，或者避雷措施失效而导致雷击失火等。</w:t>
      </w:r>
    </w:p>
    <w:p w14:paraId="6C7F27C7">
      <w:pPr>
        <w:spacing w:line="360" w:lineRule="auto"/>
        <w:ind w:firstLine="482" w:firstLineChars="200"/>
        <w:rPr>
          <w:rFonts w:eastAsia="新宋体"/>
          <w:b/>
          <w:color w:val="000000" w:themeColor="text1"/>
          <w:sz w:val="24"/>
          <w:szCs w:val="21"/>
        </w:rPr>
      </w:pPr>
      <w:r>
        <w:rPr>
          <w:rFonts w:eastAsia="新宋体"/>
          <w:b/>
          <w:color w:val="000000" w:themeColor="text1"/>
          <w:sz w:val="24"/>
          <w:szCs w:val="21"/>
        </w:rPr>
        <w:t>2、事故次生/伴生污染影响分析</w:t>
      </w:r>
    </w:p>
    <w:p w14:paraId="2F079D13">
      <w:pPr>
        <w:adjustRightInd w:val="0"/>
        <w:snapToGrid w:val="0"/>
        <w:spacing w:line="360" w:lineRule="auto"/>
        <w:ind w:firstLine="480" w:firstLineChars="200"/>
        <w:rPr>
          <w:color w:val="000000" w:themeColor="text1"/>
          <w:sz w:val="24"/>
        </w:rPr>
      </w:pPr>
      <w:r>
        <w:rPr>
          <w:color w:val="000000" w:themeColor="text1"/>
          <w:sz w:val="24"/>
        </w:rPr>
        <w:t>（1）大气环境影响</w:t>
      </w:r>
    </w:p>
    <w:p w14:paraId="2ECDFA31">
      <w:pPr>
        <w:adjustRightInd w:val="0"/>
        <w:snapToGrid w:val="0"/>
        <w:spacing w:line="360" w:lineRule="auto"/>
        <w:ind w:firstLine="480" w:firstLineChars="200"/>
        <w:rPr>
          <w:color w:val="000000" w:themeColor="text1"/>
          <w:sz w:val="24"/>
        </w:rPr>
      </w:pPr>
      <w:r>
        <w:rPr>
          <w:color w:val="000000" w:themeColor="text1"/>
          <w:sz w:val="24"/>
        </w:rPr>
        <w:t>发生火灾对环境的污染影响主要来自物料燃烧释放的大量CO等有害气体。参照《建设项目环境风险评价技术导则》（HJ169-2018）附录F中关于油品火灾伴生/次生CO产生量的计算公式估算本项目发生火灾时的CO产生量。</w:t>
      </w:r>
    </w:p>
    <w:p w14:paraId="3440017C">
      <w:pPr>
        <w:spacing w:before="36"/>
        <w:ind w:left="2928" w:right="2985"/>
        <w:jc w:val="center"/>
        <w:rPr>
          <w:sz w:val="24"/>
        </w:rPr>
      </w:pPr>
      <w:r>
        <w:rPr>
          <w:sz w:val="24"/>
        </w:rPr>
        <w:t>G</w:t>
      </w:r>
      <w:r>
        <w:rPr>
          <w:spacing w:val="-60"/>
          <w:sz w:val="24"/>
        </w:rPr>
        <w:t xml:space="preserve"> </w:t>
      </w:r>
      <w:r>
        <w:rPr>
          <w:position w:val="-2"/>
          <w:sz w:val="12"/>
        </w:rPr>
        <w:t>一氧化碳</w:t>
      </w:r>
      <w:r>
        <w:rPr>
          <w:sz w:val="24"/>
        </w:rPr>
        <w:t>=2330qCQ</w:t>
      </w:r>
    </w:p>
    <w:p w14:paraId="141B8532">
      <w:pPr>
        <w:pStyle w:val="17"/>
        <w:spacing w:before="141"/>
        <w:ind w:left="620" w:firstLine="210"/>
        <w:rPr>
          <w:sz w:val="24"/>
        </w:rPr>
      </w:pPr>
      <w:r>
        <w:rPr>
          <w:sz w:val="24"/>
        </w:rPr>
        <w:t>G一氧化碳—CO的产生量，kg/s；</w:t>
      </w:r>
    </w:p>
    <w:p w14:paraId="159F97B9">
      <w:pPr>
        <w:pStyle w:val="17"/>
        <w:spacing w:before="154"/>
        <w:ind w:left="620" w:firstLine="210"/>
        <w:rPr>
          <w:sz w:val="24"/>
        </w:rPr>
      </w:pPr>
      <w:r>
        <w:rPr>
          <w:sz w:val="24"/>
        </w:rPr>
        <w:t>C—物质中碳的含量，取85%；</w:t>
      </w:r>
    </w:p>
    <w:p w14:paraId="3D0D637E">
      <w:pPr>
        <w:pStyle w:val="17"/>
        <w:spacing w:before="154"/>
        <w:ind w:left="620" w:firstLine="210"/>
        <w:rPr>
          <w:sz w:val="24"/>
        </w:rPr>
      </w:pPr>
      <w:r>
        <w:rPr>
          <w:sz w:val="24"/>
        </w:rPr>
        <w:t>q—化学不完全燃烧值，1.5%~6.0%，取3.5%；</w:t>
      </w:r>
    </w:p>
    <w:p w14:paraId="5A22C8BC">
      <w:pPr>
        <w:pStyle w:val="17"/>
        <w:spacing w:before="154"/>
        <w:ind w:left="620" w:firstLine="210"/>
        <w:rPr>
          <w:sz w:val="24"/>
        </w:rPr>
      </w:pPr>
      <w:r>
        <w:rPr>
          <w:sz w:val="24"/>
        </w:rPr>
        <w:t>Q—参与燃烧的物质量，t/s。</w:t>
      </w:r>
    </w:p>
    <w:p w14:paraId="662122C5">
      <w:pPr>
        <w:adjustRightInd w:val="0"/>
        <w:snapToGrid w:val="0"/>
        <w:spacing w:line="360" w:lineRule="auto"/>
        <w:ind w:firstLine="480" w:firstLineChars="200"/>
      </w:pPr>
      <w:r>
        <w:rPr>
          <w:color w:val="000000" w:themeColor="text1"/>
          <w:sz w:val="24"/>
        </w:rPr>
        <w:t>按参与燃烧的塑料量为10kg/s计算，根据上述公式，本项目发生火灾时，火灾伴生/次生污染物CO的产生速率为0.69kg/s，按燃烧1小时计算，则CO的产生量</w:t>
      </w:r>
      <w:r>
        <w:t>为2.43t。</w:t>
      </w:r>
    </w:p>
    <w:p w14:paraId="4D844755">
      <w:pPr>
        <w:adjustRightInd w:val="0"/>
        <w:snapToGrid w:val="0"/>
        <w:spacing w:line="360" w:lineRule="auto"/>
        <w:ind w:firstLine="480" w:firstLineChars="200"/>
        <w:rPr>
          <w:color w:val="000000" w:themeColor="text1"/>
          <w:sz w:val="24"/>
        </w:rPr>
      </w:pPr>
      <w:r>
        <w:rPr>
          <w:color w:val="000000" w:themeColor="text1"/>
          <w:sz w:val="24"/>
        </w:rPr>
        <w:t>在正常情况下，空气的组成有氮气、氧气、二氧化碳及氢、氖、臭氧、氪、氙和尘等，而物料燃烧所产生浓烟和恶臭；另外还有一氧化碳、硫化物、氮氧化物、VOCs及烟尘等，对环境和人体健康产生较大危害是CO、NOx、硫氧化物、烟尘等有害物质。</w:t>
      </w:r>
    </w:p>
    <w:p w14:paraId="7256499D">
      <w:pPr>
        <w:adjustRightInd w:val="0"/>
        <w:snapToGrid w:val="0"/>
        <w:spacing w:line="360" w:lineRule="auto"/>
        <w:ind w:firstLine="480" w:firstLineChars="200"/>
        <w:rPr>
          <w:color w:val="000000" w:themeColor="text1"/>
          <w:sz w:val="24"/>
        </w:rPr>
      </w:pPr>
      <w:r>
        <w:rPr>
          <w:color w:val="000000" w:themeColor="text1"/>
          <w:sz w:val="24"/>
        </w:rPr>
        <w:t>一氧化碳产生量相对较大，危害也较大，一氧化碳的浓度过高或持续时间过长都会使人窒息或死亡。一般情况下，火场附近的一氧化碳的浓度较高（浓度可达0.02%），而距火场30m处，一氧化碳的浓度逐渐降低（0.001%）。因此，近距离靠近火场会造成一氧化碳中毒的危险。据以往报道，在火灾而造成的人员死亡中，3/4的人死于有害气体，而且有害气体中一氧化碳是主要的有毒物质。空气中含有大量的氮气，无论对植物还是人类均没有危害作用。但当空气中的氮被转化成氮氧化物和氮氢化物（如二氧化氮、一氧化氮、氨气等）时，其危害作用显著增加。二氧化氮具有强烈的刺激性，能引起哮喘、支气管炎、肺水肿等多种疾病。当空气中二氧化氮浓度达到0.05%时，就会使人致死。在火场之外的开阔的空间内，由于烟雾扩散，二氧化氮的浓度被迅速稀释，不会对人体健康造成危害。</w:t>
      </w:r>
    </w:p>
    <w:p w14:paraId="107A3D02">
      <w:pPr>
        <w:adjustRightInd w:val="0"/>
        <w:snapToGrid w:val="0"/>
        <w:spacing w:line="360" w:lineRule="auto"/>
        <w:ind w:firstLine="480" w:firstLineChars="200"/>
        <w:rPr>
          <w:color w:val="000000" w:themeColor="text1"/>
          <w:sz w:val="24"/>
        </w:rPr>
      </w:pPr>
      <w:r>
        <w:rPr>
          <w:color w:val="000000" w:themeColor="text1"/>
          <w:sz w:val="24"/>
        </w:rPr>
        <w:t>火灾发生时虽不可避免的对厂区内人员安全与生产设施产生较大的不利影响，但火灾发生时有害气体对周围敏感点环境空气质量只产生暂时性影响，短时内会造成周围敏感点环境空气质量一定成程度的恶化，但不会对人体健康造成损害。</w:t>
      </w:r>
    </w:p>
    <w:p w14:paraId="2D21FA9E">
      <w:pPr>
        <w:adjustRightInd w:val="0"/>
        <w:snapToGrid w:val="0"/>
        <w:spacing w:line="360" w:lineRule="auto"/>
        <w:ind w:firstLine="480" w:firstLineChars="200"/>
        <w:rPr>
          <w:color w:val="000000" w:themeColor="text1"/>
          <w:sz w:val="24"/>
        </w:rPr>
      </w:pPr>
      <w:r>
        <w:rPr>
          <w:color w:val="000000" w:themeColor="text1"/>
          <w:sz w:val="24"/>
        </w:rPr>
        <w:t>（2）水环境影响</w:t>
      </w:r>
    </w:p>
    <w:p w14:paraId="2CCBBC23">
      <w:pPr>
        <w:adjustRightInd w:val="0"/>
        <w:snapToGrid w:val="0"/>
        <w:spacing w:line="360" w:lineRule="auto"/>
        <w:ind w:firstLine="480" w:firstLineChars="200"/>
        <w:rPr>
          <w:color w:val="000000" w:themeColor="text1"/>
          <w:sz w:val="24"/>
        </w:rPr>
      </w:pPr>
      <w:r>
        <w:rPr>
          <w:color w:val="000000" w:themeColor="text1"/>
          <w:sz w:val="24"/>
        </w:rPr>
        <w:t>发生火灾事故后，会产生大量消防污水，如果下渗或者外排则会影响区域地下水和地表水环境，造成地下水和地表水污染。</w:t>
      </w:r>
    </w:p>
    <w:p w14:paraId="25379045">
      <w:pPr>
        <w:pStyle w:val="17"/>
        <w:ind w:firstLine="210"/>
      </w:pPr>
    </w:p>
    <w:p w14:paraId="1CA33ED8">
      <w:pPr>
        <w:pStyle w:val="105"/>
        <w:rPr>
          <w:rFonts w:eastAsia="黑体" w:cs="Times New Roman"/>
          <w:color w:val="000000" w:themeColor="text1"/>
          <w:sz w:val="30"/>
          <w:szCs w:val="32"/>
        </w:rPr>
      </w:pPr>
      <w:bookmarkStart w:id="419" w:name="5.8.3.2环境设施发生故障导致的环境风险分析"/>
      <w:bookmarkEnd w:id="419"/>
      <w:r>
        <w:rPr>
          <w:rFonts w:eastAsia="黑体" w:cs="Times New Roman"/>
          <w:color w:val="000000" w:themeColor="text1"/>
          <w:sz w:val="30"/>
          <w:szCs w:val="32"/>
        </w:rPr>
        <w:t>7.5.2环境设施发生故障导致的环境风险分析</w:t>
      </w:r>
    </w:p>
    <w:p w14:paraId="037F3C61">
      <w:pPr>
        <w:adjustRightInd w:val="0"/>
        <w:snapToGrid w:val="0"/>
        <w:spacing w:line="360" w:lineRule="auto"/>
        <w:ind w:firstLine="480" w:firstLineChars="200"/>
        <w:rPr>
          <w:color w:val="000000" w:themeColor="text1"/>
          <w:sz w:val="24"/>
        </w:rPr>
      </w:pPr>
      <w:r>
        <w:rPr>
          <w:color w:val="000000" w:themeColor="text1"/>
          <w:sz w:val="24"/>
        </w:rPr>
        <w:t>废水事故排放是指废水处理系统出现异常，造成出水无法满足回用要求。当项目废水处理系统非正常排放时，废水直接排放对区域地表水会产生影响。本评价要求建设单位加强废水处理设施运行管理，杜绝废水事故排放。</w:t>
      </w:r>
    </w:p>
    <w:p w14:paraId="5EACE0BB">
      <w:pPr>
        <w:spacing w:line="357" w:lineRule="auto"/>
      </w:pPr>
    </w:p>
    <w:p w14:paraId="03CA49AB">
      <w:pPr>
        <w:pStyle w:val="4"/>
        <w:rPr>
          <w:rFonts w:ascii="Times New Roman" w:hAnsi="Times New Roman"/>
          <w:color w:val="000000" w:themeColor="text1"/>
        </w:rPr>
      </w:pPr>
      <w:bookmarkStart w:id="420" w:name="_Toc28117724"/>
      <w:r>
        <w:rPr>
          <w:rFonts w:ascii="Times New Roman" w:hAnsi="Times New Roman"/>
          <w:color w:val="000000" w:themeColor="text1"/>
        </w:rPr>
        <w:t>7.6环境风险防范措施及应急要求</w:t>
      </w:r>
      <w:bookmarkEnd w:id="420"/>
    </w:p>
    <w:p w14:paraId="6DDE7F85">
      <w:pPr>
        <w:pStyle w:val="105"/>
        <w:rPr>
          <w:rFonts w:eastAsia="黑体" w:cs="Times New Roman"/>
          <w:color w:val="000000" w:themeColor="text1"/>
          <w:sz w:val="30"/>
          <w:szCs w:val="32"/>
        </w:rPr>
      </w:pPr>
      <w:bookmarkStart w:id="421" w:name="5.8.4.1火灾事故风险防范措施"/>
      <w:bookmarkEnd w:id="421"/>
      <w:r>
        <w:rPr>
          <w:rFonts w:eastAsia="黑体" w:cs="Times New Roman"/>
          <w:color w:val="000000" w:themeColor="text1"/>
          <w:sz w:val="30"/>
          <w:szCs w:val="32"/>
        </w:rPr>
        <w:t>7.6.1火灾事故风险防范措施</w:t>
      </w:r>
    </w:p>
    <w:p w14:paraId="183E155D">
      <w:pPr>
        <w:adjustRightInd w:val="0"/>
        <w:snapToGrid w:val="0"/>
        <w:spacing w:line="360" w:lineRule="auto"/>
        <w:ind w:firstLine="480" w:firstLineChars="200"/>
        <w:rPr>
          <w:color w:val="000000" w:themeColor="text1"/>
          <w:sz w:val="24"/>
        </w:rPr>
      </w:pPr>
      <w:r>
        <w:rPr>
          <w:color w:val="000000" w:themeColor="text1"/>
          <w:sz w:val="24"/>
        </w:rPr>
        <w:t>1、消除和控制明火源：在生产区及原料区及成品存放区内设置严禁烟火标志，严禁携带火柴、打火机等；在各厂房处配灭火器、消防栓、消防沙等消防物资，以便及时扑灭初期火灾。</w:t>
      </w:r>
    </w:p>
    <w:p w14:paraId="35BD95BD">
      <w:pPr>
        <w:adjustRightInd w:val="0"/>
        <w:snapToGrid w:val="0"/>
        <w:spacing w:line="360" w:lineRule="auto"/>
        <w:ind w:firstLine="480" w:firstLineChars="200"/>
        <w:rPr>
          <w:color w:val="000000" w:themeColor="text1"/>
          <w:sz w:val="24"/>
        </w:rPr>
      </w:pPr>
      <w:r>
        <w:rPr>
          <w:color w:val="000000" w:themeColor="text1"/>
          <w:sz w:val="24"/>
        </w:rPr>
        <w:t>2、防止电气火花：采取有效措施防止电气线路和电气设施在开关断开、接触不良、短路、漏电时产生火花，防止静电放电火花；采取防雷接地措施，防止雷电放电火花。</w:t>
      </w:r>
    </w:p>
    <w:p w14:paraId="106BA22B">
      <w:pPr>
        <w:adjustRightInd w:val="0"/>
        <w:snapToGrid w:val="0"/>
        <w:spacing w:line="360" w:lineRule="auto"/>
        <w:ind w:firstLine="480" w:firstLineChars="200"/>
        <w:rPr>
          <w:color w:val="000000" w:themeColor="text1"/>
          <w:sz w:val="24"/>
        </w:rPr>
      </w:pPr>
      <w:r>
        <w:rPr>
          <w:color w:val="000000" w:themeColor="text1"/>
          <w:sz w:val="24"/>
        </w:rPr>
        <w:t>3、原料、成品储存于阴凉、通风处。库温不超过30℃，相对湿度不超过85％， 保持干燥通风。</w:t>
      </w:r>
    </w:p>
    <w:p w14:paraId="4185D56F">
      <w:pPr>
        <w:adjustRightInd w:val="0"/>
        <w:snapToGrid w:val="0"/>
        <w:spacing w:line="360" w:lineRule="auto"/>
        <w:ind w:firstLine="480" w:firstLineChars="200"/>
        <w:rPr>
          <w:color w:val="000000" w:themeColor="text1"/>
          <w:sz w:val="24"/>
        </w:rPr>
      </w:pPr>
      <w:r>
        <w:rPr>
          <w:color w:val="000000" w:themeColor="text1"/>
          <w:sz w:val="24"/>
        </w:rPr>
        <w:t>4、定期对原料使用过程中的相关人员，如联络员、仓管员、直接使用人员进行过程监查，定期对上述人员进行相关知识教育和岗位职责培训。</w:t>
      </w:r>
    </w:p>
    <w:p w14:paraId="741CEAB8">
      <w:pPr>
        <w:adjustRightInd w:val="0"/>
        <w:snapToGrid w:val="0"/>
        <w:spacing w:line="360" w:lineRule="auto"/>
        <w:ind w:firstLine="480" w:firstLineChars="200"/>
        <w:rPr>
          <w:color w:val="000000" w:themeColor="text1"/>
          <w:sz w:val="24"/>
        </w:rPr>
      </w:pPr>
      <w:r>
        <w:rPr>
          <w:color w:val="000000" w:themeColor="text1"/>
          <w:sz w:val="24"/>
        </w:rPr>
        <w:t>5、严格控制原料品质，做到从源头防控风险事故，PVC等含卤素的废塑料不得用于本项目生产造粒，严禁收购医疗废物及危险废物类废塑料。</w:t>
      </w:r>
    </w:p>
    <w:p w14:paraId="378BB0B3">
      <w:pPr>
        <w:adjustRightInd w:val="0"/>
        <w:snapToGrid w:val="0"/>
        <w:spacing w:line="360" w:lineRule="auto"/>
        <w:ind w:firstLine="480" w:firstLineChars="200"/>
        <w:rPr>
          <w:color w:val="000000" w:themeColor="text1"/>
          <w:sz w:val="24"/>
        </w:rPr>
      </w:pPr>
      <w:r>
        <w:rPr>
          <w:color w:val="000000" w:themeColor="text1"/>
          <w:sz w:val="24"/>
        </w:rPr>
        <w:t>6、项目厂区内建设事故应急池，若发生火灾事故产生的消防废水全部收集， 避免消防废水直接排放对地表水产生影响。</w:t>
      </w:r>
    </w:p>
    <w:p w14:paraId="7C7E6FE7">
      <w:pPr>
        <w:pStyle w:val="17"/>
        <w:ind w:firstLine="210"/>
      </w:pPr>
    </w:p>
    <w:p w14:paraId="69D44B16">
      <w:pPr>
        <w:pStyle w:val="105"/>
        <w:rPr>
          <w:rFonts w:eastAsia="黑体" w:cs="Times New Roman"/>
          <w:color w:val="000000" w:themeColor="text1"/>
          <w:sz w:val="30"/>
          <w:szCs w:val="32"/>
        </w:rPr>
      </w:pPr>
      <w:bookmarkStart w:id="422" w:name="5.8.4.2原辅材料运输安全防范措施"/>
      <w:bookmarkEnd w:id="422"/>
      <w:r>
        <w:rPr>
          <w:rFonts w:eastAsia="黑体" w:cs="Times New Roman"/>
          <w:color w:val="000000" w:themeColor="text1"/>
          <w:sz w:val="30"/>
          <w:szCs w:val="32"/>
        </w:rPr>
        <w:t>7.6.2原辅材料运输安全防范措施</w:t>
      </w:r>
    </w:p>
    <w:p w14:paraId="0D341BC4">
      <w:pPr>
        <w:adjustRightInd w:val="0"/>
        <w:snapToGrid w:val="0"/>
        <w:spacing w:line="360" w:lineRule="auto"/>
        <w:ind w:firstLine="480" w:firstLineChars="200"/>
        <w:rPr>
          <w:color w:val="000000" w:themeColor="text1"/>
          <w:sz w:val="24"/>
        </w:rPr>
      </w:pPr>
      <w:r>
        <w:rPr>
          <w:color w:val="000000" w:themeColor="text1"/>
          <w:sz w:val="24"/>
        </w:rPr>
        <w:t>本项目涉及的物料为易燃物质，该物料在起运时包装要完整，装载应稳妥。运输过程中严禁与易燃物或可燃物、食用化学品等混装混运。运输途中应防曝晒、雨淋，防高温。公路运输时要按规定路线行驶，尽量避开经过居民区和人口稠密区。</w:t>
      </w:r>
    </w:p>
    <w:p w14:paraId="70EAAAD5">
      <w:pPr>
        <w:pStyle w:val="105"/>
        <w:rPr>
          <w:rFonts w:eastAsia="黑体" w:cs="Times New Roman"/>
          <w:color w:val="000000" w:themeColor="text1"/>
          <w:sz w:val="30"/>
          <w:szCs w:val="32"/>
        </w:rPr>
      </w:pPr>
      <w:bookmarkStart w:id="423" w:name="5.8.4.3水污染事故防范措施"/>
      <w:bookmarkEnd w:id="423"/>
      <w:r>
        <w:rPr>
          <w:rFonts w:eastAsia="黑体" w:cs="Times New Roman"/>
          <w:color w:val="000000" w:themeColor="text1"/>
          <w:sz w:val="30"/>
          <w:szCs w:val="32"/>
        </w:rPr>
        <w:t>7.6.3水污染事故防范措施</w:t>
      </w:r>
    </w:p>
    <w:p w14:paraId="794B8DA6">
      <w:pPr>
        <w:adjustRightInd w:val="0"/>
        <w:snapToGrid w:val="0"/>
        <w:spacing w:line="360" w:lineRule="auto"/>
        <w:ind w:firstLine="480" w:firstLineChars="200"/>
        <w:rPr>
          <w:color w:val="000000" w:themeColor="text1"/>
          <w:sz w:val="24"/>
        </w:rPr>
      </w:pPr>
      <w:r>
        <w:rPr>
          <w:color w:val="000000" w:themeColor="text1"/>
          <w:sz w:val="24"/>
        </w:rPr>
        <w:t>1、制定相关的操作规程，以规范员工的操作，同时加强对员工工作岗位的培训，使他们熟练工艺，避免失误操作导致废水事故排放。</w:t>
      </w:r>
    </w:p>
    <w:p w14:paraId="1C23ADE1">
      <w:pPr>
        <w:adjustRightInd w:val="0"/>
        <w:snapToGrid w:val="0"/>
        <w:spacing w:line="360" w:lineRule="auto"/>
        <w:ind w:firstLine="480" w:firstLineChars="200"/>
        <w:rPr>
          <w:color w:val="000000" w:themeColor="text1"/>
          <w:sz w:val="24"/>
        </w:rPr>
      </w:pPr>
      <w:r>
        <w:rPr>
          <w:color w:val="000000" w:themeColor="text1"/>
          <w:sz w:val="24"/>
        </w:rPr>
        <w:t>2、定期对污水处理设施进行检测，防止设备不正常运转导致的污水事故。</w:t>
      </w:r>
    </w:p>
    <w:p w14:paraId="0D0D3EA8">
      <w:pPr>
        <w:adjustRightInd w:val="0"/>
        <w:snapToGrid w:val="0"/>
        <w:spacing w:line="360" w:lineRule="auto"/>
        <w:ind w:firstLine="480" w:firstLineChars="200"/>
        <w:rPr>
          <w:color w:val="000000" w:themeColor="text1"/>
          <w:sz w:val="24"/>
        </w:rPr>
      </w:pPr>
      <w:r>
        <w:rPr>
          <w:color w:val="000000" w:themeColor="text1"/>
          <w:sz w:val="24"/>
        </w:rPr>
        <w:t>3、做好雨污分流，防止雨水进入污水处理系统。</w:t>
      </w:r>
    </w:p>
    <w:p w14:paraId="3E3D6909">
      <w:pPr>
        <w:adjustRightInd w:val="0"/>
        <w:snapToGrid w:val="0"/>
        <w:spacing w:line="360" w:lineRule="auto"/>
        <w:ind w:firstLine="480" w:firstLineChars="200"/>
        <w:rPr>
          <w:color w:val="000000" w:themeColor="text1"/>
          <w:sz w:val="24"/>
        </w:rPr>
      </w:pPr>
      <w:r>
        <w:rPr>
          <w:color w:val="000000" w:themeColor="text1"/>
          <w:sz w:val="24"/>
        </w:rPr>
        <w:t>4、加强管道等的保养，防止其因腐蚀、沉降等导致污水外溢污染周边水体。当污水处理设施发生故障时应停止生产，避免废水事故排放，待故障排除后，废水经处理达标后方可排放。</w:t>
      </w:r>
    </w:p>
    <w:p w14:paraId="7B9ACBC4">
      <w:pPr>
        <w:pStyle w:val="17"/>
        <w:ind w:firstLine="210"/>
      </w:pPr>
    </w:p>
    <w:p w14:paraId="75F60FEB">
      <w:pPr>
        <w:pStyle w:val="105"/>
        <w:rPr>
          <w:rFonts w:eastAsia="黑体" w:cs="Times New Roman"/>
          <w:color w:val="000000" w:themeColor="text1"/>
          <w:sz w:val="30"/>
          <w:szCs w:val="32"/>
        </w:rPr>
      </w:pPr>
      <w:bookmarkStart w:id="424" w:name="5.8.4.4废气事故防范措施"/>
      <w:bookmarkEnd w:id="424"/>
      <w:r>
        <w:rPr>
          <w:rFonts w:eastAsia="黑体" w:cs="Times New Roman"/>
          <w:color w:val="000000" w:themeColor="text1"/>
          <w:sz w:val="30"/>
          <w:szCs w:val="32"/>
        </w:rPr>
        <w:t>7.6.4废气事故防范措施</w:t>
      </w:r>
    </w:p>
    <w:p w14:paraId="6E03AFD1">
      <w:pPr>
        <w:adjustRightInd w:val="0"/>
        <w:snapToGrid w:val="0"/>
        <w:spacing w:line="360" w:lineRule="auto"/>
        <w:ind w:firstLine="480" w:firstLineChars="200"/>
        <w:rPr>
          <w:color w:val="000000" w:themeColor="text1"/>
          <w:sz w:val="24"/>
        </w:rPr>
      </w:pPr>
      <w:r>
        <w:rPr>
          <w:color w:val="000000" w:themeColor="text1"/>
          <w:sz w:val="24"/>
        </w:rPr>
        <w:t>1、废气处理设备制定严格的操作规程，严格按操作规程进行运行控制，防止误操作导致废气事故排放，操作规程上墙，并在各危险区域张贴应急联系电话。</w:t>
      </w:r>
    </w:p>
    <w:p w14:paraId="608F6C5D">
      <w:pPr>
        <w:adjustRightInd w:val="0"/>
        <w:snapToGrid w:val="0"/>
        <w:spacing w:line="360" w:lineRule="auto"/>
        <w:ind w:firstLine="480" w:firstLineChars="200"/>
        <w:rPr>
          <w:color w:val="000000" w:themeColor="text1"/>
          <w:sz w:val="24"/>
        </w:rPr>
      </w:pPr>
      <w:r>
        <w:rPr>
          <w:color w:val="000000" w:themeColor="text1"/>
          <w:sz w:val="24"/>
        </w:rPr>
        <w:t>2、过滤棉、UV光解灯定期更换以保证废气的吸附效果符合排放标准。</w:t>
      </w:r>
    </w:p>
    <w:p w14:paraId="115141FE">
      <w:pPr>
        <w:adjustRightInd w:val="0"/>
        <w:snapToGrid w:val="0"/>
        <w:spacing w:line="360" w:lineRule="auto"/>
        <w:ind w:firstLine="480" w:firstLineChars="200"/>
        <w:rPr>
          <w:color w:val="000000" w:themeColor="text1"/>
          <w:sz w:val="24"/>
        </w:rPr>
      </w:pPr>
      <w:r>
        <w:rPr>
          <w:color w:val="000000" w:themeColor="text1"/>
          <w:sz w:val="24"/>
        </w:rPr>
        <w:t>3、管理人员每天对各废气处理设施巡检一次，查看废气处理设施运转是否正常，运行控制是否到位，不定时对各记录表进行检查。</w:t>
      </w:r>
    </w:p>
    <w:p w14:paraId="694FB42B">
      <w:pPr>
        <w:pStyle w:val="17"/>
        <w:spacing w:before="11"/>
        <w:ind w:firstLine="160"/>
        <w:rPr>
          <w:sz w:val="16"/>
        </w:rPr>
      </w:pPr>
    </w:p>
    <w:p w14:paraId="3C5990C9">
      <w:pPr>
        <w:pStyle w:val="105"/>
        <w:rPr>
          <w:rFonts w:eastAsia="黑体" w:cs="Times New Roman"/>
          <w:color w:val="000000" w:themeColor="text1"/>
          <w:sz w:val="30"/>
          <w:szCs w:val="32"/>
        </w:rPr>
      </w:pPr>
      <w:bookmarkStart w:id="425" w:name="5.8.4.6建立健全的安全环境管理制度"/>
      <w:bookmarkEnd w:id="425"/>
      <w:r>
        <w:rPr>
          <w:rFonts w:eastAsia="黑体" w:cs="Times New Roman"/>
          <w:color w:val="000000" w:themeColor="text1"/>
          <w:sz w:val="30"/>
          <w:szCs w:val="32"/>
        </w:rPr>
        <w:t>7.6.5建立健全的安全环境管理制度</w:t>
      </w:r>
    </w:p>
    <w:p w14:paraId="5C03FF7A">
      <w:pPr>
        <w:adjustRightInd w:val="0"/>
        <w:snapToGrid w:val="0"/>
        <w:spacing w:line="360" w:lineRule="auto"/>
        <w:ind w:firstLine="480" w:firstLineChars="200"/>
        <w:rPr>
          <w:color w:val="000000" w:themeColor="text1"/>
          <w:sz w:val="24"/>
        </w:rPr>
      </w:pPr>
      <w:r>
        <w:rPr>
          <w:color w:val="000000" w:themeColor="text1"/>
          <w:sz w:val="24"/>
        </w:rPr>
        <w:t>1、制定和强化健康/安全/环境管理制度，并严格予以执行。</w:t>
      </w:r>
    </w:p>
    <w:p w14:paraId="10059AF0">
      <w:pPr>
        <w:adjustRightInd w:val="0"/>
        <w:snapToGrid w:val="0"/>
        <w:spacing w:line="360" w:lineRule="auto"/>
        <w:ind w:firstLine="480" w:firstLineChars="200"/>
        <w:rPr>
          <w:color w:val="000000" w:themeColor="text1"/>
          <w:sz w:val="24"/>
        </w:rPr>
      </w:pPr>
      <w:r>
        <w:rPr>
          <w:color w:val="000000" w:themeColor="text1"/>
          <w:sz w:val="24"/>
        </w:rPr>
        <w:t>2、严格执行我国有关劳动安全、环保与卫生的规范和标准，在设计、施工和运行过程中必须针对可能存在的不安全、不卫生因素采取相应的安全防卫措施，消除事故隐患，一旦发生事故应采取有效措施，降低因事故引起的损失和对环境的污染。</w:t>
      </w:r>
    </w:p>
    <w:p w14:paraId="12DDF266">
      <w:pPr>
        <w:adjustRightInd w:val="0"/>
        <w:snapToGrid w:val="0"/>
        <w:spacing w:line="360" w:lineRule="auto"/>
        <w:ind w:firstLine="480" w:firstLineChars="200"/>
        <w:rPr>
          <w:color w:val="000000" w:themeColor="text1"/>
          <w:sz w:val="24"/>
        </w:rPr>
      </w:pPr>
      <w:r>
        <w:rPr>
          <w:color w:val="000000" w:themeColor="text1"/>
          <w:sz w:val="24"/>
        </w:rPr>
        <w:t>3、加强原料区、生产车间及成品存放区的安全环保管理，对公司职工进行安全环保的教育和培训，做到持证上岗，减少人为风险事故（如误操作）的发生。</w:t>
      </w:r>
    </w:p>
    <w:p w14:paraId="79A41130">
      <w:pPr>
        <w:adjustRightInd w:val="0"/>
        <w:snapToGrid w:val="0"/>
        <w:spacing w:line="360" w:lineRule="auto"/>
        <w:ind w:firstLine="480" w:firstLineChars="200"/>
        <w:rPr>
          <w:color w:val="000000" w:themeColor="text1"/>
          <w:sz w:val="24"/>
        </w:rPr>
      </w:pPr>
      <w:r>
        <w:rPr>
          <w:color w:val="000000" w:themeColor="text1"/>
          <w:sz w:val="24"/>
        </w:rPr>
        <w:t>4、建立应急预案，并与当地的应急预案衔接，一旦出现事故可借助社会救援，使损失和对环境的污染降到最低。</w:t>
      </w:r>
    </w:p>
    <w:p w14:paraId="3BE32907">
      <w:pPr>
        <w:adjustRightInd w:val="0"/>
        <w:snapToGrid w:val="0"/>
        <w:spacing w:line="360" w:lineRule="auto"/>
        <w:ind w:firstLine="480" w:firstLineChars="200"/>
        <w:rPr>
          <w:color w:val="000000" w:themeColor="text1"/>
          <w:sz w:val="24"/>
        </w:rPr>
      </w:pPr>
      <w:r>
        <w:rPr>
          <w:color w:val="000000" w:themeColor="text1"/>
          <w:sz w:val="24"/>
        </w:rPr>
        <w:t>5、加强设备、仪表的维修、保养，定期检查各种设备，杜绝事故隐患，降低事故发生概率。定期检查和更换危险化学品的储存输送设备，杜绝由于设备劳损、折旧带来的事故隐患。</w:t>
      </w:r>
    </w:p>
    <w:p w14:paraId="7EED50F2">
      <w:pPr>
        <w:pStyle w:val="105"/>
        <w:rPr>
          <w:rFonts w:eastAsia="黑体" w:cs="Times New Roman"/>
          <w:color w:val="000000" w:themeColor="text1"/>
          <w:sz w:val="30"/>
          <w:szCs w:val="32"/>
        </w:rPr>
      </w:pPr>
      <w:bookmarkStart w:id="426" w:name="5.8.4.7三级防控体系"/>
      <w:bookmarkEnd w:id="426"/>
      <w:r>
        <w:rPr>
          <w:rFonts w:eastAsia="黑体" w:cs="Times New Roman"/>
          <w:color w:val="000000" w:themeColor="text1"/>
          <w:sz w:val="30"/>
          <w:szCs w:val="32"/>
        </w:rPr>
        <w:t>7.6.6三级防控体系</w:t>
      </w:r>
    </w:p>
    <w:p w14:paraId="738648DA">
      <w:pPr>
        <w:adjustRightInd w:val="0"/>
        <w:snapToGrid w:val="0"/>
        <w:spacing w:line="360" w:lineRule="auto"/>
        <w:ind w:firstLine="480" w:firstLineChars="200"/>
        <w:rPr>
          <w:color w:val="000000" w:themeColor="text1"/>
          <w:sz w:val="24"/>
        </w:rPr>
      </w:pPr>
      <w:r>
        <w:rPr>
          <w:color w:val="000000" w:themeColor="text1"/>
          <w:sz w:val="24"/>
        </w:rPr>
        <w:t>根据国家安全生产监督管理总局和国家环境保护部联合下发的安监总危化[2006]10 号文件精神以及《危险化学品事故应急救援预案编制导则》、《生产经营单位安全生产事故应急预案编制导则》、国家安全生产监督管理总局令第17 号要求，为本项目设置环境污染三级防控体系。其环境风险应设立三级应急防控体系：一级防控措施：将污染物控制在厂房内；二级防控措施将污染物控制在自建废水处理站内；三级防控将污染物控制在终端废水处理设施。</w:t>
      </w:r>
    </w:p>
    <w:p w14:paraId="284D6424">
      <w:pPr>
        <w:adjustRightInd w:val="0"/>
        <w:snapToGrid w:val="0"/>
        <w:spacing w:line="360" w:lineRule="auto"/>
        <w:ind w:firstLine="480" w:firstLineChars="200"/>
        <w:rPr>
          <w:color w:val="000000" w:themeColor="text1"/>
          <w:sz w:val="24"/>
        </w:rPr>
      </w:pPr>
      <w:r>
        <w:rPr>
          <w:color w:val="000000" w:themeColor="text1"/>
          <w:sz w:val="24"/>
        </w:rPr>
        <w:t>评价项目的环境风险应急措施表现为如下几个方面：</w:t>
      </w:r>
    </w:p>
    <w:p w14:paraId="7CE80C64">
      <w:pPr>
        <w:adjustRightInd w:val="0"/>
        <w:snapToGrid w:val="0"/>
        <w:spacing w:line="360" w:lineRule="auto"/>
        <w:ind w:firstLine="480" w:firstLineChars="200"/>
        <w:rPr>
          <w:color w:val="000000" w:themeColor="text1"/>
          <w:sz w:val="24"/>
        </w:rPr>
      </w:pPr>
      <w:r>
        <w:rPr>
          <w:color w:val="000000" w:themeColor="text1"/>
          <w:sz w:val="24"/>
        </w:rPr>
        <w:t>1、一级防控措施（主要设置在各厂房内）</w:t>
      </w:r>
    </w:p>
    <w:p w14:paraId="0B30664C">
      <w:pPr>
        <w:adjustRightInd w:val="0"/>
        <w:snapToGrid w:val="0"/>
        <w:spacing w:line="360" w:lineRule="auto"/>
        <w:ind w:firstLine="480" w:firstLineChars="200"/>
        <w:rPr>
          <w:color w:val="000000" w:themeColor="text1"/>
          <w:sz w:val="24"/>
        </w:rPr>
      </w:pPr>
      <w:r>
        <w:rPr>
          <w:color w:val="000000" w:themeColor="text1"/>
          <w:sz w:val="24"/>
        </w:rPr>
        <w:t>各厂房外增设环形沟，并设置清污切换系统。</w:t>
      </w:r>
    </w:p>
    <w:p w14:paraId="07DEAEC3">
      <w:pPr>
        <w:adjustRightInd w:val="0"/>
        <w:snapToGrid w:val="0"/>
        <w:spacing w:line="360" w:lineRule="auto"/>
        <w:ind w:firstLine="480" w:firstLineChars="200"/>
        <w:rPr>
          <w:color w:val="000000" w:themeColor="text1"/>
          <w:sz w:val="24"/>
        </w:rPr>
      </w:pPr>
      <w:r>
        <w:rPr>
          <w:color w:val="000000" w:themeColor="text1"/>
          <w:sz w:val="24"/>
        </w:rPr>
        <w:t>2、二级防控措施（主要为事故应急池）</w:t>
      </w:r>
    </w:p>
    <w:p w14:paraId="2EFC8D36">
      <w:pPr>
        <w:adjustRightInd w:val="0"/>
        <w:snapToGrid w:val="0"/>
        <w:spacing w:line="360" w:lineRule="auto"/>
        <w:ind w:firstLine="480" w:firstLineChars="200"/>
        <w:rPr>
          <w:color w:val="000000" w:themeColor="text1"/>
          <w:sz w:val="24"/>
        </w:rPr>
      </w:pPr>
      <w:r>
        <w:rPr>
          <w:color w:val="000000" w:themeColor="text1"/>
          <w:sz w:val="24"/>
        </w:rPr>
        <w:t>对厂区污水及雨水总排口设置切断措施，防止事故情况下废水经雨水及污水进入地表水水体，将消防废水、消防时雨水等通过防渗管沟先导入事故应急池， 防止直接外排。</w:t>
      </w:r>
    </w:p>
    <w:p w14:paraId="1C0FF8C0">
      <w:pPr>
        <w:adjustRightInd w:val="0"/>
        <w:snapToGrid w:val="0"/>
        <w:spacing w:line="360" w:lineRule="auto"/>
        <w:ind w:firstLine="480" w:firstLineChars="200"/>
        <w:rPr>
          <w:color w:val="000000" w:themeColor="text1"/>
          <w:sz w:val="24"/>
        </w:rPr>
      </w:pPr>
      <w:r>
        <w:rPr>
          <w:color w:val="000000" w:themeColor="text1"/>
          <w:sz w:val="24"/>
        </w:rPr>
        <w:t>3、三级防控措施（主要为沉淀池）</w:t>
      </w:r>
    </w:p>
    <w:p w14:paraId="5838131D">
      <w:pPr>
        <w:adjustRightInd w:val="0"/>
        <w:snapToGrid w:val="0"/>
        <w:spacing w:line="360" w:lineRule="auto"/>
        <w:ind w:firstLine="480" w:firstLineChars="200"/>
        <w:rPr>
          <w:color w:val="000000" w:themeColor="text1"/>
          <w:sz w:val="24"/>
        </w:rPr>
      </w:pPr>
      <w:r>
        <w:rPr>
          <w:color w:val="000000" w:themeColor="text1"/>
          <w:sz w:val="24"/>
        </w:rPr>
        <w:t>将消防废水等从事故应急池导入自建污水处理站处理后回用于生产。</w:t>
      </w:r>
    </w:p>
    <w:p w14:paraId="07B14755">
      <w:pPr>
        <w:pStyle w:val="17"/>
        <w:spacing w:before="6"/>
        <w:ind w:firstLine="230"/>
        <w:rPr>
          <w:sz w:val="23"/>
        </w:rPr>
      </w:pPr>
    </w:p>
    <w:p w14:paraId="213A59C8">
      <w:pPr>
        <w:pStyle w:val="105"/>
        <w:rPr>
          <w:rFonts w:eastAsia="黑体" w:cs="Times New Roman"/>
          <w:color w:val="000000" w:themeColor="text1"/>
          <w:sz w:val="30"/>
          <w:szCs w:val="32"/>
        </w:rPr>
      </w:pPr>
      <w:bookmarkStart w:id="427" w:name="5.8.4.8环境风险应急预案"/>
      <w:bookmarkEnd w:id="427"/>
      <w:r>
        <w:rPr>
          <w:rFonts w:eastAsia="黑体" w:cs="Times New Roman"/>
          <w:color w:val="000000" w:themeColor="text1"/>
          <w:sz w:val="30"/>
          <w:szCs w:val="32"/>
        </w:rPr>
        <w:t>7.6.7环境风险应急预案</w:t>
      </w:r>
    </w:p>
    <w:p w14:paraId="793C0296">
      <w:pPr>
        <w:adjustRightInd w:val="0"/>
        <w:snapToGrid w:val="0"/>
        <w:spacing w:line="360" w:lineRule="auto"/>
        <w:ind w:firstLine="480" w:firstLineChars="200"/>
        <w:rPr>
          <w:color w:val="000000" w:themeColor="text1"/>
          <w:sz w:val="24"/>
        </w:rPr>
      </w:pPr>
      <w:r>
        <w:rPr>
          <w:color w:val="000000" w:themeColor="text1"/>
          <w:sz w:val="24"/>
        </w:rPr>
        <w:t>应急预案是为应对可能发生的紧急事件所做的预先准备，其目的是限制紧急事件的影响范围，尽可能减少事件造成的人、财产和环境的损失。制定环境风险应急预案的目的是为了发生环境风险事故时能以最快的速度发挥最大的效能，有组织、有秩序的实施救援行动，达到尽快控制事态发展，降低事故造成的环境危害，减少事故损失。</w:t>
      </w:r>
    </w:p>
    <w:p w14:paraId="5D943E5F">
      <w:pPr>
        <w:adjustRightInd w:val="0"/>
        <w:snapToGrid w:val="0"/>
        <w:spacing w:line="360" w:lineRule="auto"/>
        <w:ind w:firstLine="480" w:firstLineChars="200"/>
        <w:rPr>
          <w:color w:val="000000" w:themeColor="text1"/>
          <w:sz w:val="24"/>
        </w:rPr>
      </w:pPr>
      <w:r>
        <w:rPr>
          <w:color w:val="000000" w:themeColor="text1"/>
          <w:sz w:val="24"/>
        </w:rPr>
        <w:t>按照《环境风险评价技术导则》、《国家突发环境事件应急预案》中规定的“环境风险应急预案原则”要求，本次评价提出拟建项目《环境风险事件应急预案》的原则和总体要求、主要管理内容和重大危险源的风险控制和应急措施。总体上按公司级和装置级两级进行管理，分别制定“公司级应急预案”和“装置级应急预案”。拟建项目环境风险事件应急预案的主要内容见下表。</w:t>
      </w:r>
    </w:p>
    <w:p w14:paraId="18A32CB8">
      <w:pPr>
        <w:spacing w:line="357" w:lineRule="auto"/>
        <w:sectPr>
          <w:pgSz w:w="11910" w:h="16840"/>
          <w:pgMar w:top="1460" w:right="1600" w:bottom="1280" w:left="1680" w:header="0" w:footer="1081" w:gutter="0"/>
          <w:pgNumType w:start="120"/>
          <w:cols w:space="720" w:num="1"/>
        </w:sectPr>
      </w:pPr>
    </w:p>
    <w:p w14:paraId="059E95F3">
      <w:pPr>
        <w:spacing w:before="5"/>
        <w:ind w:left="2556"/>
        <w:rPr>
          <w:b/>
        </w:rPr>
      </w:pPr>
      <w:bookmarkStart w:id="428" w:name="表5-16_本项目各级应急预案的主要内容"/>
      <w:bookmarkEnd w:id="428"/>
      <w:r>
        <w:rPr>
          <w:b/>
        </w:rPr>
        <w:t>表7.6-1  本项目各级应急预案的主要内容</w:t>
      </w:r>
    </w:p>
    <w:tbl>
      <w:tblPr>
        <w:tblStyle w:val="280"/>
        <w:tblW w:w="0" w:type="auto"/>
        <w:tblInd w:w="11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97"/>
        <w:gridCol w:w="2227"/>
        <w:gridCol w:w="5605"/>
      </w:tblGrid>
      <w:tr w14:paraId="52F601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20" w:hRule="atLeast"/>
        </w:trPr>
        <w:tc>
          <w:tcPr>
            <w:tcW w:w="697" w:type="dxa"/>
            <w:tcBorders>
              <w:bottom w:val="single" w:color="000000" w:sz="4" w:space="0"/>
              <w:right w:val="single" w:color="000000" w:sz="4" w:space="0"/>
            </w:tcBorders>
            <w:vAlign w:val="center"/>
          </w:tcPr>
          <w:p w14:paraId="333095C8">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序号</w:t>
            </w:r>
          </w:p>
        </w:tc>
        <w:tc>
          <w:tcPr>
            <w:tcW w:w="2227" w:type="dxa"/>
            <w:tcBorders>
              <w:left w:val="single" w:color="000000" w:sz="4" w:space="0"/>
              <w:bottom w:val="single" w:color="000000" w:sz="4" w:space="0"/>
              <w:right w:val="single" w:color="000000" w:sz="4" w:space="0"/>
            </w:tcBorders>
            <w:vAlign w:val="center"/>
          </w:tcPr>
          <w:p w14:paraId="6A32B729">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项目</w:t>
            </w:r>
          </w:p>
        </w:tc>
        <w:tc>
          <w:tcPr>
            <w:tcW w:w="5605" w:type="dxa"/>
            <w:tcBorders>
              <w:left w:val="single" w:color="000000" w:sz="4" w:space="0"/>
              <w:bottom w:val="single" w:color="000000" w:sz="4" w:space="0"/>
            </w:tcBorders>
            <w:vAlign w:val="center"/>
          </w:tcPr>
          <w:p w14:paraId="04CABF2D">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内容及要求</w:t>
            </w:r>
          </w:p>
        </w:tc>
      </w:tr>
      <w:tr w14:paraId="08C729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20" w:hRule="atLeast"/>
        </w:trPr>
        <w:tc>
          <w:tcPr>
            <w:tcW w:w="697" w:type="dxa"/>
            <w:tcBorders>
              <w:top w:val="single" w:color="000000" w:sz="4" w:space="0"/>
              <w:bottom w:val="single" w:color="000000" w:sz="4" w:space="0"/>
              <w:right w:val="single" w:color="000000" w:sz="4" w:space="0"/>
            </w:tcBorders>
            <w:vAlign w:val="center"/>
          </w:tcPr>
          <w:p w14:paraId="26DC9350">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p>
        </w:tc>
        <w:tc>
          <w:tcPr>
            <w:tcW w:w="2227" w:type="dxa"/>
            <w:tcBorders>
              <w:top w:val="single" w:color="000000" w:sz="4" w:space="0"/>
              <w:left w:val="single" w:color="000000" w:sz="4" w:space="0"/>
              <w:bottom w:val="single" w:color="000000" w:sz="4" w:space="0"/>
              <w:right w:val="single" w:color="000000" w:sz="4" w:space="0"/>
            </w:tcBorders>
            <w:vAlign w:val="center"/>
          </w:tcPr>
          <w:p w14:paraId="3DF557E1">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应急计划区</w:t>
            </w:r>
          </w:p>
        </w:tc>
        <w:tc>
          <w:tcPr>
            <w:tcW w:w="5605" w:type="dxa"/>
            <w:tcBorders>
              <w:top w:val="single" w:color="000000" w:sz="4" w:space="0"/>
              <w:left w:val="single" w:color="000000" w:sz="4" w:space="0"/>
              <w:bottom w:val="single" w:color="000000" w:sz="4" w:space="0"/>
            </w:tcBorders>
            <w:vAlign w:val="center"/>
          </w:tcPr>
          <w:p w14:paraId="3CAB2539">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确定原料区、成品存放区为重点防护单元。</w:t>
            </w:r>
          </w:p>
        </w:tc>
      </w:tr>
      <w:tr w14:paraId="7A96B89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20" w:hRule="atLeast"/>
        </w:trPr>
        <w:tc>
          <w:tcPr>
            <w:tcW w:w="697" w:type="dxa"/>
            <w:tcBorders>
              <w:top w:val="single" w:color="000000" w:sz="4" w:space="0"/>
              <w:bottom w:val="single" w:color="000000" w:sz="4" w:space="0"/>
              <w:right w:val="single" w:color="000000" w:sz="4" w:space="0"/>
            </w:tcBorders>
            <w:vAlign w:val="center"/>
          </w:tcPr>
          <w:p w14:paraId="72170EC0">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2</w:t>
            </w:r>
          </w:p>
        </w:tc>
        <w:tc>
          <w:tcPr>
            <w:tcW w:w="2227" w:type="dxa"/>
            <w:tcBorders>
              <w:top w:val="single" w:color="000000" w:sz="4" w:space="0"/>
              <w:left w:val="single" w:color="000000" w:sz="4" w:space="0"/>
              <w:bottom w:val="single" w:color="000000" w:sz="4" w:space="0"/>
              <w:right w:val="single" w:color="000000" w:sz="4" w:space="0"/>
            </w:tcBorders>
            <w:vAlign w:val="center"/>
          </w:tcPr>
          <w:p w14:paraId="6D6400FC">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应急组织机构、人员</w:t>
            </w:r>
          </w:p>
        </w:tc>
        <w:tc>
          <w:tcPr>
            <w:tcW w:w="5605" w:type="dxa"/>
            <w:tcBorders>
              <w:top w:val="single" w:color="000000" w:sz="4" w:space="0"/>
              <w:left w:val="single" w:color="000000" w:sz="4" w:space="0"/>
              <w:bottom w:val="single" w:color="000000" w:sz="4" w:space="0"/>
            </w:tcBorders>
            <w:vAlign w:val="center"/>
          </w:tcPr>
          <w:p w14:paraId="3D18731C">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设立应急救援指挥部，并明确职责。</w:t>
            </w:r>
          </w:p>
        </w:tc>
      </w:tr>
      <w:tr w14:paraId="0AABB6E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20" w:hRule="atLeast"/>
        </w:trPr>
        <w:tc>
          <w:tcPr>
            <w:tcW w:w="697" w:type="dxa"/>
            <w:tcBorders>
              <w:top w:val="single" w:color="000000" w:sz="4" w:space="0"/>
              <w:bottom w:val="single" w:color="000000" w:sz="4" w:space="0"/>
              <w:right w:val="single" w:color="000000" w:sz="4" w:space="0"/>
            </w:tcBorders>
            <w:vAlign w:val="center"/>
          </w:tcPr>
          <w:p w14:paraId="06EC5A65">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3</w:t>
            </w:r>
          </w:p>
        </w:tc>
        <w:tc>
          <w:tcPr>
            <w:tcW w:w="2227" w:type="dxa"/>
            <w:tcBorders>
              <w:top w:val="single" w:color="000000" w:sz="4" w:space="0"/>
              <w:left w:val="single" w:color="000000" w:sz="4" w:space="0"/>
              <w:bottom w:val="single" w:color="000000" w:sz="4" w:space="0"/>
              <w:right w:val="single" w:color="000000" w:sz="4" w:space="0"/>
            </w:tcBorders>
            <w:vAlign w:val="center"/>
          </w:tcPr>
          <w:p w14:paraId="1C445959">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预案分级影响条件</w:t>
            </w:r>
          </w:p>
        </w:tc>
        <w:tc>
          <w:tcPr>
            <w:tcW w:w="5605" w:type="dxa"/>
            <w:tcBorders>
              <w:top w:val="single" w:color="000000" w:sz="4" w:space="0"/>
              <w:left w:val="single" w:color="000000" w:sz="4" w:space="0"/>
              <w:bottom w:val="single" w:color="000000" w:sz="4" w:space="0"/>
            </w:tcBorders>
            <w:vAlign w:val="center"/>
          </w:tcPr>
          <w:p w14:paraId="5D5F6613">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可分为生产装置区突发事故处理预案、全厂紧急停车事故处 理预案等。</w:t>
            </w:r>
          </w:p>
        </w:tc>
      </w:tr>
      <w:tr w14:paraId="22EB3D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20" w:hRule="atLeast"/>
        </w:trPr>
        <w:tc>
          <w:tcPr>
            <w:tcW w:w="697" w:type="dxa"/>
            <w:tcBorders>
              <w:top w:val="single" w:color="000000" w:sz="4" w:space="0"/>
              <w:bottom w:val="single" w:color="000000" w:sz="4" w:space="0"/>
              <w:right w:val="single" w:color="000000" w:sz="4" w:space="0"/>
            </w:tcBorders>
            <w:vAlign w:val="center"/>
          </w:tcPr>
          <w:p w14:paraId="616A4F83">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4</w:t>
            </w:r>
          </w:p>
        </w:tc>
        <w:tc>
          <w:tcPr>
            <w:tcW w:w="2227" w:type="dxa"/>
            <w:tcBorders>
              <w:top w:val="single" w:color="000000" w:sz="4" w:space="0"/>
              <w:left w:val="single" w:color="000000" w:sz="4" w:space="0"/>
              <w:bottom w:val="single" w:color="000000" w:sz="4" w:space="0"/>
              <w:right w:val="single" w:color="000000" w:sz="4" w:space="0"/>
            </w:tcBorders>
            <w:vAlign w:val="center"/>
          </w:tcPr>
          <w:p w14:paraId="2982EC84">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应急救援保障</w:t>
            </w:r>
          </w:p>
        </w:tc>
        <w:tc>
          <w:tcPr>
            <w:tcW w:w="5605" w:type="dxa"/>
            <w:tcBorders>
              <w:top w:val="single" w:color="000000" w:sz="4" w:space="0"/>
              <w:left w:val="single" w:color="000000" w:sz="4" w:space="0"/>
              <w:bottom w:val="single" w:color="000000" w:sz="4" w:space="0"/>
            </w:tcBorders>
            <w:vAlign w:val="center"/>
          </w:tcPr>
          <w:p w14:paraId="4FA2EC82">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备有干粉灭火器、手推式灭火器、防毒面具等，分别布置在 各岗位。</w:t>
            </w:r>
          </w:p>
        </w:tc>
      </w:tr>
      <w:tr w14:paraId="480F8AC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20" w:hRule="atLeast"/>
        </w:trPr>
        <w:tc>
          <w:tcPr>
            <w:tcW w:w="697" w:type="dxa"/>
            <w:tcBorders>
              <w:top w:val="single" w:color="000000" w:sz="4" w:space="0"/>
              <w:bottom w:val="single" w:color="000000" w:sz="4" w:space="0"/>
              <w:right w:val="single" w:color="000000" w:sz="4" w:space="0"/>
            </w:tcBorders>
            <w:vAlign w:val="center"/>
          </w:tcPr>
          <w:p w14:paraId="3B3761C4">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5</w:t>
            </w:r>
          </w:p>
        </w:tc>
        <w:tc>
          <w:tcPr>
            <w:tcW w:w="2227" w:type="dxa"/>
            <w:tcBorders>
              <w:top w:val="single" w:color="000000" w:sz="4" w:space="0"/>
              <w:left w:val="single" w:color="000000" w:sz="4" w:space="0"/>
              <w:bottom w:val="single" w:color="000000" w:sz="4" w:space="0"/>
              <w:right w:val="single" w:color="000000" w:sz="4" w:space="0"/>
            </w:tcBorders>
            <w:vAlign w:val="center"/>
          </w:tcPr>
          <w:p w14:paraId="7F7E85B6">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报警、通讯联络方式</w:t>
            </w:r>
          </w:p>
        </w:tc>
        <w:tc>
          <w:tcPr>
            <w:tcW w:w="5605" w:type="dxa"/>
            <w:tcBorders>
              <w:top w:val="single" w:color="000000" w:sz="4" w:space="0"/>
              <w:left w:val="single" w:color="000000" w:sz="4" w:space="0"/>
              <w:bottom w:val="single" w:color="000000" w:sz="4" w:space="0"/>
            </w:tcBorders>
            <w:vAlign w:val="center"/>
          </w:tcPr>
          <w:p w14:paraId="133D3A36">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常用应急电话号码：急救中心：120，消防大队：119。由生产部负责事故现场的联络和对外联系，以及人员疏散和道路 管制等工作。</w:t>
            </w:r>
          </w:p>
        </w:tc>
      </w:tr>
      <w:tr w14:paraId="021E116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20" w:hRule="atLeast"/>
        </w:trPr>
        <w:tc>
          <w:tcPr>
            <w:tcW w:w="697" w:type="dxa"/>
            <w:tcBorders>
              <w:top w:val="single" w:color="000000" w:sz="4" w:space="0"/>
              <w:bottom w:val="single" w:color="000000" w:sz="4" w:space="0"/>
              <w:right w:val="single" w:color="000000" w:sz="4" w:space="0"/>
            </w:tcBorders>
            <w:vAlign w:val="center"/>
          </w:tcPr>
          <w:p w14:paraId="2E04FAA2">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6</w:t>
            </w:r>
          </w:p>
        </w:tc>
        <w:tc>
          <w:tcPr>
            <w:tcW w:w="2227" w:type="dxa"/>
            <w:tcBorders>
              <w:top w:val="single" w:color="000000" w:sz="4" w:space="0"/>
              <w:left w:val="single" w:color="000000" w:sz="4" w:space="0"/>
              <w:bottom w:val="single" w:color="000000" w:sz="4" w:space="0"/>
              <w:right w:val="single" w:color="000000" w:sz="4" w:space="0"/>
            </w:tcBorders>
            <w:vAlign w:val="center"/>
          </w:tcPr>
          <w:p w14:paraId="2093FFA9">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应急环境监测、抢救、救援及控制措施</w:t>
            </w:r>
          </w:p>
        </w:tc>
        <w:tc>
          <w:tcPr>
            <w:tcW w:w="5605" w:type="dxa"/>
            <w:tcBorders>
              <w:top w:val="single" w:color="000000" w:sz="4" w:space="0"/>
              <w:left w:val="single" w:color="000000" w:sz="4" w:space="0"/>
              <w:bottom w:val="single" w:color="000000" w:sz="4" w:space="0"/>
            </w:tcBorders>
            <w:vAlign w:val="center"/>
          </w:tcPr>
          <w:p w14:paraId="00D59448">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委托当地环保监测站进行应急环境监测，化验室主任负责协 助进行物料的清洗、消毒等工作。设立事故应急抢险队。</w:t>
            </w:r>
          </w:p>
        </w:tc>
      </w:tr>
      <w:tr w14:paraId="491FE7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20" w:hRule="atLeast"/>
        </w:trPr>
        <w:tc>
          <w:tcPr>
            <w:tcW w:w="697" w:type="dxa"/>
            <w:tcBorders>
              <w:top w:val="single" w:color="000000" w:sz="4" w:space="0"/>
              <w:bottom w:val="single" w:color="000000" w:sz="4" w:space="0"/>
              <w:right w:val="single" w:color="000000" w:sz="4" w:space="0"/>
            </w:tcBorders>
            <w:vAlign w:val="center"/>
          </w:tcPr>
          <w:p w14:paraId="4174BF74">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7</w:t>
            </w:r>
          </w:p>
        </w:tc>
        <w:tc>
          <w:tcPr>
            <w:tcW w:w="2227" w:type="dxa"/>
            <w:tcBorders>
              <w:top w:val="single" w:color="000000" w:sz="4" w:space="0"/>
              <w:left w:val="single" w:color="000000" w:sz="4" w:space="0"/>
              <w:bottom w:val="single" w:color="000000" w:sz="4" w:space="0"/>
              <w:right w:val="single" w:color="000000" w:sz="4" w:space="0"/>
            </w:tcBorders>
            <w:vAlign w:val="center"/>
          </w:tcPr>
          <w:p w14:paraId="40AF24AF">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应急检测、防护措施、清除泄漏措施和器材</w:t>
            </w:r>
          </w:p>
        </w:tc>
        <w:tc>
          <w:tcPr>
            <w:tcW w:w="5605" w:type="dxa"/>
            <w:tcBorders>
              <w:top w:val="single" w:color="000000" w:sz="4" w:space="0"/>
              <w:left w:val="single" w:color="000000" w:sz="4" w:space="0"/>
              <w:bottom w:val="single" w:color="000000" w:sz="4" w:space="0"/>
            </w:tcBorders>
            <w:vAlign w:val="center"/>
          </w:tcPr>
          <w:p w14:paraId="1EFC6AD9">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设置消防器材。</w:t>
            </w:r>
          </w:p>
        </w:tc>
      </w:tr>
      <w:tr w14:paraId="705CE2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20" w:hRule="atLeast"/>
        </w:trPr>
        <w:tc>
          <w:tcPr>
            <w:tcW w:w="697" w:type="dxa"/>
            <w:tcBorders>
              <w:top w:val="single" w:color="000000" w:sz="4" w:space="0"/>
              <w:bottom w:val="single" w:color="000000" w:sz="4" w:space="0"/>
              <w:right w:val="single" w:color="000000" w:sz="4" w:space="0"/>
            </w:tcBorders>
            <w:vAlign w:val="center"/>
          </w:tcPr>
          <w:p w14:paraId="61A85C1F">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8</w:t>
            </w:r>
          </w:p>
        </w:tc>
        <w:tc>
          <w:tcPr>
            <w:tcW w:w="2227" w:type="dxa"/>
            <w:tcBorders>
              <w:top w:val="single" w:color="000000" w:sz="4" w:space="0"/>
              <w:left w:val="single" w:color="000000" w:sz="4" w:space="0"/>
              <w:bottom w:val="single" w:color="000000" w:sz="4" w:space="0"/>
              <w:right w:val="single" w:color="000000" w:sz="4" w:space="0"/>
            </w:tcBorders>
            <w:vAlign w:val="center"/>
          </w:tcPr>
          <w:p w14:paraId="2B87889A">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人员紧急撤离、疏散、撤离组织计划</w:t>
            </w:r>
          </w:p>
        </w:tc>
        <w:tc>
          <w:tcPr>
            <w:tcW w:w="5605" w:type="dxa"/>
            <w:tcBorders>
              <w:top w:val="single" w:color="000000" w:sz="4" w:space="0"/>
              <w:left w:val="single" w:color="000000" w:sz="4" w:space="0"/>
              <w:bottom w:val="single" w:color="000000" w:sz="4" w:space="0"/>
            </w:tcBorders>
            <w:vAlign w:val="center"/>
          </w:tcPr>
          <w:p w14:paraId="27B6DF38">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设立医疗救护队，对事故中受伤人员实施医疗救助、转移， 同时负责救援行动中人员、器材、物资的运输工作。由办公室主任负责，各部门抽调人员组成。</w:t>
            </w:r>
          </w:p>
        </w:tc>
      </w:tr>
      <w:tr w14:paraId="5C6D08A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20" w:hRule="atLeast"/>
        </w:trPr>
        <w:tc>
          <w:tcPr>
            <w:tcW w:w="697" w:type="dxa"/>
            <w:tcBorders>
              <w:top w:val="single" w:color="000000" w:sz="4" w:space="0"/>
              <w:bottom w:val="single" w:color="000000" w:sz="4" w:space="0"/>
              <w:right w:val="single" w:color="000000" w:sz="4" w:space="0"/>
            </w:tcBorders>
            <w:vAlign w:val="center"/>
          </w:tcPr>
          <w:p w14:paraId="1352B034">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9</w:t>
            </w:r>
          </w:p>
        </w:tc>
        <w:tc>
          <w:tcPr>
            <w:tcW w:w="2227" w:type="dxa"/>
            <w:tcBorders>
              <w:top w:val="single" w:color="000000" w:sz="4" w:space="0"/>
              <w:left w:val="single" w:color="000000" w:sz="4" w:space="0"/>
              <w:bottom w:val="single" w:color="000000" w:sz="4" w:space="0"/>
              <w:right w:val="single" w:color="000000" w:sz="4" w:space="0"/>
            </w:tcBorders>
            <w:vAlign w:val="center"/>
          </w:tcPr>
          <w:p w14:paraId="2277DB6A">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事故应急救援关闭程序与恢复措施</w:t>
            </w:r>
          </w:p>
        </w:tc>
        <w:tc>
          <w:tcPr>
            <w:tcW w:w="5605" w:type="dxa"/>
            <w:tcBorders>
              <w:top w:val="single" w:color="000000" w:sz="4" w:space="0"/>
              <w:left w:val="single" w:color="000000" w:sz="4" w:space="0"/>
              <w:bottom w:val="single" w:color="000000" w:sz="4" w:space="0"/>
            </w:tcBorders>
            <w:vAlign w:val="center"/>
          </w:tcPr>
          <w:p w14:paraId="6592F8E0">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当事故无法控制和处理时，生产部门应采取果断措施，实施 全厂紧急停车，待事故消除后恢复生产。</w:t>
            </w:r>
          </w:p>
        </w:tc>
      </w:tr>
      <w:tr w14:paraId="475F33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20" w:hRule="atLeast"/>
        </w:trPr>
        <w:tc>
          <w:tcPr>
            <w:tcW w:w="697" w:type="dxa"/>
            <w:tcBorders>
              <w:top w:val="single" w:color="000000" w:sz="4" w:space="0"/>
              <w:bottom w:val="single" w:color="000000" w:sz="4" w:space="0"/>
              <w:right w:val="single" w:color="000000" w:sz="4" w:space="0"/>
            </w:tcBorders>
            <w:vAlign w:val="center"/>
          </w:tcPr>
          <w:p w14:paraId="0D6FE928">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10</w:t>
            </w:r>
          </w:p>
        </w:tc>
        <w:tc>
          <w:tcPr>
            <w:tcW w:w="2227" w:type="dxa"/>
            <w:tcBorders>
              <w:top w:val="single" w:color="000000" w:sz="4" w:space="0"/>
              <w:left w:val="single" w:color="000000" w:sz="4" w:space="0"/>
              <w:bottom w:val="single" w:color="000000" w:sz="4" w:space="0"/>
              <w:right w:val="single" w:color="000000" w:sz="4" w:space="0"/>
            </w:tcBorders>
            <w:vAlign w:val="center"/>
          </w:tcPr>
          <w:p w14:paraId="4CC4D8AA">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应急培训计划</w:t>
            </w:r>
          </w:p>
        </w:tc>
        <w:tc>
          <w:tcPr>
            <w:tcW w:w="5605" w:type="dxa"/>
            <w:tcBorders>
              <w:top w:val="single" w:color="000000" w:sz="4" w:space="0"/>
              <w:left w:val="single" w:color="000000" w:sz="4" w:space="0"/>
              <w:bottom w:val="single" w:color="000000" w:sz="4" w:space="0"/>
            </w:tcBorders>
            <w:vAlign w:val="center"/>
          </w:tcPr>
          <w:p w14:paraId="2FD3DA52">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应急计划制定后，平时安排人员培训与演练。</w:t>
            </w:r>
          </w:p>
        </w:tc>
      </w:tr>
      <w:tr w14:paraId="59A98A3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cantSplit/>
          <w:trHeight w:val="20" w:hRule="atLeast"/>
        </w:trPr>
        <w:tc>
          <w:tcPr>
            <w:tcW w:w="697" w:type="dxa"/>
            <w:tcBorders>
              <w:top w:val="single" w:color="000000" w:sz="4" w:space="0"/>
              <w:right w:val="single" w:color="000000" w:sz="4" w:space="0"/>
            </w:tcBorders>
            <w:vAlign w:val="center"/>
          </w:tcPr>
          <w:p w14:paraId="343DD9F4">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11</w:t>
            </w:r>
          </w:p>
        </w:tc>
        <w:tc>
          <w:tcPr>
            <w:tcW w:w="2227" w:type="dxa"/>
            <w:tcBorders>
              <w:top w:val="single" w:color="000000" w:sz="4" w:space="0"/>
              <w:left w:val="single" w:color="000000" w:sz="4" w:space="0"/>
              <w:right w:val="single" w:color="000000" w:sz="4" w:space="0"/>
            </w:tcBorders>
            <w:vAlign w:val="center"/>
          </w:tcPr>
          <w:p w14:paraId="625AA25C">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公众教育和信息</w:t>
            </w:r>
          </w:p>
        </w:tc>
        <w:tc>
          <w:tcPr>
            <w:tcW w:w="5605" w:type="dxa"/>
            <w:tcBorders>
              <w:top w:val="single" w:color="000000" w:sz="4" w:space="0"/>
              <w:left w:val="single" w:color="000000" w:sz="4" w:space="0"/>
            </w:tcBorders>
            <w:vAlign w:val="center"/>
          </w:tcPr>
          <w:p w14:paraId="3628C998">
            <w:pPr>
              <w:pStyle w:val="281"/>
              <w:spacing w:before="64"/>
              <w:ind w:left="102" w:right="-5"/>
              <w:jc w:val="center"/>
              <w:rPr>
                <w:rFonts w:ascii="Times New Roman" w:hAnsi="Times New Roman" w:cs="Times New Roman"/>
                <w:sz w:val="21"/>
                <w:szCs w:val="21"/>
                <w:lang w:eastAsia="zh-CN"/>
              </w:rPr>
            </w:pPr>
            <w:r>
              <w:rPr>
                <w:rFonts w:ascii="Times New Roman" w:hAnsi="Times New Roman" w:cs="Times New Roman"/>
                <w:sz w:val="21"/>
                <w:szCs w:val="21"/>
                <w:lang w:eastAsia="zh-CN"/>
              </w:rPr>
              <w:t>对工厂邻近地区开展公众教育、培训和发布有关信息。</w:t>
            </w:r>
          </w:p>
        </w:tc>
      </w:tr>
    </w:tbl>
    <w:p w14:paraId="6BAB0FA4">
      <w:pPr>
        <w:spacing w:line="357" w:lineRule="auto"/>
        <w:sectPr>
          <w:pgSz w:w="11910" w:h="16840"/>
          <w:pgMar w:top="1460" w:right="1560" w:bottom="1280" w:left="1680" w:header="0" w:footer="1081" w:gutter="0"/>
          <w:cols w:space="720" w:num="1"/>
        </w:sectPr>
      </w:pPr>
    </w:p>
    <w:p w14:paraId="1D7FC91B">
      <w:pPr>
        <w:pStyle w:val="4"/>
        <w:rPr>
          <w:rFonts w:ascii="Times New Roman" w:hAnsi="Times New Roman"/>
          <w:color w:val="000000" w:themeColor="text1"/>
        </w:rPr>
      </w:pPr>
      <w:bookmarkStart w:id="429" w:name="_Toc28117725"/>
      <w:bookmarkStart w:id="430" w:name="_Toc411838269"/>
      <w:r>
        <w:rPr>
          <w:rFonts w:ascii="Times New Roman" w:hAnsi="Times New Roman"/>
          <w:color w:val="000000" w:themeColor="text1"/>
        </w:rPr>
        <w:t>7.7风险评价结论</w:t>
      </w:r>
      <w:bookmarkEnd w:id="429"/>
      <w:bookmarkEnd w:id="430"/>
    </w:p>
    <w:p w14:paraId="5AE397A7">
      <w:pPr>
        <w:adjustRightInd w:val="0"/>
        <w:snapToGrid w:val="0"/>
        <w:spacing w:line="360" w:lineRule="auto"/>
        <w:ind w:firstLine="480" w:firstLineChars="200"/>
        <w:rPr>
          <w:color w:val="000000" w:themeColor="text1"/>
          <w:sz w:val="24"/>
        </w:rPr>
      </w:pPr>
      <w:r>
        <w:rPr>
          <w:color w:val="000000" w:themeColor="text1"/>
          <w:sz w:val="24"/>
        </w:rPr>
        <w:t>本项目环境风险因素主要为塑料火灾风险及火灾次生环境风险等。从风险控制的角度来评价，建设单位在严格各项规章制度管理和工序操作外，制定详细的环境风险防范措施和应急预案，能大大减小事故发生概率。事故发生后能及时采取有利措施，减小对环境污染。本工程在严格实施各项规章制度，确保环境风险防范措施落实的基础上，其潜在的环境风险是可控的。</w:t>
      </w:r>
    </w:p>
    <w:p w14:paraId="6437034E">
      <w:pPr>
        <w:jc w:val="center"/>
        <w:rPr>
          <w:b/>
          <w:color w:val="000000" w:themeColor="text1"/>
          <w:sz w:val="24"/>
        </w:rPr>
      </w:pPr>
      <w:r>
        <w:rPr>
          <w:b/>
          <w:color w:val="000000" w:themeColor="text1"/>
          <w:sz w:val="24"/>
        </w:rPr>
        <w:t>表7.6-1  建设项目环境风险简单分析内容表</w:t>
      </w:r>
    </w:p>
    <w:tbl>
      <w:tblPr>
        <w:tblStyle w:val="280"/>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212"/>
        <w:gridCol w:w="2259"/>
        <w:gridCol w:w="1203"/>
        <w:gridCol w:w="1201"/>
        <w:gridCol w:w="1203"/>
        <w:gridCol w:w="1752"/>
      </w:tblGrid>
      <w:tr w14:paraId="7157EA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687" w:type="pct"/>
            <w:tcBorders>
              <w:bottom w:val="single" w:color="000000" w:sz="4" w:space="0"/>
              <w:right w:val="single" w:color="000000" w:sz="4" w:space="0"/>
            </w:tcBorders>
            <w:vAlign w:val="center"/>
          </w:tcPr>
          <w:p w14:paraId="163C1E4E">
            <w:pPr>
              <w:pStyle w:val="281"/>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建设项目名称</w:t>
            </w:r>
          </w:p>
        </w:tc>
        <w:tc>
          <w:tcPr>
            <w:tcW w:w="4313" w:type="pct"/>
            <w:gridSpan w:val="5"/>
            <w:tcBorders>
              <w:left w:val="single" w:color="000000" w:sz="4" w:space="0"/>
              <w:bottom w:val="single" w:color="000000" w:sz="4" w:space="0"/>
            </w:tcBorders>
            <w:vAlign w:val="center"/>
          </w:tcPr>
          <w:p w14:paraId="65AE43A0">
            <w:pPr>
              <w:adjustRightInd w:val="0"/>
              <w:ind w:left="105" w:leftChars="50" w:right="105" w:rightChars="50"/>
              <w:jc w:val="center"/>
              <w:rPr>
                <w:rFonts w:ascii="Times New Roman" w:hAnsi="Times New Roman" w:cs="Times New Roman" w:eastAsiaTheme="minorEastAsia"/>
                <w:color w:val="000000" w:themeColor="text1"/>
                <w:sz w:val="21"/>
                <w:szCs w:val="21"/>
                <w:lang w:eastAsia="zh-CN"/>
              </w:rPr>
            </w:pPr>
            <w:r>
              <w:rPr>
                <w:rFonts w:ascii="Times New Roman" w:hAnsi="Times New Roman" w:cs="Times New Roman" w:eastAsiaTheme="minorEastAsia"/>
                <w:color w:val="000000" w:themeColor="text1"/>
                <w:sz w:val="21"/>
                <w:szCs w:val="21"/>
                <w:lang w:eastAsia="zh-CN"/>
              </w:rPr>
              <w:t>芒市鑫广塑料加工项目</w:t>
            </w:r>
          </w:p>
        </w:tc>
      </w:tr>
      <w:tr w14:paraId="3AFEA5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687" w:type="pct"/>
            <w:tcBorders>
              <w:top w:val="single" w:color="000000" w:sz="4" w:space="0"/>
              <w:bottom w:val="single" w:color="000000" w:sz="4" w:space="0"/>
              <w:right w:val="single" w:color="000000" w:sz="4" w:space="0"/>
            </w:tcBorders>
            <w:vAlign w:val="center"/>
          </w:tcPr>
          <w:p w14:paraId="4E96682E">
            <w:pPr>
              <w:pStyle w:val="281"/>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建设地点</w:t>
            </w:r>
          </w:p>
        </w:tc>
        <w:tc>
          <w:tcPr>
            <w:tcW w:w="1279" w:type="pct"/>
            <w:tcBorders>
              <w:top w:val="single" w:color="000000" w:sz="4" w:space="0"/>
              <w:left w:val="single" w:color="000000" w:sz="4" w:space="0"/>
              <w:bottom w:val="single" w:color="000000" w:sz="4" w:space="0"/>
              <w:right w:val="single" w:color="000000" w:sz="4" w:space="0"/>
            </w:tcBorders>
            <w:vAlign w:val="center"/>
          </w:tcPr>
          <w:p w14:paraId="52ECC957">
            <w:pPr>
              <w:pStyle w:val="281"/>
              <w:tabs>
                <w:tab w:val="left" w:pos="449"/>
              </w:tabs>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lang w:eastAsia="zh-CN"/>
              </w:rPr>
              <w:t>云南</w:t>
            </w:r>
            <w:r>
              <w:rPr>
                <w:rFonts w:ascii="Times New Roman" w:hAnsi="Times New Roman" w:eastAsia="宋体" w:cs="Times New Roman"/>
                <w:color w:val="000000" w:themeColor="text1"/>
                <w:sz w:val="21"/>
                <w:szCs w:val="21"/>
              </w:rPr>
              <w:t>省</w:t>
            </w:r>
          </w:p>
        </w:tc>
        <w:tc>
          <w:tcPr>
            <w:tcW w:w="681" w:type="pct"/>
            <w:tcBorders>
              <w:top w:val="single" w:color="000000" w:sz="4" w:space="0"/>
              <w:left w:val="single" w:color="000000" w:sz="4" w:space="0"/>
              <w:bottom w:val="single" w:color="000000" w:sz="4" w:space="0"/>
              <w:right w:val="single" w:color="000000" w:sz="4" w:space="0"/>
            </w:tcBorders>
            <w:vAlign w:val="center"/>
          </w:tcPr>
          <w:p w14:paraId="699105EA">
            <w:pPr>
              <w:pStyle w:val="281"/>
              <w:tabs>
                <w:tab w:val="left" w:pos="657"/>
              </w:tabs>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lang w:eastAsia="zh-CN"/>
              </w:rPr>
              <w:t>德宏州</w:t>
            </w:r>
          </w:p>
        </w:tc>
        <w:tc>
          <w:tcPr>
            <w:tcW w:w="680" w:type="pct"/>
            <w:tcBorders>
              <w:top w:val="single" w:color="000000" w:sz="4" w:space="0"/>
              <w:left w:val="single" w:color="000000" w:sz="4" w:space="0"/>
              <w:bottom w:val="single" w:color="000000" w:sz="4" w:space="0"/>
              <w:right w:val="single" w:color="000000" w:sz="4" w:space="0"/>
            </w:tcBorders>
            <w:vAlign w:val="center"/>
          </w:tcPr>
          <w:p w14:paraId="6A90075A">
            <w:pPr>
              <w:pStyle w:val="281"/>
              <w:tabs>
                <w:tab w:val="left" w:pos="449"/>
              </w:tabs>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lang w:eastAsia="zh-CN"/>
              </w:rPr>
              <w:t>芒</w:t>
            </w:r>
            <w:r>
              <w:rPr>
                <w:rFonts w:ascii="Times New Roman" w:hAnsi="Times New Roman" w:eastAsia="宋体" w:cs="Times New Roman"/>
                <w:color w:val="000000" w:themeColor="text1"/>
                <w:sz w:val="21"/>
                <w:szCs w:val="21"/>
              </w:rPr>
              <w:t>市</w:t>
            </w:r>
          </w:p>
        </w:tc>
        <w:tc>
          <w:tcPr>
            <w:tcW w:w="681" w:type="pct"/>
            <w:tcBorders>
              <w:top w:val="single" w:color="000000" w:sz="4" w:space="0"/>
              <w:left w:val="single" w:color="000000" w:sz="4" w:space="0"/>
              <w:bottom w:val="single" w:color="000000" w:sz="4" w:space="0"/>
              <w:right w:val="single" w:color="000000" w:sz="4" w:space="0"/>
            </w:tcBorders>
            <w:vAlign w:val="center"/>
          </w:tcPr>
          <w:p w14:paraId="1785024E">
            <w:pPr>
              <w:pStyle w:val="281"/>
              <w:tabs>
                <w:tab w:val="left" w:pos="632"/>
              </w:tabs>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遮放镇</w:t>
            </w:r>
          </w:p>
        </w:tc>
        <w:tc>
          <w:tcPr>
            <w:tcW w:w="992" w:type="pct"/>
            <w:tcBorders>
              <w:top w:val="single" w:color="000000" w:sz="4" w:space="0"/>
              <w:left w:val="single" w:color="000000" w:sz="4" w:space="0"/>
              <w:bottom w:val="single" w:color="000000" w:sz="4" w:space="0"/>
            </w:tcBorders>
            <w:vAlign w:val="center"/>
          </w:tcPr>
          <w:p w14:paraId="2316D468">
            <w:pPr>
              <w:pStyle w:val="281"/>
              <w:tabs>
                <w:tab w:val="left" w:pos="647"/>
              </w:tabs>
              <w:adjustRightInd w:val="0"/>
              <w:ind w:left="105" w:leftChars="50" w:right="105" w:rightChars="5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户拉村委会遮焕村民小组</w:t>
            </w:r>
          </w:p>
        </w:tc>
      </w:tr>
      <w:tr w14:paraId="587C6B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687" w:type="pct"/>
            <w:tcBorders>
              <w:top w:val="single" w:color="000000" w:sz="4" w:space="0"/>
              <w:bottom w:val="single" w:color="000000" w:sz="4" w:space="0"/>
              <w:right w:val="single" w:color="000000" w:sz="4" w:space="0"/>
            </w:tcBorders>
            <w:vAlign w:val="center"/>
          </w:tcPr>
          <w:p w14:paraId="329431A5">
            <w:pPr>
              <w:pStyle w:val="281"/>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地理坐标</w:t>
            </w:r>
          </w:p>
        </w:tc>
        <w:tc>
          <w:tcPr>
            <w:tcW w:w="1279" w:type="pct"/>
            <w:tcBorders>
              <w:top w:val="single" w:color="000000" w:sz="4" w:space="0"/>
              <w:left w:val="single" w:color="000000" w:sz="4" w:space="0"/>
              <w:bottom w:val="single" w:color="000000" w:sz="4" w:space="0"/>
              <w:right w:val="single" w:color="000000" w:sz="4" w:space="0"/>
            </w:tcBorders>
            <w:vAlign w:val="center"/>
          </w:tcPr>
          <w:p w14:paraId="0CD398F5">
            <w:pPr>
              <w:pStyle w:val="281"/>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经度</w:t>
            </w:r>
          </w:p>
        </w:tc>
        <w:tc>
          <w:tcPr>
            <w:tcW w:w="681" w:type="pct"/>
            <w:tcBorders>
              <w:top w:val="single" w:color="000000" w:sz="4" w:space="0"/>
              <w:left w:val="single" w:color="000000" w:sz="4" w:space="0"/>
              <w:bottom w:val="single" w:color="000000" w:sz="4" w:space="0"/>
              <w:right w:val="single" w:color="000000" w:sz="4" w:space="0"/>
            </w:tcBorders>
            <w:vAlign w:val="center"/>
          </w:tcPr>
          <w:p w14:paraId="6DA07BE6">
            <w:pPr>
              <w:adjustRightInd w:val="0"/>
              <w:ind w:left="105" w:leftChars="50" w:right="105" w:rightChars="50"/>
              <w:jc w:val="center"/>
              <w:rPr>
                <w:rFonts w:ascii="Times New Roman" w:hAnsi="Times New Roman" w:cs="Times New Roman" w:eastAsiaTheme="minorEastAsia"/>
                <w:color w:val="000000" w:themeColor="text1"/>
                <w:sz w:val="21"/>
                <w:szCs w:val="21"/>
                <w:lang w:eastAsia="en-US"/>
              </w:rPr>
            </w:pPr>
            <w:r>
              <w:rPr>
                <w:rFonts w:ascii="Times New Roman" w:hAnsi="Times New Roman" w:cs="Times New Roman" w:eastAsiaTheme="minorEastAsia"/>
                <w:color w:val="000000" w:themeColor="text1"/>
                <w:sz w:val="21"/>
                <w:szCs w:val="21"/>
                <w:lang w:eastAsia="en-US"/>
              </w:rPr>
              <w:t>98.182812</w:t>
            </w:r>
          </w:p>
        </w:tc>
        <w:tc>
          <w:tcPr>
            <w:tcW w:w="680" w:type="pct"/>
            <w:tcBorders>
              <w:top w:val="single" w:color="000000" w:sz="4" w:space="0"/>
              <w:left w:val="single" w:color="000000" w:sz="4" w:space="0"/>
              <w:bottom w:val="single" w:color="000000" w:sz="4" w:space="0"/>
              <w:right w:val="single" w:color="000000" w:sz="4" w:space="0"/>
            </w:tcBorders>
            <w:vAlign w:val="center"/>
          </w:tcPr>
          <w:p w14:paraId="7AA9AF3C">
            <w:pPr>
              <w:pStyle w:val="281"/>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纬度</w:t>
            </w:r>
          </w:p>
        </w:tc>
        <w:tc>
          <w:tcPr>
            <w:tcW w:w="1673" w:type="pct"/>
            <w:gridSpan w:val="2"/>
            <w:tcBorders>
              <w:top w:val="single" w:color="000000" w:sz="4" w:space="0"/>
              <w:left w:val="single" w:color="000000" w:sz="4" w:space="0"/>
              <w:bottom w:val="single" w:color="000000" w:sz="4" w:space="0"/>
            </w:tcBorders>
            <w:vAlign w:val="center"/>
          </w:tcPr>
          <w:p w14:paraId="7B6E9CA2">
            <w:pPr>
              <w:adjustRightInd w:val="0"/>
              <w:ind w:left="105" w:leftChars="50" w:right="105" w:rightChars="50"/>
              <w:jc w:val="center"/>
              <w:rPr>
                <w:rFonts w:ascii="Times New Roman" w:hAnsi="Times New Roman" w:cs="Times New Roman" w:eastAsiaTheme="minorEastAsia"/>
                <w:color w:val="000000" w:themeColor="text1"/>
                <w:sz w:val="21"/>
                <w:szCs w:val="21"/>
                <w:lang w:eastAsia="en-US"/>
              </w:rPr>
            </w:pPr>
            <w:r>
              <w:rPr>
                <w:rFonts w:ascii="Times New Roman" w:hAnsi="Times New Roman" w:cs="Times New Roman" w:eastAsiaTheme="minorEastAsia"/>
                <w:color w:val="000000" w:themeColor="text1"/>
                <w:sz w:val="21"/>
                <w:szCs w:val="21"/>
                <w:lang w:eastAsia="en-US"/>
              </w:rPr>
              <w:t>24.180257</w:t>
            </w:r>
          </w:p>
        </w:tc>
      </w:tr>
      <w:tr w14:paraId="427641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687" w:type="pct"/>
            <w:tcBorders>
              <w:top w:val="single" w:color="000000" w:sz="4" w:space="0"/>
              <w:bottom w:val="single" w:color="000000" w:sz="4" w:space="0"/>
              <w:right w:val="single" w:color="000000" w:sz="4" w:space="0"/>
            </w:tcBorders>
            <w:vAlign w:val="center"/>
          </w:tcPr>
          <w:p w14:paraId="3EAABCC7">
            <w:pPr>
              <w:pStyle w:val="281"/>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主要危险物质及分布</w:t>
            </w:r>
          </w:p>
        </w:tc>
        <w:tc>
          <w:tcPr>
            <w:tcW w:w="4313" w:type="pct"/>
            <w:gridSpan w:val="5"/>
            <w:tcBorders>
              <w:top w:val="single" w:color="000000" w:sz="4" w:space="0"/>
              <w:left w:val="single" w:color="000000" w:sz="4" w:space="0"/>
              <w:bottom w:val="single" w:color="000000" w:sz="4" w:space="0"/>
            </w:tcBorders>
            <w:vAlign w:val="center"/>
          </w:tcPr>
          <w:p w14:paraId="1659F02D">
            <w:pPr>
              <w:adjustRightInd w:val="0"/>
              <w:ind w:left="105" w:leftChars="50" w:right="105" w:rightChars="50" w:firstLine="420" w:firstLineChars="200"/>
              <w:rPr>
                <w:rFonts w:ascii="Times New Roman" w:hAnsi="Times New Roman" w:cs="Times New Roman" w:eastAsiaTheme="minorEastAsia"/>
                <w:color w:val="000000" w:themeColor="text1"/>
                <w:sz w:val="21"/>
                <w:szCs w:val="21"/>
                <w:lang w:eastAsia="zh-CN"/>
              </w:rPr>
            </w:pPr>
            <w:r>
              <w:rPr>
                <w:rFonts w:ascii="Times New Roman" w:hAnsi="Times New Roman" w:cs="Times New Roman" w:eastAsiaTheme="minorEastAsia"/>
                <w:color w:val="000000" w:themeColor="text1"/>
                <w:sz w:val="21"/>
                <w:szCs w:val="21"/>
                <w:lang w:eastAsia="zh-CN"/>
              </w:rPr>
              <w:t>本项目在生产过程中使用的主要原材料为废塑料（主要成分PP、PE），产品为塑料颗粒及编织袋，根据HJ/T169-2018《建设项目环境风险评价技术导则》附录B，项目生产过程中不涉及环境风险物质。</w:t>
            </w:r>
          </w:p>
        </w:tc>
      </w:tr>
      <w:tr w14:paraId="3AECF2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687" w:type="pct"/>
            <w:tcBorders>
              <w:top w:val="single" w:color="000000" w:sz="4" w:space="0"/>
              <w:bottom w:val="single" w:color="000000" w:sz="4" w:space="0"/>
              <w:right w:val="single" w:color="000000" w:sz="4" w:space="0"/>
            </w:tcBorders>
            <w:vAlign w:val="center"/>
          </w:tcPr>
          <w:p w14:paraId="18390F7B">
            <w:pPr>
              <w:pStyle w:val="281"/>
              <w:adjustRightInd w:val="0"/>
              <w:ind w:left="105" w:leftChars="50" w:right="105" w:rightChars="5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环境影响途径及危害后果</w:t>
            </w:r>
          </w:p>
        </w:tc>
        <w:tc>
          <w:tcPr>
            <w:tcW w:w="4313" w:type="pct"/>
            <w:gridSpan w:val="5"/>
            <w:tcBorders>
              <w:top w:val="single" w:color="000000" w:sz="4" w:space="0"/>
              <w:left w:val="single" w:color="000000" w:sz="4" w:space="0"/>
              <w:bottom w:val="single" w:color="000000" w:sz="4" w:space="0"/>
            </w:tcBorders>
            <w:vAlign w:val="center"/>
          </w:tcPr>
          <w:p w14:paraId="2C2E1FEB">
            <w:pPr>
              <w:adjustRightInd w:val="0"/>
              <w:ind w:left="105" w:leftChars="50" w:right="105" w:rightChars="50" w:firstLine="420" w:firstLineChars="200"/>
              <w:rPr>
                <w:rFonts w:ascii="Times New Roman" w:hAnsi="Times New Roman" w:cs="Times New Roman" w:eastAsiaTheme="minorEastAsia"/>
                <w:color w:val="000000" w:themeColor="text1"/>
                <w:sz w:val="21"/>
                <w:szCs w:val="21"/>
                <w:lang w:eastAsia="zh-CN"/>
              </w:rPr>
            </w:pPr>
            <w:r>
              <w:rPr>
                <w:rFonts w:ascii="Times New Roman" w:hAnsi="Times New Roman" w:cs="Times New Roman" w:eastAsiaTheme="minorEastAsia"/>
                <w:color w:val="000000" w:themeColor="text1"/>
                <w:sz w:val="21"/>
                <w:szCs w:val="21"/>
                <w:lang w:eastAsia="zh-CN"/>
              </w:rPr>
              <w:t>本项目原料废塑料及产品再生塑料颗粒易燃，在原料区、生产车间及成品存放区发生火灾，燃烧后释放CO等有害废气进入空气中，将威胁作业人员的生命安全，并对周围环境空气产生影响。发生火灾事故后，会产生大量的消防污水， 如果下渗或者外排则会造成地下水和地表水污染。</w:t>
            </w:r>
          </w:p>
        </w:tc>
      </w:tr>
      <w:tr w14:paraId="3747C8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687" w:type="pct"/>
            <w:tcBorders>
              <w:top w:val="single" w:color="000000" w:sz="4" w:space="0"/>
              <w:bottom w:val="single" w:color="000000" w:sz="4" w:space="0"/>
              <w:right w:val="single" w:color="000000" w:sz="4" w:space="0"/>
            </w:tcBorders>
            <w:vAlign w:val="center"/>
          </w:tcPr>
          <w:p w14:paraId="53CDF45E">
            <w:pPr>
              <w:pStyle w:val="281"/>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风险防范措施要求</w:t>
            </w:r>
          </w:p>
        </w:tc>
        <w:tc>
          <w:tcPr>
            <w:tcW w:w="4313" w:type="pct"/>
            <w:gridSpan w:val="5"/>
            <w:tcBorders>
              <w:top w:val="single" w:color="000000" w:sz="4" w:space="0"/>
              <w:left w:val="single" w:color="000000" w:sz="4" w:space="0"/>
              <w:bottom w:val="single" w:color="000000" w:sz="4" w:space="0"/>
            </w:tcBorders>
            <w:vAlign w:val="center"/>
          </w:tcPr>
          <w:p w14:paraId="31D856F4">
            <w:pPr>
              <w:adjustRightInd w:val="0"/>
              <w:ind w:left="105" w:leftChars="50" w:right="105" w:rightChars="50" w:firstLine="420" w:firstLineChars="200"/>
              <w:rPr>
                <w:rFonts w:ascii="Times New Roman" w:hAnsi="Times New Roman" w:cs="Times New Roman" w:eastAsiaTheme="minorEastAsia"/>
                <w:color w:val="000000" w:themeColor="text1"/>
                <w:sz w:val="21"/>
                <w:szCs w:val="21"/>
                <w:lang w:eastAsia="zh-CN"/>
              </w:rPr>
            </w:pPr>
            <w:r>
              <w:rPr>
                <w:rFonts w:ascii="Times New Roman" w:hAnsi="Times New Roman" w:cs="Times New Roman" w:eastAsiaTheme="minorEastAsia"/>
                <w:color w:val="000000" w:themeColor="text1"/>
                <w:sz w:val="21"/>
                <w:szCs w:val="21"/>
                <w:lang w:eastAsia="zh-CN"/>
              </w:rPr>
              <w:t>1、消除和控制明火源：在生产区及原料区及成品存放区内设置严禁烟火标志，严禁携带火柴、打火机等；在各厂房处配灭火器、消防栓、消防沙等消  防物资，以便及时扑灭初期火灾。</w:t>
            </w:r>
          </w:p>
          <w:p w14:paraId="3983B44D">
            <w:pPr>
              <w:adjustRightInd w:val="0"/>
              <w:ind w:left="105" w:leftChars="50" w:right="105" w:rightChars="50" w:firstLine="420" w:firstLineChars="200"/>
              <w:rPr>
                <w:rFonts w:ascii="Times New Roman" w:hAnsi="Times New Roman" w:cs="Times New Roman" w:eastAsiaTheme="minorEastAsia"/>
                <w:color w:val="000000" w:themeColor="text1"/>
                <w:sz w:val="21"/>
                <w:szCs w:val="21"/>
                <w:lang w:eastAsia="zh-CN"/>
              </w:rPr>
            </w:pPr>
            <w:r>
              <w:rPr>
                <w:rFonts w:ascii="Times New Roman" w:hAnsi="Times New Roman" w:cs="Times New Roman" w:eastAsiaTheme="minorEastAsia"/>
                <w:color w:val="000000" w:themeColor="text1"/>
                <w:sz w:val="21"/>
                <w:szCs w:val="21"/>
                <w:lang w:eastAsia="zh-CN"/>
              </w:rPr>
              <w:t>2、防止电气火花：采取有效措施防止电气线路和电气设施在开关断开、接触不良、短路、漏电时产生火花，防止静电放电火花；采取防雷接地措施，  防止雷电放电火花。</w:t>
            </w:r>
          </w:p>
          <w:p w14:paraId="10C51288">
            <w:pPr>
              <w:adjustRightInd w:val="0"/>
              <w:ind w:left="105" w:leftChars="50" w:right="105" w:rightChars="50" w:firstLine="420" w:firstLineChars="200"/>
              <w:rPr>
                <w:rFonts w:ascii="Times New Roman" w:hAnsi="Times New Roman" w:cs="Times New Roman" w:eastAsiaTheme="minorEastAsia"/>
                <w:color w:val="000000" w:themeColor="text1"/>
                <w:sz w:val="21"/>
                <w:szCs w:val="21"/>
                <w:lang w:eastAsia="zh-CN"/>
              </w:rPr>
            </w:pPr>
            <w:r>
              <w:rPr>
                <w:rFonts w:ascii="Times New Roman" w:hAnsi="Times New Roman" w:cs="Times New Roman" w:eastAsiaTheme="minorEastAsia"/>
                <w:color w:val="000000" w:themeColor="text1"/>
                <w:sz w:val="21"/>
                <w:szCs w:val="21"/>
                <w:lang w:eastAsia="zh-CN"/>
              </w:rPr>
              <w:t>3、原料、成品储存于阴凉、通风处。库温不超过 30℃，相对湿度不超过 85％ 保持干燥通风。</w:t>
            </w:r>
          </w:p>
          <w:p w14:paraId="3377BA15">
            <w:pPr>
              <w:adjustRightInd w:val="0"/>
              <w:ind w:left="105" w:leftChars="50" w:right="105" w:rightChars="50" w:firstLine="420" w:firstLineChars="200"/>
              <w:rPr>
                <w:rFonts w:ascii="Times New Roman" w:hAnsi="Times New Roman" w:cs="Times New Roman" w:eastAsiaTheme="minorEastAsia"/>
                <w:color w:val="000000" w:themeColor="text1"/>
                <w:sz w:val="21"/>
                <w:szCs w:val="21"/>
                <w:lang w:eastAsia="zh-CN"/>
              </w:rPr>
            </w:pPr>
            <w:r>
              <w:rPr>
                <w:rFonts w:ascii="Times New Roman" w:hAnsi="Times New Roman" w:cs="Times New Roman" w:eastAsiaTheme="minorEastAsia"/>
                <w:color w:val="000000" w:themeColor="text1"/>
                <w:sz w:val="21"/>
                <w:szCs w:val="21"/>
                <w:lang w:eastAsia="zh-CN"/>
              </w:rPr>
              <w:t>4、定期对原料使用过程中的相关人员，如联络员、仓管员、直接使用人员  进行过程监查，定期对上述人员进行相关知识教育和岗位职责培训。</w:t>
            </w:r>
          </w:p>
          <w:p w14:paraId="20FBC0D5">
            <w:pPr>
              <w:adjustRightInd w:val="0"/>
              <w:ind w:left="105" w:leftChars="50" w:right="105" w:rightChars="50" w:firstLine="420" w:firstLineChars="200"/>
              <w:rPr>
                <w:rFonts w:ascii="Times New Roman" w:hAnsi="Times New Roman" w:cs="Times New Roman" w:eastAsiaTheme="minorEastAsia"/>
                <w:color w:val="000000" w:themeColor="text1"/>
                <w:sz w:val="21"/>
                <w:szCs w:val="21"/>
                <w:lang w:eastAsia="zh-CN"/>
              </w:rPr>
            </w:pPr>
            <w:r>
              <w:rPr>
                <w:rFonts w:ascii="Times New Roman" w:hAnsi="Times New Roman" w:cs="Times New Roman" w:eastAsiaTheme="minorEastAsia"/>
                <w:color w:val="000000" w:themeColor="text1"/>
                <w:sz w:val="21"/>
                <w:szCs w:val="21"/>
                <w:lang w:eastAsia="zh-CN"/>
              </w:rPr>
              <w:t>5、严格控制原料品质，做到从源头防控风险事故，PVC 等含卤素的废塑料不得用于本项目生产造粒，严禁收购医疗废物及危险废物类废塑料。</w:t>
            </w:r>
          </w:p>
        </w:tc>
      </w:tr>
      <w:tr w14:paraId="7A8230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jc w:val="center"/>
        </w:trPr>
        <w:tc>
          <w:tcPr>
            <w:tcW w:w="5000" w:type="pct"/>
            <w:gridSpan w:val="6"/>
            <w:tcBorders>
              <w:top w:val="single" w:color="000000" w:sz="4" w:space="0"/>
            </w:tcBorders>
            <w:vAlign w:val="center"/>
          </w:tcPr>
          <w:p w14:paraId="60F378FB">
            <w:pPr>
              <w:pStyle w:val="281"/>
              <w:adjustRightInd w:val="0"/>
              <w:ind w:left="105" w:leftChars="50" w:right="105" w:rightChars="5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填表说明（列出项目相关信息及评价说明</w:t>
            </w:r>
            <w:r>
              <w:rPr>
                <w:rFonts w:ascii="Times New Roman" w:hAnsi="Times New Roman" w:eastAsia="宋体" w:cs="Times New Roman"/>
                <w:color w:val="000000" w:themeColor="text1"/>
                <w:spacing w:val="-90"/>
                <w:sz w:val="21"/>
                <w:szCs w:val="21"/>
                <w:lang w:eastAsia="zh-CN"/>
              </w:rPr>
              <w:t>）</w:t>
            </w:r>
            <w:r>
              <w:rPr>
                <w:rFonts w:ascii="Times New Roman" w:hAnsi="Times New Roman" w:eastAsia="宋体" w:cs="Times New Roman"/>
                <w:color w:val="000000" w:themeColor="text1"/>
                <w:sz w:val="21"/>
                <w:szCs w:val="21"/>
                <w:lang w:eastAsia="zh-CN"/>
              </w:rPr>
              <w:t>：无</w:t>
            </w:r>
          </w:p>
        </w:tc>
      </w:tr>
    </w:tbl>
    <w:p w14:paraId="3D387029">
      <w:pPr>
        <w:spacing w:line="357" w:lineRule="auto"/>
        <w:sectPr>
          <w:pgSz w:w="11910" w:h="16840"/>
          <w:pgMar w:top="1480" w:right="1540" w:bottom="1280" w:left="1560" w:header="0" w:footer="1081" w:gutter="0"/>
          <w:cols w:space="720" w:num="1"/>
        </w:sectPr>
      </w:pPr>
    </w:p>
    <w:p w14:paraId="5E782E9E">
      <w:pPr>
        <w:pStyle w:val="38"/>
        <w:rPr>
          <w:rFonts w:ascii="Times New Roman" w:hAnsi="Times New Roman"/>
          <w:color w:val="000000" w:themeColor="text1"/>
        </w:rPr>
      </w:pPr>
      <w:bookmarkStart w:id="431" w:name="_Toc28117726"/>
      <w:bookmarkStart w:id="432" w:name="_Toc331412280"/>
      <w:bookmarkStart w:id="433" w:name="_Toc374151572"/>
      <w:r>
        <w:rPr>
          <w:rFonts w:ascii="Times New Roman" w:hAnsi="Times New Roman"/>
          <w:color w:val="000000" w:themeColor="text1"/>
        </w:rPr>
        <w:t>8产业政策及相关规划符合性分析</w:t>
      </w:r>
      <w:bookmarkEnd w:id="431"/>
    </w:p>
    <w:p w14:paraId="492D1AFC">
      <w:pPr>
        <w:pStyle w:val="4"/>
        <w:rPr>
          <w:rFonts w:ascii="Times New Roman" w:hAnsi="Times New Roman"/>
          <w:color w:val="000000" w:themeColor="text1"/>
        </w:rPr>
      </w:pPr>
      <w:bookmarkStart w:id="434" w:name="_Toc28117727"/>
      <w:r>
        <w:rPr>
          <w:rFonts w:ascii="Times New Roman" w:hAnsi="Times New Roman"/>
          <w:color w:val="000000" w:themeColor="text1"/>
        </w:rPr>
        <w:t>8.1产业政策符合性分析</w:t>
      </w:r>
      <w:bookmarkEnd w:id="434"/>
    </w:p>
    <w:p w14:paraId="39FA9D55">
      <w:pPr>
        <w:pStyle w:val="114"/>
        <w:rPr>
          <w:color w:val="000000" w:themeColor="text1"/>
        </w:rPr>
      </w:pPr>
      <w:r>
        <w:rPr>
          <w:color w:val="000000" w:themeColor="text1"/>
        </w:rPr>
        <w:t>根据国家发展改革委《国家产业结构调整指导目录（2019年本）》，本项目属于国家鼓励类第三十八类”环境保护与资源节约综合利用”中的第28条“再生资源回收利用产业化”。</w:t>
      </w:r>
    </w:p>
    <w:p w14:paraId="36C6EE63">
      <w:pPr>
        <w:pStyle w:val="114"/>
        <w:rPr>
          <w:color w:val="000000" w:themeColor="text1"/>
        </w:rPr>
      </w:pPr>
      <w:r>
        <w:rPr>
          <w:color w:val="000000" w:themeColor="text1"/>
        </w:rPr>
        <w:t>因此，项目符合国家产业政策。</w:t>
      </w:r>
    </w:p>
    <w:p w14:paraId="53C94D44">
      <w:pPr>
        <w:pStyle w:val="4"/>
        <w:rPr>
          <w:rFonts w:ascii="Times New Roman" w:hAnsi="Times New Roman"/>
          <w:color w:val="000000" w:themeColor="text1"/>
        </w:rPr>
      </w:pPr>
      <w:bookmarkStart w:id="435" w:name="_Toc28117728"/>
      <w:r>
        <w:rPr>
          <w:rFonts w:ascii="Times New Roman" w:hAnsi="Times New Roman"/>
          <w:color w:val="000000" w:themeColor="text1"/>
        </w:rPr>
        <w:t>8.2与相关规划符合性分析、选址符合性分析</w:t>
      </w:r>
      <w:bookmarkEnd w:id="435"/>
    </w:p>
    <w:p w14:paraId="0335C7B8">
      <w:pPr>
        <w:adjustRightInd w:val="0"/>
        <w:snapToGrid w:val="0"/>
        <w:spacing w:line="360" w:lineRule="auto"/>
        <w:ind w:firstLine="482" w:firstLineChars="200"/>
        <w:rPr>
          <w:b/>
          <w:color w:val="000000" w:themeColor="text1"/>
          <w:sz w:val="24"/>
        </w:rPr>
      </w:pPr>
      <w:r>
        <w:rPr>
          <w:b/>
          <w:color w:val="000000" w:themeColor="text1"/>
          <w:sz w:val="24"/>
        </w:rPr>
        <w:t>1、与相关规划符合性分析</w:t>
      </w:r>
    </w:p>
    <w:p w14:paraId="32AB4540">
      <w:pPr>
        <w:adjustRightInd w:val="0"/>
        <w:snapToGrid w:val="0"/>
        <w:spacing w:line="360" w:lineRule="auto"/>
        <w:ind w:firstLine="480" w:firstLineChars="200"/>
        <w:rPr>
          <w:bCs/>
          <w:color w:val="000000" w:themeColor="text1"/>
          <w:sz w:val="24"/>
        </w:rPr>
      </w:pPr>
      <w:r>
        <w:rPr>
          <w:color w:val="000000" w:themeColor="text1"/>
          <w:sz w:val="24"/>
        </w:rPr>
        <w:t>本项目位于云南省德宏州芒市遮放镇户拉村委会遮焕村民小组盛达泰硅业厂区内，根据</w:t>
      </w:r>
      <w:r>
        <w:rPr>
          <w:bCs/>
          <w:color w:val="000000" w:themeColor="text1"/>
          <w:sz w:val="24"/>
        </w:rPr>
        <w:t>土地证明，本项目选址不属于农业用地和林业用地，为</w:t>
      </w:r>
      <w:r>
        <w:rPr>
          <w:rFonts w:eastAsiaTheme="minorEastAsia"/>
          <w:color w:val="000000" w:themeColor="text1"/>
          <w:sz w:val="24"/>
        </w:rPr>
        <w:t>租用盛达泰硅业的土地</w:t>
      </w:r>
      <w:r>
        <w:rPr>
          <w:bCs/>
          <w:color w:val="000000" w:themeColor="text1"/>
          <w:sz w:val="24"/>
        </w:rPr>
        <w:t>，本项目不新增用地，不涉及生态红线。</w:t>
      </w:r>
    </w:p>
    <w:p w14:paraId="32B47B0E">
      <w:pPr>
        <w:adjustRightInd w:val="0"/>
        <w:snapToGrid w:val="0"/>
        <w:spacing w:line="360" w:lineRule="auto"/>
        <w:ind w:firstLine="480" w:firstLineChars="200"/>
        <w:rPr>
          <w:bCs/>
          <w:color w:val="000000" w:themeColor="text1"/>
          <w:sz w:val="24"/>
        </w:rPr>
      </w:pPr>
      <w:r>
        <w:rPr>
          <w:bCs/>
          <w:color w:val="000000" w:themeColor="text1"/>
          <w:sz w:val="24"/>
        </w:rPr>
        <w:t>同时</w:t>
      </w:r>
      <w:r>
        <w:rPr>
          <w:color w:val="000000" w:themeColor="text1"/>
          <w:sz w:val="24"/>
        </w:rPr>
        <w:t>选址不属于《德宏州域城镇体系规划（2011~2030）》用地范围，</w:t>
      </w:r>
      <w:r>
        <w:rPr>
          <w:bCs/>
          <w:color w:val="000000" w:themeColor="text1"/>
          <w:sz w:val="24"/>
        </w:rPr>
        <w:t xml:space="preserve">建设项目与《德宏州域城镇体系规划（2011~2030）》的总体规划定位分析不冲突； </w:t>
      </w:r>
    </w:p>
    <w:p w14:paraId="33C028E4">
      <w:pPr>
        <w:adjustRightInd w:val="0"/>
        <w:snapToGrid w:val="0"/>
        <w:spacing w:line="360" w:lineRule="auto"/>
        <w:ind w:firstLine="480" w:firstLineChars="200"/>
        <w:rPr>
          <w:bCs/>
          <w:color w:val="000000" w:themeColor="text1"/>
          <w:sz w:val="24"/>
        </w:rPr>
      </w:pPr>
      <w:r>
        <w:rPr>
          <w:bCs/>
          <w:color w:val="000000" w:themeColor="text1"/>
          <w:sz w:val="24"/>
        </w:rPr>
        <w:t>综上，建设项目符合相关规划要求。</w:t>
      </w:r>
    </w:p>
    <w:p w14:paraId="718F005F">
      <w:pPr>
        <w:adjustRightInd w:val="0"/>
        <w:snapToGrid w:val="0"/>
        <w:spacing w:line="360" w:lineRule="auto"/>
        <w:ind w:firstLine="482" w:firstLineChars="200"/>
        <w:rPr>
          <w:b/>
          <w:color w:val="000000" w:themeColor="text1"/>
          <w:sz w:val="24"/>
        </w:rPr>
      </w:pPr>
      <w:r>
        <w:rPr>
          <w:b/>
          <w:color w:val="000000" w:themeColor="text1"/>
          <w:sz w:val="24"/>
        </w:rPr>
        <w:t>2、选址合理性分析</w:t>
      </w:r>
    </w:p>
    <w:p w14:paraId="094C8306">
      <w:pPr>
        <w:spacing w:line="360" w:lineRule="auto"/>
        <w:ind w:firstLine="480" w:firstLineChars="200"/>
        <w:jc w:val="left"/>
        <w:rPr>
          <w:color w:val="000000" w:themeColor="text1"/>
          <w:sz w:val="24"/>
        </w:rPr>
      </w:pPr>
      <w:r>
        <w:rPr>
          <w:color w:val="000000" w:themeColor="text1"/>
          <w:sz w:val="24"/>
        </w:rPr>
        <w:t>本项目选址于</w:t>
      </w:r>
      <w:r>
        <w:rPr>
          <w:bCs/>
          <w:color w:val="000000" w:themeColor="text1"/>
          <w:sz w:val="24"/>
        </w:rPr>
        <w:t>云南省德宏州芒市遮放镇户拉村委会遮焕村民小组盛达泰硅业厂区内</w:t>
      </w:r>
      <w:r>
        <w:rPr>
          <w:color w:val="000000" w:themeColor="text1"/>
          <w:sz w:val="24"/>
        </w:rPr>
        <w:t>，租用盛达泰硅业的土地。与项目拟建厂址最近的敏感目标为西北侧820m的排鲁村，根据预测关心点预测颗粒物（TSP）预测值能达GB3095－2012《环境空气质量标准》二级标准，非甲烷总烃污染物预测值能满足《大气污染物综合排放标准详解》中2mg/m</w:t>
      </w:r>
      <w:r>
        <w:rPr>
          <w:color w:val="000000" w:themeColor="text1"/>
          <w:sz w:val="24"/>
          <w:vertAlign w:val="superscript"/>
        </w:rPr>
        <w:t>3</w:t>
      </w:r>
      <w:r>
        <w:rPr>
          <w:color w:val="000000" w:themeColor="text1"/>
          <w:sz w:val="24"/>
        </w:rPr>
        <w:t>要求，项目设备均为小型精密设备，噪声源不大，最大为破碎噪声，根据预测，项目建设对周围环境声环境的影响可接受。</w:t>
      </w:r>
    </w:p>
    <w:p w14:paraId="48B42EB9">
      <w:pPr>
        <w:adjustRightInd w:val="0"/>
        <w:snapToGrid w:val="0"/>
        <w:spacing w:line="360" w:lineRule="auto"/>
        <w:ind w:firstLine="480" w:firstLineChars="200"/>
        <w:jc w:val="left"/>
        <w:rPr>
          <w:color w:val="000000" w:themeColor="text1"/>
          <w:sz w:val="24"/>
        </w:rPr>
      </w:pPr>
      <w:r>
        <w:rPr>
          <w:color w:val="000000" w:themeColor="text1"/>
          <w:sz w:val="24"/>
        </w:rPr>
        <w:t>项目拟建地貌单一，地质构造稳定，无影响地质的大断裂和不良地质现象，适宜建筑，满足项目建设需要。项目不占用基本农田，评价范围内无国家、省、市级自然保护区、风景名胜区、饮用水源保护区、重要人文设施、旅游景观等敏感目标，符合《废塑料综合利用行业规范条件》选址要求。</w:t>
      </w:r>
    </w:p>
    <w:p w14:paraId="5411842A">
      <w:pPr>
        <w:adjustRightInd w:val="0"/>
        <w:snapToGrid w:val="0"/>
        <w:spacing w:line="360" w:lineRule="auto"/>
        <w:ind w:firstLine="480" w:firstLineChars="200"/>
        <w:jc w:val="left"/>
        <w:rPr>
          <w:color w:val="000000" w:themeColor="text1"/>
          <w:sz w:val="24"/>
        </w:rPr>
      </w:pPr>
      <w:r>
        <w:rPr>
          <w:color w:val="000000" w:themeColor="text1"/>
          <w:sz w:val="24"/>
        </w:rPr>
        <w:t>本项目以电为主要能源，主要污染物为废水、废气、固废，采取相应的措施后，对环境的影响程度和范围可为周围环境所接受，从环境保护角度分析，本项目选址是可行的。</w:t>
      </w:r>
    </w:p>
    <w:p w14:paraId="2E385903">
      <w:pPr>
        <w:pStyle w:val="4"/>
        <w:rPr>
          <w:rFonts w:ascii="Times New Roman" w:hAnsi="Times New Roman"/>
          <w:color w:val="000000" w:themeColor="text1"/>
        </w:rPr>
      </w:pPr>
      <w:bookmarkStart w:id="436" w:name="_Toc28117729"/>
      <w:r>
        <w:rPr>
          <w:rFonts w:ascii="Times New Roman" w:hAnsi="Times New Roman"/>
          <w:color w:val="000000" w:themeColor="text1"/>
        </w:rPr>
        <w:t>8.3平面布置合理性分析</w:t>
      </w:r>
      <w:bookmarkEnd w:id="436"/>
    </w:p>
    <w:p w14:paraId="1322F2C3">
      <w:pPr>
        <w:spacing w:line="360" w:lineRule="auto"/>
        <w:ind w:firstLine="480" w:firstLineChars="200"/>
        <w:rPr>
          <w:color w:val="000000" w:themeColor="text1"/>
          <w:sz w:val="24"/>
        </w:rPr>
      </w:pPr>
      <w:r>
        <w:rPr>
          <w:color w:val="000000" w:themeColor="text1"/>
          <w:sz w:val="24"/>
        </w:rPr>
        <w:t>《废塑料回收与再生利用污染控制技术规范》HJ/T364-2007中规定，再生利用项目必须建有围墙并按功能划分厂区，本项目产区呈矩形，将厂区划分为生产区、成品仓库、原料仓库及办公区，各功能区有明显的界限和标志。</w:t>
      </w:r>
    </w:p>
    <w:p w14:paraId="56827B71">
      <w:pPr>
        <w:spacing w:line="360" w:lineRule="auto"/>
        <w:ind w:firstLine="480" w:firstLineChars="200"/>
        <w:rPr>
          <w:color w:val="000000" w:themeColor="text1"/>
          <w:sz w:val="24"/>
        </w:rPr>
      </w:pPr>
      <w:r>
        <w:rPr>
          <w:color w:val="000000" w:themeColor="text1"/>
          <w:sz w:val="24"/>
        </w:rPr>
        <w:t>生产区：本项目设一座生产车间，位于厂区中西部，利用原有硅厂厂房建设，分为四个区，1#、2#生产厂房内，用于塑料破碎、清洗生产+塑料造粒，4#生产厂房用于编织袋生产，3#厂房用于原料及成品储存。</w:t>
      </w:r>
    </w:p>
    <w:p w14:paraId="7CEFF86D">
      <w:pPr>
        <w:spacing w:line="360" w:lineRule="auto"/>
        <w:ind w:firstLine="480" w:firstLineChars="200"/>
        <w:rPr>
          <w:color w:val="000000" w:themeColor="text1"/>
          <w:sz w:val="24"/>
        </w:rPr>
      </w:pPr>
      <w:r>
        <w:rPr>
          <w:color w:val="000000" w:themeColor="text1"/>
          <w:sz w:val="24"/>
        </w:rPr>
        <w:t>办公区：设办公室，位于生产区北侧，全年主导风向的侧风向，可有效减小生产车间废气对办公室的影响。</w:t>
      </w:r>
    </w:p>
    <w:p w14:paraId="763F88D4">
      <w:pPr>
        <w:spacing w:line="360" w:lineRule="auto"/>
        <w:ind w:firstLine="480" w:firstLineChars="200"/>
        <w:rPr>
          <w:color w:val="000000" w:themeColor="text1"/>
          <w:sz w:val="24"/>
        </w:rPr>
      </w:pPr>
      <w:r>
        <w:rPr>
          <w:color w:val="000000" w:themeColor="text1"/>
          <w:sz w:val="24"/>
        </w:rPr>
        <w:t>宿舍：位于生产区东南侧，全年主导风向的上风向，可有效减小生产车间废气对办公室的影响。</w:t>
      </w:r>
    </w:p>
    <w:p w14:paraId="6DEDDBBD">
      <w:pPr>
        <w:spacing w:line="360" w:lineRule="auto"/>
        <w:ind w:firstLine="480"/>
        <w:rPr>
          <w:color w:val="000000" w:themeColor="text1"/>
          <w:sz w:val="24"/>
        </w:rPr>
      </w:pPr>
      <w:r>
        <w:rPr>
          <w:color w:val="000000" w:themeColor="text1"/>
          <w:sz w:val="24"/>
        </w:rPr>
        <w:t>本项目按功能区划分厂区，总图布局符合《废塑料回收与再生利用污染控制技术规范》HJ/T364-2007中相关要求，总图布置合理。</w:t>
      </w:r>
    </w:p>
    <w:p w14:paraId="796B1202">
      <w:pPr>
        <w:pStyle w:val="4"/>
        <w:rPr>
          <w:rFonts w:ascii="Times New Roman" w:hAnsi="Times New Roman"/>
          <w:color w:val="000000" w:themeColor="text1"/>
          <w:kern w:val="0"/>
          <w:szCs w:val="30"/>
        </w:rPr>
      </w:pPr>
      <w:bookmarkStart w:id="437" w:name="_Toc28117730"/>
      <w:r>
        <w:rPr>
          <w:rFonts w:ascii="Times New Roman" w:hAnsi="Times New Roman"/>
          <w:color w:val="000000" w:themeColor="text1"/>
          <w:kern w:val="0"/>
          <w:szCs w:val="30"/>
        </w:rPr>
        <w:t>8.4与塑料行业相关规定的分析</w:t>
      </w:r>
      <w:bookmarkEnd w:id="437"/>
    </w:p>
    <w:p w14:paraId="14B5F779">
      <w:pPr>
        <w:spacing w:line="360" w:lineRule="auto"/>
        <w:ind w:firstLine="482" w:firstLineChars="200"/>
        <w:jc w:val="left"/>
        <w:rPr>
          <w:b/>
          <w:bCs/>
          <w:color w:val="000000" w:themeColor="text1"/>
          <w:sz w:val="24"/>
        </w:rPr>
      </w:pPr>
      <w:r>
        <w:rPr>
          <w:b/>
          <w:color w:val="000000" w:themeColor="text1"/>
          <w:sz w:val="24"/>
        </w:rPr>
        <w:t>1、</w:t>
      </w:r>
      <w:r>
        <w:rPr>
          <w:b/>
          <w:bCs/>
          <w:color w:val="000000" w:themeColor="text1"/>
          <w:sz w:val="24"/>
        </w:rPr>
        <w:t>与《废塑料综合利用行业规范条件》相符性分析</w:t>
      </w:r>
    </w:p>
    <w:p w14:paraId="7B79C2E3">
      <w:pPr>
        <w:snapToGrid w:val="0"/>
        <w:jc w:val="center"/>
        <w:rPr>
          <w:b/>
          <w:color w:val="000000" w:themeColor="text1"/>
          <w:sz w:val="24"/>
        </w:rPr>
      </w:pPr>
      <w:r>
        <w:rPr>
          <w:b/>
          <w:color w:val="000000" w:themeColor="text1"/>
          <w:sz w:val="24"/>
        </w:rPr>
        <w:t>表8.4-1  本项目与《废塑料综合利用行业规范条件》相符性分析表</w:t>
      </w:r>
    </w:p>
    <w:tbl>
      <w:tblPr>
        <w:tblStyle w:val="42"/>
        <w:tblW w:w="9356"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9"/>
        <w:gridCol w:w="3827"/>
      </w:tblGrid>
      <w:tr w14:paraId="0229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529" w:type="dxa"/>
            <w:vAlign w:val="center"/>
          </w:tcPr>
          <w:p w14:paraId="46769BA2">
            <w:pPr>
              <w:jc w:val="center"/>
              <w:rPr>
                <w:b/>
                <w:color w:val="000000" w:themeColor="text1"/>
                <w:szCs w:val="21"/>
              </w:rPr>
            </w:pPr>
            <w:r>
              <w:rPr>
                <w:b/>
                <w:color w:val="000000" w:themeColor="text1"/>
                <w:szCs w:val="21"/>
              </w:rPr>
              <w:t>废塑料综合利用行业规范条件</w:t>
            </w:r>
          </w:p>
        </w:tc>
        <w:tc>
          <w:tcPr>
            <w:tcW w:w="3827" w:type="dxa"/>
          </w:tcPr>
          <w:p w14:paraId="506C84BC">
            <w:pPr>
              <w:jc w:val="center"/>
              <w:rPr>
                <w:rFonts w:eastAsia="黑体"/>
                <w:b/>
                <w:color w:val="000000" w:themeColor="text1"/>
                <w:sz w:val="28"/>
                <w:szCs w:val="28"/>
              </w:rPr>
            </w:pPr>
            <w:r>
              <w:rPr>
                <w:b/>
                <w:color w:val="000000" w:themeColor="text1"/>
                <w:szCs w:val="21"/>
              </w:rPr>
              <w:t>本项目情况</w:t>
            </w:r>
          </w:p>
        </w:tc>
      </w:tr>
      <w:tr w14:paraId="4009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529" w:type="dxa"/>
          </w:tcPr>
          <w:p w14:paraId="7095CDE6">
            <w:pPr>
              <w:ind w:firstLine="422" w:firstLineChars="200"/>
              <w:rPr>
                <w:b/>
                <w:color w:val="000000" w:themeColor="text1"/>
                <w:szCs w:val="21"/>
              </w:rPr>
            </w:pPr>
            <w:r>
              <w:rPr>
                <w:b/>
                <w:color w:val="000000" w:themeColor="text1"/>
                <w:szCs w:val="21"/>
              </w:rPr>
              <w:t>企业的设立和布局</w:t>
            </w:r>
          </w:p>
          <w:p w14:paraId="7C42E3E1">
            <w:pPr>
              <w:ind w:firstLine="420" w:firstLineChars="200"/>
              <w:rPr>
                <w:color w:val="000000" w:themeColor="text1"/>
                <w:szCs w:val="21"/>
              </w:rPr>
            </w:pPr>
            <w:r>
              <w:rPr>
                <w:color w:val="000000" w:themeColor="text1"/>
                <w:szCs w:val="21"/>
              </w:rPr>
              <w:t>(1)废塑料综合利用企业所涉及的热塑性废塑料原料，不包括受到危险化学品、农药等污染的废弃塑料包装物、废弃一次性医疗用塑料制品等塑料类危险废物，以及氟塑料等特种工程塑料。</w:t>
            </w:r>
          </w:p>
          <w:p w14:paraId="366E0DE9">
            <w:pPr>
              <w:ind w:firstLine="420" w:firstLineChars="200"/>
              <w:rPr>
                <w:color w:val="000000" w:themeColor="text1"/>
                <w:szCs w:val="21"/>
              </w:rPr>
            </w:pPr>
            <w:r>
              <w:rPr>
                <w:color w:val="000000" w:themeColor="text1"/>
                <w:szCs w:val="21"/>
              </w:rPr>
              <w:t>(2)新建及改造、扩建废塑料加工企业应符合国家产业政策及所在地区土地利用总体规划、城乡建设规划、环境保护、污染防治规划。企业建设应有规范化设计要求，采用节能环保技术及生产装备。</w:t>
            </w:r>
          </w:p>
          <w:p w14:paraId="277AB5A4">
            <w:pPr>
              <w:ind w:firstLine="420" w:firstLineChars="200"/>
              <w:rPr>
                <w:b/>
                <w:color w:val="000000" w:themeColor="text1"/>
                <w:szCs w:val="21"/>
              </w:rPr>
            </w:pPr>
            <w:r>
              <w:rPr>
                <w:color w:val="000000" w:themeColor="text1"/>
                <w:szCs w:val="21"/>
              </w:rPr>
              <w:t>(3)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3827" w:type="dxa"/>
          </w:tcPr>
          <w:p w14:paraId="641E9C9B">
            <w:pPr>
              <w:ind w:firstLine="420" w:firstLineChars="200"/>
              <w:rPr>
                <w:color w:val="000000" w:themeColor="text1"/>
                <w:szCs w:val="21"/>
              </w:rPr>
            </w:pPr>
            <w:r>
              <w:rPr>
                <w:color w:val="000000" w:themeColor="text1"/>
                <w:szCs w:val="21"/>
              </w:rPr>
              <w:t>(1)本项目原料为废塑料瓶等，主要成分为PE、PP等，不含废汽车配件、废机油桶、危险废物等。</w:t>
            </w:r>
          </w:p>
          <w:p w14:paraId="4C13E4CF">
            <w:pPr>
              <w:ind w:firstLine="420" w:firstLineChars="200"/>
              <w:rPr>
                <w:color w:val="000000" w:themeColor="text1"/>
                <w:szCs w:val="21"/>
              </w:rPr>
            </w:pPr>
            <w:r>
              <w:rPr>
                <w:color w:val="000000" w:themeColor="text1"/>
                <w:szCs w:val="21"/>
              </w:rPr>
              <w:t>(2)符合产业政策，并正在办理环评手续。本项目均采用节能环保技术及生产装备进行生产。</w:t>
            </w:r>
          </w:p>
          <w:p w14:paraId="05EBD776">
            <w:pPr>
              <w:ind w:firstLine="420" w:firstLineChars="200"/>
              <w:rPr>
                <w:color w:val="000000" w:themeColor="text1"/>
                <w:szCs w:val="21"/>
              </w:rPr>
            </w:pPr>
            <w:r>
              <w:rPr>
                <w:color w:val="000000" w:themeColor="text1"/>
                <w:szCs w:val="21"/>
              </w:rPr>
              <w:t>(3)本项目不在国家法律、法规、规章和规划确定或县级及以上人民政府规定的自然保护区、风景名胜区、饮用水源保护区、基本农田保护区和其他需要特别保护的区域内。</w:t>
            </w:r>
          </w:p>
        </w:tc>
      </w:tr>
      <w:tr w14:paraId="1F92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529" w:type="dxa"/>
          </w:tcPr>
          <w:p w14:paraId="566FCB9B">
            <w:pPr>
              <w:ind w:firstLine="422" w:firstLineChars="200"/>
              <w:jc w:val="left"/>
              <w:rPr>
                <w:b/>
                <w:color w:val="000000" w:themeColor="text1"/>
                <w:szCs w:val="21"/>
              </w:rPr>
            </w:pPr>
            <w:r>
              <w:rPr>
                <w:b/>
                <w:color w:val="000000" w:themeColor="text1"/>
                <w:szCs w:val="21"/>
              </w:rPr>
              <w:t>生产经营规模</w:t>
            </w:r>
          </w:p>
          <w:p w14:paraId="17982D0B">
            <w:pPr>
              <w:snapToGrid w:val="0"/>
              <w:ind w:firstLine="420" w:firstLineChars="200"/>
              <w:jc w:val="left"/>
              <w:rPr>
                <w:color w:val="000000" w:themeColor="text1"/>
                <w:szCs w:val="21"/>
              </w:rPr>
            </w:pPr>
            <w:r>
              <w:rPr>
                <w:color w:val="000000" w:themeColor="text1"/>
                <w:szCs w:val="21"/>
              </w:rPr>
              <w:t>(1)</w:t>
            </w:r>
            <w:r>
              <w:rPr>
                <w:rFonts w:eastAsia="仿宋_GB2312"/>
                <w:color w:val="000000" w:themeColor="text1"/>
                <w:sz w:val="32"/>
                <w:szCs w:val="32"/>
              </w:rPr>
              <w:t xml:space="preserve"> </w:t>
            </w:r>
            <w:r>
              <w:rPr>
                <w:color w:val="000000" w:themeColor="text1"/>
                <w:szCs w:val="21"/>
              </w:rPr>
              <w:t>塑料再生造粒类企业：新建企业年废塑料处理能力不低于5000吨；已建企业年废塑料处理能力不低于3000吨。</w:t>
            </w:r>
          </w:p>
          <w:p w14:paraId="72130CBF">
            <w:pPr>
              <w:ind w:firstLine="420" w:firstLineChars="200"/>
              <w:jc w:val="left"/>
              <w:rPr>
                <w:color w:val="000000" w:themeColor="text1"/>
                <w:szCs w:val="21"/>
              </w:rPr>
            </w:pPr>
            <w:r>
              <w:rPr>
                <w:color w:val="000000" w:themeColor="text1"/>
                <w:szCs w:val="21"/>
              </w:rPr>
              <w:t>(2)企业应具有与生产能力相匹配的厂区作业场地面积。</w:t>
            </w:r>
          </w:p>
        </w:tc>
        <w:tc>
          <w:tcPr>
            <w:tcW w:w="3827" w:type="dxa"/>
          </w:tcPr>
          <w:p w14:paraId="45DF1DC7">
            <w:pPr>
              <w:ind w:firstLine="420" w:firstLineChars="200"/>
              <w:jc w:val="left"/>
              <w:rPr>
                <w:color w:val="000000" w:themeColor="text1"/>
                <w:szCs w:val="21"/>
              </w:rPr>
            </w:pPr>
            <w:r>
              <w:rPr>
                <w:color w:val="000000" w:themeColor="text1"/>
                <w:szCs w:val="21"/>
              </w:rPr>
              <w:t>(1)本项目废塑料再生造粒处理能力为5000吨/年。</w:t>
            </w:r>
          </w:p>
          <w:p w14:paraId="39271385">
            <w:pPr>
              <w:ind w:firstLine="420" w:firstLineChars="200"/>
              <w:jc w:val="left"/>
              <w:rPr>
                <w:color w:val="000000" w:themeColor="text1"/>
                <w:szCs w:val="21"/>
              </w:rPr>
            </w:pPr>
            <w:r>
              <w:rPr>
                <w:color w:val="000000" w:themeColor="text1"/>
                <w:szCs w:val="21"/>
              </w:rPr>
              <w:t>(2)项目具有与生产能力相匹配的厂区作业场地面积。</w:t>
            </w:r>
          </w:p>
          <w:p w14:paraId="30B686FD">
            <w:pPr>
              <w:ind w:firstLine="420" w:firstLineChars="200"/>
              <w:jc w:val="left"/>
              <w:rPr>
                <w:color w:val="000000" w:themeColor="text1"/>
                <w:szCs w:val="21"/>
              </w:rPr>
            </w:pPr>
            <w:r>
              <w:rPr>
                <w:color w:val="000000" w:themeColor="text1"/>
                <w:szCs w:val="21"/>
              </w:rPr>
              <w:t>(3)项目将废塑料破碎、清洗、造粒后外售，提高了资源回收利用效率。</w:t>
            </w:r>
          </w:p>
        </w:tc>
      </w:tr>
      <w:tr w14:paraId="6117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14:paraId="74356116">
            <w:pPr>
              <w:ind w:firstLine="422" w:firstLineChars="200"/>
              <w:rPr>
                <w:b/>
                <w:color w:val="000000" w:themeColor="text1"/>
                <w:szCs w:val="21"/>
              </w:rPr>
            </w:pPr>
            <w:r>
              <w:rPr>
                <w:b/>
                <w:color w:val="000000" w:themeColor="text1"/>
                <w:szCs w:val="21"/>
              </w:rPr>
              <w:t>资源综合利用及能耗</w:t>
            </w:r>
          </w:p>
          <w:p w14:paraId="409EE6BC">
            <w:pPr>
              <w:ind w:firstLine="420" w:firstLineChars="200"/>
              <w:rPr>
                <w:color w:val="000000" w:themeColor="text1"/>
                <w:szCs w:val="21"/>
              </w:rPr>
            </w:pPr>
            <w:r>
              <w:rPr>
                <w:color w:val="000000" w:themeColor="text1"/>
                <w:szCs w:val="21"/>
              </w:rPr>
              <w:t>（1）企业应对收集的废塑料进行充分利用，提高资源回收利用效率，不得倾倒、焚烧与填埋。</w:t>
            </w:r>
          </w:p>
          <w:p w14:paraId="24A5D36B">
            <w:pPr>
              <w:ind w:firstLine="420" w:firstLineChars="200"/>
              <w:rPr>
                <w:color w:val="000000" w:themeColor="text1"/>
                <w:szCs w:val="21"/>
              </w:rPr>
            </w:pPr>
            <w:r>
              <w:rPr>
                <w:color w:val="000000" w:themeColor="text1"/>
                <w:szCs w:val="21"/>
              </w:rPr>
              <w:t>（2）塑料再生加工相关生产环节的综合电耗低于500千瓦时/吨废塑料。</w:t>
            </w:r>
          </w:p>
          <w:p w14:paraId="07986D2F">
            <w:pPr>
              <w:ind w:firstLine="420" w:firstLineChars="200"/>
              <w:rPr>
                <w:color w:val="000000" w:themeColor="text1"/>
                <w:szCs w:val="21"/>
              </w:rPr>
            </w:pPr>
            <w:r>
              <w:rPr>
                <w:color w:val="000000" w:themeColor="text1"/>
                <w:szCs w:val="21"/>
              </w:rPr>
              <w:t>（3）塑料再生造粒类企业的综合新水消耗低于0.2吨/吨废塑料。</w:t>
            </w:r>
          </w:p>
        </w:tc>
        <w:tc>
          <w:tcPr>
            <w:tcW w:w="3827" w:type="dxa"/>
          </w:tcPr>
          <w:p w14:paraId="0A9EDB22">
            <w:pPr>
              <w:ind w:firstLine="420" w:firstLineChars="200"/>
              <w:rPr>
                <w:color w:val="000000" w:themeColor="text1"/>
                <w:szCs w:val="21"/>
              </w:rPr>
            </w:pPr>
            <w:r>
              <w:rPr>
                <w:color w:val="000000" w:themeColor="text1"/>
                <w:szCs w:val="21"/>
              </w:rPr>
              <w:t>（1）项目将废塑料破碎、清洗、造粒后外售，提高资源回收利用效率；</w:t>
            </w:r>
          </w:p>
          <w:p w14:paraId="6F5E54E0">
            <w:pPr>
              <w:ind w:firstLine="420" w:firstLineChars="200"/>
              <w:rPr>
                <w:color w:val="000000" w:themeColor="text1"/>
                <w:szCs w:val="21"/>
              </w:rPr>
            </w:pPr>
            <w:r>
              <w:rPr>
                <w:color w:val="000000" w:themeColor="text1"/>
                <w:szCs w:val="21"/>
              </w:rPr>
              <w:t>（2）本项目综合电耗低于500千瓦时/吨废塑料。</w:t>
            </w:r>
          </w:p>
          <w:p w14:paraId="00264AB5">
            <w:pPr>
              <w:ind w:firstLine="420" w:firstLineChars="200"/>
              <w:rPr>
                <w:color w:val="000000" w:themeColor="text1"/>
                <w:szCs w:val="21"/>
              </w:rPr>
            </w:pPr>
            <w:r>
              <w:rPr>
                <w:color w:val="000000" w:themeColor="text1"/>
                <w:szCs w:val="21"/>
              </w:rPr>
              <w:t>（3）项目清洗新鲜水量为5200t/a，每吨废塑料的清洗水量约为0.13t/t废塑料。</w:t>
            </w:r>
          </w:p>
        </w:tc>
      </w:tr>
      <w:tr w14:paraId="0121F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14:paraId="21CDE67C">
            <w:pPr>
              <w:ind w:firstLine="422" w:firstLineChars="200"/>
              <w:rPr>
                <w:b/>
                <w:color w:val="000000" w:themeColor="text1"/>
                <w:szCs w:val="21"/>
              </w:rPr>
            </w:pPr>
            <w:r>
              <w:rPr>
                <w:b/>
                <w:color w:val="000000" w:themeColor="text1"/>
                <w:szCs w:val="21"/>
              </w:rPr>
              <w:t>工艺与装备</w:t>
            </w:r>
          </w:p>
          <w:p w14:paraId="465C91E6">
            <w:pPr>
              <w:ind w:firstLine="420" w:firstLineChars="200"/>
              <w:rPr>
                <w:color w:val="000000" w:themeColor="text1"/>
                <w:szCs w:val="21"/>
              </w:rPr>
            </w:pPr>
            <w:r>
              <w:rPr>
                <w:color w:val="000000" w:themeColor="text1"/>
                <w:szCs w:val="21"/>
              </w:rPr>
              <w:t>(1)废塑料破碎、清洗、分选类企业。应采用自动化处理设备和设施。其中，破碎工序应采用具有减振与降噪功能的密闭破碎设备；清洗工序应实现自动控制和清洗液循环利用，降低耗水量与耗药量；应使用低发泡、低残留、易处理的清洗药剂；分选工序鼓励采用自动化分选设备。</w:t>
            </w:r>
          </w:p>
        </w:tc>
        <w:tc>
          <w:tcPr>
            <w:tcW w:w="3827" w:type="dxa"/>
          </w:tcPr>
          <w:p w14:paraId="185D839D">
            <w:pPr>
              <w:ind w:firstLine="420" w:firstLineChars="200"/>
              <w:rPr>
                <w:color w:val="000000" w:themeColor="text1"/>
                <w:szCs w:val="21"/>
              </w:rPr>
            </w:pPr>
            <w:r>
              <w:rPr>
                <w:color w:val="000000" w:themeColor="text1"/>
                <w:szCs w:val="21"/>
              </w:rPr>
              <w:t>(1)本项目破碎工序采用具有减振与降噪功能的密闭破碎设备；洗瓶机实现自动清洗，且清洗废水循环利用。</w:t>
            </w:r>
          </w:p>
        </w:tc>
      </w:tr>
      <w:tr w14:paraId="26F6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529" w:type="dxa"/>
          </w:tcPr>
          <w:p w14:paraId="32B6DFA7">
            <w:pPr>
              <w:rPr>
                <w:b/>
                <w:color w:val="000000" w:themeColor="text1"/>
                <w:szCs w:val="21"/>
              </w:rPr>
            </w:pPr>
            <w:r>
              <w:rPr>
                <w:b/>
                <w:color w:val="000000" w:themeColor="text1"/>
                <w:szCs w:val="21"/>
              </w:rPr>
              <w:t>环境保护</w:t>
            </w:r>
          </w:p>
          <w:p w14:paraId="068D32BA">
            <w:pPr>
              <w:rPr>
                <w:color w:val="000000" w:themeColor="text1"/>
                <w:szCs w:val="21"/>
              </w:rPr>
            </w:pPr>
            <w:r>
              <w:rPr>
                <w:color w:val="000000" w:themeColor="text1"/>
                <w:szCs w:val="21"/>
              </w:rPr>
              <w:t>(1)废塑料综合利用企业应严格执行《中华人民共和国环境影响评价法》，按照环境保护主管部门的相关规定报批环境影响评价文件。按照环境保护”三同时”的要求建设配套的环境保护设施，编制环境风险应急预案，并依法申请项目竣工环境保护验收。</w:t>
            </w:r>
          </w:p>
          <w:p w14:paraId="3DE211E7">
            <w:pPr>
              <w:rPr>
                <w:color w:val="000000" w:themeColor="text1"/>
                <w:szCs w:val="21"/>
              </w:rPr>
            </w:pPr>
            <w:r>
              <w:rPr>
                <w:color w:val="000000" w:themeColor="text1"/>
                <w:szCs w:val="21"/>
              </w:rPr>
              <w:t>(2)企业加工存储场地应建有围墙，在园区内的企业可为单独厂房，地面全部硬化且无明显破损现象。</w:t>
            </w:r>
          </w:p>
          <w:p w14:paraId="45791026">
            <w:pPr>
              <w:rPr>
                <w:color w:val="000000" w:themeColor="text1"/>
                <w:szCs w:val="21"/>
              </w:rPr>
            </w:pPr>
            <w:r>
              <w:rPr>
                <w:color w:val="000000" w:themeColor="text1"/>
                <w:szCs w:val="21"/>
              </w:rPr>
              <w:t>(3)企业必须配备废塑料分类存放场所。原料、产品、本企业不能利用废塑料及不可利用废物贮存在具有防雨、防风、防渗等功能的厂房或加盖雨棚的专门贮存场地内，无露天堆放现象。企业厂区管网建设应达到”雨污分流”要求。</w:t>
            </w:r>
          </w:p>
          <w:p w14:paraId="504D9FA2">
            <w:pPr>
              <w:rPr>
                <w:color w:val="000000" w:themeColor="text1"/>
                <w:szCs w:val="21"/>
              </w:rPr>
            </w:pPr>
            <w:r>
              <w:rPr>
                <w:color w:val="000000" w:themeColor="text1"/>
                <w:szCs w:val="21"/>
              </w:rPr>
              <w:t>(4)企业对收集的废塑料中的金属、橡胶、纤维、渣土、油脂、添加物等夹杂物，应采取相应的处理措施。如企业不具备处理条件，应委托其他具有处理能力的企业处理，不得擅自丢弃、倾倒、焚烧与填埋。</w:t>
            </w:r>
          </w:p>
          <w:p w14:paraId="3D6A197D">
            <w:pPr>
              <w:rPr>
                <w:color w:val="000000" w:themeColor="text1"/>
                <w:szCs w:val="21"/>
              </w:rPr>
            </w:pPr>
            <w:r>
              <w:rPr>
                <w:color w:val="000000" w:themeColor="text1"/>
                <w:szCs w:val="21"/>
              </w:rPr>
              <w:t>(5)企业应具有与加工利用能力相适应的废水处理设施，中水回用率必须符合环评文件的有关要求。废水处理后需要外排的废水，必须经处理后达标排放。企业应采用高效节能环保的污泥处理工艺,或交由具有处理资格的废物处理机构,实现污泥无害化处理。除具有获批建设、验收合格的专业盐卤废水处理设施，禁止使用盐卤分选工艺。</w:t>
            </w:r>
          </w:p>
          <w:p w14:paraId="74F0697C">
            <w:pPr>
              <w:rPr>
                <w:color w:val="000000" w:themeColor="text1"/>
                <w:szCs w:val="21"/>
              </w:rPr>
            </w:pPr>
            <w:r>
              <w:rPr>
                <w:color w:val="000000" w:themeColor="text1"/>
                <w:szCs w:val="21"/>
              </w:rPr>
              <w:t>(6)再生加工过程中产生废气、粉尘的加工车间应设置废气、粉尘收集处理设施，通过净化处理，达标后排放。</w:t>
            </w:r>
          </w:p>
          <w:p w14:paraId="230BBCB3">
            <w:pPr>
              <w:rPr>
                <w:color w:val="000000" w:themeColor="text1"/>
                <w:szCs w:val="21"/>
              </w:rPr>
            </w:pPr>
            <w:r>
              <w:rPr>
                <w:color w:val="000000" w:themeColor="text1"/>
                <w:szCs w:val="21"/>
              </w:rPr>
              <w:t>(7)对于加工过程中</w:t>
            </w:r>
            <w:r>
              <w:rPr>
                <w:rFonts w:hint="eastAsia"/>
                <w:color w:val="000000" w:themeColor="text1"/>
                <w:szCs w:val="21"/>
                <w:lang w:eastAsia="zh-CN"/>
              </w:rPr>
              <w:t>噪声污染</w:t>
            </w:r>
            <w:r>
              <w:rPr>
                <w:color w:val="000000" w:themeColor="text1"/>
                <w:szCs w:val="21"/>
              </w:rPr>
              <w:t>大的设备，必须采取降噪和隔音措施，企业噪声应达到《工业企业厂界环境噪声排放标准》。</w:t>
            </w:r>
          </w:p>
        </w:tc>
        <w:tc>
          <w:tcPr>
            <w:tcW w:w="3827" w:type="dxa"/>
          </w:tcPr>
          <w:p w14:paraId="1E7AFCEE">
            <w:pPr>
              <w:rPr>
                <w:color w:val="000000" w:themeColor="text1"/>
                <w:szCs w:val="21"/>
              </w:rPr>
            </w:pPr>
            <w:r>
              <w:rPr>
                <w:color w:val="000000" w:themeColor="text1"/>
                <w:szCs w:val="21"/>
              </w:rPr>
              <w:t>(1)本项目正在进行环评手续。</w:t>
            </w:r>
          </w:p>
          <w:p w14:paraId="0A10B658">
            <w:pPr>
              <w:rPr>
                <w:color w:val="000000" w:themeColor="text1"/>
                <w:szCs w:val="21"/>
              </w:rPr>
            </w:pPr>
            <w:r>
              <w:rPr>
                <w:color w:val="000000" w:themeColor="text1"/>
                <w:szCs w:val="21"/>
              </w:rPr>
              <w:t>(2)项目加工存储场地均建有围墙，并建设单独厂房，地面全部硬化且无明显破损现象。</w:t>
            </w:r>
          </w:p>
          <w:p w14:paraId="3121D60A">
            <w:pPr>
              <w:rPr>
                <w:color w:val="000000" w:themeColor="text1"/>
                <w:szCs w:val="21"/>
              </w:rPr>
            </w:pPr>
            <w:r>
              <w:rPr>
                <w:color w:val="000000" w:themeColor="text1"/>
                <w:szCs w:val="21"/>
              </w:rPr>
              <w:t>(3)项目建设1个原料及成品仓库无露天堆放现象。项目厂区建设雨污分流管网。</w:t>
            </w:r>
          </w:p>
          <w:p w14:paraId="40CF003D">
            <w:pPr>
              <w:rPr>
                <w:color w:val="000000" w:themeColor="text1"/>
                <w:szCs w:val="21"/>
              </w:rPr>
            </w:pPr>
            <w:r>
              <w:rPr>
                <w:color w:val="000000" w:themeColor="text1"/>
                <w:szCs w:val="21"/>
              </w:rPr>
              <w:t>(4)本项目废塑料中的金属、橡胶、纤维、渣土、油脂等夹杂物，本环评要求外运至最近村庄垃圾收集点处理。</w:t>
            </w:r>
          </w:p>
          <w:p w14:paraId="3AA8E274">
            <w:pPr>
              <w:rPr>
                <w:color w:val="000000" w:themeColor="text1"/>
                <w:szCs w:val="21"/>
              </w:rPr>
            </w:pPr>
            <w:r>
              <w:rPr>
                <w:color w:val="000000" w:themeColor="text1"/>
                <w:szCs w:val="21"/>
              </w:rPr>
              <w:t>(5)项目污水处理设施（隔油池+沉淀池），将清洗废水处理后回用于生产，废水处理设施处理能力与本项目加工利用能力相适应，产生的污泥均外运处理。</w:t>
            </w:r>
          </w:p>
          <w:p w14:paraId="68764739">
            <w:pPr>
              <w:rPr>
                <w:bCs/>
                <w:color w:val="000000" w:themeColor="text1"/>
                <w:szCs w:val="21"/>
              </w:rPr>
            </w:pPr>
            <w:r>
              <w:rPr>
                <w:color w:val="000000" w:themeColor="text1"/>
                <w:szCs w:val="21"/>
              </w:rPr>
              <w:t>(6)</w:t>
            </w:r>
            <w:r>
              <w:rPr>
                <w:color w:val="000000" w:themeColor="text1"/>
                <w:sz w:val="24"/>
              </w:rPr>
              <w:t xml:space="preserve"> </w:t>
            </w:r>
            <w:r>
              <w:rPr>
                <w:color w:val="000000" w:themeColor="text1"/>
                <w:szCs w:val="21"/>
              </w:rPr>
              <w:t>造粒工序热熔挤出废气（颗粒物、非甲烷总烃），</w:t>
            </w:r>
            <w:r>
              <w:rPr>
                <w:bCs/>
                <w:color w:val="000000" w:themeColor="text1"/>
                <w:szCs w:val="21"/>
              </w:rPr>
              <w:t>拟在两台塑料挤出机上方设置2套集气罩（风量为8000m</w:t>
            </w:r>
            <w:r>
              <w:rPr>
                <w:bCs/>
                <w:color w:val="000000" w:themeColor="text1"/>
                <w:szCs w:val="21"/>
                <w:vertAlign w:val="superscript"/>
              </w:rPr>
              <w:t>3</w:t>
            </w:r>
            <w:r>
              <w:rPr>
                <w:bCs/>
                <w:color w:val="000000" w:themeColor="text1"/>
                <w:szCs w:val="21"/>
              </w:rPr>
              <w:t>/h，集气效率90%），将颗粒物及非甲烷总烃引至1套过滤棉+1套UV光解装置处理达标后（颗粒物处置效率95%，非甲烷总烃处置效率85%），通过管道引至1根15m的排气筒排放。</w:t>
            </w:r>
          </w:p>
          <w:p w14:paraId="72A7E150">
            <w:pPr>
              <w:rPr>
                <w:bCs/>
                <w:color w:val="000000" w:themeColor="text1"/>
                <w:szCs w:val="21"/>
              </w:rPr>
            </w:pPr>
            <w:r>
              <w:rPr>
                <w:bCs/>
                <w:color w:val="000000" w:themeColor="text1"/>
                <w:szCs w:val="21"/>
              </w:rPr>
              <w:t>编织袋生产设置1套集气罩对废气进行收集，然后经”过滤棉+UV光催化净化装置”处理后（收集效率90%，非甲烷总烃处理效率85%，颗粒物处理效率95%），通过15m高排气筒排放。</w:t>
            </w:r>
          </w:p>
          <w:p w14:paraId="1D1FB7AE">
            <w:pPr>
              <w:ind w:firstLine="420" w:firstLineChars="200"/>
              <w:rPr>
                <w:color w:val="000000" w:themeColor="text1"/>
                <w:szCs w:val="21"/>
              </w:rPr>
            </w:pPr>
            <w:r>
              <w:rPr>
                <w:color w:val="000000" w:themeColor="text1"/>
                <w:szCs w:val="21"/>
              </w:rPr>
              <w:t>本项目的废气采取相应措施后均能达标排放。</w:t>
            </w:r>
          </w:p>
          <w:p w14:paraId="6B9890C4">
            <w:pPr>
              <w:rPr>
                <w:color w:val="000000" w:themeColor="text1"/>
                <w:szCs w:val="21"/>
              </w:rPr>
            </w:pPr>
            <w:r>
              <w:rPr>
                <w:color w:val="000000" w:themeColor="text1"/>
                <w:szCs w:val="21"/>
              </w:rPr>
              <w:t>(7)各设备产生的噪声，采取相应降噪和隔音措施后，项目厂界噪声能达到《工业企业厂界环境噪声排放标准》2类标准值。</w:t>
            </w:r>
          </w:p>
        </w:tc>
      </w:tr>
      <w:tr w14:paraId="3925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5529" w:type="dxa"/>
            <w:vAlign w:val="center"/>
          </w:tcPr>
          <w:p w14:paraId="5844924A">
            <w:pPr>
              <w:jc w:val="center"/>
              <w:rPr>
                <w:b/>
                <w:color w:val="000000" w:themeColor="text1"/>
                <w:szCs w:val="21"/>
              </w:rPr>
            </w:pPr>
            <w:r>
              <w:rPr>
                <w:b/>
                <w:color w:val="000000" w:themeColor="text1"/>
                <w:szCs w:val="21"/>
              </w:rPr>
              <w:t>结论</w:t>
            </w:r>
          </w:p>
        </w:tc>
        <w:tc>
          <w:tcPr>
            <w:tcW w:w="3827" w:type="dxa"/>
          </w:tcPr>
          <w:p w14:paraId="49105684">
            <w:pPr>
              <w:rPr>
                <w:color w:val="000000" w:themeColor="text1"/>
                <w:szCs w:val="21"/>
              </w:rPr>
            </w:pPr>
            <w:r>
              <w:rPr>
                <w:color w:val="000000" w:themeColor="text1"/>
                <w:szCs w:val="21"/>
              </w:rPr>
              <w:t>本项目与《废塑料综合利用行业规范条件》内容相符。</w:t>
            </w:r>
          </w:p>
        </w:tc>
      </w:tr>
    </w:tbl>
    <w:p w14:paraId="697302DE">
      <w:pPr>
        <w:spacing w:line="360" w:lineRule="auto"/>
        <w:ind w:firstLine="482" w:firstLineChars="200"/>
        <w:jc w:val="left"/>
        <w:rPr>
          <w:b/>
          <w:bCs/>
          <w:color w:val="000000" w:themeColor="text1"/>
          <w:sz w:val="24"/>
        </w:rPr>
      </w:pPr>
    </w:p>
    <w:p w14:paraId="7FBD9E49">
      <w:pPr>
        <w:spacing w:line="360" w:lineRule="auto"/>
        <w:ind w:firstLine="482" w:firstLineChars="200"/>
        <w:jc w:val="left"/>
        <w:rPr>
          <w:b/>
          <w:bCs/>
          <w:color w:val="000000" w:themeColor="text1"/>
          <w:sz w:val="24"/>
        </w:rPr>
      </w:pPr>
    </w:p>
    <w:p w14:paraId="41F9BA3D">
      <w:pPr>
        <w:spacing w:line="360" w:lineRule="auto"/>
        <w:ind w:firstLine="482" w:firstLineChars="200"/>
        <w:jc w:val="left"/>
        <w:rPr>
          <w:b/>
          <w:bCs/>
          <w:color w:val="000000" w:themeColor="text1"/>
          <w:sz w:val="24"/>
        </w:rPr>
      </w:pPr>
    </w:p>
    <w:p w14:paraId="037BD92B">
      <w:pPr>
        <w:spacing w:line="360" w:lineRule="auto"/>
        <w:ind w:firstLine="482" w:firstLineChars="200"/>
        <w:jc w:val="left"/>
        <w:rPr>
          <w:b/>
          <w:bCs/>
          <w:color w:val="000000" w:themeColor="text1"/>
          <w:sz w:val="24"/>
        </w:rPr>
      </w:pPr>
    </w:p>
    <w:p w14:paraId="35E96591">
      <w:pPr>
        <w:spacing w:line="360" w:lineRule="auto"/>
        <w:ind w:firstLine="482" w:firstLineChars="200"/>
        <w:jc w:val="left"/>
        <w:rPr>
          <w:b/>
          <w:bCs/>
          <w:color w:val="000000" w:themeColor="text1"/>
          <w:sz w:val="24"/>
        </w:rPr>
      </w:pPr>
      <w:r>
        <w:rPr>
          <w:b/>
          <w:bCs/>
          <w:color w:val="000000" w:themeColor="text1"/>
          <w:sz w:val="24"/>
        </w:rPr>
        <w:t>2、《废塑料加工利用污染防治管理规定》要求</w:t>
      </w:r>
    </w:p>
    <w:p w14:paraId="61EC2FAE">
      <w:pPr>
        <w:spacing w:line="360" w:lineRule="auto"/>
        <w:ind w:firstLine="482" w:firstLineChars="200"/>
        <w:jc w:val="left"/>
        <w:rPr>
          <w:b/>
          <w:bCs/>
          <w:color w:val="000000" w:themeColor="text1"/>
          <w:sz w:val="24"/>
        </w:rPr>
      </w:pPr>
      <w:r>
        <w:rPr>
          <w:b/>
          <w:bCs/>
          <w:color w:val="000000" w:themeColor="text1"/>
          <w:sz w:val="24"/>
        </w:rPr>
        <w:t>（1）《废塑料加工利用污染防治管理规定》要求</w:t>
      </w:r>
    </w:p>
    <w:p w14:paraId="6AA63ECA">
      <w:pPr>
        <w:spacing w:line="360" w:lineRule="auto"/>
        <w:ind w:firstLine="480" w:firstLineChars="200"/>
        <w:jc w:val="left"/>
        <w:rPr>
          <w:bCs/>
          <w:color w:val="000000" w:themeColor="text1"/>
          <w:sz w:val="24"/>
        </w:rPr>
      </w:pPr>
      <w:r>
        <w:rPr>
          <w:bCs/>
          <w:color w:val="000000" w:themeColor="text1"/>
          <w:sz w:val="24"/>
        </w:rPr>
        <w:t>根据《废塑料加工利用污染防治管理规定》中第三条：废塑料加工利用必须符合国家相关产业政策规定及《</w:t>
      </w:r>
      <w:r>
        <w:fldChar w:fldCharType="begin"/>
      </w:r>
      <w:r>
        <w:instrText xml:space="preserve"> HYPERLINK "http://baike.sogou.com/lemma/ShowInnerLink.htm?lemmaId=70328627&amp;ss_c=ssc.citiao.link" \t "_blank" </w:instrText>
      </w:r>
      <w:r>
        <w:fldChar w:fldCharType="separate"/>
      </w:r>
      <w:r>
        <w:rPr>
          <w:rStyle w:val="47"/>
          <w:bCs/>
          <w:color w:val="000000" w:themeColor="text1"/>
          <w:sz w:val="24"/>
          <w:u w:val="none"/>
        </w:rPr>
        <w:t>废塑料回收与再生利用污染控制技术规范</w:t>
      </w:r>
      <w:r>
        <w:rPr>
          <w:rStyle w:val="47"/>
          <w:bCs/>
          <w:color w:val="000000" w:themeColor="text1"/>
          <w:sz w:val="24"/>
          <w:u w:val="none"/>
        </w:rPr>
        <w:fldChar w:fldCharType="end"/>
      </w:r>
      <w:r>
        <w:rPr>
          <w:bCs/>
          <w:color w:val="000000" w:themeColor="text1"/>
          <w:sz w:val="24"/>
        </w:rPr>
        <w:t>》，防止二次污染。</w:t>
      </w:r>
    </w:p>
    <w:p w14:paraId="2ABBA5AC">
      <w:pPr>
        <w:spacing w:line="360" w:lineRule="auto"/>
        <w:ind w:firstLine="480" w:firstLineChars="200"/>
        <w:jc w:val="left"/>
        <w:rPr>
          <w:bCs/>
          <w:color w:val="000000" w:themeColor="text1"/>
          <w:sz w:val="24"/>
        </w:rPr>
      </w:pPr>
      <w:r>
        <w:rPr>
          <w:bCs/>
          <w:color w:val="000000" w:themeColor="text1"/>
          <w:sz w:val="24"/>
        </w:rPr>
        <w:t>禁止在居民区加工利用废塑料。禁止利用废塑料生产厚度小于0.025mm的超薄塑料购物袋和厚度小于0.015mm超薄塑料袋。禁止利用废塑料生产食品用塑料袋。禁止无</w:t>
      </w:r>
      <w:r>
        <w:fldChar w:fldCharType="begin"/>
      </w:r>
      <w:r>
        <w:instrText xml:space="preserve"> HYPERLINK "http://baike.sogou.com/lemma/ShowInnerLink.htm?lemmaId=7781605&amp;ss_c=ssc.citiao.link" \t "_blank" </w:instrText>
      </w:r>
      <w:r>
        <w:fldChar w:fldCharType="separate"/>
      </w:r>
      <w:r>
        <w:rPr>
          <w:rStyle w:val="47"/>
          <w:bCs/>
          <w:color w:val="000000" w:themeColor="text1"/>
          <w:sz w:val="24"/>
          <w:u w:val="none"/>
        </w:rPr>
        <w:t>危险废物</w:t>
      </w:r>
      <w:r>
        <w:rPr>
          <w:rStyle w:val="47"/>
          <w:bCs/>
          <w:color w:val="000000" w:themeColor="text1"/>
          <w:sz w:val="24"/>
          <w:u w:val="none"/>
        </w:rPr>
        <w:fldChar w:fldCharType="end"/>
      </w:r>
      <w:r>
        <w:rPr>
          <w:bCs/>
          <w:color w:val="000000" w:themeColor="text1"/>
          <w:sz w:val="24"/>
        </w:rPr>
        <w:t>经营许可证从事废塑料类危险废物的回收利用活动，包括被危险化学品、农药等污染的废弃塑料包装物，废弃的一次性医疗用塑料制品(如</w:t>
      </w:r>
      <w:r>
        <w:fldChar w:fldCharType="begin"/>
      </w:r>
      <w:r>
        <w:instrText xml:space="preserve"> HYPERLINK "http://baike.sogou.com/lemma/ShowInnerLink.htm?lemmaId=32931801&amp;ss_c=ssc.citiao.link" \t "_blank" </w:instrText>
      </w:r>
      <w:r>
        <w:fldChar w:fldCharType="separate"/>
      </w:r>
      <w:r>
        <w:rPr>
          <w:rStyle w:val="47"/>
          <w:bCs/>
          <w:color w:val="000000" w:themeColor="text1"/>
          <w:sz w:val="24"/>
          <w:u w:val="none"/>
        </w:rPr>
        <w:t>输液器</w:t>
      </w:r>
      <w:r>
        <w:rPr>
          <w:rStyle w:val="47"/>
          <w:bCs/>
          <w:color w:val="000000" w:themeColor="text1"/>
          <w:sz w:val="24"/>
          <w:u w:val="none"/>
        </w:rPr>
        <w:fldChar w:fldCharType="end"/>
      </w:r>
      <w:r>
        <w:rPr>
          <w:bCs/>
          <w:color w:val="000000" w:themeColor="text1"/>
          <w:sz w:val="24"/>
        </w:rPr>
        <w:t>、血袋)等。</w:t>
      </w:r>
    </w:p>
    <w:p w14:paraId="7389FAB6">
      <w:pPr>
        <w:spacing w:line="360" w:lineRule="auto"/>
        <w:ind w:firstLine="480" w:firstLineChars="200"/>
        <w:jc w:val="left"/>
        <w:rPr>
          <w:bCs/>
          <w:color w:val="000000" w:themeColor="text1"/>
          <w:sz w:val="24"/>
        </w:rPr>
      </w:pPr>
      <w:r>
        <w:rPr>
          <w:bCs/>
          <w:color w:val="000000" w:themeColor="text1"/>
          <w:sz w:val="24"/>
        </w:rPr>
        <w:t>无符合环保要求</w:t>
      </w:r>
      <w:r>
        <w:fldChar w:fldCharType="begin"/>
      </w:r>
      <w:r>
        <w:instrText xml:space="preserve"> HYPERLINK "http://baike.sogou.com/lemma/ShowInnerLink.htm?lemmaId=2960990&amp;ss_c=ssc.citiao.link" \t "_blank" </w:instrText>
      </w:r>
      <w:r>
        <w:fldChar w:fldCharType="separate"/>
      </w:r>
      <w:r>
        <w:rPr>
          <w:rStyle w:val="47"/>
          <w:bCs/>
          <w:color w:val="000000" w:themeColor="text1"/>
          <w:sz w:val="24"/>
          <w:u w:val="none"/>
        </w:rPr>
        <w:t>污水治理</w:t>
      </w:r>
      <w:r>
        <w:rPr>
          <w:rStyle w:val="47"/>
          <w:bCs/>
          <w:color w:val="000000" w:themeColor="text1"/>
          <w:sz w:val="24"/>
          <w:u w:val="none"/>
        </w:rPr>
        <w:fldChar w:fldCharType="end"/>
      </w:r>
      <w:r>
        <w:rPr>
          <w:bCs/>
          <w:color w:val="000000" w:themeColor="text1"/>
          <w:sz w:val="24"/>
        </w:rPr>
        <w:t>设施的，禁止从事缸脚料淘洗、废塑料退镀(涂)、盐卤分拣等加工活动。</w:t>
      </w:r>
    </w:p>
    <w:p w14:paraId="5BD97F0E">
      <w:pPr>
        <w:spacing w:line="360" w:lineRule="auto"/>
        <w:ind w:firstLine="482" w:firstLineChars="200"/>
        <w:jc w:val="left"/>
        <w:rPr>
          <w:b/>
          <w:bCs/>
          <w:color w:val="000000" w:themeColor="text1"/>
          <w:sz w:val="24"/>
        </w:rPr>
      </w:pPr>
      <w:r>
        <w:rPr>
          <w:b/>
          <w:bCs/>
          <w:color w:val="000000" w:themeColor="text1"/>
          <w:sz w:val="24"/>
        </w:rPr>
        <w:t>（2）符合性分析</w:t>
      </w:r>
    </w:p>
    <w:p w14:paraId="0A36DB21">
      <w:pPr>
        <w:pStyle w:val="296"/>
        <w:ind w:firstLine="480"/>
        <w:rPr>
          <w:rFonts w:cs="Times New Roman"/>
          <w:bCs/>
          <w:color w:val="000000" w:themeColor="text1"/>
        </w:rPr>
      </w:pPr>
      <w:r>
        <w:rPr>
          <w:rFonts w:cs="Times New Roman"/>
          <w:bCs/>
          <w:color w:val="000000" w:themeColor="text1"/>
        </w:rPr>
        <w:t>本项目所在地为云南省德宏州芒市遮放镇户拉村委会遮焕村民小组盛达泰硅业厂区内，</w:t>
      </w:r>
      <w:r>
        <w:rPr>
          <w:rFonts w:cs="Times New Roman"/>
          <w:color w:val="000000" w:themeColor="text1"/>
        </w:rPr>
        <w:t>项目距离最近的居民点排鲁村，位于项目区侧风向（西北侧）820m，</w:t>
      </w:r>
      <w:r>
        <w:rPr>
          <w:rFonts w:cs="Times New Roman"/>
          <w:bCs/>
          <w:color w:val="000000" w:themeColor="text1"/>
        </w:rPr>
        <w:t>利用废旧塑料作为原料，年生产塑料颗粒5000t，编织袋3000t，采用工艺为热熔挤压再生利用，将回收的废旧塑料经过分类、清洗、破碎、热熔挤压加工成型造粒及生产编织袋，主要成分为PE、PP等，不含废汽车配件、废机油桶、危险废物等，同时本项目不从事缸脚料淘洗、废塑料退镀(涂)、盐卤分拣等加工活动。</w:t>
      </w:r>
    </w:p>
    <w:p w14:paraId="7DF19515">
      <w:pPr>
        <w:spacing w:line="360" w:lineRule="auto"/>
        <w:ind w:firstLine="480" w:firstLineChars="200"/>
        <w:jc w:val="left"/>
        <w:rPr>
          <w:bCs/>
          <w:color w:val="000000" w:themeColor="text1"/>
          <w:sz w:val="24"/>
        </w:rPr>
      </w:pPr>
      <w:r>
        <w:rPr>
          <w:bCs/>
          <w:color w:val="000000" w:themeColor="text1"/>
          <w:sz w:val="24"/>
        </w:rPr>
        <w:t>综上，本项目符合《废塑料加工利用污染防治管理规定》。</w:t>
      </w:r>
    </w:p>
    <w:p w14:paraId="17EEF8D8">
      <w:pPr>
        <w:spacing w:line="360" w:lineRule="auto"/>
        <w:ind w:firstLine="482" w:firstLineChars="200"/>
        <w:jc w:val="left"/>
        <w:rPr>
          <w:b/>
          <w:bCs/>
          <w:color w:val="000000" w:themeColor="text1"/>
          <w:sz w:val="24"/>
        </w:rPr>
      </w:pPr>
      <w:r>
        <w:rPr>
          <w:b/>
          <w:bCs/>
          <w:color w:val="000000" w:themeColor="text1"/>
          <w:sz w:val="24"/>
        </w:rPr>
        <w:t>3、与《再生资源回收管理办法》（商务部（2007）年第 8 号）的相符性</w:t>
      </w:r>
    </w:p>
    <w:p w14:paraId="654BA8D5">
      <w:pPr>
        <w:pStyle w:val="296"/>
        <w:ind w:firstLine="480"/>
        <w:rPr>
          <w:rFonts w:cs="Times New Roman"/>
          <w:bCs/>
          <w:color w:val="000000" w:themeColor="text1"/>
        </w:rPr>
      </w:pPr>
      <w:r>
        <w:rPr>
          <w:rFonts w:cs="Times New Roman"/>
          <w:bCs/>
          <w:color w:val="000000" w:themeColor="text1"/>
        </w:rPr>
        <w:t>《再生资源回收管理办法》（商务部（2007）年第 8 号）中规定：再生资源包括废旧金属、报废电子产品、报废机电设备及其零部件、废造纸原料（如废纸废棉等）、废轻化工原料（如橡胶、塑料、农药包装物、动物杂骨、毛发等）、废玻璃等，国家鼓励以环境无害化方式回收处理再生资源，鼓励开展有关再生资源回收处理的科学研究、技术开发和推广，本项目为废旧塑料再生塑料颗粒，属于以上规定中“废轻化工原料”中的废塑料再生，项目以废塑料为原料生产塑料颗粒及编织袋产品实现了资源的回收利用，满足管理办法要求。</w:t>
      </w:r>
    </w:p>
    <w:p w14:paraId="5D68FFB7">
      <w:pPr>
        <w:rPr>
          <w:color w:val="000000" w:themeColor="text1"/>
        </w:rPr>
      </w:pPr>
    </w:p>
    <w:p w14:paraId="2FBCC00E">
      <w:pPr>
        <w:rPr>
          <w:color w:val="000000" w:themeColor="text1"/>
        </w:rPr>
      </w:pPr>
    </w:p>
    <w:p w14:paraId="2CCCFB03">
      <w:pPr>
        <w:rPr>
          <w:color w:val="000000" w:themeColor="text1"/>
        </w:rPr>
      </w:pPr>
    </w:p>
    <w:p w14:paraId="414BE3CF">
      <w:pPr>
        <w:spacing w:line="360" w:lineRule="auto"/>
        <w:ind w:firstLine="482" w:firstLineChars="200"/>
        <w:jc w:val="left"/>
        <w:rPr>
          <w:b/>
          <w:bCs/>
          <w:color w:val="000000" w:themeColor="text1"/>
          <w:sz w:val="24"/>
        </w:rPr>
      </w:pPr>
      <w:r>
        <w:rPr>
          <w:b/>
          <w:bCs/>
          <w:color w:val="000000" w:themeColor="text1"/>
          <w:sz w:val="24"/>
        </w:rPr>
        <w:t>4、《废塑料回收与再生利用污染控制技术规范（试行）》（HJ/T 364-2007）</w:t>
      </w:r>
    </w:p>
    <w:p w14:paraId="26B57D58">
      <w:pPr>
        <w:jc w:val="center"/>
        <w:rPr>
          <w:b/>
          <w:bCs/>
          <w:color w:val="000000" w:themeColor="text1"/>
          <w:sz w:val="24"/>
        </w:rPr>
      </w:pPr>
      <w:r>
        <w:rPr>
          <w:b/>
          <w:bCs/>
          <w:color w:val="000000" w:themeColor="text1"/>
          <w:sz w:val="24"/>
        </w:rPr>
        <w:t>表8.4-1  与《废塑料回收与再生利用污染控制技术规范（试行）》符合性分析</w:t>
      </w:r>
    </w:p>
    <w:tbl>
      <w:tblPr>
        <w:tblStyle w:val="280"/>
        <w:tblW w:w="0" w:type="auto"/>
        <w:tblInd w:w="11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61"/>
        <w:gridCol w:w="3990"/>
        <w:gridCol w:w="3090"/>
        <w:gridCol w:w="946"/>
      </w:tblGrid>
      <w:tr w14:paraId="791260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61" w:type="dxa"/>
            <w:vAlign w:val="center"/>
          </w:tcPr>
          <w:p w14:paraId="2D5AAD61">
            <w:pPr>
              <w:pStyle w:val="281"/>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序号</w:t>
            </w:r>
          </w:p>
        </w:tc>
        <w:tc>
          <w:tcPr>
            <w:tcW w:w="3990" w:type="dxa"/>
            <w:vAlign w:val="center"/>
          </w:tcPr>
          <w:p w14:paraId="2CC3D334">
            <w:pPr>
              <w:pStyle w:val="281"/>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规范要求</w:t>
            </w:r>
          </w:p>
        </w:tc>
        <w:tc>
          <w:tcPr>
            <w:tcW w:w="3090" w:type="dxa"/>
            <w:vAlign w:val="center"/>
          </w:tcPr>
          <w:p w14:paraId="73DA4857">
            <w:pPr>
              <w:pStyle w:val="281"/>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本项目情况</w:t>
            </w:r>
          </w:p>
        </w:tc>
        <w:tc>
          <w:tcPr>
            <w:tcW w:w="946" w:type="dxa"/>
            <w:vAlign w:val="center"/>
          </w:tcPr>
          <w:p w14:paraId="644D0C82">
            <w:pPr>
              <w:pStyle w:val="281"/>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符合情况</w:t>
            </w:r>
          </w:p>
        </w:tc>
      </w:tr>
      <w:tr w14:paraId="2F69F2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61" w:type="dxa"/>
            <w:vAlign w:val="center"/>
          </w:tcPr>
          <w:p w14:paraId="2C809167">
            <w:pPr>
              <w:pStyle w:val="281"/>
              <w:adjustRightInd w:val="0"/>
              <w:spacing w:before="1"/>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1</w:t>
            </w:r>
          </w:p>
        </w:tc>
        <w:tc>
          <w:tcPr>
            <w:tcW w:w="3990" w:type="dxa"/>
            <w:vAlign w:val="center"/>
          </w:tcPr>
          <w:p w14:paraId="3734E1BC">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废塑料的回收应按原料树脂种类进行分类回收，并严格区分废塑料来源和原用途。不得回收和再生利用属于医疗废物和危险废物的废塑料。</w:t>
            </w:r>
          </w:p>
        </w:tc>
        <w:tc>
          <w:tcPr>
            <w:tcW w:w="3090" w:type="dxa"/>
            <w:vAlign w:val="center"/>
          </w:tcPr>
          <w:p w14:paraId="17BEB487">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本项目在收购过程中严格分选， 并严格区分废塑料来源和原用途。不回收和再生利用医疗废物和危险废物的废塑料。</w:t>
            </w:r>
          </w:p>
        </w:tc>
        <w:tc>
          <w:tcPr>
            <w:tcW w:w="946" w:type="dxa"/>
            <w:vAlign w:val="center"/>
          </w:tcPr>
          <w:p w14:paraId="2736DD45">
            <w:pPr>
              <w:pStyle w:val="281"/>
              <w:adjustRightInd w:val="0"/>
              <w:spacing w:before="1"/>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符合</w:t>
            </w:r>
          </w:p>
        </w:tc>
      </w:tr>
      <w:tr w14:paraId="36D302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61" w:type="dxa"/>
            <w:vAlign w:val="center"/>
          </w:tcPr>
          <w:p w14:paraId="0BE7EA74">
            <w:pPr>
              <w:pStyle w:val="281"/>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2</w:t>
            </w:r>
          </w:p>
        </w:tc>
        <w:tc>
          <w:tcPr>
            <w:tcW w:w="3990" w:type="dxa"/>
            <w:vAlign w:val="center"/>
          </w:tcPr>
          <w:p w14:paraId="1E55A38D">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废塑料应贮存在通过环保审批的专门贮存场所，应有防雨、防渗、防晒、防尘、防扬散和防火措施。</w:t>
            </w:r>
          </w:p>
        </w:tc>
        <w:tc>
          <w:tcPr>
            <w:tcW w:w="3090" w:type="dxa"/>
            <w:vAlign w:val="center"/>
          </w:tcPr>
          <w:p w14:paraId="6FF7E5C3">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本项目原料库堆场为半封闭设施，设有防雨、防渗、防晒、防尘、防扬散和防火措施。</w:t>
            </w:r>
          </w:p>
        </w:tc>
        <w:tc>
          <w:tcPr>
            <w:tcW w:w="946" w:type="dxa"/>
            <w:vAlign w:val="center"/>
          </w:tcPr>
          <w:p w14:paraId="68668011">
            <w:pPr>
              <w:pStyle w:val="281"/>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符合</w:t>
            </w:r>
          </w:p>
        </w:tc>
      </w:tr>
      <w:tr w14:paraId="6018D2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61" w:type="dxa"/>
            <w:vAlign w:val="center"/>
          </w:tcPr>
          <w:p w14:paraId="3FA7679A">
            <w:pPr>
              <w:pStyle w:val="281"/>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3</w:t>
            </w:r>
          </w:p>
        </w:tc>
        <w:tc>
          <w:tcPr>
            <w:tcW w:w="3990" w:type="dxa"/>
            <w:vAlign w:val="center"/>
          </w:tcPr>
          <w:p w14:paraId="72C96907">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废塑料预处理工艺主要包括分选、清洗、破碎和干燥。</w:t>
            </w:r>
          </w:p>
        </w:tc>
        <w:tc>
          <w:tcPr>
            <w:tcW w:w="3090" w:type="dxa"/>
            <w:vAlign w:val="center"/>
          </w:tcPr>
          <w:p w14:paraId="7E48764D">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项目预处理包括分选、破碎、清洗和干燥。</w:t>
            </w:r>
          </w:p>
        </w:tc>
        <w:tc>
          <w:tcPr>
            <w:tcW w:w="946" w:type="dxa"/>
            <w:vAlign w:val="center"/>
          </w:tcPr>
          <w:p w14:paraId="2FD8123D">
            <w:pPr>
              <w:pStyle w:val="281"/>
              <w:adjustRightInd w:val="0"/>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符合</w:t>
            </w:r>
          </w:p>
        </w:tc>
      </w:tr>
      <w:tr w14:paraId="7F1442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61" w:type="dxa"/>
            <w:vAlign w:val="center"/>
          </w:tcPr>
          <w:p w14:paraId="14B0EE22">
            <w:pPr>
              <w:pStyle w:val="281"/>
              <w:adjustRightInd w:val="0"/>
              <w:spacing w:before="63"/>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4</w:t>
            </w:r>
          </w:p>
        </w:tc>
        <w:tc>
          <w:tcPr>
            <w:tcW w:w="3990" w:type="dxa"/>
            <w:vAlign w:val="center"/>
          </w:tcPr>
          <w:p w14:paraId="380EF279">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废塑料预处理工艺应当遵循先进、稳定、无二次污染的原则，应采用节水、节能、高效、低污染的技术和设备；宜采用机械化和自动化作业，减少手工操作。</w:t>
            </w:r>
          </w:p>
        </w:tc>
        <w:tc>
          <w:tcPr>
            <w:tcW w:w="3090" w:type="dxa"/>
            <w:vAlign w:val="center"/>
          </w:tcPr>
          <w:p w14:paraId="594E56CF">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本项目废塑料预处理工艺先进、稳定，生产线为全机械化和自动化清洗，生产废水循环利用，废气处理后达标排放，固废资源化处置，不造成二次污染。</w:t>
            </w:r>
          </w:p>
        </w:tc>
        <w:tc>
          <w:tcPr>
            <w:tcW w:w="946" w:type="dxa"/>
            <w:vAlign w:val="center"/>
          </w:tcPr>
          <w:p w14:paraId="602F534F">
            <w:pPr>
              <w:pStyle w:val="281"/>
              <w:adjustRightInd w:val="0"/>
              <w:spacing w:before="63"/>
              <w:ind w:left="105" w:leftChars="50" w:right="105" w:rightChars="5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符合</w:t>
            </w:r>
          </w:p>
        </w:tc>
      </w:tr>
      <w:tr w14:paraId="7E7B58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61" w:type="dxa"/>
            <w:vAlign w:val="center"/>
          </w:tcPr>
          <w:p w14:paraId="4A9A187D">
            <w:pPr>
              <w:pStyle w:val="281"/>
              <w:adjustRightInd w:val="0"/>
              <w:spacing w:before="63"/>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5</w:t>
            </w:r>
          </w:p>
        </w:tc>
        <w:tc>
          <w:tcPr>
            <w:tcW w:w="3990" w:type="dxa"/>
            <w:vAlign w:val="center"/>
          </w:tcPr>
          <w:p w14:paraId="7FF11BA1">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新建废塑料再生利用项目的选址应符合环境保护要求，不得建在城市居民区、商业区及其他环境敏感区。</w:t>
            </w:r>
          </w:p>
        </w:tc>
        <w:tc>
          <w:tcPr>
            <w:tcW w:w="3090" w:type="dxa"/>
            <w:vAlign w:val="center"/>
          </w:tcPr>
          <w:p w14:paraId="394B7447">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本项云南省德宏州芒市遮放镇户拉村委会遮焕村民小组盛达泰硅业厂区内，不在城市居民集中区、商业区及其他环境敏感区。</w:t>
            </w:r>
          </w:p>
        </w:tc>
        <w:tc>
          <w:tcPr>
            <w:tcW w:w="946" w:type="dxa"/>
            <w:vAlign w:val="center"/>
          </w:tcPr>
          <w:p w14:paraId="404D2B58">
            <w:pPr>
              <w:pStyle w:val="281"/>
              <w:adjustRightInd w:val="0"/>
              <w:spacing w:before="63"/>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符合</w:t>
            </w:r>
          </w:p>
        </w:tc>
      </w:tr>
      <w:tr w14:paraId="19F8E1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61" w:type="dxa"/>
            <w:vAlign w:val="center"/>
          </w:tcPr>
          <w:p w14:paraId="2EFF7D23">
            <w:pPr>
              <w:pStyle w:val="281"/>
              <w:adjustRightInd w:val="0"/>
              <w:spacing w:before="63"/>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6</w:t>
            </w:r>
          </w:p>
        </w:tc>
        <w:tc>
          <w:tcPr>
            <w:tcW w:w="3990" w:type="dxa"/>
            <w:vAlign w:val="center"/>
          </w:tcPr>
          <w:p w14:paraId="32A5AFBF">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所有功能区必须有封闭或半封闭设施，采用防风、防雨、防渗、防火等措施，并有足够的疏散通道。</w:t>
            </w:r>
          </w:p>
        </w:tc>
        <w:tc>
          <w:tcPr>
            <w:tcW w:w="3090" w:type="dxa"/>
            <w:vAlign w:val="center"/>
          </w:tcPr>
          <w:p w14:paraId="719C9474">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本项目各功能区均为封闭或半封闭设施，均按要求采用防风、防雨、防渗、防火等措施，并有足够的疏散通道。</w:t>
            </w:r>
          </w:p>
        </w:tc>
        <w:tc>
          <w:tcPr>
            <w:tcW w:w="946" w:type="dxa"/>
            <w:vAlign w:val="center"/>
          </w:tcPr>
          <w:p w14:paraId="5C01BA7A">
            <w:pPr>
              <w:pStyle w:val="281"/>
              <w:adjustRightInd w:val="0"/>
              <w:spacing w:before="63"/>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符合</w:t>
            </w:r>
          </w:p>
        </w:tc>
      </w:tr>
      <w:tr w14:paraId="10F071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61" w:type="dxa"/>
            <w:vAlign w:val="center"/>
          </w:tcPr>
          <w:p w14:paraId="428EFD44">
            <w:pPr>
              <w:pStyle w:val="281"/>
              <w:adjustRightInd w:val="0"/>
              <w:spacing w:before="63"/>
              <w:ind w:left="105" w:leftChars="50" w:right="105" w:rightChars="5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7</w:t>
            </w:r>
          </w:p>
        </w:tc>
        <w:tc>
          <w:tcPr>
            <w:tcW w:w="3990" w:type="dxa"/>
            <w:vAlign w:val="center"/>
          </w:tcPr>
          <w:p w14:paraId="6C8D61D3">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再生利用项目必须有围墙并按功能区划分厂区，包括管理区、原料区、生产区、产品暂存区、污染控制区。</w:t>
            </w:r>
          </w:p>
        </w:tc>
        <w:tc>
          <w:tcPr>
            <w:tcW w:w="3090" w:type="dxa"/>
            <w:vAlign w:val="center"/>
          </w:tcPr>
          <w:p w14:paraId="35495213">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本项目厂界四周设置围墙，厂区按照功能区进行分区。包括办公生活区、原料库、生产车间、成品仓库、污染治理控制区等。</w:t>
            </w:r>
          </w:p>
        </w:tc>
        <w:tc>
          <w:tcPr>
            <w:tcW w:w="946" w:type="dxa"/>
            <w:vAlign w:val="center"/>
          </w:tcPr>
          <w:p w14:paraId="2D878623">
            <w:pPr>
              <w:pStyle w:val="281"/>
              <w:adjustRightInd w:val="0"/>
              <w:spacing w:before="63"/>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lang w:eastAsia="zh-CN"/>
              </w:rPr>
              <w:t>符合</w:t>
            </w:r>
          </w:p>
        </w:tc>
      </w:tr>
      <w:tr w14:paraId="2A54DA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61" w:type="dxa"/>
            <w:vAlign w:val="center"/>
          </w:tcPr>
          <w:p w14:paraId="0D23BD90">
            <w:pPr>
              <w:pStyle w:val="281"/>
              <w:adjustRightInd w:val="0"/>
              <w:spacing w:before="63"/>
              <w:ind w:left="105" w:leftChars="50" w:right="105" w:rightChars="5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8</w:t>
            </w:r>
          </w:p>
        </w:tc>
        <w:tc>
          <w:tcPr>
            <w:tcW w:w="3990" w:type="dxa"/>
            <w:vAlign w:val="center"/>
          </w:tcPr>
          <w:p w14:paraId="3AF2CABF">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废塑料预处理、再生利用等过程的废水和厂区产生的生活废水，企业应当有配套的废水收集设施，废水宜在厂区内处理并循环利用。</w:t>
            </w:r>
          </w:p>
        </w:tc>
        <w:tc>
          <w:tcPr>
            <w:tcW w:w="3090" w:type="dxa"/>
            <w:vAlign w:val="center"/>
          </w:tcPr>
          <w:p w14:paraId="7C2796BC">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本项目配套了生产废水和生活废水收集设施，生产废水经污水处理设施（隔油池+沉淀池）处理后循环利用。</w:t>
            </w:r>
          </w:p>
        </w:tc>
        <w:tc>
          <w:tcPr>
            <w:tcW w:w="946" w:type="dxa"/>
            <w:vAlign w:val="center"/>
          </w:tcPr>
          <w:p w14:paraId="2CF2F9A6">
            <w:pPr>
              <w:pStyle w:val="281"/>
              <w:adjustRightInd w:val="0"/>
              <w:spacing w:before="63"/>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lang w:eastAsia="zh-CN"/>
              </w:rPr>
              <w:t>符合</w:t>
            </w:r>
          </w:p>
        </w:tc>
      </w:tr>
      <w:tr w14:paraId="7D0758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0" w:hRule="atLeast"/>
        </w:trPr>
        <w:tc>
          <w:tcPr>
            <w:tcW w:w="661" w:type="dxa"/>
            <w:vAlign w:val="center"/>
          </w:tcPr>
          <w:p w14:paraId="730ABF2A">
            <w:pPr>
              <w:pStyle w:val="281"/>
              <w:adjustRightInd w:val="0"/>
              <w:spacing w:before="63"/>
              <w:ind w:left="105" w:leftChars="50" w:right="105" w:rightChars="5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9</w:t>
            </w:r>
          </w:p>
        </w:tc>
        <w:tc>
          <w:tcPr>
            <w:tcW w:w="3990" w:type="dxa"/>
            <w:vAlign w:val="center"/>
          </w:tcPr>
          <w:p w14:paraId="3E52194B">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不得在无燃烧设备和烟气净化装置的条件下燃烧废塑料或用焚烧方式处理塑料挤出机过滤网片。</w:t>
            </w:r>
          </w:p>
        </w:tc>
        <w:tc>
          <w:tcPr>
            <w:tcW w:w="3090" w:type="dxa"/>
            <w:vAlign w:val="center"/>
          </w:tcPr>
          <w:p w14:paraId="193453FF">
            <w:pPr>
              <w:pStyle w:val="281"/>
              <w:adjustRightInd w:val="0"/>
              <w:ind w:left="105" w:leftChars="50" w:right="105" w:rightChars="50" w:firstLine="420" w:firstLineChars="200"/>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本项目不焚烧废塑料和废旧过滤网片。</w:t>
            </w:r>
          </w:p>
        </w:tc>
        <w:tc>
          <w:tcPr>
            <w:tcW w:w="946" w:type="dxa"/>
            <w:vAlign w:val="center"/>
          </w:tcPr>
          <w:p w14:paraId="0179AA73">
            <w:pPr>
              <w:pStyle w:val="281"/>
              <w:adjustRightInd w:val="0"/>
              <w:spacing w:before="63"/>
              <w:ind w:left="105" w:leftChars="50" w:right="105" w:rightChar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lang w:eastAsia="zh-CN"/>
              </w:rPr>
              <w:t>符合</w:t>
            </w:r>
          </w:p>
        </w:tc>
      </w:tr>
    </w:tbl>
    <w:p w14:paraId="13B41164">
      <w:pPr>
        <w:sectPr>
          <w:pgSz w:w="11910" w:h="16840"/>
          <w:pgMar w:top="1460" w:right="1560" w:bottom="1280" w:left="1560" w:header="0" w:footer="1081" w:gutter="0"/>
          <w:cols w:space="720" w:num="1"/>
        </w:sectPr>
      </w:pPr>
    </w:p>
    <w:p w14:paraId="53CF8C99">
      <w:pPr>
        <w:pStyle w:val="4"/>
        <w:rPr>
          <w:rFonts w:ascii="Times New Roman" w:hAnsi="Times New Roman"/>
          <w:color w:val="000000" w:themeColor="text1"/>
          <w:kern w:val="0"/>
          <w:szCs w:val="30"/>
        </w:rPr>
      </w:pPr>
      <w:bookmarkStart w:id="438" w:name="_Toc28117731"/>
      <w:r>
        <w:rPr>
          <w:rFonts w:ascii="Times New Roman" w:hAnsi="Times New Roman"/>
          <w:color w:val="000000" w:themeColor="text1"/>
        </w:rPr>
        <w:t>8.5</w:t>
      </w:r>
      <w:r>
        <w:rPr>
          <w:rFonts w:ascii="Times New Roman" w:hAnsi="Times New Roman"/>
          <w:color w:val="000000" w:themeColor="text1"/>
          <w:kern w:val="0"/>
          <w:szCs w:val="30"/>
        </w:rPr>
        <w:t>环境可行性分析</w:t>
      </w:r>
      <w:bookmarkEnd w:id="438"/>
    </w:p>
    <w:p w14:paraId="0890974C">
      <w:pPr>
        <w:spacing w:line="360" w:lineRule="auto"/>
        <w:ind w:firstLine="480" w:firstLineChars="200"/>
        <w:rPr>
          <w:color w:val="000000" w:themeColor="text1"/>
          <w:sz w:val="24"/>
        </w:rPr>
      </w:pPr>
      <w:r>
        <w:rPr>
          <w:color w:val="000000" w:themeColor="text1"/>
          <w:sz w:val="24"/>
        </w:rPr>
        <w:t xml:space="preserve">根据本项目污染物排放特性，对周围环境有可能产生影响的主要是造粒过程、编织袋生产过程产生的颗粒物及非甲烷总烃，而项目设计及建设中已考虑采用清洁能源（电）、安装过滤棉+UV光解设备处置废气，同时降噪、分类处置固废等污染防治措施，确保达标排放，对周围的影响不大； </w:t>
      </w:r>
    </w:p>
    <w:p w14:paraId="05F66346">
      <w:pPr>
        <w:spacing w:line="360" w:lineRule="auto"/>
        <w:ind w:firstLine="420" w:firstLineChars="200"/>
        <w:rPr>
          <w:bCs/>
          <w:color w:val="000000" w:themeColor="text1"/>
          <w:sz w:val="24"/>
        </w:rPr>
      </w:pPr>
      <w:r>
        <w:rPr>
          <w:color w:val="000000" w:themeColor="text1"/>
        </w:rPr>
        <w:t xml:space="preserve"> </w:t>
      </w:r>
      <w:r>
        <w:rPr>
          <w:color w:val="000000" w:themeColor="text1"/>
          <w:sz w:val="24"/>
        </w:rPr>
        <w:t>从项目位置上看，从预测结果分析对保护目标影响很小，叠加现状背景值后，关心点预测颗粒物及非甲烷总烃污染物预测值能达GB3095－2012《环境空气质量标准》二级标准，从估算结果可以看出废气对保护目标的影响可接受</w:t>
      </w:r>
      <w:r>
        <w:rPr>
          <w:bCs/>
          <w:color w:val="000000" w:themeColor="text1"/>
          <w:sz w:val="24"/>
        </w:rPr>
        <w:t>。</w:t>
      </w:r>
    </w:p>
    <w:p w14:paraId="65871F23">
      <w:pPr>
        <w:spacing w:line="360" w:lineRule="auto"/>
        <w:ind w:firstLine="480" w:firstLineChars="200"/>
        <w:rPr>
          <w:color w:val="000000" w:themeColor="text1"/>
          <w:sz w:val="24"/>
        </w:rPr>
      </w:pPr>
      <w:r>
        <w:rPr>
          <w:color w:val="000000" w:themeColor="text1"/>
          <w:sz w:val="24"/>
        </w:rPr>
        <w:t>项目设备均为小型精密设备，噪声源不大，最大为破碎噪声，根据预测，项目建设对周围环境声环境的影响可接受。</w:t>
      </w:r>
    </w:p>
    <w:p w14:paraId="245514A4">
      <w:pPr>
        <w:widowControl/>
        <w:jc w:val="left"/>
        <w:rPr>
          <w:rStyle w:val="181"/>
          <w:color w:val="000000" w:themeColor="text1"/>
        </w:rPr>
      </w:pPr>
      <w:r>
        <w:rPr>
          <w:rStyle w:val="181"/>
          <w:b w:val="0"/>
          <w:bCs w:val="0"/>
          <w:color w:val="000000" w:themeColor="text1"/>
        </w:rPr>
        <w:br w:type="page"/>
      </w:r>
    </w:p>
    <w:p w14:paraId="7C91C84E">
      <w:pPr>
        <w:pStyle w:val="3"/>
        <w:rPr>
          <w:color w:val="000000" w:themeColor="text1"/>
        </w:rPr>
      </w:pPr>
      <w:bookmarkStart w:id="439" w:name="_Toc28117732"/>
      <w:r>
        <w:rPr>
          <w:color w:val="000000" w:themeColor="text1"/>
        </w:rPr>
        <w:t>9环境保护对策措施</w:t>
      </w:r>
      <w:r>
        <w:rPr>
          <w:rFonts w:hint="eastAsia"/>
          <w:color w:val="000000" w:themeColor="text1"/>
          <w:lang w:eastAsia="zh-CN"/>
        </w:rPr>
        <w:t>及</w:t>
      </w:r>
      <w:r>
        <w:rPr>
          <w:color w:val="000000" w:themeColor="text1"/>
        </w:rPr>
        <w:t>环境经济效益分析</w:t>
      </w:r>
      <w:bookmarkEnd w:id="439"/>
    </w:p>
    <w:p w14:paraId="5A262712">
      <w:pPr>
        <w:pStyle w:val="4"/>
        <w:rPr>
          <w:rFonts w:ascii="Times New Roman" w:hAnsi="Times New Roman"/>
          <w:color w:val="000000" w:themeColor="text1"/>
        </w:rPr>
      </w:pPr>
      <w:bookmarkStart w:id="440" w:name="_Toc241370959"/>
      <w:bookmarkStart w:id="441" w:name="_Toc299952524"/>
      <w:bookmarkStart w:id="442" w:name="_Toc28117733"/>
      <w:bookmarkStart w:id="443" w:name="_Toc228733626"/>
      <w:bookmarkStart w:id="444" w:name="_Toc237273579"/>
      <w:r>
        <w:rPr>
          <w:rFonts w:ascii="Times New Roman" w:hAnsi="Times New Roman"/>
          <w:color w:val="000000" w:themeColor="text1"/>
        </w:rPr>
        <w:t>9.1施工期污染防治措施及要求</w:t>
      </w:r>
      <w:bookmarkEnd w:id="440"/>
      <w:bookmarkEnd w:id="441"/>
      <w:bookmarkEnd w:id="442"/>
      <w:bookmarkEnd w:id="443"/>
      <w:bookmarkEnd w:id="444"/>
    </w:p>
    <w:p w14:paraId="6D0401D1">
      <w:pPr>
        <w:pStyle w:val="105"/>
        <w:rPr>
          <w:rFonts w:cs="Times New Roman"/>
          <w:color w:val="000000" w:themeColor="text1"/>
        </w:rPr>
      </w:pPr>
      <w:r>
        <w:rPr>
          <w:rFonts w:cs="Times New Roman"/>
          <w:color w:val="000000" w:themeColor="text1"/>
        </w:rPr>
        <w:t>9.1.1大气污染防治措施</w:t>
      </w:r>
    </w:p>
    <w:p w14:paraId="1D254455">
      <w:pPr>
        <w:pStyle w:val="116"/>
        <w:ind w:firstLine="480"/>
        <w:rPr>
          <w:color w:val="000000" w:themeColor="text1"/>
        </w:rPr>
      </w:pPr>
      <w:r>
        <w:rPr>
          <w:rFonts w:hint="eastAsia" w:ascii="宋体" w:hAnsi="宋体" w:cs="宋体"/>
          <w:color w:val="000000" w:themeColor="text1"/>
        </w:rPr>
        <w:t>①</w:t>
      </w:r>
      <w:r>
        <w:rPr>
          <w:color w:val="000000" w:themeColor="text1"/>
        </w:rPr>
        <w:t>施工工地厂界设置遮挡围墙，以有效减少近地面扬尘的扩散。</w:t>
      </w:r>
    </w:p>
    <w:p w14:paraId="446DCF3C">
      <w:pPr>
        <w:pStyle w:val="116"/>
        <w:ind w:firstLine="480"/>
        <w:rPr>
          <w:color w:val="000000" w:themeColor="text1"/>
        </w:rPr>
      </w:pPr>
      <w:r>
        <w:rPr>
          <w:rFonts w:hint="eastAsia" w:ascii="宋体" w:hAnsi="宋体" w:cs="宋体"/>
          <w:color w:val="000000" w:themeColor="text1"/>
        </w:rPr>
        <w:t>②</w:t>
      </w:r>
      <w:r>
        <w:rPr>
          <w:color w:val="000000" w:themeColor="text1"/>
        </w:rPr>
        <w:t>专人负责施工场地和车辆的清洁打扫，保证施工场地和道路的清洁。</w:t>
      </w:r>
    </w:p>
    <w:p w14:paraId="01855099">
      <w:pPr>
        <w:pStyle w:val="116"/>
        <w:ind w:firstLine="480"/>
        <w:rPr>
          <w:color w:val="000000" w:themeColor="text1"/>
        </w:rPr>
      </w:pPr>
      <w:r>
        <w:rPr>
          <w:rFonts w:hint="eastAsia" w:ascii="宋体" w:hAnsi="宋体" w:cs="宋体"/>
          <w:color w:val="000000" w:themeColor="text1"/>
        </w:rPr>
        <w:t>③</w:t>
      </w:r>
      <w:r>
        <w:rPr>
          <w:color w:val="000000" w:themeColor="text1"/>
        </w:rPr>
        <w:t>施工场地粉状料堆等材料堆场应远离项目区西北侧820m的排鲁村及排鲁水库，材料堆场进行遮盖并设置防护措施（使用铺彩条布进行临时遮盖），防止大量扬尘产生；同时建议施工方优先进行生产区的建设，以减少对周边的影响。</w:t>
      </w:r>
    </w:p>
    <w:p w14:paraId="3604F602">
      <w:pPr>
        <w:pStyle w:val="116"/>
        <w:ind w:firstLine="480"/>
        <w:rPr>
          <w:color w:val="000000" w:themeColor="text1"/>
        </w:rPr>
      </w:pPr>
      <w:r>
        <w:rPr>
          <w:rFonts w:hint="eastAsia" w:ascii="宋体" w:hAnsi="宋体" w:cs="宋体"/>
          <w:color w:val="000000" w:themeColor="text1"/>
        </w:rPr>
        <w:t>④</w:t>
      </w:r>
      <w:r>
        <w:rPr>
          <w:color w:val="000000" w:themeColor="text1"/>
        </w:rPr>
        <w:t>施工场地内运输通道应及时清扫和平整，以尽量减少运输车辆行驶产生的扬尘，必要时应采取洒水抑尘等措施；</w:t>
      </w:r>
    </w:p>
    <w:p w14:paraId="7E4A7463">
      <w:pPr>
        <w:pStyle w:val="116"/>
        <w:ind w:firstLine="480"/>
        <w:rPr>
          <w:color w:val="000000" w:themeColor="text1"/>
        </w:rPr>
      </w:pPr>
      <w:r>
        <w:rPr>
          <w:rFonts w:hint="eastAsia" w:ascii="宋体" w:hAnsi="宋体" w:cs="宋体"/>
          <w:color w:val="000000" w:themeColor="text1"/>
        </w:rPr>
        <w:t>⑤</w:t>
      </w:r>
      <w:r>
        <w:rPr>
          <w:color w:val="000000" w:themeColor="text1"/>
        </w:rPr>
        <w:t>运输车辆进入施工场地要限速行驶，减少产尘量；</w:t>
      </w:r>
    </w:p>
    <w:p w14:paraId="561BE27D">
      <w:pPr>
        <w:pStyle w:val="105"/>
        <w:rPr>
          <w:rFonts w:cs="Times New Roman"/>
          <w:color w:val="000000" w:themeColor="text1"/>
        </w:rPr>
      </w:pPr>
      <w:r>
        <w:rPr>
          <w:rFonts w:cs="Times New Roman"/>
          <w:color w:val="000000" w:themeColor="text1"/>
        </w:rPr>
        <w:t>9.1.2水污染防治措施</w:t>
      </w:r>
    </w:p>
    <w:p w14:paraId="4025123F">
      <w:pPr>
        <w:pStyle w:val="296"/>
        <w:ind w:firstLine="480"/>
        <w:rPr>
          <w:rFonts w:cs="Times New Roman"/>
          <w:color w:val="000000" w:themeColor="text1"/>
        </w:rPr>
      </w:pPr>
      <w:r>
        <w:rPr>
          <w:rFonts w:cs="Times New Roman"/>
          <w:color w:val="000000" w:themeColor="text1"/>
        </w:rPr>
        <w:t>（1）生活污水利用现有的盛达泰厕所，定期清掏做农肥使用，不外排；</w:t>
      </w:r>
    </w:p>
    <w:p w14:paraId="68A9BD08">
      <w:pPr>
        <w:pStyle w:val="296"/>
        <w:ind w:firstLine="480"/>
        <w:rPr>
          <w:rFonts w:cs="Times New Roman"/>
          <w:color w:val="000000" w:themeColor="text1"/>
        </w:rPr>
      </w:pPr>
      <w:r>
        <w:rPr>
          <w:rFonts w:cs="Times New Roman"/>
          <w:color w:val="000000" w:themeColor="text1"/>
        </w:rPr>
        <w:t>（2）设置一个3m</w:t>
      </w:r>
      <w:r>
        <w:rPr>
          <w:rFonts w:cs="Times New Roman"/>
          <w:color w:val="000000" w:themeColor="text1"/>
          <w:vertAlign w:val="superscript"/>
        </w:rPr>
        <w:t>3</w:t>
      </w:r>
      <w:r>
        <w:rPr>
          <w:rFonts w:cs="Times New Roman"/>
          <w:color w:val="000000" w:themeColor="text1"/>
        </w:rPr>
        <w:t>沉淀池，经过沉淀处理后的施工废水全部回用于建筑材料的冲洗和施工场地喷水降尘，不外排。</w:t>
      </w:r>
    </w:p>
    <w:p w14:paraId="5A646B53">
      <w:pPr>
        <w:pStyle w:val="105"/>
        <w:rPr>
          <w:rFonts w:cs="Times New Roman"/>
          <w:color w:val="000000" w:themeColor="text1"/>
        </w:rPr>
      </w:pPr>
      <w:r>
        <w:rPr>
          <w:rFonts w:cs="Times New Roman"/>
          <w:color w:val="000000" w:themeColor="text1"/>
        </w:rPr>
        <w:t>9.1.3噪声污染防治措施</w:t>
      </w:r>
    </w:p>
    <w:p w14:paraId="34A6AD07">
      <w:pPr>
        <w:pStyle w:val="116"/>
        <w:ind w:firstLine="480"/>
        <w:rPr>
          <w:color w:val="000000" w:themeColor="text1"/>
        </w:rPr>
      </w:pPr>
      <w:r>
        <w:rPr>
          <w:color w:val="000000" w:themeColor="text1"/>
        </w:rPr>
        <w:t>（1）建筑施工单位在施工作业中应选用低噪声的施工机械和先进的工艺，合理安排各类施工机械的工作时间，尽量避免高噪声源同时工作，避免噪声产生叠加。</w:t>
      </w:r>
    </w:p>
    <w:p w14:paraId="2D7EDC15">
      <w:pPr>
        <w:pStyle w:val="116"/>
        <w:ind w:firstLine="480"/>
        <w:rPr>
          <w:color w:val="000000" w:themeColor="text1"/>
        </w:rPr>
      </w:pPr>
      <w:r>
        <w:rPr>
          <w:color w:val="000000" w:themeColor="text1"/>
        </w:rPr>
        <w:t>（2）施工场界噪声应符合GB12523-2011《建筑施工场界环境噪声排放标准》，即：昼间≤70dB(A)，夜间≤55dB(A)。</w:t>
      </w:r>
    </w:p>
    <w:p w14:paraId="0FD6AEC7">
      <w:pPr>
        <w:pStyle w:val="105"/>
        <w:rPr>
          <w:rFonts w:cs="Times New Roman"/>
          <w:color w:val="000000" w:themeColor="text1"/>
        </w:rPr>
      </w:pPr>
      <w:r>
        <w:rPr>
          <w:rFonts w:cs="Times New Roman"/>
          <w:color w:val="000000" w:themeColor="text1"/>
        </w:rPr>
        <w:t>9.1.4固体废弃物防治措施</w:t>
      </w:r>
    </w:p>
    <w:p w14:paraId="10084CD3">
      <w:pPr>
        <w:spacing w:line="360" w:lineRule="auto"/>
        <w:ind w:firstLine="480" w:firstLineChars="200"/>
        <w:rPr>
          <w:color w:val="000000" w:themeColor="text1"/>
          <w:sz w:val="24"/>
        </w:rPr>
      </w:pPr>
      <w:r>
        <w:rPr>
          <w:color w:val="000000" w:themeColor="text1"/>
          <w:sz w:val="24"/>
        </w:rPr>
        <w:t>（1）施工期间剥离表土临时堆放用于绿化区空地内，用于后期场地绿化覆土，项目建设无永久弃渣。</w:t>
      </w:r>
    </w:p>
    <w:p w14:paraId="2CA67FF7">
      <w:pPr>
        <w:pStyle w:val="296"/>
        <w:ind w:firstLine="480"/>
        <w:rPr>
          <w:rFonts w:cs="Times New Roman"/>
          <w:color w:val="000000" w:themeColor="text1"/>
        </w:rPr>
      </w:pPr>
      <w:r>
        <w:rPr>
          <w:rFonts w:cs="Times New Roman"/>
          <w:color w:val="000000" w:themeColor="text1"/>
        </w:rPr>
        <w:t>（2）建筑垃圾分类集中堆存、回收利用，不能利用则委托其施工单位统一清运到合法堆场，禁止与生活垃圾混合处置，禁止随意丢弃。</w:t>
      </w:r>
    </w:p>
    <w:p w14:paraId="64E0F737">
      <w:pPr>
        <w:widowControl/>
        <w:spacing w:line="360" w:lineRule="auto"/>
        <w:ind w:firstLine="480" w:firstLineChars="200"/>
        <w:jc w:val="left"/>
        <w:rPr>
          <w:color w:val="000000" w:themeColor="text1"/>
          <w:sz w:val="24"/>
        </w:rPr>
      </w:pPr>
      <w:r>
        <w:rPr>
          <w:color w:val="000000" w:themeColor="text1"/>
          <w:sz w:val="24"/>
        </w:rPr>
        <w:t>（3）生活垃圾</w:t>
      </w:r>
      <w:r>
        <w:rPr>
          <w:rFonts w:eastAsia="新宋体"/>
          <w:color w:val="000000" w:themeColor="text1"/>
          <w:sz w:val="24"/>
          <w:szCs w:val="21"/>
        </w:rPr>
        <w:t>集中收集后定期清运至就近村子的垃圾收集点。</w:t>
      </w:r>
    </w:p>
    <w:p w14:paraId="759CF092">
      <w:pPr>
        <w:pStyle w:val="4"/>
        <w:rPr>
          <w:rFonts w:ascii="Times New Roman" w:hAnsi="Times New Roman"/>
          <w:color w:val="000000" w:themeColor="text1"/>
        </w:rPr>
      </w:pPr>
      <w:bookmarkStart w:id="445" w:name="_Toc228733627"/>
      <w:bookmarkStart w:id="446" w:name="_Toc215662511"/>
      <w:bookmarkStart w:id="447" w:name="_Toc28117734"/>
      <w:bookmarkStart w:id="448" w:name="_Toc241370960"/>
      <w:bookmarkStart w:id="449" w:name="_Toc237273580"/>
      <w:bookmarkStart w:id="450" w:name="_Toc299952525"/>
      <w:r>
        <w:rPr>
          <w:rFonts w:ascii="Times New Roman" w:hAnsi="Times New Roman"/>
          <w:color w:val="000000" w:themeColor="text1"/>
        </w:rPr>
        <w:t>9.2项目运营期的污染防治</w:t>
      </w:r>
      <w:bookmarkEnd w:id="445"/>
      <w:bookmarkEnd w:id="446"/>
      <w:r>
        <w:rPr>
          <w:rFonts w:ascii="Times New Roman" w:hAnsi="Times New Roman"/>
          <w:color w:val="000000" w:themeColor="text1"/>
        </w:rPr>
        <w:t>要求</w:t>
      </w:r>
      <w:bookmarkEnd w:id="447"/>
      <w:bookmarkEnd w:id="448"/>
      <w:bookmarkEnd w:id="449"/>
      <w:bookmarkEnd w:id="450"/>
    </w:p>
    <w:p w14:paraId="4E4B0BAA">
      <w:pPr>
        <w:pStyle w:val="105"/>
        <w:rPr>
          <w:rFonts w:cs="Times New Roman"/>
          <w:color w:val="000000" w:themeColor="text1"/>
        </w:rPr>
      </w:pPr>
      <w:r>
        <w:rPr>
          <w:rFonts w:cs="Times New Roman"/>
          <w:color w:val="000000" w:themeColor="text1"/>
        </w:rPr>
        <w:t>9.2.1废气污染防治措施</w:t>
      </w:r>
    </w:p>
    <w:p w14:paraId="07C0C2CC">
      <w:pPr>
        <w:widowControl/>
        <w:spacing w:line="360" w:lineRule="auto"/>
        <w:ind w:firstLine="480" w:firstLineChars="200"/>
        <w:jc w:val="left"/>
        <w:rPr>
          <w:color w:val="000000" w:themeColor="text1"/>
          <w:sz w:val="24"/>
        </w:rPr>
      </w:pPr>
      <w:r>
        <w:rPr>
          <w:color w:val="000000" w:themeColor="text1"/>
          <w:sz w:val="24"/>
        </w:rPr>
        <w:t>（1）项目区严禁使用高污染燃料。</w:t>
      </w:r>
    </w:p>
    <w:p w14:paraId="150826F0">
      <w:pPr>
        <w:widowControl/>
        <w:spacing w:line="360" w:lineRule="auto"/>
        <w:ind w:firstLine="480" w:firstLineChars="200"/>
        <w:jc w:val="left"/>
        <w:rPr>
          <w:color w:val="000000" w:themeColor="text1"/>
          <w:sz w:val="24"/>
        </w:rPr>
      </w:pPr>
      <w:r>
        <w:rPr>
          <w:color w:val="000000" w:themeColor="text1"/>
          <w:sz w:val="24"/>
        </w:rPr>
        <w:t>（2）加强项目区绿化管理及维护，保证绿化植物成活生长，发挥绿化体系对环境空气的净化及生态环境的调节功能。</w:t>
      </w:r>
    </w:p>
    <w:p w14:paraId="37ED33CE">
      <w:pPr>
        <w:pStyle w:val="111"/>
        <w:spacing w:line="360" w:lineRule="auto"/>
        <w:ind w:firstLine="480" w:firstLineChars="200"/>
        <w:rPr>
          <w:color w:val="000000" w:themeColor="text1"/>
        </w:rPr>
      </w:pPr>
      <w:r>
        <w:rPr>
          <w:color w:val="000000" w:themeColor="text1"/>
        </w:rPr>
        <w:t>（3）本项目设备使用的是电，本项目由于塑料清洗破碎工序采用湿式破碎，因此基本无粉尘产生；</w:t>
      </w:r>
    </w:p>
    <w:p w14:paraId="76469020">
      <w:pPr>
        <w:spacing w:line="360" w:lineRule="auto"/>
        <w:ind w:left="105" w:leftChars="50" w:right="105" w:rightChars="50" w:firstLine="480" w:firstLineChars="200"/>
        <w:jc w:val="left"/>
        <w:rPr>
          <w:rFonts w:eastAsiaTheme="minorEastAsia"/>
          <w:bCs/>
          <w:color w:val="000000" w:themeColor="text1"/>
          <w:sz w:val="24"/>
        </w:rPr>
      </w:pPr>
      <w:r>
        <w:rPr>
          <w:color w:val="000000" w:themeColor="text1"/>
          <w:sz w:val="24"/>
        </w:rPr>
        <w:t>废气主要为造粒工序热熔挤出废气（颗粒物、非甲烷总烃），</w:t>
      </w:r>
      <w:r>
        <w:rPr>
          <w:rFonts w:eastAsiaTheme="minorEastAsia"/>
          <w:bCs/>
          <w:color w:val="000000" w:themeColor="text1"/>
          <w:sz w:val="24"/>
        </w:rPr>
        <w:t>拟在两台塑料挤出机上方设置2套集气罩（风量为8000m</w:t>
      </w:r>
      <w:r>
        <w:rPr>
          <w:rFonts w:eastAsiaTheme="minorEastAsia"/>
          <w:bCs/>
          <w:color w:val="000000" w:themeColor="text1"/>
          <w:sz w:val="24"/>
          <w:vertAlign w:val="superscript"/>
        </w:rPr>
        <w:t>3</w:t>
      </w:r>
      <w:r>
        <w:rPr>
          <w:rFonts w:eastAsiaTheme="minorEastAsia"/>
          <w:bCs/>
          <w:color w:val="000000" w:themeColor="text1"/>
          <w:sz w:val="24"/>
        </w:rPr>
        <w:t>/h，集气效率90%），将颗粒物及非甲烷总烃引至1套过滤棉+1套UV光解装置处理达标后（颗粒物处置效率95%，非甲烷总烃处置效率85%），通过管道引至1根15m的排气筒排放。</w:t>
      </w:r>
    </w:p>
    <w:p w14:paraId="09604233">
      <w:pPr>
        <w:spacing w:line="360" w:lineRule="auto"/>
        <w:ind w:left="105" w:leftChars="50" w:right="105" w:rightChars="50" w:firstLine="480" w:firstLineChars="200"/>
        <w:jc w:val="left"/>
        <w:rPr>
          <w:rFonts w:eastAsiaTheme="minorEastAsia"/>
          <w:bCs/>
          <w:color w:val="000000" w:themeColor="text1"/>
          <w:sz w:val="24"/>
        </w:rPr>
      </w:pPr>
      <w:r>
        <w:rPr>
          <w:rFonts w:eastAsiaTheme="minorEastAsia"/>
          <w:bCs/>
          <w:color w:val="000000" w:themeColor="text1"/>
          <w:sz w:val="24"/>
        </w:rPr>
        <w:t>编织袋生产设置1套集气罩对废气进行收集，然后经”过滤棉+UV光催化净化装置”处理后（收集效率90%，非甲烷总烃处理效率85%，颗粒物处理效率95%），通过15m高排气筒排放。</w:t>
      </w:r>
    </w:p>
    <w:p w14:paraId="35882A12">
      <w:pPr>
        <w:spacing w:line="360" w:lineRule="auto"/>
        <w:ind w:firstLine="480" w:firstLineChars="200"/>
        <w:jc w:val="left"/>
        <w:rPr>
          <w:color w:val="000000" w:themeColor="text1"/>
          <w:sz w:val="24"/>
        </w:rPr>
      </w:pPr>
      <w:r>
        <w:rPr>
          <w:color w:val="000000" w:themeColor="text1"/>
          <w:sz w:val="24"/>
        </w:rPr>
        <w:t>（4）项目区设有食堂，就餐人数为20人。建设小型油烟净化装置，总引风量为2000m</w:t>
      </w:r>
      <w:r>
        <w:rPr>
          <w:color w:val="000000" w:themeColor="text1"/>
          <w:sz w:val="24"/>
          <w:vertAlign w:val="superscript"/>
        </w:rPr>
        <w:t>3</w:t>
      </w:r>
      <w:r>
        <w:rPr>
          <w:color w:val="000000" w:themeColor="text1"/>
          <w:sz w:val="24"/>
        </w:rPr>
        <w:t>/h，净化效率60%的油烟净化设施处理后外排，满足GB18483—2001《饮食业油烟排放标准》油烟最高允许排放浓度2mg/m</w:t>
      </w:r>
      <w:r>
        <w:rPr>
          <w:color w:val="000000" w:themeColor="text1"/>
          <w:sz w:val="24"/>
          <w:vertAlign w:val="superscript"/>
        </w:rPr>
        <w:t>3</w:t>
      </w:r>
      <w:r>
        <w:rPr>
          <w:color w:val="000000" w:themeColor="text1"/>
          <w:sz w:val="24"/>
        </w:rPr>
        <w:t>。</w:t>
      </w:r>
    </w:p>
    <w:p w14:paraId="6F9412B5">
      <w:pPr>
        <w:pStyle w:val="116"/>
        <w:ind w:firstLine="480"/>
        <w:rPr>
          <w:color w:val="000000" w:themeColor="text1"/>
        </w:rPr>
      </w:pPr>
      <w:r>
        <w:rPr>
          <w:color w:val="000000" w:themeColor="text1"/>
        </w:rPr>
        <w:t>（5）原料仓库必须为封闭或半封闭设施， 应有防雨、防晒、防渗、防尘、防扬散和防火设施，地面硬化。</w:t>
      </w:r>
    </w:p>
    <w:p w14:paraId="3C4AB20B">
      <w:pPr>
        <w:spacing w:line="360" w:lineRule="auto"/>
        <w:ind w:firstLine="480" w:firstLineChars="200"/>
        <w:jc w:val="left"/>
        <w:rPr>
          <w:color w:val="000000" w:themeColor="text1"/>
          <w:sz w:val="24"/>
        </w:rPr>
      </w:pPr>
    </w:p>
    <w:p w14:paraId="244A68E0">
      <w:pPr>
        <w:pStyle w:val="105"/>
        <w:rPr>
          <w:rFonts w:cs="Times New Roman"/>
          <w:color w:val="000000" w:themeColor="text1"/>
          <w:szCs w:val="28"/>
        </w:rPr>
      </w:pPr>
      <w:r>
        <w:rPr>
          <w:rFonts w:cs="Times New Roman"/>
          <w:color w:val="000000" w:themeColor="text1"/>
        </w:rPr>
        <w:t>9.2.2水污染防治措施</w:t>
      </w:r>
    </w:p>
    <w:p w14:paraId="19438AAC">
      <w:pPr>
        <w:spacing w:line="360" w:lineRule="auto"/>
        <w:ind w:firstLine="482" w:firstLineChars="200"/>
        <w:rPr>
          <w:b/>
          <w:color w:val="000000" w:themeColor="text1"/>
          <w:sz w:val="24"/>
          <w:szCs w:val="22"/>
        </w:rPr>
      </w:pPr>
      <w:r>
        <w:rPr>
          <w:b/>
          <w:color w:val="000000" w:themeColor="text1"/>
          <w:sz w:val="24"/>
          <w:szCs w:val="22"/>
        </w:rPr>
        <w:t>（1）初期雨水防治措施</w:t>
      </w:r>
    </w:p>
    <w:p w14:paraId="0B068BC9">
      <w:pPr>
        <w:spacing w:line="360" w:lineRule="auto"/>
        <w:ind w:firstLine="480" w:firstLineChars="200"/>
        <w:rPr>
          <w:color w:val="000000" w:themeColor="text1"/>
          <w:sz w:val="24"/>
        </w:rPr>
      </w:pPr>
      <w:r>
        <w:rPr>
          <w:color w:val="000000" w:themeColor="text1"/>
          <w:sz w:val="24"/>
          <w:szCs w:val="22"/>
        </w:rPr>
        <w:t>项目实行清污、雨污分流；</w:t>
      </w:r>
      <w:r>
        <w:rPr>
          <w:color w:val="000000" w:themeColor="text1"/>
          <w:sz w:val="24"/>
        </w:rPr>
        <w:t>本项目厂区设置雨水沟，收集前1h的雨水进入本项目雨水收集池（3m</w:t>
      </w:r>
      <w:r>
        <w:rPr>
          <w:color w:val="000000" w:themeColor="text1"/>
          <w:sz w:val="24"/>
          <w:vertAlign w:val="superscript"/>
        </w:rPr>
        <w:t>3</w:t>
      </w:r>
      <w:r>
        <w:rPr>
          <w:color w:val="000000" w:themeColor="text1"/>
          <w:sz w:val="24"/>
        </w:rPr>
        <w:t>）处理，回用于生产，其余经沉淀后外排。</w:t>
      </w:r>
      <w:r>
        <w:rPr>
          <w:rFonts w:eastAsia="??"/>
          <w:color w:val="000000" w:themeColor="text1"/>
          <w:sz w:val="24"/>
        </w:rPr>
        <w:t xml:space="preserve"> </w:t>
      </w:r>
    </w:p>
    <w:p w14:paraId="0C93522C">
      <w:pPr>
        <w:spacing w:line="360" w:lineRule="auto"/>
        <w:ind w:firstLine="482" w:firstLineChars="200"/>
        <w:rPr>
          <w:b/>
          <w:color w:val="000000" w:themeColor="text1"/>
          <w:sz w:val="24"/>
          <w:szCs w:val="22"/>
        </w:rPr>
      </w:pPr>
      <w:r>
        <w:rPr>
          <w:b/>
          <w:color w:val="000000" w:themeColor="text1"/>
          <w:sz w:val="24"/>
          <w:szCs w:val="22"/>
        </w:rPr>
        <w:t>（2）生产废水防治措施</w:t>
      </w:r>
    </w:p>
    <w:p w14:paraId="75AE141E">
      <w:pPr>
        <w:spacing w:line="360" w:lineRule="auto"/>
        <w:ind w:firstLine="480" w:firstLineChars="200"/>
        <w:rPr>
          <w:bCs/>
          <w:color w:val="000000" w:themeColor="text1"/>
          <w:sz w:val="24"/>
          <w:szCs w:val="32"/>
        </w:rPr>
      </w:pPr>
      <w:r>
        <w:rPr>
          <w:bCs/>
          <w:color w:val="000000" w:themeColor="text1"/>
          <w:sz w:val="24"/>
          <w:szCs w:val="32"/>
        </w:rPr>
        <w:t>生产废水中清洗、破碎废水通过</w:t>
      </w:r>
      <w:r>
        <w:rPr>
          <w:color w:val="000000" w:themeColor="text1"/>
          <w:sz w:val="24"/>
        </w:rPr>
        <w:t>污水处理设施（隔油池+沉淀池）</w:t>
      </w:r>
      <w:r>
        <w:rPr>
          <w:bCs/>
          <w:color w:val="000000" w:themeColor="text1"/>
          <w:sz w:val="24"/>
          <w:szCs w:val="32"/>
        </w:rPr>
        <w:t>处理后，储存于沉淀池回用于生产，不外排。</w:t>
      </w:r>
    </w:p>
    <w:p w14:paraId="3C060B85">
      <w:pPr>
        <w:spacing w:line="360" w:lineRule="auto"/>
        <w:ind w:firstLine="480" w:firstLineChars="200"/>
        <w:rPr>
          <w:bCs/>
          <w:color w:val="000000" w:themeColor="text1"/>
          <w:sz w:val="24"/>
          <w:szCs w:val="32"/>
        </w:rPr>
      </w:pPr>
      <w:r>
        <w:rPr>
          <w:bCs/>
          <w:color w:val="000000" w:themeColor="text1"/>
          <w:sz w:val="24"/>
        </w:rPr>
        <w:t>造粒工序设置两台造粒机，各配套一个冷却水槽，共用一个冷却水循环系统（循环冷却水池1m</w:t>
      </w:r>
      <w:r>
        <w:rPr>
          <w:bCs/>
          <w:color w:val="000000" w:themeColor="text1"/>
          <w:sz w:val="24"/>
          <w:vertAlign w:val="superscript"/>
        </w:rPr>
        <w:t>3</w:t>
      </w:r>
      <w:r>
        <w:rPr>
          <w:bCs/>
          <w:color w:val="000000" w:themeColor="text1"/>
          <w:sz w:val="24"/>
        </w:rPr>
        <w:t>），本项目编织袋生产配套一个冷却水循环系统（循环冷却水池0.5m</w:t>
      </w:r>
      <w:r>
        <w:rPr>
          <w:bCs/>
          <w:color w:val="000000" w:themeColor="text1"/>
          <w:sz w:val="24"/>
          <w:vertAlign w:val="superscript"/>
        </w:rPr>
        <w:t>3</w:t>
      </w:r>
      <w:r>
        <w:rPr>
          <w:bCs/>
          <w:color w:val="000000" w:themeColor="text1"/>
          <w:sz w:val="24"/>
        </w:rPr>
        <w:t>），</w:t>
      </w:r>
      <w:r>
        <w:rPr>
          <w:rFonts w:eastAsiaTheme="minorEastAsia"/>
          <w:bCs/>
          <w:color w:val="000000" w:themeColor="text1"/>
          <w:sz w:val="24"/>
          <w:szCs w:val="28"/>
        </w:rPr>
        <w:t>此部分废水经冷却循环池冷却及沉淀后，可用于生产中。</w:t>
      </w:r>
    </w:p>
    <w:p w14:paraId="15BEBFBF">
      <w:pPr>
        <w:spacing w:line="360" w:lineRule="auto"/>
        <w:ind w:firstLine="482" w:firstLineChars="200"/>
        <w:rPr>
          <w:b/>
          <w:color w:val="000000" w:themeColor="text1"/>
          <w:sz w:val="24"/>
          <w:szCs w:val="22"/>
        </w:rPr>
      </w:pPr>
      <w:r>
        <w:rPr>
          <w:b/>
          <w:color w:val="000000" w:themeColor="text1"/>
          <w:sz w:val="24"/>
          <w:szCs w:val="22"/>
        </w:rPr>
        <w:t>（3）生活废水防治措施</w:t>
      </w:r>
    </w:p>
    <w:p w14:paraId="5FF21E13">
      <w:pPr>
        <w:spacing w:line="360" w:lineRule="auto"/>
        <w:ind w:firstLine="480" w:firstLineChars="200"/>
        <w:rPr>
          <w:bCs/>
          <w:color w:val="000000" w:themeColor="text1"/>
          <w:sz w:val="24"/>
        </w:rPr>
      </w:pPr>
      <w:r>
        <w:rPr>
          <w:bCs/>
          <w:color w:val="000000" w:themeColor="text1"/>
          <w:sz w:val="24"/>
        </w:rPr>
        <w:t>厨房废水经1个隔油池（0.2m</w:t>
      </w:r>
      <w:r>
        <w:rPr>
          <w:bCs/>
          <w:color w:val="000000" w:themeColor="text1"/>
          <w:sz w:val="24"/>
          <w:vertAlign w:val="superscript"/>
        </w:rPr>
        <w:t>3</w:t>
      </w:r>
      <w:r>
        <w:rPr>
          <w:bCs/>
          <w:color w:val="000000" w:themeColor="text1"/>
          <w:sz w:val="24"/>
        </w:rPr>
        <w:t>）处理后，与其它生活废水排入化粪池（26m</w:t>
      </w:r>
      <w:r>
        <w:rPr>
          <w:bCs/>
          <w:color w:val="000000" w:themeColor="text1"/>
          <w:sz w:val="24"/>
          <w:vertAlign w:val="superscript"/>
        </w:rPr>
        <w:t>3</w:t>
      </w:r>
      <w:r>
        <w:rPr>
          <w:bCs/>
          <w:color w:val="000000" w:themeColor="text1"/>
          <w:sz w:val="24"/>
        </w:rPr>
        <w:t>）处理，定期委托周边村民清运，用于农作物施肥。</w:t>
      </w:r>
    </w:p>
    <w:p w14:paraId="4C1ABDBD">
      <w:pPr>
        <w:spacing w:line="360" w:lineRule="auto"/>
        <w:ind w:firstLine="480" w:firstLineChars="200"/>
        <w:rPr>
          <w:color w:val="000000" w:themeColor="text1"/>
          <w:sz w:val="24"/>
        </w:rPr>
      </w:pPr>
      <w:r>
        <w:rPr>
          <w:color w:val="000000" w:themeColor="text1"/>
          <w:sz w:val="24"/>
        </w:rPr>
        <w:t>（4）环保设施设置明显的标志，以便环保部门监测检查。</w:t>
      </w:r>
    </w:p>
    <w:p w14:paraId="344F21A9">
      <w:pPr>
        <w:widowControl/>
        <w:spacing w:line="360" w:lineRule="auto"/>
        <w:ind w:firstLine="480" w:firstLineChars="200"/>
        <w:jc w:val="left"/>
        <w:rPr>
          <w:color w:val="000000" w:themeColor="text1"/>
          <w:sz w:val="24"/>
        </w:rPr>
      </w:pPr>
      <w:r>
        <w:rPr>
          <w:color w:val="000000" w:themeColor="text1"/>
          <w:sz w:val="24"/>
        </w:rPr>
        <w:t>（5）应指定专人负责项目内废水处理设施的日常管理及维护，定期检修设备，确保设施持续稳定运行。</w:t>
      </w:r>
    </w:p>
    <w:p w14:paraId="74104756">
      <w:pPr>
        <w:pStyle w:val="105"/>
        <w:rPr>
          <w:rFonts w:cs="Times New Roman"/>
          <w:color w:val="000000" w:themeColor="text1"/>
          <w:szCs w:val="28"/>
        </w:rPr>
      </w:pPr>
      <w:r>
        <w:rPr>
          <w:rFonts w:cs="Times New Roman"/>
          <w:color w:val="000000" w:themeColor="text1"/>
        </w:rPr>
        <w:t>9.2.3地下水污染防治措施</w:t>
      </w:r>
    </w:p>
    <w:p w14:paraId="6E741295">
      <w:pPr>
        <w:spacing w:line="360" w:lineRule="auto"/>
        <w:ind w:firstLine="482" w:firstLineChars="200"/>
        <w:jc w:val="left"/>
        <w:rPr>
          <w:b/>
          <w:color w:val="000000" w:themeColor="text1"/>
          <w:sz w:val="24"/>
        </w:rPr>
      </w:pPr>
      <w:r>
        <w:rPr>
          <w:b/>
          <w:color w:val="000000" w:themeColor="text1"/>
          <w:sz w:val="24"/>
        </w:rPr>
        <w:t>1、源头控制措施</w:t>
      </w:r>
    </w:p>
    <w:p w14:paraId="7E9952E6">
      <w:pPr>
        <w:spacing w:line="360" w:lineRule="auto"/>
        <w:ind w:firstLine="480" w:firstLineChars="200"/>
        <w:jc w:val="left"/>
        <w:rPr>
          <w:color w:val="000000" w:themeColor="text1"/>
          <w:sz w:val="24"/>
        </w:rPr>
      </w:pPr>
      <w:r>
        <w:rPr>
          <w:color w:val="000000" w:themeColor="text1"/>
          <w:sz w:val="24"/>
        </w:rPr>
        <w:t>加强对”三废”排放的管理，尤其是对生产废水、生活污水处理与处置的管理，充分提高其治理、回收和利用率，尽量把污染物的排放量及排放浓度减少或控制在排放标准以内，这样既减轻了对地表水的污染负荷，又能防止对地下水的污染。</w:t>
      </w:r>
    </w:p>
    <w:p w14:paraId="67D7D15B">
      <w:pPr>
        <w:widowControl/>
        <w:adjustRightInd w:val="0"/>
        <w:snapToGrid w:val="0"/>
        <w:spacing w:line="360" w:lineRule="auto"/>
        <w:ind w:firstLine="482" w:firstLineChars="200"/>
        <w:rPr>
          <w:b/>
          <w:color w:val="000000" w:themeColor="text1"/>
          <w:sz w:val="24"/>
          <w:szCs w:val="20"/>
        </w:rPr>
      </w:pPr>
      <w:r>
        <w:rPr>
          <w:b/>
          <w:color w:val="000000" w:themeColor="text1"/>
          <w:sz w:val="24"/>
          <w:szCs w:val="20"/>
        </w:rPr>
        <w:t>2、分区防控措施</w:t>
      </w:r>
    </w:p>
    <w:p w14:paraId="6EDB4664">
      <w:pPr>
        <w:widowControl/>
        <w:adjustRightInd w:val="0"/>
        <w:snapToGrid w:val="0"/>
        <w:spacing w:line="360" w:lineRule="auto"/>
        <w:ind w:firstLine="480" w:firstLineChars="200"/>
        <w:rPr>
          <w:color w:val="000000" w:themeColor="text1"/>
          <w:sz w:val="24"/>
          <w:szCs w:val="20"/>
        </w:rPr>
      </w:pPr>
      <w:r>
        <w:rPr>
          <w:color w:val="000000" w:themeColor="text1"/>
          <w:sz w:val="24"/>
          <w:szCs w:val="20"/>
        </w:rPr>
        <w:t>根据《环境影响评价技术导则 地下水环境》（HJ610-2016），将项目区分为重点防渗区、一般防渗区和简单防渗区。</w:t>
      </w:r>
    </w:p>
    <w:p w14:paraId="76247A23">
      <w:pPr>
        <w:pStyle w:val="296"/>
        <w:ind w:firstLine="480"/>
        <w:rPr>
          <w:rFonts w:cs="Times New Roman"/>
          <w:color w:val="000000" w:themeColor="text1"/>
        </w:rPr>
      </w:pPr>
      <w:r>
        <w:rPr>
          <w:rFonts w:cs="Times New Roman"/>
          <w:color w:val="000000" w:themeColor="text1"/>
        </w:rPr>
        <w:t>重点防渗区：主要为危废间，基础采用6m厚压实粘土防渗，上面再用混凝土进行硬化。防渗性能应等效于厚度≥6m，渗透系数K≤1.0×10</w:t>
      </w:r>
      <w:r>
        <w:rPr>
          <w:rFonts w:cs="Times New Roman"/>
          <w:color w:val="000000" w:themeColor="text1"/>
          <w:vertAlign w:val="superscript"/>
        </w:rPr>
        <w:t>-7</w:t>
      </w:r>
      <w:r>
        <w:rPr>
          <w:rFonts w:cs="Times New Roman"/>
          <w:color w:val="000000" w:themeColor="text1"/>
        </w:rPr>
        <w:t>cm/s的黏土层的防渗性能。</w:t>
      </w:r>
    </w:p>
    <w:p w14:paraId="197A3DEF">
      <w:pPr>
        <w:pStyle w:val="295"/>
        <w:ind w:firstLine="480"/>
        <w:rPr>
          <w:color w:val="000000" w:themeColor="text1"/>
        </w:rPr>
      </w:pPr>
      <w:r>
        <w:rPr>
          <w:color w:val="000000" w:themeColor="text1"/>
        </w:rPr>
        <w:t>一般防渗区：污水处理设施、原料仓库、破碎清洗生产区、造粒生产区等，基础采用1.5cm厚压实粘土防渗，上面再用混凝土进行硬化，防渗性能应等效于厚度≥1.5m，渗透系数K≤1.0×10</w:t>
      </w:r>
      <w:r>
        <w:rPr>
          <w:color w:val="000000" w:themeColor="text1"/>
          <w:vertAlign w:val="superscript"/>
        </w:rPr>
        <w:t>-7</w:t>
      </w:r>
      <w:r>
        <w:rPr>
          <w:color w:val="000000" w:themeColor="text1"/>
        </w:rPr>
        <w:t>cm/s 的黏土层的防渗性能。</w:t>
      </w:r>
    </w:p>
    <w:p w14:paraId="263E1967">
      <w:pPr>
        <w:pStyle w:val="15"/>
        <w:adjustRightInd w:val="0"/>
        <w:snapToGrid w:val="0"/>
        <w:spacing w:line="360" w:lineRule="auto"/>
        <w:ind w:firstLine="480" w:firstLineChars="200"/>
        <w:rPr>
          <w:color w:val="000000" w:themeColor="text1"/>
          <w:sz w:val="24"/>
        </w:rPr>
      </w:pPr>
      <w:r>
        <w:rPr>
          <w:color w:val="000000" w:themeColor="text1"/>
          <w:sz w:val="24"/>
        </w:rPr>
        <w:t>简单防渗区：住宿及办公区、厨房等，不采取专门针对地下水污染的防治措施，地面可采用混凝土硬化。</w:t>
      </w:r>
    </w:p>
    <w:p w14:paraId="6E2E73DC">
      <w:pPr>
        <w:spacing w:line="360" w:lineRule="auto"/>
        <w:ind w:firstLine="482" w:firstLineChars="200"/>
        <w:jc w:val="left"/>
        <w:rPr>
          <w:b/>
          <w:color w:val="000000" w:themeColor="text1"/>
          <w:sz w:val="24"/>
        </w:rPr>
      </w:pPr>
      <w:r>
        <w:rPr>
          <w:b/>
          <w:color w:val="000000" w:themeColor="text1"/>
          <w:sz w:val="24"/>
        </w:rPr>
        <w:t>3、建立地下水环境跟踪监测制度</w:t>
      </w:r>
    </w:p>
    <w:p w14:paraId="04500692">
      <w:pPr>
        <w:spacing w:line="360" w:lineRule="auto"/>
        <w:ind w:firstLine="480" w:firstLineChars="200"/>
        <w:jc w:val="left"/>
        <w:rPr>
          <w:color w:val="000000" w:themeColor="text1"/>
          <w:sz w:val="24"/>
        </w:rPr>
      </w:pPr>
      <w:r>
        <w:rPr>
          <w:color w:val="000000" w:themeColor="text1"/>
          <w:sz w:val="24"/>
        </w:rPr>
        <w:t>根据《环境影响评价技术导则 地下水环境》（HJ610-2016），三级评价的建设项目，跟踪监测点数量一般不少于1个，至少在建设项目场地下游布置1个。</w:t>
      </w:r>
    </w:p>
    <w:p w14:paraId="207A4551">
      <w:pPr>
        <w:spacing w:line="360" w:lineRule="auto"/>
        <w:ind w:firstLine="480" w:firstLineChars="200"/>
        <w:jc w:val="left"/>
        <w:rPr>
          <w:color w:val="000000" w:themeColor="text1"/>
          <w:sz w:val="24"/>
        </w:rPr>
      </w:pPr>
      <w:r>
        <w:rPr>
          <w:color w:val="000000" w:themeColor="text1"/>
          <w:sz w:val="24"/>
        </w:rPr>
        <w:t>地下水跟踪监测点位的设置原则：</w:t>
      </w:r>
    </w:p>
    <w:p w14:paraId="1AD06EA2">
      <w:pPr>
        <w:spacing w:line="360" w:lineRule="auto"/>
        <w:ind w:firstLine="480" w:firstLineChars="200"/>
        <w:jc w:val="left"/>
        <w:rPr>
          <w:color w:val="000000" w:themeColor="text1"/>
          <w:sz w:val="24"/>
        </w:rPr>
      </w:pPr>
      <w:r>
        <w:rPr>
          <w:color w:val="000000" w:themeColor="text1"/>
          <w:sz w:val="24"/>
        </w:rPr>
        <w:t>（1）充分利用现有水文地质钻孔及民井原则；</w:t>
      </w:r>
    </w:p>
    <w:p w14:paraId="545D94EC">
      <w:pPr>
        <w:spacing w:line="360" w:lineRule="auto"/>
        <w:ind w:firstLine="480" w:firstLineChars="200"/>
        <w:jc w:val="left"/>
        <w:rPr>
          <w:color w:val="000000" w:themeColor="text1"/>
          <w:sz w:val="24"/>
        </w:rPr>
      </w:pPr>
      <w:r>
        <w:rPr>
          <w:color w:val="000000" w:themeColor="text1"/>
          <w:sz w:val="24"/>
        </w:rPr>
        <w:t>（2）充分结合建设项目厂区地下水污染源分布特征，重点关注主要污染源原则；</w:t>
      </w:r>
    </w:p>
    <w:p w14:paraId="226D12A8">
      <w:pPr>
        <w:spacing w:line="360" w:lineRule="auto"/>
        <w:ind w:firstLine="480" w:firstLineChars="200"/>
        <w:jc w:val="left"/>
        <w:rPr>
          <w:color w:val="000000" w:themeColor="text1"/>
          <w:sz w:val="24"/>
        </w:rPr>
      </w:pPr>
      <w:r>
        <w:rPr>
          <w:color w:val="000000" w:themeColor="text1"/>
          <w:sz w:val="24"/>
        </w:rPr>
        <w:t>（3）综合考虑当地水文地质条件，重点根据地下水流场进行监测点布置，在考虑污染源及其他条件的基础上进行优化，实现监测位置最优原则；</w:t>
      </w:r>
    </w:p>
    <w:p w14:paraId="1C5BFA2D">
      <w:pPr>
        <w:spacing w:line="360" w:lineRule="auto"/>
        <w:ind w:firstLine="480" w:firstLineChars="200"/>
        <w:jc w:val="left"/>
        <w:rPr>
          <w:color w:val="000000" w:themeColor="text1"/>
          <w:sz w:val="24"/>
        </w:rPr>
      </w:pPr>
      <w:r>
        <w:rPr>
          <w:color w:val="000000" w:themeColor="text1"/>
          <w:sz w:val="24"/>
        </w:rPr>
        <w:t>（4）结合区域地下水主要敏感目标，以保护主要敏感目标为原则；</w:t>
      </w:r>
    </w:p>
    <w:p w14:paraId="33C4AACF">
      <w:pPr>
        <w:spacing w:line="360" w:lineRule="auto"/>
        <w:ind w:firstLine="480" w:firstLineChars="200"/>
        <w:jc w:val="left"/>
        <w:rPr>
          <w:color w:val="000000" w:themeColor="text1"/>
          <w:sz w:val="24"/>
        </w:rPr>
      </w:pPr>
      <w:r>
        <w:rPr>
          <w:color w:val="000000" w:themeColor="text1"/>
          <w:sz w:val="24"/>
        </w:rPr>
        <w:t>（5）将地下水监测井与事故应急处置井相结合的原则；</w:t>
      </w:r>
    </w:p>
    <w:p w14:paraId="4912F299">
      <w:pPr>
        <w:spacing w:line="360" w:lineRule="auto"/>
        <w:ind w:firstLine="480" w:firstLineChars="200"/>
        <w:jc w:val="left"/>
        <w:rPr>
          <w:color w:val="000000" w:themeColor="text1"/>
          <w:sz w:val="24"/>
        </w:rPr>
      </w:pPr>
      <w:r>
        <w:rPr>
          <w:color w:val="000000" w:themeColor="text1"/>
          <w:sz w:val="24"/>
        </w:rPr>
        <w:t>根据以上原则，本项目在项目区下游30m处设置1个污染源监测井，监测因子：pH、CODcr、BOD</w:t>
      </w:r>
      <w:r>
        <w:rPr>
          <w:color w:val="000000" w:themeColor="text1"/>
          <w:sz w:val="24"/>
          <w:vertAlign w:val="subscript"/>
        </w:rPr>
        <w:t>5</w:t>
      </w:r>
      <w:r>
        <w:rPr>
          <w:color w:val="000000" w:themeColor="text1"/>
          <w:sz w:val="24"/>
        </w:rPr>
        <w:t>、氨氮，建立地下水环境跟踪监测制度。</w:t>
      </w:r>
    </w:p>
    <w:p w14:paraId="1444F990">
      <w:pPr>
        <w:widowControl/>
        <w:adjustRightInd w:val="0"/>
        <w:snapToGrid w:val="0"/>
        <w:spacing w:line="360" w:lineRule="auto"/>
        <w:ind w:firstLine="482" w:firstLineChars="200"/>
        <w:rPr>
          <w:b/>
          <w:color w:val="000000" w:themeColor="text1"/>
          <w:sz w:val="24"/>
          <w:szCs w:val="20"/>
        </w:rPr>
      </w:pPr>
      <w:r>
        <w:rPr>
          <w:b/>
          <w:color w:val="000000" w:themeColor="text1"/>
          <w:sz w:val="24"/>
          <w:szCs w:val="20"/>
        </w:rPr>
        <w:t>4、非正常情况的防范措施</w:t>
      </w:r>
    </w:p>
    <w:p w14:paraId="5BA11421">
      <w:pPr>
        <w:widowControl/>
        <w:adjustRightInd w:val="0"/>
        <w:snapToGrid w:val="0"/>
        <w:spacing w:line="360" w:lineRule="auto"/>
        <w:ind w:firstLine="480" w:firstLineChars="200"/>
        <w:rPr>
          <w:color w:val="000000" w:themeColor="text1"/>
          <w:sz w:val="24"/>
          <w:szCs w:val="20"/>
        </w:rPr>
      </w:pPr>
      <w:r>
        <w:rPr>
          <w:color w:val="000000" w:themeColor="text1"/>
          <w:sz w:val="24"/>
          <w:szCs w:val="20"/>
        </w:rPr>
        <w:t>定期巡查危废间、污水处理设施，在发现防渗层破损，或监测井发生水质异常变化时，应及时查明渗漏点并采取补救措施。</w:t>
      </w:r>
    </w:p>
    <w:p w14:paraId="49815F62">
      <w:pPr>
        <w:pStyle w:val="105"/>
        <w:rPr>
          <w:rFonts w:cs="Times New Roman"/>
          <w:color w:val="000000" w:themeColor="text1"/>
          <w:szCs w:val="28"/>
        </w:rPr>
      </w:pPr>
      <w:r>
        <w:rPr>
          <w:rFonts w:cs="Times New Roman"/>
          <w:color w:val="000000" w:themeColor="text1"/>
          <w:szCs w:val="28"/>
        </w:rPr>
        <w:t>9.2.4</w:t>
      </w:r>
      <w:r>
        <w:rPr>
          <w:rFonts w:cs="Times New Roman"/>
          <w:color w:val="000000" w:themeColor="text1"/>
        </w:rPr>
        <w:t>固废物污染防治措施</w:t>
      </w:r>
    </w:p>
    <w:p w14:paraId="0569FDED">
      <w:pPr>
        <w:pStyle w:val="15"/>
        <w:adjustRightInd w:val="0"/>
        <w:snapToGrid w:val="0"/>
        <w:spacing w:line="360" w:lineRule="auto"/>
        <w:ind w:firstLine="480" w:firstLineChars="200"/>
        <w:jc w:val="both"/>
        <w:rPr>
          <w:color w:val="000000" w:themeColor="text1"/>
          <w:sz w:val="24"/>
          <w:szCs w:val="22"/>
        </w:rPr>
      </w:pPr>
      <w:r>
        <w:rPr>
          <w:color w:val="000000" w:themeColor="text1"/>
          <w:sz w:val="24"/>
          <w:szCs w:val="22"/>
        </w:rPr>
        <w:t>本项目固废分为两类，生产固废（一般生产固废和危险废物，位于原料仓库）和生活固废。本环评要求项目区设置一般生产固废收集间15m</w:t>
      </w:r>
      <w:r>
        <w:rPr>
          <w:color w:val="000000" w:themeColor="text1"/>
          <w:sz w:val="24"/>
          <w:szCs w:val="22"/>
          <w:vertAlign w:val="superscript"/>
        </w:rPr>
        <w:t>2</w:t>
      </w:r>
      <w:r>
        <w:rPr>
          <w:color w:val="000000" w:themeColor="text1"/>
          <w:sz w:val="24"/>
          <w:szCs w:val="22"/>
        </w:rPr>
        <w:t>、危废废物收集间5m</w:t>
      </w:r>
      <w:r>
        <w:rPr>
          <w:color w:val="000000" w:themeColor="text1"/>
          <w:sz w:val="24"/>
          <w:szCs w:val="22"/>
          <w:vertAlign w:val="superscript"/>
        </w:rPr>
        <w:t>2</w:t>
      </w:r>
      <w:r>
        <w:rPr>
          <w:color w:val="000000" w:themeColor="text1"/>
          <w:sz w:val="24"/>
          <w:szCs w:val="22"/>
        </w:rPr>
        <w:t>。</w:t>
      </w:r>
    </w:p>
    <w:p w14:paraId="182C1A50">
      <w:pPr>
        <w:pStyle w:val="15"/>
        <w:adjustRightInd w:val="0"/>
        <w:snapToGrid w:val="0"/>
        <w:spacing w:line="360" w:lineRule="auto"/>
        <w:ind w:firstLine="482" w:firstLineChars="200"/>
        <w:jc w:val="both"/>
        <w:rPr>
          <w:b/>
          <w:color w:val="000000" w:themeColor="text1"/>
          <w:sz w:val="24"/>
          <w:szCs w:val="22"/>
        </w:rPr>
      </w:pPr>
      <w:r>
        <w:rPr>
          <w:b/>
          <w:color w:val="000000" w:themeColor="text1"/>
          <w:sz w:val="24"/>
          <w:szCs w:val="22"/>
        </w:rPr>
        <w:t>生活固废处置方式</w:t>
      </w:r>
    </w:p>
    <w:p w14:paraId="6EEF1085">
      <w:pPr>
        <w:spacing w:line="360" w:lineRule="auto"/>
        <w:ind w:firstLine="480" w:firstLineChars="200"/>
        <w:rPr>
          <w:color w:val="000000" w:themeColor="text1"/>
          <w:sz w:val="24"/>
        </w:rPr>
      </w:pPr>
      <w:r>
        <w:rPr>
          <w:color w:val="000000" w:themeColor="text1"/>
          <w:sz w:val="24"/>
          <w:szCs w:val="22"/>
        </w:rPr>
        <w:t>生活固废主要为</w:t>
      </w:r>
      <w:r>
        <w:rPr>
          <w:color w:val="000000" w:themeColor="text1"/>
          <w:sz w:val="24"/>
        </w:rPr>
        <w:t>生活垃圾、化粪池污泥及食堂泔水，外运至最近村庄垃圾收集点处理。</w:t>
      </w:r>
    </w:p>
    <w:p w14:paraId="63A5E891">
      <w:pPr>
        <w:pStyle w:val="15"/>
        <w:adjustRightInd w:val="0"/>
        <w:snapToGrid w:val="0"/>
        <w:spacing w:line="360" w:lineRule="auto"/>
        <w:ind w:firstLine="482" w:firstLineChars="200"/>
        <w:jc w:val="both"/>
        <w:rPr>
          <w:b/>
          <w:color w:val="000000" w:themeColor="text1"/>
          <w:sz w:val="24"/>
          <w:szCs w:val="22"/>
        </w:rPr>
      </w:pPr>
      <w:r>
        <w:rPr>
          <w:b/>
          <w:color w:val="000000" w:themeColor="text1"/>
          <w:sz w:val="24"/>
          <w:szCs w:val="22"/>
        </w:rPr>
        <w:t>一般生产固废处置方式</w:t>
      </w:r>
    </w:p>
    <w:p w14:paraId="12FE3440">
      <w:pPr>
        <w:adjustRightInd w:val="0"/>
        <w:spacing w:line="360" w:lineRule="auto"/>
        <w:ind w:firstLine="480" w:firstLineChars="200"/>
        <w:rPr>
          <w:snapToGrid w:val="0"/>
          <w:color w:val="000000" w:themeColor="text1"/>
          <w:kern w:val="0"/>
          <w:sz w:val="24"/>
          <w:szCs w:val="20"/>
        </w:rPr>
      </w:pPr>
      <w:r>
        <w:rPr>
          <w:snapToGrid w:val="0"/>
          <w:color w:val="000000" w:themeColor="text1"/>
          <w:kern w:val="0"/>
          <w:sz w:val="24"/>
          <w:szCs w:val="20"/>
        </w:rPr>
        <w:t>项目运营期一般工业固废主要为拆包、人工分选杂物（S1）、剥离废标签纸（S2）、</w:t>
      </w:r>
      <w:r>
        <w:rPr>
          <w:color w:val="000000" w:themeColor="text1"/>
          <w:sz w:val="24"/>
        </w:rPr>
        <w:t>污水处理设施（隔油池+沉淀池）</w:t>
      </w:r>
      <w:r>
        <w:rPr>
          <w:snapToGrid w:val="0"/>
          <w:color w:val="000000" w:themeColor="text1"/>
          <w:kern w:val="0"/>
          <w:sz w:val="24"/>
          <w:szCs w:val="20"/>
        </w:rPr>
        <w:t>污泥</w:t>
      </w:r>
      <w:r>
        <w:rPr>
          <w:snapToGrid w:val="0"/>
          <w:color w:val="FF0000"/>
          <w:kern w:val="0"/>
          <w:sz w:val="24"/>
          <w:szCs w:val="20"/>
        </w:rPr>
        <w:t>、废过滤网</w:t>
      </w:r>
      <w:r>
        <w:rPr>
          <w:snapToGrid w:val="0"/>
          <w:color w:val="000000" w:themeColor="text1"/>
          <w:kern w:val="0"/>
          <w:sz w:val="24"/>
          <w:szCs w:val="20"/>
        </w:rPr>
        <w:t>。</w:t>
      </w:r>
    </w:p>
    <w:p w14:paraId="2737F312">
      <w:pPr>
        <w:spacing w:line="360" w:lineRule="auto"/>
        <w:ind w:firstLine="480" w:firstLineChars="200"/>
        <w:rPr>
          <w:color w:val="000000" w:themeColor="text1"/>
          <w:kern w:val="0"/>
          <w:sz w:val="24"/>
        </w:rPr>
      </w:pPr>
      <w:r>
        <w:rPr>
          <w:color w:val="000000" w:themeColor="text1"/>
          <w:kern w:val="0"/>
          <w:sz w:val="24"/>
        </w:rPr>
        <w:t>拆包、人工分选杂物分类收集后，一部分外卖，其余外运至最近村庄垃圾收集点处理，禁止随意丢弃；剥离废标签纸</w:t>
      </w:r>
      <w:r>
        <w:rPr>
          <w:color w:val="000000" w:themeColor="text1"/>
          <w:sz w:val="24"/>
        </w:rPr>
        <w:t>外卖处理；污水处理设施（隔油池+沉淀池）</w:t>
      </w:r>
      <w:r>
        <w:rPr>
          <w:snapToGrid w:val="0"/>
          <w:color w:val="000000" w:themeColor="text1"/>
          <w:kern w:val="0"/>
          <w:sz w:val="24"/>
          <w:szCs w:val="20"/>
        </w:rPr>
        <w:t>污泥</w:t>
      </w:r>
      <w:r>
        <w:rPr>
          <w:color w:val="000000" w:themeColor="text1"/>
          <w:sz w:val="24"/>
        </w:rPr>
        <w:t>外运至最近村庄垃圾收集点处理</w:t>
      </w:r>
      <w:r>
        <w:rPr>
          <w:color w:val="000000" w:themeColor="text1"/>
          <w:kern w:val="0"/>
          <w:sz w:val="24"/>
        </w:rPr>
        <w:t>。</w:t>
      </w:r>
    </w:p>
    <w:p w14:paraId="4491B390">
      <w:pPr>
        <w:spacing w:line="360" w:lineRule="auto"/>
        <w:ind w:firstLine="480" w:firstLineChars="200"/>
        <w:rPr>
          <w:color w:val="000000" w:themeColor="text1"/>
          <w:kern w:val="0"/>
          <w:sz w:val="24"/>
        </w:rPr>
      </w:pPr>
      <w:r>
        <w:rPr>
          <w:color w:val="000000" w:themeColor="text1"/>
          <w:kern w:val="0"/>
          <w:sz w:val="24"/>
        </w:rPr>
        <w:t>本环评要求在项目区原料仓库北侧设置一般固废堆放间（占地15m</w:t>
      </w:r>
      <w:r>
        <w:rPr>
          <w:color w:val="000000" w:themeColor="text1"/>
          <w:kern w:val="0"/>
          <w:sz w:val="24"/>
          <w:vertAlign w:val="superscript"/>
        </w:rPr>
        <w:t>2</w:t>
      </w:r>
      <w:r>
        <w:rPr>
          <w:color w:val="000000" w:themeColor="text1"/>
          <w:kern w:val="0"/>
          <w:sz w:val="24"/>
        </w:rPr>
        <w:t>）。</w:t>
      </w:r>
    </w:p>
    <w:p w14:paraId="4649CC3F">
      <w:pPr>
        <w:pStyle w:val="15"/>
        <w:adjustRightInd w:val="0"/>
        <w:snapToGrid w:val="0"/>
        <w:spacing w:line="360" w:lineRule="auto"/>
        <w:ind w:firstLine="482" w:firstLineChars="200"/>
        <w:jc w:val="both"/>
        <w:rPr>
          <w:b/>
          <w:color w:val="000000" w:themeColor="text1"/>
          <w:sz w:val="24"/>
          <w:szCs w:val="22"/>
        </w:rPr>
      </w:pPr>
      <w:r>
        <w:rPr>
          <w:b/>
          <w:color w:val="000000" w:themeColor="text1"/>
          <w:sz w:val="24"/>
          <w:szCs w:val="22"/>
        </w:rPr>
        <w:t>危险固废处置方式</w:t>
      </w:r>
    </w:p>
    <w:p w14:paraId="0DBCC856">
      <w:pPr>
        <w:pStyle w:val="15"/>
        <w:adjustRightInd w:val="0"/>
        <w:snapToGrid w:val="0"/>
        <w:spacing w:line="360" w:lineRule="auto"/>
        <w:ind w:firstLine="480" w:firstLineChars="200"/>
        <w:rPr>
          <w:color w:val="000000" w:themeColor="text1"/>
          <w:sz w:val="24"/>
        </w:rPr>
      </w:pPr>
      <w:r>
        <w:rPr>
          <w:color w:val="000000" w:themeColor="text1"/>
          <w:sz w:val="24"/>
        </w:rPr>
        <w:t>危险废物（废过滤棉、光解废气处理灯）暂存于危废收集间，委托有资质的单位进行处置。</w:t>
      </w:r>
    </w:p>
    <w:p w14:paraId="371859B3">
      <w:pPr>
        <w:pStyle w:val="15"/>
        <w:adjustRightInd w:val="0"/>
        <w:snapToGrid w:val="0"/>
        <w:spacing w:line="360" w:lineRule="auto"/>
        <w:ind w:firstLine="480" w:firstLineChars="200"/>
        <w:rPr>
          <w:color w:val="000000" w:themeColor="text1"/>
          <w:sz w:val="24"/>
        </w:rPr>
      </w:pPr>
      <w:r>
        <w:rPr>
          <w:color w:val="000000" w:themeColor="text1"/>
          <w:sz w:val="24"/>
        </w:rPr>
        <w:t>同时要求暂存间需安装门锁且有专人管理，禁止无关人员进入。认真做好台账记录和危险废物转移联单管理工作。</w:t>
      </w:r>
    </w:p>
    <w:p w14:paraId="38C50874">
      <w:pPr>
        <w:pStyle w:val="15"/>
        <w:adjustRightInd w:val="0"/>
        <w:snapToGrid w:val="0"/>
        <w:spacing w:line="360" w:lineRule="auto"/>
        <w:ind w:firstLine="482" w:firstLineChars="200"/>
        <w:rPr>
          <w:b/>
          <w:color w:val="000000" w:themeColor="text1"/>
          <w:sz w:val="24"/>
        </w:rPr>
      </w:pPr>
    </w:p>
    <w:p w14:paraId="2838F534">
      <w:pPr>
        <w:pStyle w:val="105"/>
        <w:rPr>
          <w:rFonts w:cs="Times New Roman"/>
          <w:color w:val="000000" w:themeColor="text1"/>
          <w:szCs w:val="28"/>
        </w:rPr>
      </w:pPr>
      <w:r>
        <w:rPr>
          <w:rFonts w:cs="Times New Roman"/>
          <w:color w:val="000000" w:themeColor="text1"/>
          <w:szCs w:val="28"/>
        </w:rPr>
        <w:t>9.2.5</w:t>
      </w:r>
      <w:r>
        <w:rPr>
          <w:rFonts w:cs="Times New Roman"/>
          <w:color w:val="000000" w:themeColor="text1"/>
        </w:rPr>
        <w:t>噪声污染防治措施</w:t>
      </w:r>
    </w:p>
    <w:p w14:paraId="236D1762">
      <w:pPr>
        <w:pStyle w:val="57"/>
        <w:ind w:firstLine="360" w:firstLineChars="150"/>
        <w:jc w:val="left"/>
        <w:rPr>
          <w:color w:val="000000" w:themeColor="text1"/>
        </w:rPr>
      </w:pPr>
      <w:r>
        <w:rPr>
          <w:color w:val="000000" w:themeColor="text1"/>
        </w:rPr>
        <w:t>（1）泵类噪声主要来源于泵电机冷却风扇产生的噪声为最强，电机的噪声频带比较宽，一般以中低频为主，因此采用内衬有吸声材料的电机罩和泵基础减振垫。</w:t>
      </w:r>
    </w:p>
    <w:p w14:paraId="249A2919">
      <w:pPr>
        <w:spacing w:line="360" w:lineRule="auto"/>
        <w:ind w:firstLine="480" w:firstLineChars="200"/>
        <w:jc w:val="left"/>
        <w:rPr>
          <w:color w:val="000000" w:themeColor="text1"/>
          <w:sz w:val="24"/>
        </w:rPr>
      </w:pPr>
      <w:r>
        <w:rPr>
          <w:color w:val="000000" w:themeColor="text1"/>
          <w:sz w:val="24"/>
        </w:rPr>
        <w:t>（2）对于破碎机等不易治理的声源设备，应采用减振垫，以减少设备声源对车间外的影响，同时还应对生产车间的工人采取配备防噪声耳塞或耳罩的个人防护措施。</w:t>
      </w:r>
    </w:p>
    <w:p w14:paraId="6E483061">
      <w:pPr>
        <w:spacing w:line="360" w:lineRule="auto"/>
        <w:ind w:firstLine="480" w:firstLineChars="200"/>
        <w:jc w:val="left"/>
        <w:rPr>
          <w:color w:val="000000" w:themeColor="text1"/>
          <w:sz w:val="24"/>
        </w:rPr>
      </w:pPr>
      <w:r>
        <w:rPr>
          <w:color w:val="000000" w:themeColor="text1"/>
          <w:sz w:val="24"/>
        </w:rPr>
        <w:t>（3）通过墙体阻隔、距离衰减及绿化减噪等措施，厂界可达到GB12348-2008《工业企业厂界环境噪声排放标准》2类要求。</w:t>
      </w:r>
    </w:p>
    <w:p w14:paraId="5B8C70CA">
      <w:pPr>
        <w:ind w:firstLine="482" w:firstLineChars="200"/>
        <w:jc w:val="center"/>
        <w:rPr>
          <w:b/>
          <w:color w:val="000000" w:themeColor="text1"/>
          <w:sz w:val="24"/>
          <w:szCs w:val="20"/>
        </w:rPr>
      </w:pPr>
      <w:r>
        <w:rPr>
          <w:b/>
          <w:color w:val="000000" w:themeColor="text1"/>
          <w:sz w:val="24"/>
          <w:szCs w:val="20"/>
        </w:rPr>
        <w:t>表9.2-1 项目环保对策措施一览表</w:t>
      </w:r>
    </w:p>
    <w:tbl>
      <w:tblPr>
        <w:tblStyle w:val="42"/>
        <w:tblW w:w="8472" w:type="dxa"/>
        <w:tblInd w:w="0" w:type="dxa"/>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793"/>
        <w:gridCol w:w="956"/>
        <w:gridCol w:w="1090"/>
        <w:gridCol w:w="3648"/>
        <w:gridCol w:w="1985"/>
      </w:tblGrid>
      <w:tr w14:paraId="67481635">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blHeader/>
        </w:trPr>
        <w:tc>
          <w:tcPr>
            <w:tcW w:w="793" w:type="dxa"/>
            <w:vAlign w:val="center"/>
          </w:tcPr>
          <w:p w14:paraId="77BF9417">
            <w:pPr>
              <w:jc w:val="center"/>
              <w:rPr>
                <w:b/>
                <w:color w:val="000000" w:themeColor="text1"/>
                <w:szCs w:val="21"/>
              </w:rPr>
            </w:pPr>
            <w:r>
              <w:rPr>
                <w:b/>
                <w:color w:val="000000" w:themeColor="text1"/>
                <w:szCs w:val="21"/>
              </w:rPr>
              <w:t>保护对象</w:t>
            </w:r>
          </w:p>
        </w:tc>
        <w:tc>
          <w:tcPr>
            <w:tcW w:w="956" w:type="dxa"/>
            <w:vAlign w:val="center"/>
          </w:tcPr>
          <w:p w14:paraId="6E80AB91">
            <w:pPr>
              <w:jc w:val="center"/>
              <w:rPr>
                <w:b/>
                <w:color w:val="000000" w:themeColor="text1"/>
                <w:szCs w:val="21"/>
              </w:rPr>
            </w:pPr>
            <w:r>
              <w:rPr>
                <w:b/>
                <w:color w:val="000000" w:themeColor="text1"/>
                <w:szCs w:val="21"/>
              </w:rPr>
              <w:t>阶段</w:t>
            </w:r>
          </w:p>
        </w:tc>
        <w:tc>
          <w:tcPr>
            <w:tcW w:w="1090" w:type="dxa"/>
            <w:vAlign w:val="center"/>
          </w:tcPr>
          <w:p w14:paraId="00A4CDA9">
            <w:pPr>
              <w:jc w:val="center"/>
              <w:rPr>
                <w:b/>
                <w:color w:val="000000" w:themeColor="text1"/>
                <w:szCs w:val="21"/>
              </w:rPr>
            </w:pPr>
            <w:r>
              <w:rPr>
                <w:b/>
                <w:color w:val="000000" w:themeColor="text1"/>
                <w:szCs w:val="21"/>
              </w:rPr>
              <w:t>项目</w:t>
            </w:r>
          </w:p>
        </w:tc>
        <w:tc>
          <w:tcPr>
            <w:tcW w:w="3648" w:type="dxa"/>
            <w:vAlign w:val="center"/>
          </w:tcPr>
          <w:p w14:paraId="4F8B19F1">
            <w:pPr>
              <w:jc w:val="center"/>
              <w:rPr>
                <w:b/>
                <w:color w:val="000000" w:themeColor="text1"/>
                <w:szCs w:val="21"/>
              </w:rPr>
            </w:pPr>
            <w:r>
              <w:rPr>
                <w:b/>
                <w:color w:val="000000" w:themeColor="text1"/>
                <w:szCs w:val="21"/>
              </w:rPr>
              <w:t>保护对策措施</w:t>
            </w:r>
          </w:p>
        </w:tc>
        <w:tc>
          <w:tcPr>
            <w:tcW w:w="1985" w:type="dxa"/>
            <w:vAlign w:val="center"/>
          </w:tcPr>
          <w:p w14:paraId="20CCBBA9">
            <w:pPr>
              <w:jc w:val="center"/>
              <w:rPr>
                <w:b/>
                <w:color w:val="000000" w:themeColor="text1"/>
                <w:szCs w:val="21"/>
              </w:rPr>
            </w:pPr>
            <w:r>
              <w:rPr>
                <w:b/>
                <w:color w:val="000000" w:themeColor="text1"/>
                <w:szCs w:val="21"/>
              </w:rPr>
              <w:t>要求</w:t>
            </w:r>
          </w:p>
        </w:tc>
      </w:tr>
      <w:tr w14:paraId="5217598D">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restart"/>
            <w:vAlign w:val="center"/>
          </w:tcPr>
          <w:p w14:paraId="45BAC104">
            <w:pPr>
              <w:jc w:val="center"/>
              <w:rPr>
                <w:b/>
                <w:color w:val="000000" w:themeColor="text1"/>
                <w:szCs w:val="21"/>
              </w:rPr>
            </w:pPr>
            <w:r>
              <w:rPr>
                <w:b/>
                <w:color w:val="000000" w:themeColor="text1"/>
                <w:szCs w:val="21"/>
              </w:rPr>
              <w:t>水环境保护</w:t>
            </w:r>
          </w:p>
        </w:tc>
        <w:tc>
          <w:tcPr>
            <w:tcW w:w="956" w:type="dxa"/>
            <w:vMerge w:val="restart"/>
            <w:vAlign w:val="center"/>
          </w:tcPr>
          <w:p w14:paraId="177FF5BF">
            <w:pPr>
              <w:jc w:val="center"/>
              <w:rPr>
                <w:color w:val="000000" w:themeColor="text1"/>
                <w:szCs w:val="21"/>
              </w:rPr>
            </w:pPr>
            <w:r>
              <w:rPr>
                <w:color w:val="000000" w:themeColor="text1"/>
                <w:szCs w:val="21"/>
              </w:rPr>
              <w:t>施工期</w:t>
            </w:r>
          </w:p>
        </w:tc>
        <w:tc>
          <w:tcPr>
            <w:tcW w:w="1090" w:type="dxa"/>
            <w:vAlign w:val="center"/>
          </w:tcPr>
          <w:p w14:paraId="1F16F619">
            <w:pPr>
              <w:jc w:val="center"/>
              <w:rPr>
                <w:color w:val="000000" w:themeColor="text1"/>
                <w:szCs w:val="21"/>
              </w:rPr>
            </w:pPr>
            <w:r>
              <w:rPr>
                <w:color w:val="000000" w:themeColor="text1"/>
                <w:szCs w:val="21"/>
              </w:rPr>
              <w:t>生活废水</w:t>
            </w:r>
          </w:p>
        </w:tc>
        <w:tc>
          <w:tcPr>
            <w:tcW w:w="3648" w:type="dxa"/>
            <w:vAlign w:val="center"/>
          </w:tcPr>
          <w:p w14:paraId="229B06A2">
            <w:pPr>
              <w:ind w:firstLine="420" w:firstLineChars="200"/>
              <w:rPr>
                <w:color w:val="000000" w:themeColor="text1"/>
                <w:szCs w:val="21"/>
              </w:rPr>
            </w:pPr>
            <w:r>
              <w:rPr>
                <w:color w:val="000000" w:themeColor="text1"/>
                <w:szCs w:val="21"/>
              </w:rPr>
              <w:t>生活污水利用盛达泰厕所，定期清掏做农肥使用，不外排</w:t>
            </w:r>
          </w:p>
        </w:tc>
        <w:tc>
          <w:tcPr>
            <w:tcW w:w="1985" w:type="dxa"/>
            <w:vMerge w:val="restart"/>
            <w:vAlign w:val="center"/>
          </w:tcPr>
          <w:p w14:paraId="28B08199">
            <w:pPr>
              <w:jc w:val="center"/>
              <w:rPr>
                <w:color w:val="000000" w:themeColor="text1"/>
                <w:szCs w:val="21"/>
              </w:rPr>
            </w:pPr>
            <w:r>
              <w:rPr>
                <w:color w:val="000000" w:themeColor="text1"/>
                <w:szCs w:val="21"/>
              </w:rPr>
              <w:t>回用于扬尘洒水、道路喷洒</w:t>
            </w:r>
          </w:p>
        </w:tc>
      </w:tr>
      <w:tr w14:paraId="71C1E4D2">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continue"/>
            <w:vAlign w:val="center"/>
          </w:tcPr>
          <w:p w14:paraId="5279B1E8">
            <w:pPr>
              <w:jc w:val="center"/>
              <w:rPr>
                <w:b/>
                <w:color w:val="000000" w:themeColor="text1"/>
                <w:szCs w:val="21"/>
              </w:rPr>
            </w:pPr>
          </w:p>
        </w:tc>
        <w:tc>
          <w:tcPr>
            <w:tcW w:w="956" w:type="dxa"/>
            <w:vMerge w:val="continue"/>
            <w:vAlign w:val="center"/>
          </w:tcPr>
          <w:p w14:paraId="65383B01">
            <w:pPr>
              <w:jc w:val="center"/>
              <w:rPr>
                <w:color w:val="000000" w:themeColor="text1"/>
                <w:szCs w:val="21"/>
              </w:rPr>
            </w:pPr>
          </w:p>
        </w:tc>
        <w:tc>
          <w:tcPr>
            <w:tcW w:w="1090" w:type="dxa"/>
            <w:vAlign w:val="center"/>
          </w:tcPr>
          <w:p w14:paraId="632B0B26">
            <w:pPr>
              <w:jc w:val="center"/>
              <w:rPr>
                <w:color w:val="000000" w:themeColor="text1"/>
                <w:szCs w:val="21"/>
              </w:rPr>
            </w:pPr>
            <w:r>
              <w:rPr>
                <w:color w:val="000000" w:themeColor="text1"/>
                <w:szCs w:val="21"/>
              </w:rPr>
              <w:t>施工废水</w:t>
            </w:r>
          </w:p>
        </w:tc>
        <w:tc>
          <w:tcPr>
            <w:tcW w:w="3648" w:type="dxa"/>
            <w:vAlign w:val="center"/>
          </w:tcPr>
          <w:p w14:paraId="01C9B311">
            <w:pPr>
              <w:ind w:firstLine="420" w:firstLineChars="200"/>
              <w:rPr>
                <w:color w:val="000000" w:themeColor="text1"/>
                <w:szCs w:val="21"/>
              </w:rPr>
            </w:pPr>
            <w:r>
              <w:rPr>
                <w:color w:val="000000" w:themeColor="text1"/>
                <w:szCs w:val="21"/>
              </w:rPr>
              <w:t>设置一个3m</w:t>
            </w:r>
            <w:r>
              <w:rPr>
                <w:color w:val="000000" w:themeColor="text1"/>
                <w:szCs w:val="21"/>
                <w:vertAlign w:val="superscript"/>
              </w:rPr>
              <w:t>3</w:t>
            </w:r>
            <w:r>
              <w:rPr>
                <w:color w:val="000000" w:themeColor="text1"/>
                <w:szCs w:val="21"/>
              </w:rPr>
              <w:t>沉淀池，经过沉淀处理后的施工废水全部回用于建筑材料的冲洗和施工场地喷水降尘</w:t>
            </w:r>
          </w:p>
        </w:tc>
        <w:tc>
          <w:tcPr>
            <w:tcW w:w="1985" w:type="dxa"/>
            <w:vMerge w:val="continue"/>
            <w:vAlign w:val="center"/>
          </w:tcPr>
          <w:p w14:paraId="65E80F18">
            <w:pPr>
              <w:jc w:val="center"/>
              <w:rPr>
                <w:color w:val="000000" w:themeColor="text1"/>
                <w:szCs w:val="21"/>
              </w:rPr>
            </w:pPr>
          </w:p>
        </w:tc>
      </w:tr>
      <w:tr w14:paraId="7B987FEC">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continue"/>
            <w:vAlign w:val="center"/>
          </w:tcPr>
          <w:p w14:paraId="1B08D60C">
            <w:pPr>
              <w:jc w:val="center"/>
              <w:rPr>
                <w:b/>
                <w:color w:val="000000" w:themeColor="text1"/>
                <w:szCs w:val="21"/>
              </w:rPr>
            </w:pPr>
          </w:p>
        </w:tc>
        <w:tc>
          <w:tcPr>
            <w:tcW w:w="956" w:type="dxa"/>
            <w:vMerge w:val="restart"/>
            <w:vAlign w:val="center"/>
          </w:tcPr>
          <w:p w14:paraId="26A8D952">
            <w:pPr>
              <w:jc w:val="center"/>
              <w:rPr>
                <w:color w:val="000000" w:themeColor="text1"/>
                <w:szCs w:val="21"/>
              </w:rPr>
            </w:pPr>
            <w:r>
              <w:rPr>
                <w:color w:val="000000" w:themeColor="text1"/>
                <w:szCs w:val="21"/>
              </w:rPr>
              <w:t>运营期</w:t>
            </w:r>
          </w:p>
        </w:tc>
        <w:tc>
          <w:tcPr>
            <w:tcW w:w="1090" w:type="dxa"/>
            <w:vAlign w:val="center"/>
          </w:tcPr>
          <w:p w14:paraId="2BCCE1ED">
            <w:pPr>
              <w:jc w:val="center"/>
              <w:rPr>
                <w:color w:val="000000" w:themeColor="text1"/>
                <w:szCs w:val="21"/>
              </w:rPr>
            </w:pPr>
            <w:r>
              <w:rPr>
                <w:color w:val="000000" w:themeColor="text1"/>
                <w:szCs w:val="21"/>
              </w:rPr>
              <w:t>雨水</w:t>
            </w:r>
          </w:p>
        </w:tc>
        <w:tc>
          <w:tcPr>
            <w:tcW w:w="3648" w:type="dxa"/>
            <w:vAlign w:val="center"/>
          </w:tcPr>
          <w:p w14:paraId="66A29D4D">
            <w:pPr>
              <w:ind w:firstLine="420" w:firstLineChars="200"/>
              <w:rPr>
                <w:color w:val="000000" w:themeColor="text1"/>
                <w:szCs w:val="21"/>
              </w:rPr>
            </w:pPr>
            <w:r>
              <w:rPr>
                <w:color w:val="000000" w:themeColor="text1"/>
                <w:szCs w:val="21"/>
              </w:rPr>
              <w:t>项目实行清污、雨污分流；</w:t>
            </w:r>
          </w:p>
          <w:p w14:paraId="071A6A71">
            <w:pPr>
              <w:ind w:firstLine="420" w:firstLineChars="200"/>
              <w:rPr>
                <w:color w:val="000000" w:themeColor="text1"/>
                <w:szCs w:val="21"/>
              </w:rPr>
            </w:pPr>
            <w:r>
              <w:rPr>
                <w:color w:val="000000" w:themeColor="text1"/>
                <w:szCs w:val="21"/>
              </w:rPr>
              <w:t>本项目厂区设置雨水沟，收集前1h的雨水进入本项目雨水收集池（3m</w:t>
            </w:r>
            <w:r>
              <w:rPr>
                <w:color w:val="000000" w:themeColor="text1"/>
                <w:szCs w:val="21"/>
                <w:vertAlign w:val="superscript"/>
              </w:rPr>
              <w:t>3</w:t>
            </w:r>
            <w:r>
              <w:rPr>
                <w:color w:val="000000" w:themeColor="text1"/>
                <w:szCs w:val="21"/>
              </w:rPr>
              <w:t>）处理，回用于生产，其余经沉淀后外排。</w:t>
            </w:r>
          </w:p>
        </w:tc>
        <w:tc>
          <w:tcPr>
            <w:tcW w:w="1985" w:type="dxa"/>
            <w:vMerge w:val="restart"/>
            <w:vAlign w:val="center"/>
          </w:tcPr>
          <w:p w14:paraId="052DAFF1">
            <w:pPr>
              <w:jc w:val="center"/>
              <w:rPr>
                <w:color w:val="000000" w:themeColor="text1"/>
                <w:szCs w:val="21"/>
              </w:rPr>
            </w:pPr>
            <w:r>
              <w:rPr>
                <w:color w:val="000000" w:themeColor="text1"/>
                <w:szCs w:val="21"/>
              </w:rPr>
              <w:t>不外排</w:t>
            </w:r>
          </w:p>
        </w:tc>
      </w:tr>
      <w:tr w14:paraId="1CE22ACD">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continue"/>
            <w:vAlign w:val="center"/>
          </w:tcPr>
          <w:p w14:paraId="2BC4A8A0">
            <w:pPr>
              <w:jc w:val="center"/>
              <w:rPr>
                <w:b/>
                <w:color w:val="000000" w:themeColor="text1"/>
                <w:szCs w:val="21"/>
              </w:rPr>
            </w:pPr>
          </w:p>
        </w:tc>
        <w:tc>
          <w:tcPr>
            <w:tcW w:w="956" w:type="dxa"/>
            <w:vMerge w:val="continue"/>
            <w:vAlign w:val="center"/>
          </w:tcPr>
          <w:p w14:paraId="0BB1169F">
            <w:pPr>
              <w:jc w:val="center"/>
              <w:rPr>
                <w:color w:val="000000" w:themeColor="text1"/>
                <w:szCs w:val="21"/>
              </w:rPr>
            </w:pPr>
          </w:p>
        </w:tc>
        <w:tc>
          <w:tcPr>
            <w:tcW w:w="1090" w:type="dxa"/>
            <w:vAlign w:val="center"/>
          </w:tcPr>
          <w:p w14:paraId="334CF7B7">
            <w:pPr>
              <w:jc w:val="center"/>
              <w:rPr>
                <w:color w:val="000000" w:themeColor="text1"/>
                <w:szCs w:val="21"/>
              </w:rPr>
            </w:pPr>
            <w:r>
              <w:rPr>
                <w:color w:val="000000" w:themeColor="text1"/>
                <w:szCs w:val="21"/>
              </w:rPr>
              <w:t>生产废水</w:t>
            </w:r>
          </w:p>
        </w:tc>
        <w:tc>
          <w:tcPr>
            <w:tcW w:w="3648" w:type="dxa"/>
            <w:vAlign w:val="center"/>
          </w:tcPr>
          <w:p w14:paraId="5D76C5AE">
            <w:pPr>
              <w:ind w:firstLine="525" w:firstLineChars="250"/>
              <w:rPr>
                <w:color w:val="000000" w:themeColor="text1"/>
                <w:szCs w:val="21"/>
              </w:rPr>
            </w:pPr>
            <w:r>
              <w:rPr>
                <w:bCs/>
                <w:color w:val="000000" w:themeColor="text1"/>
                <w:szCs w:val="21"/>
              </w:rPr>
              <w:t>生产废水中清洗、破碎废水通过污水处理设施（1个2m</w:t>
            </w:r>
            <w:r>
              <w:rPr>
                <w:bCs/>
                <w:color w:val="000000" w:themeColor="text1"/>
                <w:szCs w:val="21"/>
                <w:vertAlign w:val="superscript"/>
              </w:rPr>
              <w:t>3</w:t>
            </w:r>
            <w:r>
              <w:rPr>
                <w:bCs/>
                <w:color w:val="000000" w:themeColor="text1"/>
                <w:szCs w:val="21"/>
              </w:rPr>
              <w:t>隔油池+1000m</w:t>
            </w:r>
            <w:r>
              <w:rPr>
                <w:bCs/>
                <w:color w:val="000000" w:themeColor="text1"/>
                <w:szCs w:val="21"/>
                <w:vertAlign w:val="superscript"/>
              </w:rPr>
              <w:t>3</w:t>
            </w:r>
            <w:r>
              <w:rPr>
                <w:bCs/>
                <w:color w:val="000000" w:themeColor="text1"/>
                <w:szCs w:val="21"/>
              </w:rPr>
              <w:t>沉淀池）处理后，储存于蓄水池回用于生产，不外排。</w:t>
            </w:r>
          </w:p>
        </w:tc>
        <w:tc>
          <w:tcPr>
            <w:tcW w:w="1985" w:type="dxa"/>
            <w:vMerge w:val="continue"/>
            <w:vAlign w:val="center"/>
          </w:tcPr>
          <w:p w14:paraId="62D63D0F">
            <w:pPr>
              <w:jc w:val="center"/>
              <w:rPr>
                <w:color w:val="000000" w:themeColor="text1"/>
                <w:szCs w:val="21"/>
              </w:rPr>
            </w:pPr>
          </w:p>
        </w:tc>
      </w:tr>
      <w:tr w14:paraId="7D54A90E">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continue"/>
            <w:vAlign w:val="center"/>
          </w:tcPr>
          <w:p w14:paraId="32D123FA">
            <w:pPr>
              <w:jc w:val="center"/>
              <w:rPr>
                <w:b/>
                <w:color w:val="000000" w:themeColor="text1"/>
                <w:szCs w:val="21"/>
              </w:rPr>
            </w:pPr>
          </w:p>
        </w:tc>
        <w:tc>
          <w:tcPr>
            <w:tcW w:w="956" w:type="dxa"/>
            <w:vMerge w:val="continue"/>
            <w:vAlign w:val="center"/>
          </w:tcPr>
          <w:p w14:paraId="66BCC090">
            <w:pPr>
              <w:jc w:val="center"/>
              <w:rPr>
                <w:color w:val="000000" w:themeColor="text1"/>
                <w:szCs w:val="21"/>
              </w:rPr>
            </w:pPr>
          </w:p>
        </w:tc>
        <w:tc>
          <w:tcPr>
            <w:tcW w:w="1090" w:type="dxa"/>
            <w:vAlign w:val="center"/>
          </w:tcPr>
          <w:p w14:paraId="4398495C">
            <w:pPr>
              <w:jc w:val="center"/>
              <w:rPr>
                <w:color w:val="000000" w:themeColor="text1"/>
                <w:szCs w:val="21"/>
              </w:rPr>
            </w:pPr>
            <w:r>
              <w:rPr>
                <w:color w:val="000000" w:themeColor="text1"/>
                <w:szCs w:val="21"/>
              </w:rPr>
              <w:t>生活废水</w:t>
            </w:r>
          </w:p>
        </w:tc>
        <w:tc>
          <w:tcPr>
            <w:tcW w:w="3648" w:type="dxa"/>
            <w:vAlign w:val="center"/>
          </w:tcPr>
          <w:p w14:paraId="4DC2091E">
            <w:pPr>
              <w:ind w:firstLine="525" w:firstLineChars="250"/>
              <w:rPr>
                <w:color w:val="000000" w:themeColor="text1"/>
                <w:szCs w:val="21"/>
              </w:rPr>
            </w:pPr>
            <w:r>
              <w:rPr>
                <w:bCs/>
                <w:color w:val="000000" w:themeColor="text1"/>
                <w:szCs w:val="21"/>
              </w:rPr>
              <w:t>厨房废水经1个隔油池（0.2m</w:t>
            </w:r>
            <w:r>
              <w:rPr>
                <w:bCs/>
                <w:color w:val="000000" w:themeColor="text1"/>
                <w:szCs w:val="21"/>
                <w:vertAlign w:val="superscript"/>
              </w:rPr>
              <w:t>3</w:t>
            </w:r>
            <w:r>
              <w:rPr>
                <w:bCs/>
                <w:color w:val="000000" w:themeColor="text1"/>
                <w:szCs w:val="21"/>
              </w:rPr>
              <w:t>）处理后，与其它生活废水排入化粪池（26m</w:t>
            </w:r>
            <w:r>
              <w:rPr>
                <w:bCs/>
                <w:color w:val="000000" w:themeColor="text1"/>
                <w:szCs w:val="21"/>
                <w:vertAlign w:val="superscript"/>
              </w:rPr>
              <w:t>3</w:t>
            </w:r>
            <w:r>
              <w:rPr>
                <w:bCs/>
                <w:color w:val="000000" w:themeColor="text1"/>
                <w:szCs w:val="21"/>
              </w:rPr>
              <w:t>）处理，定期委托周边村民清运，用于农作物施肥。</w:t>
            </w:r>
          </w:p>
        </w:tc>
        <w:tc>
          <w:tcPr>
            <w:tcW w:w="1985" w:type="dxa"/>
            <w:vMerge w:val="continue"/>
            <w:vAlign w:val="center"/>
          </w:tcPr>
          <w:p w14:paraId="0BA6D1E7">
            <w:pPr>
              <w:jc w:val="center"/>
              <w:rPr>
                <w:color w:val="000000" w:themeColor="text1"/>
                <w:szCs w:val="21"/>
              </w:rPr>
            </w:pPr>
          </w:p>
        </w:tc>
      </w:tr>
      <w:tr w14:paraId="5D50321C">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continue"/>
            <w:vAlign w:val="center"/>
          </w:tcPr>
          <w:p w14:paraId="74D303A1">
            <w:pPr>
              <w:jc w:val="center"/>
              <w:rPr>
                <w:b/>
                <w:color w:val="000000" w:themeColor="text1"/>
                <w:szCs w:val="21"/>
              </w:rPr>
            </w:pPr>
          </w:p>
        </w:tc>
        <w:tc>
          <w:tcPr>
            <w:tcW w:w="956" w:type="dxa"/>
            <w:vMerge w:val="continue"/>
            <w:vAlign w:val="center"/>
          </w:tcPr>
          <w:p w14:paraId="0C6B6073">
            <w:pPr>
              <w:jc w:val="center"/>
              <w:rPr>
                <w:color w:val="000000" w:themeColor="text1"/>
                <w:szCs w:val="21"/>
              </w:rPr>
            </w:pPr>
          </w:p>
        </w:tc>
        <w:tc>
          <w:tcPr>
            <w:tcW w:w="1090" w:type="dxa"/>
            <w:vAlign w:val="center"/>
          </w:tcPr>
          <w:p w14:paraId="52A5A56D">
            <w:pPr>
              <w:jc w:val="center"/>
              <w:rPr>
                <w:color w:val="000000" w:themeColor="text1"/>
                <w:szCs w:val="21"/>
              </w:rPr>
            </w:pPr>
            <w:r>
              <w:rPr>
                <w:color w:val="000000" w:themeColor="text1"/>
                <w:szCs w:val="21"/>
              </w:rPr>
              <w:t>生产冷却循环水</w:t>
            </w:r>
          </w:p>
        </w:tc>
        <w:tc>
          <w:tcPr>
            <w:tcW w:w="3648" w:type="dxa"/>
            <w:vAlign w:val="center"/>
          </w:tcPr>
          <w:p w14:paraId="60C3B60F">
            <w:pPr>
              <w:ind w:firstLine="420" w:firstLineChars="200"/>
              <w:rPr>
                <w:color w:val="000000" w:themeColor="text1"/>
                <w:szCs w:val="21"/>
              </w:rPr>
            </w:pPr>
            <w:r>
              <w:rPr>
                <w:bCs/>
                <w:color w:val="000000" w:themeColor="text1"/>
                <w:szCs w:val="21"/>
              </w:rPr>
              <w:t>造粒工序设置两台造粒机，各配套一个冷却水槽，共用一个冷却水循环系统（循环冷却水池1m</w:t>
            </w:r>
            <w:r>
              <w:rPr>
                <w:bCs/>
                <w:color w:val="000000" w:themeColor="text1"/>
                <w:szCs w:val="21"/>
                <w:vertAlign w:val="superscript"/>
              </w:rPr>
              <w:t>3</w:t>
            </w:r>
            <w:r>
              <w:rPr>
                <w:bCs/>
                <w:color w:val="000000" w:themeColor="text1"/>
                <w:szCs w:val="21"/>
              </w:rPr>
              <w:t>），本项目编织袋生产配套一个冷却水循环系统（循环冷却水池0.5m</w:t>
            </w:r>
            <w:r>
              <w:rPr>
                <w:bCs/>
                <w:color w:val="000000" w:themeColor="text1"/>
                <w:szCs w:val="21"/>
                <w:vertAlign w:val="superscript"/>
              </w:rPr>
              <w:t>3</w:t>
            </w:r>
            <w:r>
              <w:rPr>
                <w:bCs/>
                <w:color w:val="000000" w:themeColor="text1"/>
                <w:szCs w:val="21"/>
              </w:rPr>
              <w:t>），此部分废水经冷却循环池冷却及沉淀后，回用于生产。</w:t>
            </w:r>
          </w:p>
        </w:tc>
        <w:tc>
          <w:tcPr>
            <w:tcW w:w="1985" w:type="dxa"/>
            <w:vAlign w:val="center"/>
          </w:tcPr>
          <w:p w14:paraId="085AE593">
            <w:pPr>
              <w:jc w:val="center"/>
              <w:rPr>
                <w:color w:val="000000" w:themeColor="text1"/>
                <w:szCs w:val="21"/>
              </w:rPr>
            </w:pPr>
            <w:r>
              <w:rPr>
                <w:color w:val="000000" w:themeColor="text1"/>
                <w:szCs w:val="21"/>
              </w:rPr>
              <w:t>/</w:t>
            </w:r>
          </w:p>
        </w:tc>
      </w:tr>
      <w:tr w14:paraId="0D70A4E0">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Align w:val="center"/>
          </w:tcPr>
          <w:p w14:paraId="01B588CB">
            <w:pPr>
              <w:jc w:val="center"/>
              <w:rPr>
                <w:b/>
                <w:color w:val="000000" w:themeColor="text1"/>
                <w:szCs w:val="21"/>
              </w:rPr>
            </w:pPr>
            <w:r>
              <w:rPr>
                <w:b/>
                <w:color w:val="000000" w:themeColor="text1"/>
                <w:szCs w:val="21"/>
              </w:rPr>
              <w:t>地下水</w:t>
            </w:r>
          </w:p>
        </w:tc>
        <w:tc>
          <w:tcPr>
            <w:tcW w:w="956" w:type="dxa"/>
            <w:vAlign w:val="center"/>
          </w:tcPr>
          <w:p w14:paraId="3054326F">
            <w:pPr>
              <w:jc w:val="center"/>
              <w:rPr>
                <w:color w:val="000000" w:themeColor="text1"/>
                <w:szCs w:val="21"/>
              </w:rPr>
            </w:pPr>
            <w:r>
              <w:rPr>
                <w:color w:val="000000" w:themeColor="text1"/>
                <w:szCs w:val="21"/>
              </w:rPr>
              <w:t>运营期</w:t>
            </w:r>
          </w:p>
        </w:tc>
        <w:tc>
          <w:tcPr>
            <w:tcW w:w="1090" w:type="dxa"/>
            <w:vAlign w:val="center"/>
          </w:tcPr>
          <w:p w14:paraId="354BC6A4">
            <w:pPr>
              <w:jc w:val="center"/>
              <w:rPr>
                <w:color w:val="000000" w:themeColor="text1"/>
                <w:szCs w:val="21"/>
              </w:rPr>
            </w:pPr>
            <w:r>
              <w:rPr>
                <w:color w:val="000000" w:themeColor="text1"/>
                <w:szCs w:val="21"/>
              </w:rPr>
              <w:t>生活、生产</w:t>
            </w:r>
          </w:p>
        </w:tc>
        <w:tc>
          <w:tcPr>
            <w:tcW w:w="3648" w:type="dxa"/>
            <w:vAlign w:val="center"/>
          </w:tcPr>
          <w:p w14:paraId="6F2C255B">
            <w:pPr>
              <w:pStyle w:val="15"/>
              <w:adjustRightInd w:val="0"/>
              <w:snapToGrid w:val="0"/>
              <w:ind w:firstLine="422" w:firstLineChars="200"/>
              <w:rPr>
                <w:color w:val="000000" w:themeColor="text1"/>
                <w:szCs w:val="21"/>
              </w:rPr>
            </w:pPr>
            <w:r>
              <w:rPr>
                <w:b/>
                <w:color w:val="000000" w:themeColor="text1"/>
                <w:szCs w:val="21"/>
              </w:rPr>
              <w:t>重点防渗区：</w:t>
            </w:r>
            <w:r>
              <w:rPr>
                <w:color w:val="000000" w:themeColor="text1"/>
                <w:szCs w:val="21"/>
              </w:rPr>
              <w:t>污水处理设施（隔油池+沉淀池）、原料仓库（危废暂存库、一般固废堆存场）；</w:t>
            </w:r>
          </w:p>
          <w:p w14:paraId="73A66533">
            <w:pPr>
              <w:pStyle w:val="15"/>
              <w:adjustRightInd w:val="0"/>
              <w:snapToGrid w:val="0"/>
              <w:ind w:firstLine="420" w:firstLineChars="200"/>
              <w:rPr>
                <w:color w:val="000000" w:themeColor="text1"/>
                <w:szCs w:val="21"/>
              </w:rPr>
            </w:pPr>
            <w:r>
              <w:rPr>
                <w:color w:val="000000" w:themeColor="text1"/>
                <w:szCs w:val="21"/>
              </w:rPr>
              <w:t>参照《环境影响评价技术导则-地下水环境》（HJ610-2016）中重点防渗区的防渗要求进行防渗设计，防渗层的防渗性能应等效于厚度≥6m，渗透系数K≤1.0×10</w:t>
            </w:r>
            <w:r>
              <w:rPr>
                <w:color w:val="000000" w:themeColor="text1"/>
                <w:szCs w:val="21"/>
                <w:vertAlign w:val="superscript"/>
              </w:rPr>
              <w:t>-7</w:t>
            </w:r>
            <w:r>
              <w:rPr>
                <w:color w:val="000000" w:themeColor="text1"/>
                <w:szCs w:val="21"/>
              </w:rPr>
              <w:t>cm/s的黏土层的防渗性能。</w:t>
            </w:r>
          </w:p>
          <w:p w14:paraId="09798F95">
            <w:pPr>
              <w:pStyle w:val="15"/>
              <w:adjustRightInd w:val="0"/>
              <w:snapToGrid w:val="0"/>
              <w:ind w:firstLine="422" w:firstLineChars="200"/>
              <w:rPr>
                <w:color w:val="000000" w:themeColor="text1"/>
                <w:szCs w:val="21"/>
              </w:rPr>
            </w:pPr>
            <w:r>
              <w:rPr>
                <w:b/>
                <w:color w:val="000000" w:themeColor="text1"/>
                <w:szCs w:val="21"/>
              </w:rPr>
              <w:t>一般防渗区：</w:t>
            </w:r>
            <w:r>
              <w:rPr>
                <w:color w:val="000000" w:themeColor="text1"/>
                <w:szCs w:val="21"/>
              </w:rPr>
              <w:t>生产车间；</w:t>
            </w:r>
          </w:p>
          <w:p w14:paraId="7CFD1104">
            <w:pPr>
              <w:pStyle w:val="15"/>
              <w:adjustRightInd w:val="0"/>
              <w:snapToGrid w:val="0"/>
              <w:ind w:firstLine="420" w:firstLineChars="200"/>
              <w:rPr>
                <w:color w:val="000000" w:themeColor="text1"/>
                <w:szCs w:val="21"/>
              </w:rPr>
            </w:pPr>
            <w:r>
              <w:rPr>
                <w:color w:val="000000" w:themeColor="text1"/>
                <w:szCs w:val="21"/>
              </w:rPr>
              <w:t>参照《环境影响评价技术导则-地下水环境》（HJ610-2016）中一般防渗区的防渗要求进行防渗设计，防渗层的防渗性能应等效于厚度≥1.5m，渗透系数K≤1.0×10</w:t>
            </w:r>
            <w:r>
              <w:rPr>
                <w:color w:val="000000" w:themeColor="text1"/>
                <w:szCs w:val="21"/>
                <w:vertAlign w:val="superscript"/>
              </w:rPr>
              <w:t>-7</w:t>
            </w:r>
            <w:r>
              <w:rPr>
                <w:color w:val="000000" w:themeColor="text1"/>
                <w:szCs w:val="21"/>
              </w:rPr>
              <w:t>cm/s 的黏土层的防渗性能。</w:t>
            </w:r>
          </w:p>
          <w:p w14:paraId="0A5E3478">
            <w:pPr>
              <w:ind w:firstLine="422" w:firstLineChars="200"/>
              <w:rPr>
                <w:color w:val="000000" w:themeColor="text1"/>
                <w:szCs w:val="21"/>
              </w:rPr>
            </w:pPr>
            <w:r>
              <w:rPr>
                <w:b/>
                <w:color w:val="000000" w:themeColor="text1"/>
                <w:szCs w:val="21"/>
              </w:rPr>
              <w:t>简单防渗区：</w:t>
            </w:r>
            <w:r>
              <w:rPr>
                <w:color w:val="000000" w:themeColor="text1"/>
                <w:szCs w:val="21"/>
              </w:rPr>
              <w:t>住宿区区、锅炉房等区域。不采取专门针对地下水污染的防治措施，地面可采用混凝土硬化。</w:t>
            </w:r>
          </w:p>
        </w:tc>
        <w:tc>
          <w:tcPr>
            <w:tcW w:w="1985" w:type="dxa"/>
            <w:vAlign w:val="center"/>
          </w:tcPr>
          <w:p w14:paraId="27675D01">
            <w:pPr>
              <w:jc w:val="center"/>
              <w:rPr>
                <w:color w:val="000000" w:themeColor="text1"/>
                <w:szCs w:val="21"/>
              </w:rPr>
            </w:pPr>
            <w:r>
              <w:rPr>
                <w:color w:val="000000" w:themeColor="text1"/>
                <w:szCs w:val="21"/>
              </w:rPr>
              <w:t>避免对地下水产生影响</w:t>
            </w:r>
          </w:p>
        </w:tc>
      </w:tr>
      <w:tr w14:paraId="39DC68C0">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restart"/>
            <w:vAlign w:val="center"/>
          </w:tcPr>
          <w:p w14:paraId="173ADFB5">
            <w:pPr>
              <w:jc w:val="center"/>
              <w:rPr>
                <w:b/>
                <w:color w:val="000000" w:themeColor="text1"/>
                <w:szCs w:val="21"/>
              </w:rPr>
            </w:pPr>
            <w:r>
              <w:rPr>
                <w:b/>
                <w:color w:val="000000" w:themeColor="text1"/>
                <w:szCs w:val="21"/>
              </w:rPr>
              <w:t>空气环境保护措施</w:t>
            </w:r>
          </w:p>
        </w:tc>
        <w:tc>
          <w:tcPr>
            <w:tcW w:w="956" w:type="dxa"/>
            <w:vAlign w:val="center"/>
          </w:tcPr>
          <w:p w14:paraId="518940E0">
            <w:pPr>
              <w:jc w:val="center"/>
              <w:rPr>
                <w:color w:val="000000" w:themeColor="text1"/>
                <w:szCs w:val="21"/>
              </w:rPr>
            </w:pPr>
            <w:r>
              <w:rPr>
                <w:color w:val="000000" w:themeColor="text1"/>
                <w:szCs w:val="21"/>
              </w:rPr>
              <w:t>施工期</w:t>
            </w:r>
          </w:p>
        </w:tc>
        <w:tc>
          <w:tcPr>
            <w:tcW w:w="1090" w:type="dxa"/>
            <w:vAlign w:val="center"/>
          </w:tcPr>
          <w:p w14:paraId="796D67F1">
            <w:pPr>
              <w:jc w:val="center"/>
              <w:rPr>
                <w:color w:val="000000" w:themeColor="text1"/>
                <w:szCs w:val="21"/>
              </w:rPr>
            </w:pPr>
            <w:r>
              <w:rPr>
                <w:color w:val="000000" w:themeColor="text1"/>
                <w:szCs w:val="21"/>
              </w:rPr>
              <w:t>扬尘</w:t>
            </w:r>
          </w:p>
        </w:tc>
        <w:tc>
          <w:tcPr>
            <w:tcW w:w="3648" w:type="dxa"/>
            <w:vAlign w:val="center"/>
          </w:tcPr>
          <w:p w14:paraId="09DBA12F">
            <w:pPr>
              <w:widowControl/>
              <w:ind w:firstLine="420" w:firstLineChars="200"/>
              <w:rPr>
                <w:color w:val="000000" w:themeColor="text1"/>
                <w:szCs w:val="21"/>
              </w:rPr>
            </w:pPr>
            <w:r>
              <w:rPr>
                <w:color w:val="000000" w:themeColor="text1"/>
                <w:szCs w:val="21"/>
              </w:rPr>
              <w:t>设置遮挡围墙；基础工地进行硬化处理，实行硬地坪施工，车辆出入口布置车辆清洁</w:t>
            </w:r>
          </w:p>
        </w:tc>
        <w:tc>
          <w:tcPr>
            <w:tcW w:w="1985" w:type="dxa"/>
            <w:vAlign w:val="center"/>
          </w:tcPr>
          <w:p w14:paraId="3A0E28B0">
            <w:pPr>
              <w:jc w:val="center"/>
              <w:rPr>
                <w:color w:val="000000" w:themeColor="text1"/>
                <w:szCs w:val="21"/>
              </w:rPr>
            </w:pPr>
            <w:r>
              <w:rPr>
                <w:color w:val="000000" w:themeColor="text1"/>
                <w:szCs w:val="21"/>
              </w:rPr>
              <w:t>加强施工管理，建设扬尘量</w:t>
            </w:r>
          </w:p>
        </w:tc>
      </w:tr>
      <w:tr w14:paraId="1EF1B934">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continue"/>
            <w:vAlign w:val="center"/>
          </w:tcPr>
          <w:p w14:paraId="6C54D575">
            <w:pPr>
              <w:jc w:val="center"/>
              <w:rPr>
                <w:b/>
                <w:color w:val="000000" w:themeColor="text1"/>
                <w:szCs w:val="21"/>
              </w:rPr>
            </w:pPr>
          </w:p>
        </w:tc>
        <w:tc>
          <w:tcPr>
            <w:tcW w:w="956" w:type="dxa"/>
            <w:vMerge w:val="restart"/>
            <w:vAlign w:val="center"/>
          </w:tcPr>
          <w:p w14:paraId="5D73E3AE">
            <w:pPr>
              <w:jc w:val="center"/>
              <w:rPr>
                <w:color w:val="000000" w:themeColor="text1"/>
                <w:szCs w:val="21"/>
              </w:rPr>
            </w:pPr>
            <w:r>
              <w:rPr>
                <w:color w:val="000000" w:themeColor="text1"/>
                <w:szCs w:val="21"/>
              </w:rPr>
              <w:t>运营期</w:t>
            </w:r>
          </w:p>
        </w:tc>
        <w:tc>
          <w:tcPr>
            <w:tcW w:w="1090" w:type="dxa"/>
            <w:vAlign w:val="center"/>
          </w:tcPr>
          <w:p w14:paraId="5D639817">
            <w:pPr>
              <w:jc w:val="center"/>
              <w:rPr>
                <w:color w:val="000000" w:themeColor="text1"/>
                <w:szCs w:val="21"/>
              </w:rPr>
            </w:pPr>
            <w:r>
              <w:rPr>
                <w:color w:val="000000" w:themeColor="text1"/>
                <w:szCs w:val="21"/>
              </w:rPr>
              <w:t>造粒工序</w:t>
            </w:r>
          </w:p>
        </w:tc>
        <w:tc>
          <w:tcPr>
            <w:tcW w:w="3648" w:type="dxa"/>
            <w:vAlign w:val="center"/>
          </w:tcPr>
          <w:p w14:paraId="60AEC892">
            <w:pPr>
              <w:widowControl/>
              <w:ind w:firstLine="420" w:firstLineChars="200"/>
              <w:rPr>
                <w:color w:val="000000" w:themeColor="text1"/>
                <w:szCs w:val="21"/>
              </w:rPr>
            </w:pPr>
            <w:r>
              <w:rPr>
                <w:bCs/>
                <w:color w:val="000000" w:themeColor="text1"/>
                <w:szCs w:val="21"/>
              </w:rPr>
              <w:t>拟在两台塑料挤出机上方设置集气罩（风量为8000m</w:t>
            </w:r>
            <w:r>
              <w:rPr>
                <w:bCs/>
                <w:color w:val="000000" w:themeColor="text1"/>
                <w:szCs w:val="21"/>
                <w:vertAlign w:val="superscript"/>
              </w:rPr>
              <w:t>3</w:t>
            </w:r>
            <w:r>
              <w:rPr>
                <w:bCs/>
                <w:color w:val="000000" w:themeColor="text1"/>
                <w:szCs w:val="21"/>
              </w:rPr>
              <w:t>/h，集气效率90%），将颗粒物及非甲烷总烃引至过滤棉+UV光解装置处理达标后（颗粒物处置效率95%，非甲烷总烃处置效率85%），通过管道引至15m的排气筒排放。</w:t>
            </w:r>
          </w:p>
        </w:tc>
        <w:tc>
          <w:tcPr>
            <w:tcW w:w="1985" w:type="dxa"/>
            <w:vMerge w:val="restart"/>
            <w:vAlign w:val="center"/>
          </w:tcPr>
          <w:p w14:paraId="13CC95D5">
            <w:pPr>
              <w:jc w:val="center"/>
              <w:rPr>
                <w:color w:val="000000" w:themeColor="text1"/>
                <w:szCs w:val="21"/>
              </w:rPr>
            </w:pPr>
            <w:r>
              <w:rPr>
                <w:rFonts w:eastAsiaTheme="minorEastAsia"/>
                <w:bCs/>
                <w:color w:val="000000" w:themeColor="text1"/>
                <w:szCs w:val="21"/>
              </w:rPr>
              <w:t>造粒工序有组织颗粒物、非甲烷总烃满足</w:t>
            </w:r>
            <w:r>
              <w:rPr>
                <w:rFonts w:eastAsiaTheme="minorEastAsia"/>
                <w:color w:val="000000" w:themeColor="text1"/>
                <w:szCs w:val="21"/>
              </w:rPr>
              <w:t>《合成树脂工业污染物排放标准》（GB31572-2015）；无组织颗粒物和非甲烷总烃厂界执行《合成树脂工业污染物排放标准》（GB31572-2015）中无组织排放监控浓度限值要求。</w:t>
            </w:r>
          </w:p>
        </w:tc>
      </w:tr>
      <w:tr w14:paraId="452BFD0C">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continue"/>
            <w:vAlign w:val="center"/>
          </w:tcPr>
          <w:p w14:paraId="62AF7078">
            <w:pPr>
              <w:jc w:val="center"/>
              <w:rPr>
                <w:b/>
                <w:color w:val="000000" w:themeColor="text1"/>
                <w:szCs w:val="21"/>
              </w:rPr>
            </w:pPr>
          </w:p>
        </w:tc>
        <w:tc>
          <w:tcPr>
            <w:tcW w:w="956" w:type="dxa"/>
            <w:vMerge w:val="continue"/>
            <w:vAlign w:val="center"/>
          </w:tcPr>
          <w:p w14:paraId="41080861">
            <w:pPr>
              <w:jc w:val="center"/>
              <w:rPr>
                <w:color w:val="000000" w:themeColor="text1"/>
                <w:szCs w:val="21"/>
              </w:rPr>
            </w:pPr>
          </w:p>
        </w:tc>
        <w:tc>
          <w:tcPr>
            <w:tcW w:w="1090" w:type="dxa"/>
            <w:vAlign w:val="center"/>
          </w:tcPr>
          <w:p w14:paraId="0AF5A9DF">
            <w:pPr>
              <w:jc w:val="center"/>
              <w:rPr>
                <w:color w:val="000000" w:themeColor="text1"/>
                <w:szCs w:val="21"/>
              </w:rPr>
            </w:pPr>
            <w:r>
              <w:rPr>
                <w:bCs/>
                <w:color w:val="000000" w:themeColor="text1"/>
                <w:szCs w:val="21"/>
              </w:rPr>
              <w:t>编织袋生产</w:t>
            </w:r>
          </w:p>
        </w:tc>
        <w:tc>
          <w:tcPr>
            <w:tcW w:w="3648" w:type="dxa"/>
            <w:vAlign w:val="center"/>
          </w:tcPr>
          <w:p w14:paraId="7B948D24">
            <w:pPr>
              <w:ind w:firstLine="420" w:firstLineChars="200"/>
              <w:rPr>
                <w:bCs/>
                <w:color w:val="000000" w:themeColor="text1"/>
                <w:szCs w:val="21"/>
              </w:rPr>
            </w:pPr>
            <w:r>
              <w:rPr>
                <w:bCs/>
                <w:color w:val="000000" w:themeColor="text1"/>
                <w:szCs w:val="21"/>
              </w:rPr>
              <w:t>设置1套集气罩对废气进行收集，然后经”过滤棉+UV光催化净化装置”处理后（收集效率90%，非甲烷总烃处理效率85%，颗粒物处理效率95%），通过15m高排气筒排放。</w:t>
            </w:r>
          </w:p>
        </w:tc>
        <w:tc>
          <w:tcPr>
            <w:tcW w:w="1985" w:type="dxa"/>
            <w:vMerge w:val="continue"/>
            <w:vAlign w:val="center"/>
          </w:tcPr>
          <w:p w14:paraId="7B121FCF">
            <w:pPr>
              <w:jc w:val="center"/>
              <w:rPr>
                <w:rFonts w:eastAsiaTheme="minorEastAsia"/>
                <w:bCs/>
                <w:color w:val="000000" w:themeColor="text1"/>
                <w:szCs w:val="21"/>
              </w:rPr>
            </w:pPr>
          </w:p>
        </w:tc>
      </w:tr>
      <w:tr w14:paraId="4E581603">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continue"/>
            <w:vAlign w:val="center"/>
          </w:tcPr>
          <w:p w14:paraId="15D10927">
            <w:pPr>
              <w:jc w:val="center"/>
              <w:rPr>
                <w:b/>
                <w:color w:val="000000" w:themeColor="text1"/>
                <w:szCs w:val="21"/>
              </w:rPr>
            </w:pPr>
          </w:p>
        </w:tc>
        <w:tc>
          <w:tcPr>
            <w:tcW w:w="956" w:type="dxa"/>
            <w:vMerge w:val="continue"/>
            <w:vAlign w:val="center"/>
          </w:tcPr>
          <w:p w14:paraId="0A8BA7D6">
            <w:pPr>
              <w:jc w:val="center"/>
              <w:rPr>
                <w:color w:val="000000" w:themeColor="text1"/>
                <w:szCs w:val="21"/>
              </w:rPr>
            </w:pPr>
          </w:p>
        </w:tc>
        <w:tc>
          <w:tcPr>
            <w:tcW w:w="1090" w:type="dxa"/>
            <w:vAlign w:val="center"/>
          </w:tcPr>
          <w:p w14:paraId="14CBD878">
            <w:pPr>
              <w:jc w:val="center"/>
              <w:rPr>
                <w:color w:val="000000" w:themeColor="text1"/>
                <w:szCs w:val="21"/>
              </w:rPr>
            </w:pPr>
            <w:r>
              <w:rPr>
                <w:color w:val="000000" w:themeColor="text1"/>
                <w:szCs w:val="21"/>
              </w:rPr>
              <w:t>食堂油烟</w:t>
            </w:r>
          </w:p>
        </w:tc>
        <w:tc>
          <w:tcPr>
            <w:tcW w:w="3648" w:type="dxa"/>
            <w:vAlign w:val="center"/>
          </w:tcPr>
          <w:p w14:paraId="50CACAF1">
            <w:pPr>
              <w:ind w:firstLine="420" w:firstLineChars="200"/>
              <w:rPr>
                <w:color w:val="000000" w:themeColor="text1"/>
                <w:szCs w:val="21"/>
              </w:rPr>
            </w:pPr>
            <w:r>
              <w:rPr>
                <w:color w:val="000000" w:themeColor="text1"/>
                <w:szCs w:val="21"/>
              </w:rPr>
              <w:t>净化效率60%的小型油烟净化设施。</w:t>
            </w:r>
          </w:p>
        </w:tc>
        <w:tc>
          <w:tcPr>
            <w:tcW w:w="1985" w:type="dxa"/>
            <w:vAlign w:val="center"/>
          </w:tcPr>
          <w:p w14:paraId="5E6C42AA">
            <w:pPr>
              <w:jc w:val="center"/>
              <w:rPr>
                <w:color w:val="000000" w:themeColor="text1"/>
                <w:szCs w:val="21"/>
              </w:rPr>
            </w:pPr>
            <w:r>
              <w:rPr>
                <w:color w:val="000000" w:themeColor="text1"/>
                <w:szCs w:val="21"/>
              </w:rPr>
              <w:t>GB18483-2001《饮食业油烟排放标准》小型</w:t>
            </w:r>
          </w:p>
        </w:tc>
      </w:tr>
      <w:tr w14:paraId="04E9C66F">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restart"/>
            <w:vAlign w:val="center"/>
          </w:tcPr>
          <w:p w14:paraId="05D10B77">
            <w:pPr>
              <w:jc w:val="center"/>
              <w:rPr>
                <w:b/>
                <w:color w:val="000000" w:themeColor="text1"/>
                <w:szCs w:val="21"/>
              </w:rPr>
            </w:pPr>
            <w:r>
              <w:rPr>
                <w:b/>
                <w:color w:val="000000" w:themeColor="text1"/>
                <w:szCs w:val="21"/>
              </w:rPr>
              <w:t>噪声控制</w:t>
            </w:r>
          </w:p>
        </w:tc>
        <w:tc>
          <w:tcPr>
            <w:tcW w:w="956" w:type="dxa"/>
            <w:vMerge w:val="restart"/>
            <w:vAlign w:val="center"/>
          </w:tcPr>
          <w:p w14:paraId="4BC4159D">
            <w:pPr>
              <w:jc w:val="center"/>
              <w:rPr>
                <w:color w:val="000000" w:themeColor="text1"/>
                <w:szCs w:val="21"/>
              </w:rPr>
            </w:pPr>
            <w:r>
              <w:rPr>
                <w:color w:val="000000" w:themeColor="text1"/>
                <w:szCs w:val="21"/>
              </w:rPr>
              <w:t>施工期</w:t>
            </w:r>
          </w:p>
        </w:tc>
        <w:tc>
          <w:tcPr>
            <w:tcW w:w="1090" w:type="dxa"/>
            <w:vAlign w:val="center"/>
          </w:tcPr>
          <w:p w14:paraId="536554ED">
            <w:pPr>
              <w:jc w:val="center"/>
              <w:rPr>
                <w:color w:val="000000" w:themeColor="text1"/>
                <w:szCs w:val="21"/>
              </w:rPr>
            </w:pPr>
            <w:r>
              <w:rPr>
                <w:color w:val="000000" w:themeColor="text1"/>
                <w:szCs w:val="21"/>
              </w:rPr>
              <w:t>机械噪声</w:t>
            </w:r>
          </w:p>
        </w:tc>
        <w:tc>
          <w:tcPr>
            <w:tcW w:w="3648" w:type="dxa"/>
            <w:vAlign w:val="center"/>
          </w:tcPr>
          <w:p w14:paraId="42ADF4C8">
            <w:pPr>
              <w:ind w:firstLine="210" w:firstLineChars="100"/>
              <w:rPr>
                <w:color w:val="000000" w:themeColor="text1"/>
                <w:szCs w:val="21"/>
              </w:rPr>
            </w:pPr>
            <w:r>
              <w:rPr>
                <w:color w:val="000000" w:themeColor="text1"/>
                <w:szCs w:val="21"/>
              </w:rPr>
              <w:t>厂房隔声等</w:t>
            </w:r>
          </w:p>
        </w:tc>
        <w:tc>
          <w:tcPr>
            <w:tcW w:w="1985" w:type="dxa"/>
            <w:vMerge w:val="restart"/>
            <w:vAlign w:val="center"/>
          </w:tcPr>
          <w:p w14:paraId="4F059CA4">
            <w:pPr>
              <w:jc w:val="center"/>
              <w:rPr>
                <w:color w:val="000000" w:themeColor="text1"/>
                <w:szCs w:val="21"/>
              </w:rPr>
            </w:pPr>
            <w:r>
              <w:rPr>
                <w:color w:val="000000" w:themeColor="text1"/>
                <w:szCs w:val="21"/>
              </w:rPr>
              <w:t>GB12523-2011《建筑施工场界环境噪声排放标准》</w:t>
            </w:r>
          </w:p>
        </w:tc>
      </w:tr>
      <w:tr w14:paraId="5BDF4181">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continue"/>
            <w:vAlign w:val="center"/>
          </w:tcPr>
          <w:p w14:paraId="794025B3">
            <w:pPr>
              <w:jc w:val="center"/>
              <w:rPr>
                <w:b/>
                <w:color w:val="000000" w:themeColor="text1"/>
                <w:szCs w:val="21"/>
              </w:rPr>
            </w:pPr>
          </w:p>
        </w:tc>
        <w:tc>
          <w:tcPr>
            <w:tcW w:w="956" w:type="dxa"/>
            <w:vMerge w:val="continue"/>
            <w:vAlign w:val="center"/>
          </w:tcPr>
          <w:p w14:paraId="54F1303C">
            <w:pPr>
              <w:jc w:val="center"/>
              <w:rPr>
                <w:color w:val="000000" w:themeColor="text1"/>
                <w:szCs w:val="21"/>
              </w:rPr>
            </w:pPr>
          </w:p>
        </w:tc>
        <w:tc>
          <w:tcPr>
            <w:tcW w:w="1090" w:type="dxa"/>
            <w:vAlign w:val="center"/>
          </w:tcPr>
          <w:p w14:paraId="4DE3D123">
            <w:pPr>
              <w:jc w:val="center"/>
              <w:rPr>
                <w:color w:val="000000" w:themeColor="text1"/>
                <w:szCs w:val="21"/>
              </w:rPr>
            </w:pPr>
            <w:r>
              <w:rPr>
                <w:color w:val="000000" w:themeColor="text1"/>
                <w:szCs w:val="21"/>
              </w:rPr>
              <w:t>车辆噪声</w:t>
            </w:r>
          </w:p>
        </w:tc>
        <w:tc>
          <w:tcPr>
            <w:tcW w:w="3648" w:type="dxa"/>
            <w:vAlign w:val="center"/>
          </w:tcPr>
          <w:p w14:paraId="642B9927">
            <w:pPr>
              <w:ind w:firstLine="210" w:firstLineChars="100"/>
              <w:rPr>
                <w:color w:val="000000" w:themeColor="text1"/>
                <w:szCs w:val="21"/>
              </w:rPr>
            </w:pPr>
            <w:r>
              <w:rPr>
                <w:color w:val="000000" w:themeColor="text1"/>
                <w:szCs w:val="21"/>
              </w:rPr>
              <w:t>减速行驶。</w:t>
            </w:r>
          </w:p>
        </w:tc>
        <w:tc>
          <w:tcPr>
            <w:tcW w:w="1985" w:type="dxa"/>
            <w:vMerge w:val="continue"/>
            <w:vAlign w:val="center"/>
          </w:tcPr>
          <w:p w14:paraId="19E7440A">
            <w:pPr>
              <w:jc w:val="center"/>
              <w:rPr>
                <w:color w:val="000000" w:themeColor="text1"/>
                <w:szCs w:val="21"/>
              </w:rPr>
            </w:pPr>
          </w:p>
        </w:tc>
      </w:tr>
      <w:tr w14:paraId="156CFD91">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continue"/>
            <w:vAlign w:val="center"/>
          </w:tcPr>
          <w:p w14:paraId="329DA9C5">
            <w:pPr>
              <w:jc w:val="center"/>
              <w:rPr>
                <w:b/>
                <w:color w:val="000000" w:themeColor="text1"/>
                <w:szCs w:val="21"/>
              </w:rPr>
            </w:pPr>
          </w:p>
        </w:tc>
        <w:tc>
          <w:tcPr>
            <w:tcW w:w="956" w:type="dxa"/>
            <w:vAlign w:val="center"/>
          </w:tcPr>
          <w:p w14:paraId="581B1C1C">
            <w:pPr>
              <w:jc w:val="center"/>
              <w:rPr>
                <w:color w:val="000000" w:themeColor="text1"/>
                <w:szCs w:val="21"/>
              </w:rPr>
            </w:pPr>
            <w:r>
              <w:rPr>
                <w:color w:val="000000" w:themeColor="text1"/>
                <w:szCs w:val="21"/>
              </w:rPr>
              <w:t>运营期</w:t>
            </w:r>
          </w:p>
        </w:tc>
        <w:tc>
          <w:tcPr>
            <w:tcW w:w="1090" w:type="dxa"/>
            <w:vAlign w:val="center"/>
          </w:tcPr>
          <w:p w14:paraId="68F74CCF">
            <w:pPr>
              <w:jc w:val="center"/>
              <w:rPr>
                <w:color w:val="000000" w:themeColor="text1"/>
                <w:szCs w:val="21"/>
              </w:rPr>
            </w:pPr>
            <w:r>
              <w:rPr>
                <w:color w:val="000000" w:themeColor="text1"/>
                <w:szCs w:val="21"/>
              </w:rPr>
              <w:t>设备噪声</w:t>
            </w:r>
          </w:p>
        </w:tc>
        <w:tc>
          <w:tcPr>
            <w:tcW w:w="3648" w:type="dxa"/>
            <w:vAlign w:val="center"/>
          </w:tcPr>
          <w:p w14:paraId="2F9E238D">
            <w:pPr>
              <w:ind w:firstLine="210" w:firstLineChars="100"/>
              <w:rPr>
                <w:color w:val="000000" w:themeColor="text1"/>
                <w:szCs w:val="21"/>
              </w:rPr>
            </w:pPr>
            <w:r>
              <w:rPr>
                <w:color w:val="000000" w:themeColor="text1"/>
                <w:szCs w:val="21"/>
              </w:rPr>
              <w:t>选择低噪声和符合国家噪声标准的设备，布置于单独的房间内</w:t>
            </w:r>
          </w:p>
        </w:tc>
        <w:tc>
          <w:tcPr>
            <w:tcW w:w="1985" w:type="dxa"/>
            <w:vAlign w:val="center"/>
          </w:tcPr>
          <w:p w14:paraId="2F8BD65C">
            <w:pPr>
              <w:jc w:val="center"/>
              <w:rPr>
                <w:color w:val="000000" w:themeColor="text1"/>
                <w:szCs w:val="21"/>
              </w:rPr>
            </w:pPr>
            <w:r>
              <w:rPr>
                <w:color w:val="000000" w:themeColor="text1"/>
                <w:szCs w:val="21"/>
              </w:rPr>
              <w:t>GB12348-2008《工业企业厂界环境噪声排放标准》2类</w:t>
            </w:r>
          </w:p>
        </w:tc>
      </w:tr>
      <w:tr w14:paraId="7086D303">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restart"/>
            <w:vAlign w:val="center"/>
          </w:tcPr>
          <w:p w14:paraId="70A429E7">
            <w:pPr>
              <w:jc w:val="center"/>
              <w:rPr>
                <w:b/>
                <w:color w:val="000000" w:themeColor="text1"/>
                <w:szCs w:val="21"/>
              </w:rPr>
            </w:pPr>
            <w:r>
              <w:rPr>
                <w:b/>
                <w:color w:val="000000" w:themeColor="text1"/>
                <w:szCs w:val="21"/>
              </w:rPr>
              <w:t>固体废物处置</w:t>
            </w:r>
          </w:p>
        </w:tc>
        <w:tc>
          <w:tcPr>
            <w:tcW w:w="956" w:type="dxa"/>
            <w:vMerge w:val="restart"/>
            <w:vAlign w:val="center"/>
          </w:tcPr>
          <w:p w14:paraId="220C2CC1">
            <w:pPr>
              <w:jc w:val="center"/>
              <w:rPr>
                <w:color w:val="000000" w:themeColor="text1"/>
                <w:szCs w:val="21"/>
              </w:rPr>
            </w:pPr>
            <w:r>
              <w:rPr>
                <w:color w:val="000000" w:themeColor="text1"/>
                <w:szCs w:val="21"/>
              </w:rPr>
              <w:t>施工期</w:t>
            </w:r>
          </w:p>
        </w:tc>
        <w:tc>
          <w:tcPr>
            <w:tcW w:w="1090" w:type="dxa"/>
            <w:vAlign w:val="center"/>
          </w:tcPr>
          <w:p w14:paraId="5951019C">
            <w:pPr>
              <w:jc w:val="center"/>
              <w:rPr>
                <w:color w:val="000000" w:themeColor="text1"/>
                <w:szCs w:val="21"/>
              </w:rPr>
            </w:pPr>
            <w:r>
              <w:rPr>
                <w:color w:val="000000" w:themeColor="text1"/>
                <w:szCs w:val="21"/>
              </w:rPr>
              <w:t>建筑垃圾</w:t>
            </w:r>
          </w:p>
        </w:tc>
        <w:tc>
          <w:tcPr>
            <w:tcW w:w="3648" w:type="dxa"/>
            <w:vAlign w:val="center"/>
          </w:tcPr>
          <w:p w14:paraId="282A6668">
            <w:pPr>
              <w:ind w:firstLine="315" w:firstLineChars="150"/>
              <w:rPr>
                <w:color w:val="000000" w:themeColor="text1"/>
                <w:szCs w:val="21"/>
              </w:rPr>
            </w:pPr>
            <w:r>
              <w:rPr>
                <w:color w:val="000000" w:themeColor="text1"/>
                <w:szCs w:val="21"/>
              </w:rPr>
              <w:t>分类储存，运送至指定部门</w:t>
            </w:r>
          </w:p>
        </w:tc>
        <w:tc>
          <w:tcPr>
            <w:tcW w:w="1985" w:type="dxa"/>
            <w:vMerge w:val="restart"/>
            <w:vAlign w:val="center"/>
          </w:tcPr>
          <w:p w14:paraId="7D72A6E3">
            <w:pPr>
              <w:jc w:val="center"/>
              <w:rPr>
                <w:color w:val="000000" w:themeColor="text1"/>
                <w:szCs w:val="21"/>
              </w:rPr>
            </w:pPr>
            <w:r>
              <w:rPr>
                <w:color w:val="000000" w:themeColor="text1"/>
                <w:szCs w:val="21"/>
              </w:rPr>
              <w:t>禁止随地丢弃</w:t>
            </w:r>
          </w:p>
        </w:tc>
      </w:tr>
      <w:tr w14:paraId="680F5662">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continue"/>
            <w:vAlign w:val="center"/>
          </w:tcPr>
          <w:p w14:paraId="3119533D">
            <w:pPr>
              <w:jc w:val="center"/>
              <w:rPr>
                <w:b/>
                <w:color w:val="000000" w:themeColor="text1"/>
                <w:szCs w:val="21"/>
              </w:rPr>
            </w:pPr>
          </w:p>
        </w:tc>
        <w:tc>
          <w:tcPr>
            <w:tcW w:w="956" w:type="dxa"/>
            <w:vMerge w:val="continue"/>
            <w:vAlign w:val="center"/>
          </w:tcPr>
          <w:p w14:paraId="1B89544A">
            <w:pPr>
              <w:jc w:val="center"/>
              <w:rPr>
                <w:color w:val="000000" w:themeColor="text1"/>
                <w:szCs w:val="21"/>
              </w:rPr>
            </w:pPr>
          </w:p>
        </w:tc>
        <w:tc>
          <w:tcPr>
            <w:tcW w:w="1090" w:type="dxa"/>
            <w:vAlign w:val="center"/>
          </w:tcPr>
          <w:p w14:paraId="62117FA6">
            <w:pPr>
              <w:jc w:val="center"/>
              <w:rPr>
                <w:color w:val="000000" w:themeColor="text1"/>
                <w:szCs w:val="21"/>
              </w:rPr>
            </w:pPr>
            <w:r>
              <w:rPr>
                <w:color w:val="000000" w:themeColor="text1"/>
                <w:szCs w:val="21"/>
              </w:rPr>
              <w:t>生活垃圾</w:t>
            </w:r>
          </w:p>
        </w:tc>
        <w:tc>
          <w:tcPr>
            <w:tcW w:w="3648" w:type="dxa"/>
            <w:vAlign w:val="center"/>
          </w:tcPr>
          <w:p w14:paraId="5CB4088F">
            <w:pPr>
              <w:ind w:firstLine="315" w:firstLineChars="150"/>
              <w:rPr>
                <w:color w:val="000000" w:themeColor="text1"/>
                <w:szCs w:val="21"/>
              </w:rPr>
            </w:pPr>
            <w:r>
              <w:rPr>
                <w:color w:val="000000" w:themeColor="text1"/>
                <w:szCs w:val="21"/>
              </w:rPr>
              <w:t>分类收集，集中清运</w:t>
            </w:r>
          </w:p>
        </w:tc>
        <w:tc>
          <w:tcPr>
            <w:tcW w:w="1985" w:type="dxa"/>
            <w:vMerge w:val="continue"/>
            <w:vAlign w:val="center"/>
          </w:tcPr>
          <w:p w14:paraId="57B6AD94">
            <w:pPr>
              <w:jc w:val="center"/>
              <w:rPr>
                <w:color w:val="000000" w:themeColor="text1"/>
                <w:szCs w:val="21"/>
              </w:rPr>
            </w:pPr>
          </w:p>
        </w:tc>
      </w:tr>
      <w:tr w14:paraId="69781FC9">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continue"/>
            <w:vAlign w:val="center"/>
          </w:tcPr>
          <w:p w14:paraId="548FF89E">
            <w:pPr>
              <w:jc w:val="center"/>
              <w:rPr>
                <w:b/>
                <w:color w:val="000000" w:themeColor="text1"/>
                <w:szCs w:val="21"/>
              </w:rPr>
            </w:pPr>
          </w:p>
        </w:tc>
        <w:tc>
          <w:tcPr>
            <w:tcW w:w="956" w:type="dxa"/>
            <w:vMerge w:val="restart"/>
            <w:vAlign w:val="center"/>
          </w:tcPr>
          <w:p w14:paraId="779F6737">
            <w:pPr>
              <w:jc w:val="center"/>
              <w:rPr>
                <w:color w:val="000000" w:themeColor="text1"/>
                <w:szCs w:val="21"/>
              </w:rPr>
            </w:pPr>
            <w:r>
              <w:rPr>
                <w:color w:val="000000" w:themeColor="text1"/>
                <w:szCs w:val="21"/>
              </w:rPr>
              <w:t>运营期</w:t>
            </w:r>
          </w:p>
        </w:tc>
        <w:tc>
          <w:tcPr>
            <w:tcW w:w="1090" w:type="dxa"/>
            <w:vAlign w:val="center"/>
          </w:tcPr>
          <w:p w14:paraId="7CD57E8D">
            <w:pPr>
              <w:jc w:val="center"/>
              <w:rPr>
                <w:color w:val="000000" w:themeColor="text1"/>
                <w:szCs w:val="21"/>
              </w:rPr>
            </w:pPr>
            <w:r>
              <w:rPr>
                <w:color w:val="000000" w:themeColor="text1"/>
                <w:szCs w:val="21"/>
              </w:rPr>
              <w:t>一般生产固废</w:t>
            </w:r>
          </w:p>
        </w:tc>
        <w:tc>
          <w:tcPr>
            <w:tcW w:w="3648" w:type="dxa"/>
            <w:vAlign w:val="center"/>
          </w:tcPr>
          <w:p w14:paraId="223DBC38">
            <w:pPr>
              <w:widowControl/>
              <w:ind w:firstLine="420" w:firstLineChars="200"/>
              <w:rPr>
                <w:color w:val="000000" w:themeColor="text1"/>
                <w:szCs w:val="21"/>
              </w:rPr>
            </w:pPr>
            <w:r>
              <w:rPr>
                <w:color w:val="000000" w:themeColor="text1"/>
                <w:szCs w:val="21"/>
              </w:rPr>
              <w:t>本环评要求在项目区原料仓库北侧设置一般固废堆放间（占地15m</w:t>
            </w:r>
            <w:r>
              <w:rPr>
                <w:color w:val="000000" w:themeColor="text1"/>
                <w:szCs w:val="21"/>
                <w:vertAlign w:val="superscript"/>
              </w:rPr>
              <w:t>2</w:t>
            </w:r>
            <w:r>
              <w:rPr>
                <w:color w:val="000000" w:themeColor="text1"/>
                <w:szCs w:val="21"/>
              </w:rPr>
              <w:t>）。</w:t>
            </w:r>
          </w:p>
          <w:p w14:paraId="051B6201">
            <w:pPr>
              <w:widowControl/>
              <w:ind w:firstLine="420" w:firstLineChars="200"/>
              <w:rPr>
                <w:color w:val="000000" w:themeColor="text1"/>
                <w:szCs w:val="21"/>
              </w:rPr>
            </w:pPr>
            <w:r>
              <w:rPr>
                <w:color w:val="000000" w:themeColor="text1"/>
                <w:szCs w:val="21"/>
              </w:rPr>
              <w:t>项目运营期一般工业固废主要为拆包、人工分选杂物（S1）、剥离废标签纸（S2）、污水处理设施（隔油池+沉淀池）污泥。</w:t>
            </w:r>
          </w:p>
          <w:p w14:paraId="197F4742">
            <w:pPr>
              <w:widowControl/>
              <w:ind w:firstLine="420" w:firstLineChars="200"/>
              <w:rPr>
                <w:color w:val="000000" w:themeColor="text1"/>
                <w:szCs w:val="21"/>
              </w:rPr>
            </w:pPr>
            <w:r>
              <w:rPr>
                <w:color w:val="000000" w:themeColor="text1"/>
                <w:szCs w:val="21"/>
              </w:rPr>
              <w:t>拆包、人工分选杂物分类收集后，一部分外卖，其余外运至最近村庄垃圾收集点处理，禁止随意丢弃；剥离废标签纸外卖处理；污水处理设施（隔油池+沉淀池）污泥外运至最近村庄垃圾收集点处理。</w:t>
            </w:r>
          </w:p>
        </w:tc>
        <w:tc>
          <w:tcPr>
            <w:tcW w:w="1985" w:type="dxa"/>
            <w:vMerge w:val="restart"/>
            <w:vAlign w:val="center"/>
          </w:tcPr>
          <w:p w14:paraId="42072714">
            <w:pPr>
              <w:jc w:val="center"/>
              <w:rPr>
                <w:color w:val="000000" w:themeColor="text1"/>
                <w:szCs w:val="21"/>
              </w:rPr>
            </w:pPr>
            <w:r>
              <w:rPr>
                <w:color w:val="000000" w:themeColor="text1"/>
                <w:szCs w:val="21"/>
              </w:rPr>
              <w:t>固废处置100%</w:t>
            </w:r>
          </w:p>
        </w:tc>
      </w:tr>
      <w:tr w14:paraId="32261527">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continue"/>
            <w:vAlign w:val="center"/>
          </w:tcPr>
          <w:p w14:paraId="5E215B57">
            <w:pPr>
              <w:jc w:val="center"/>
              <w:rPr>
                <w:b/>
                <w:color w:val="000000" w:themeColor="text1"/>
                <w:szCs w:val="21"/>
              </w:rPr>
            </w:pPr>
          </w:p>
        </w:tc>
        <w:tc>
          <w:tcPr>
            <w:tcW w:w="956" w:type="dxa"/>
            <w:vMerge w:val="continue"/>
            <w:vAlign w:val="center"/>
          </w:tcPr>
          <w:p w14:paraId="40D55EA7">
            <w:pPr>
              <w:jc w:val="center"/>
              <w:rPr>
                <w:color w:val="000000" w:themeColor="text1"/>
                <w:szCs w:val="21"/>
              </w:rPr>
            </w:pPr>
          </w:p>
        </w:tc>
        <w:tc>
          <w:tcPr>
            <w:tcW w:w="1090" w:type="dxa"/>
            <w:vAlign w:val="center"/>
          </w:tcPr>
          <w:p w14:paraId="365C2A30">
            <w:pPr>
              <w:jc w:val="center"/>
              <w:rPr>
                <w:color w:val="000000" w:themeColor="text1"/>
                <w:szCs w:val="21"/>
              </w:rPr>
            </w:pPr>
            <w:r>
              <w:rPr>
                <w:color w:val="000000" w:themeColor="text1"/>
                <w:szCs w:val="21"/>
              </w:rPr>
              <w:t>危险废物</w:t>
            </w:r>
          </w:p>
        </w:tc>
        <w:tc>
          <w:tcPr>
            <w:tcW w:w="3648" w:type="dxa"/>
            <w:vAlign w:val="center"/>
          </w:tcPr>
          <w:p w14:paraId="0FBFF47C">
            <w:pPr>
              <w:ind w:firstLine="420" w:firstLineChars="200"/>
              <w:rPr>
                <w:color w:val="000000" w:themeColor="text1"/>
                <w:szCs w:val="21"/>
              </w:rPr>
            </w:pPr>
            <w:r>
              <w:rPr>
                <w:color w:val="000000" w:themeColor="text1"/>
                <w:szCs w:val="21"/>
              </w:rPr>
              <w:t>危险废物（废过滤棉、光解废气处理灯、废过滤网）暂存于危废收集间（5m</w:t>
            </w:r>
            <w:r>
              <w:rPr>
                <w:color w:val="000000" w:themeColor="text1"/>
                <w:szCs w:val="21"/>
                <w:vertAlign w:val="superscript"/>
              </w:rPr>
              <w:t>2</w:t>
            </w:r>
            <w:r>
              <w:rPr>
                <w:color w:val="000000" w:themeColor="text1"/>
                <w:szCs w:val="21"/>
              </w:rPr>
              <w:t>），委托有资质的单位进行处置。</w:t>
            </w:r>
          </w:p>
        </w:tc>
        <w:tc>
          <w:tcPr>
            <w:tcW w:w="1985" w:type="dxa"/>
            <w:vMerge w:val="continue"/>
            <w:vAlign w:val="center"/>
          </w:tcPr>
          <w:p w14:paraId="22FF0F40">
            <w:pPr>
              <w:jc w:val="center"/>
              <w:rPr>
                <w:color w:val="000000" w:themeColor="text1"/>
                <w:szCs w:val="21"/>
              </w:rPr>
            </w:pPr>
          </w:p>
        </w:tc>
      </w:tr>
      <w:tr w14:paraId="46ABE4FF">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Merge w:val="continue"/>
            <w:vAlign w:val="center"/>
          </w:tcPr>
          <w:p w14:paraId="3592F158">
            <w:pPr>
              <w:jc w:val="center"/>
              <w:rPr>
                <w:b/>
                <w:color w:val="000000" w:themeColor="text1"/>
                <w:szCs w:val="21"/>
              </w:rPr>
            </w:pPr>
          </w:p>
        </w:tc>
        <w:tc>
          <w:tcPr>
            <w:tcW w:w="956" w:type="dxa"/>
            <w:vMerge w:val="continue"/>
            <w:vAlign w:val="center"/>
          </w:tcPr>
          <w:p w14:paraId="6CCFEFE7">
            <w:pPr>
              <w:jc w:val="center"/>
              <w:rPr>
                <w:color w:val="000000" w:themeColor="text1"/>
                <w:szCs w:val="21"/>
              </w:rPr>
            </w:pPr>
          </w:p>
        </w:tc>
        <w:tc>
          <w:tcPr>
            <w:tcW w:w="1090" w:type="dxa"/>
            <w:vAlign w:val="center"/>
          </w:tcPr>
          <w:p w14:paraId="7D246B7B">
            <w:pPr>
              <w:jc w:val="center"/>
              <w:rPr>
                <w:color w:val="000000" w:themeColor="text1"/>
                <w:szCs w:val="21"/>
              </w:rPr>
            </w:pPr>
            <w:r>
              <w:rPr>
                <w:color w:val="000000" w:themeColor="text1"/>
                <w:szCs w:val="21"/>
              </w:rPr>
              <w:t>生活固废</w:t>
            </w:r>
          </w:p>
        </w:tc>
        <w:tc>
          <w:tcPr>
            <w:tcW w:w="3648" w:type="dxa"/>
            <w:vAlign w:val="center"/>
          </w:tcPr>
          <w:p w14:paraId="659D43C2">
            <w:pPr>
              <w:widowControl/>
              <w:ind w:firstLine="420" w:firstLineChars="200"/>
              <w:rPr>
                <w:color w:val="000000" w:themeColor="text1"/>
                <w:szCs w:val="21"/>
              </w:rPr>
            </w:pPr>
            <w:r>
              <w:rPr>
                <w:color w:val="000000" w:themeColor="text1"/>
                <w:szCs w:val="21"/>
              </w:rPr>
              <w:t>生活固废主要为生活垃圾、化粪池污泥及食堂泔水，外运至最近村庄垃圾收集点处理。</w:t>
            </w:r>
          </w:p>
        </w:tc>
        <w:tc>
          <w:tcPr>
            <w:tcW w:w="1985" w:type="dxa"/>
            <w:vMerge w:val="continue"/>
            <w:vAlign w:val="center"/>
          </w:tcPr>
          <w:p w14:paraId="79A36D41">
            <w:pPr>
              <w:jc w:val="center"/>
              <w:rPr>
                <w:color w:val="000000" w:themeColor="text1"/>
                <w:szCs w:val="21"/>
              </w:rPr>
            </w:pPr>
          </w:p>
        </w:tc>
      </w:tr>
      <w:tr w14:paraId="502D2849">
        <w:tblPrEx>
          <w:tblBorders>
            <w:top w:val="single" w:color="auto" w:sz="18" w:space="0"/>
            <w:left w:val="none" w:color="auto" w:sz="0" w:space="0"/>
            <w:bottom w:val="single" w:color="auto" w:sz="18"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 w:hRule="atLeast"/>
        </w:trPr>
        <w:tc>
          <w:tcPr>
            <w:tcW w:w="793" w:type="dxa"/>
            <w:vAlign w:val="center"/>
          </w:tcPr>
          <w:p w14:paraId="79B79D42">
            <w:pPr>
              <w:jc w:val="center"/>
              <w:rPr>
                <w:b/>
                <w:color w:val="000000" w:themeColor="text1"/>
                <w:szCs w:val="21"/>
              </w:rPr>
            </w:pPr>
            <w:r>
              <w:rPr>
                <w:b/>
                <w:color w:val="000000" w:themeColor="text1"/>
                <w:szCs w:val="21"/>
              </w:rPr>
              <w:t>其它对策措施</w:t>
            </w:r>
          </w:p>
        </w:tc>
        <w:tc>
          <w:tcPr>
            <w:tcW w:w="956" w:type="dxa"/>
            <w:vAlign w:val="center"/>
          </w:tcPr>
          <w:p w14:paraId="29EA0A73">
            <w:pPr>
              <w:jc w:val="center"/>
              <w:rPr>
                <w:color w:val="000000" w:themeColor="text1"/>
                <w:szCs w:val="21"/>
              </w:rPr>
            </w:pPr>
            <w:r>
              <w:rPr>
                <w:color w:val="000000" w:themeColor="text1"/>
                <w:szCs w:val="21"/>
              </w:rPr>
              <w:t>运营期</w:t>
            </w:r>
          </w:p>
        </w:tc>
        <w:tc>
          <w:tcPr>
            <w:tcW w:w="1090" w:type="dxa"/>
            <w:vAlign w:val="center"/>
          </w:tcPr>
          <w:p w14:paraId="49AE4345">
            <w:pPr>
              <w:jc w:val="center"/>
              <w:rPr>
                <w:color w:val="000000" w:themeColor="text1"/>
                <w:szCs w:val="21"/>
              </w:rPr>
            </w:pPr>
            <w:r>
              <w:rPr>
                <w:color w:val="000000" w:themeColor="text1"/>
                <w:szCs w:val="21"/>
              </w:rPr>
              <w:t>/</w:t>
            </w:r>
          </w:p>
        </w:tc>
        <w:tc>
          <w:tcPr>
            <w:tcW w:w="3648" w:type="dxa"/>
            <w:vAlign w:val="center"/>
          </w:tcPr>
          <w:p w14:paraId="4E75718D">
            <w:pPr>
              <w:widowControl/>
              <w:ind w:firstLine="420" w:firstLineChars="200"/>
              <w:rPr>
                <w:color w:val="000000" w:themeColor="text1"/>
                <w:szCs w:val="21"/>
              </w:rPr>
            </w:pPr>
            <w:r>
              <w:rPr>
                <w:color w:val="000000" w:themeColor="text1"/>
                <w:szCs w:val="21"/>
              </w:rPr>
              <w:t>（1）项目的建设内容及功能设置必须严格按照设计要求进行建设和设置。若项目建设内容或功能设置发生变化，项目方应重新报环保部门进行审批。</w:t>
            </w:r>
          </w:p>
          <w:p w14:paraId="690916E2">
            <w:pPr>
              <w:widowControl/>
              <w:ind w:firstLine="420" w:firstLineChars="200"/>
              <w:rPr>
                <w:color w:val="000000" w:themeColor="text1"/>
                <w:szCs w:val="21"/>
              </w:rPr>
            </w:pPr>
            <w:r>
              <w:rPr>
                <w:color w:val="000000" w:themeColor="text1"/>
                <w:szCs w:val="21"/>
              </w:rPr>
              <w:t>（2）加大对项目区的绿化工作，通过增加植被类型的多样性来促进生态系统的稳定性，消除植物生物量减少带来的影响。</w:t>
            </w:r>
          </w:p>
        </w:tc>
        <w:tc>
          <w:tcPr>
            <w:tcW w:w="1985" w:type="dxa"/>
            <w:vAlign w:val="center"/>
          </w:tcPr>
          <w:p w14:paraId="364B9529">
            <w:pPr>
              <w:jc w:val="center"/>
              <w:rPr>
                <w:color w:val="000000" w:themeColor="text1"/>
                <w:szCs w:val="21"/>
              </w:rPr>
            </w:pPr>
            <w:r>
              <w:rPr>
                <w:color w:val="000000" w:themeColor="text1"/>
                <w:szCs w:val="21"/>
              </w:rPr>
              <w:t>/</w:t>
            </w:r>
          </w:p>
        </w:tc>
      </w:tr>
    </w:tbl>
    <w:p w14:paraId="2AA0A884">
      <w:pPr>
        <w:pStyle w:val="4"/>
        <w:rPr>
          <w:rFonts w:ascii="Times New Roman" w:hAnsi="Times New Roman"/>
          <w:color w:val="000000" w:themeColor="text1"/>
        </w:rPr>
      </w:pPr>
      <w:bookmarkStart w:id="451" w:name="_Toc137986207"/>
      <w:bookmarkStart w:id="452" w:name="_Toc28117735"/>
      <w:bookmarkStart w:id="453" w:name="_Toc258830991"/>
      <w:bookmarkStart w:id="454" w:name="_Toc283122541"/>
      <w:bookmarkStart w:id="455" w:name="_Toc244980470"/>
      <w:bookmarkStart w:id="456" w:name="_Toc121213238"/>
      <w:bookmarkStart w:id="457" w:name="_Toc283122542"/>
      <w:bookmarkStart w:id="458" w:name="_Toc115348318"/>
      <w:bookmarkStart w:id="459" w:name="_Toc72314204"/>
      <w:bookmarkStart w:id="460" w:name="_Toc137986208"/>
      <w:bookmarkStart w:id="461" w:name="_Toc244980471"/>
      <w:bookmarkStart w:id="462" w:name="_Toc82508935"/>
      <w:bookmarkStart w:id="463" w:name="_Toc115318187"/>
      <w:bookmarkStart w:id="464" w:name="_Toc258830992"/>
      <w:bookmarkStart w:id="465" w:name="_Toc348861123"/>
      <w:bookmarkStart w:id="466" w:name="_Toc285542812"/>
      <w:bookmarkStart w:id="467" w:name="_Toc286241708"/>
      <w:bookmarkStart w:id="468" w:name="_Toc285541592"/>
      <w:bookmarkStart w:id="469" w:name="_Toc285547637"/>
      <w:r>
        <w:rPr>
          <w:rFonts w:ascii="Times New Roman" w:hAnsi="Times New Roman"/>
          <w:color w:val="000000" w:themeColor="text1"/>
        </w:rPr>
        <w:t>9.3环境经济损益分析</w:t>
      </w:r>
      <w:bookmarkEnd w:id="451"/>
      <w:bookmarkEnd w:id="452"/>
      <w:bookmarkEnd w:id="453"/>
      <w:bookmarkEnd w:id="454"/>
      <w:bookmarkEnd w:id="455"/>
    </w:p>
    <w:p w14:paraId="1BEF8396">
      <w:pPr>
        <w:pStyle w:val="105"/>
        <w:rPr>
          <w:rFonts w:cs="Times New Roman"/>
          <w:color w:val="000000" w:themeColor="text1"/>
        </w:rPr>
      </w:pPr>
      <w:r>
        <w:rPr>
          <w:rFonts w:cs="Times New Roman"/>
          <w:color w:val="000000" w:themeColor="text1"/>
        </w:rPr>
        <w:t>9.3.1经济效益分析</w:t>
      </w:r>
      <w:bookmarkEnd w:id="456"/>
      <w:bookmarkEnd w:id="457"/>
      <w:bookmarkEnd w:id="458"/>
      <w:bookmarkEnd w:id="459"/>
      <w:bookmarkEnd w:id="460"/>
      <w:bookmarkEnd w:id="461"/>
      <w:bookmarkEnd w:id="462"/>
      <w:bookmarkEnd w:id="463"/>
      <w:bookmarkEnd w:id="464"/>
    </w:p>
    <w:p w14:paraId="474D589A">
      <w:pPr>
        <w:snapToGrid w:val="0"/>
        <w:spacing w:line="360" w:lineRule="auto"/>
        <w:ind w:firstLine="480" w:firstLineChars="200"/>
        <w:textAlignment w:val="baseline"/>
        <w:rPr>
          <w:color w:val="000000" w:themeColor="text1"/>
          <w:spacing w:val="-2"/>
          <w:sz w:val="24"/>
        </w:rPr>
      </w:pPr>
      <w:r>
        <w:rPr>
          <w:color w:val="000000" w:themeColor="text1"/>
          <w:sz w:val="24"/>
        </w:rPr>
        <w:t>根据建设方资料，本项目计划总投资200万元</w:t>
      </w:r>
      <w:r>
        <w:rPr>
          <w:color w:val="000000" w:themeColor="text1"/>
          <w:spacing w:val="-2"/>
          <w:sz w:val="24"/>
        </w:rPr>
        <w:t>，建设项目建成投产后具备了较高的盈利能力。</w:t>
      </w:r>
    </w:p>
    <w:p w14:paraId="0CD6317E">
      <w:pPr>
        <w:snapToGrid w:val="0"/>
        <w:spacing w:line="360" w:lineRule="auto"/>
        <w:ind w:firstLine="480" w:firstLineChars="200"/>
        <w:textAlignment w:val="baseline"/>
        <w:rPr>
          <w:color w:val="000000" w:themeColor="text1"/>
          <w:sz w:val="24"/>
        </w:rPr>
      </w:pPr>
      <w:r>
        <w:rPr>
          <w:color w:val="000000" w:themeColor="text1"/>
          <w:sz w:val="24"/>
        </w:rPr>
        <w:t>项目建成后具有一定的经济效益，并具有一定的抗风险能力，从经济角度而言，该项目是可行的。项目建设后，必将产生显著的环境效益、社会效益和经济效益。</w:t>
      </w:r>
    </w:p>
    <w:p w14:paraId="6F98C9F1">
      <w:pPr>
        <w:pStyle w:val="105"/>
        <w:rPr>
          <w:rFonts w:cs="Times New Roman"/>
          <w:color w:val="000000" w:themeColor="text1"/>
        </w:rPr>
      </w:pPr>
      <w:bookmarkStart w:id="470" w:name="_Toc258830994"/>
      <w:bookmarkStart w:id="471" w:name="_Toc283122545"/>
      <w:r>
        <w:rPr>
          <w:rFonts w:cs="Times New Roman"/>
          <w:color w:val="000000" w:themeColor="text1"/>
        </w:rPr>
        <w:t>9.3.2 社会效益分析</w:t>
      </w:r>
      <w:bookmarkEnd w:id="470"/>
      <w:bookmarkEnd w:id="471"/>
    </w:p>
    <w:p w14:paraId="2686C693">
      <w:pPr>
        <w:spacing w:line="360" w:lineRule="auto"/>
        <w:ind w:firstLine="361" w:firstLineChars="150"/>
        <w:rPr>
          <w:b/>
          <w:bCs/>
          <w:color w:val="000000" w:themeColor="text1"/>
          <w:sz w:val="24"/>
        </w:rPr>
      </w:pPr>
      <w:r>
        <w:rPr>
          <w:b/>
          <w:bCs/>
          <w:color w:val="000000" w:themeColor="text1"/>
          <w:sz w:val="24"/>
        </w:rPr>
        <w:t>1、有利影响</w:t>
      </w:r>
    </w:p>
    <w:p w14:paraId="3D117603">
      <w:pPr>
        <w:spacing w:line="360" w:lineRule="auto"/>
        <w:ind w:firstLine="480" w:firstLineChars="200"/>
        <w:rPr>
          <w:color w:val="000000" w:themeColor="text1"/>
          <w:sz w:val="24"/>
        </w:rPr>
      </w:pPr>
      <w:r>
        <w:rPr>
          <w:color w:val="000000" w:themeColor="text1"/>
          <w:sz w:val="24"/>
        </w:rPr>
        <w:t>该项目实施后不仅能为本企业产业结构优化升级和产品结构调整提供动力，而且会提高产品的附加值和市场竞争能力，有效拓展企业的生存空间和保持企业可持续发展。项目的实施适应了当地经济发展的战略需要，促进了当地经济发展，项同建成运行后，</w:t>
      </w:r>
      <w:r>
        <w:rPr>
          <w:color w:val="000000" w:themeColor="text1"/>
          <w:kern w:val="0"/>
          <w:sz w:val="24"/>
        </w:rPr>
        <w:t>实现了固体废物的综合利用。节约了自然资源，促进循环经济的发展，</w:t>
      </w:r>
      <w:r>
        <w:rPr>
          <w:color w:val="000000" w:themeColor="text1"/>
          <w:sz w:val="24"/>
        </w:rPr>
        <w:t>提供就业机会，具有良好的经济效益和社会效益。</w:t>
      </w:r>
    </w:p>
    <w:p w14:paraId="648E803D">
      <w:pPr>
        <w:spacing w:line="360" w:lineRule="auto"/>
        <w:ind w:firstLine="361" w:firstLineChars="150"/>
        <w:rPr>
          <w:color w:val="000000" w:themeColor="text1"/>
          <w:sz w:val="24"/>
        </w:rPr>
      </w:pPr>
      <w:r>
        <w:rPr>
          <w:b/>
          <w:bCs/>
          <w:color w:val="000000" w:themeColor="text1"/>
          <w:sz w:val="24"/>
        </w:rPr>
        <w:t>2、不利影响</w:t>
      </w:r>
    </w:p>
    <w:p w14:paraId="1FED91D4">
      <w:pPr>
        <w:pStyle w:val="57"/>
        <w:ind w:firstLine="480" w:firstLineChars="200"/>
        <w:rPr>
          <w:color w:val="000000" w:themeColor="text1"/>
        </w:rPr>
      </w:pPr>
      <w:r>
        <w:rPr>
          <w:color w:val="000000" w:themeColor="text1"/>
        </w:rPr>
        <w:t>项目建设产生的社会不利影响主要表现为：产品生产过程中废气、固废、噪声、废水排放的影响。通过合理的采取措施进行处置，项目建设对周围环境影响小。</w:t>
      </w:r>
    </w:p>
    <w:p w14:paraId="37FE7425">
      <w:pPr>
        <w:pStyle w:val="57"/>
        <w:ind w:firstLine="480" w:firstLineChars="200"/>
        <w:rPr>
          <w:color w:val="000000" w:themeColor="text1"/>
        </w:rPr>
      </w:pPr>
      <w:r>
        <w:rPr>
          <w:color w:val="000000" w:themeColor="text1"/>
        </w:rPr>
        <w:t>总之，本项目建设的社会环境影响是积极的。</w:t>
      </w:r>
    </w:p>
    <w:p w14:paraId="1DF41E54">
      <w:pPr>
        <w:pStyle w:val="105"/>
        <w:rPr>
          <w:rFonts w:cs="Times New Roman"/>
          <w:color w:val="000000" w:themeColor="text1"/>
        </w:rPr>
      </w:pPr>
      <w:r>
        <w:rPr>
          <w:rFonts w:cs="Times New Roman"/>
          <w:color w:val="000000" w:themeColor="text1"/>
        </w:rPr>
        <w:t>9.3.3工程环保投资估算</w:t>
      </w:r>
      <w:bookmarkEnd w:id="465"/>
      <w:bookmarkEnd w:id="466"/>
      <w:bookmarkEnd w:id="467"/>
      <w:bookmarkEnd w:id="468"/>
      <w:bookmarkEnd w:id="469"/>
    </w:p>
    <w:p w14:paraId="1EE61330">
      <w:pPr>
        <w:spacing w:line="360" w:lineRule="auto"/>
        <w:ind w:firstLine="480" w:firstLineChars="200"/>
        <w:rPr>
          <w:b/>
          <w:color w:val="000000" w:themeColor="text1"/>
          <w:sz w:val="24"/>
        </w:rPr>
      </w:pPr>
      <w:r>
        <w:rPr>
          <w:color w:val="000000" w:themeColor="text1"/>
          <w:sz w:val="24"/>
        </w:rPr>
        <w:t>该项目总投资200万元，其环保设施投资情况见表9.3-1。</w:t>
      </w:r>
    </w:p>
    <w:p w14:paraId="33E3B914">
      <w:pPr>
        <w:pStyle w:val="11"/>
        <w:ind w:firstLine="482"/>
        <w:jc w:val="center"/>
        <w:rPr>
          <w:b/>
          <w:color w:val="000000" w:themeColor="text1"/>
          <w:sz w:val="24"/>
        </w:rPr>
      </w:pPr>
      <w:r>
        <w:rPr>
          <w:b/>
          <w:color w:val="000000" w:themeColor="text1"/>
          <w:sz w:val="24"/>
        </w:rPr>
        <w:t>表9.3-1  环保设施投资比例</w:t>
      </w:r>
    </w:p>
    <w:tbl>
      <w:tblPr>
        <w:tblStyle w:val="42"/>
        <w:tblW w:w="5255"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732"/>
        <w:gridCol w:w="6324"/>
        <w:gridCol w:w="1430"/>
      </w:tblGrid>
      <w:tr w14:paraId="3188DE8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5" w:type="pct"/>
            <w:vAlign w:val="center"/>
          </w:tcPr>
          <w:p w14:paraId="0D373019">
            <w:pPr>
              <w:pStyle w:val="59"/>
              <w:spacing w:line="240" w:lineRule="auto"/>
              <w:rPr>
                <w:b/>
                <w:color w:val="000000" w:themeColor="text1"/>
                <w:sz w:val="21"/>
                <w:szCs w:val="21"/>
              </w:rPr>
            </w:pPr>
            <w:r>
              <w:rPr>
                <w:b/>
                <w:color w:val="000000" w:themeColor="text1"/>
                <w:sz w:val="21"/>
                <w:szCs w:val="21"/>
              </w:rPr>
              <w:t>期间</w:t>
            </w:r>
          </w:p>
        </w:tc>
        <w:tc>
          <w:tcPr>
            <w:tcW w:w="3829" w:type="pct"/>
            <w:gridSpan w:val="2"/>
            <w:vAlign w:val="center"/>
          </w:tcPr>
          <w:p w14:paraId="02F76CDB">
            <w:pPr>
              <w:pStyle w:val="59"/>
              <w:spacing w:line="240" w:lineRule="auto"/>
              <w:rPr>
                <w:b/>
                <w:color w:val="000000" w:themeColor="text1"/>
                <w:sz w:val="21"/>
                <w:szCs w:val="21"/>
              </w:rPr>
            </w:pPr>
            <w:r>
              <w:rPr>
                <w:b/>
                <w:color w:val="000000" w:themeColor="text1"/>
                <w:sz w:val="21"/>
                <w:szCs w:val="21"/>
              </w:rPr>
              <w:t>项   目</w:t>
            </w:r>
          </w:p>
        </w:tc>
        <w:tc>
          <w:tcPr>
            <w:tcW w:w="776" w:type="pct"/>
            <w:vAlign w:val="center"/>
          </w:tcPr>
          <w:p w14:paraId="0C7979BC">
            <w:pPr>
              <w:pStyle w:val="59"/>
              <w:spacing w:line="240" w:lineRule="auto"/>
              <w:rPr>
                <w:b/>
                <w:color w:val="000000" w:themeColor="text1"/>
                <w:sz w:val="21"/>
                <w:szCs w:val="21"/>
              </w:rPr>
            </w:pPr>
            <w:r>
              <w:rPr>
                <w:b/>
                <w:color w:val="000000" w:themeColor="text1"/>
                <w:sz w:val="21"/>
                <w:szCs w:val="21"/>
              </w:rPr>
              <w:t>投资（万元）</w:t>
            </w:r>
          </w:p>
        </w:tc>
      </w:tr>
      <w:tr w14:paraId="199F8558">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395" w:type="pct"/>
            <w:vMerge w:val="restart"/>
            <w:vAlign w:val="center"/>
          </w:tcPr>
          <w:p w14:paraId="3C859FCD">
            <w:pPr>
              <w:pStyle w:val="59"/>
              <w:spacing w:line="240" w:lineRule="auto"/>
              <w:rPr>
                <w:color w:val="000000" w:themeColor="text1"/>
                <w:sz w:val="21"/>
                <w:szCs w:val="21"/>
              </w:rPr>
            </w:pPr>
            <w:r>
              <w:rPr>
                <w:color w:val="000000" w:themeColor="text1"/>
                <w:sz w:val="21"/>
                <w:szCs w:val="21"/>
              </w:rPr>
              <w:t>施</w:t>
            </w:r>
          </w:p>
          <w:p w14:paraId="65812174">
            <w:pPr>
              <w:pStyle w:val="59"/>
              <w:spacing w:line="240" w:lineRule="auto"/>
              <w:rPr>
                <w:color w:val="000000" w:themeColor="text1"/>
                <w:sz w:val="21"/>
                <w:szCs w:val="21"/>
              </w:rPr>
            </w:pPr>
            <w:r>
              <w:rPr>
                <w:color w:val="000000" w:themeColor="text1"/>
                <w:sz w:val="21"/>
                <w:szCs w:val="21"/>
              </w:rPr>
              <w:t>工</w:t>
            </w:r>
          </w:p>
          <w:p w14:paraId="6929435A">
            <w:pPr>
              <w:pStyle w:val="59"/>
              <w:spacing w:line="240" w:lineRule="auto"/>
              <w:rPr>
                <w:color w:val="000000" w:themeColor="text1"/>
                <w:sz w:val="21"/>
                <w:szCs w:val="21"/>
              </w:rPr>
            </w:pPr>
            <w:r>
              <w:rPr>
                <w:color w:val="000000" w:themeColor="text1"/>
                <w:sz w:val="21"/>
                <w:szCs w:val="21"/>
              </w:rPr>
              <w:t>期</w:t>
            </w:r>
          </w:p>
        </w:tc>
        <w:tc>
          <w:tcPr>
            <w:tcW w:w="397" w:type="pct"/>
            <w:vAlign w:val="center"/>
          </w:tcPr>
          <w:p w14:paraId="53B4C072">
            <w:pPr>
              <w:pStyle w:val="59"/>
              <w:spacing w:line="240" w:lineRule="auto"/>
              <w:rPr>
                <w:color w:val="000000" w:themeColor="text1"/>
                <w:sz w:val="21"/>
                <w:szCs w:val="21"/>
              </w:rPr>
            </w:pPr>
            <w:r>
              <w:rPr>
                <w:color w:val="000000" w:themeColor="text1"/>
                <w:sz w:val="21"/>
                <w:szCs w:val="21"/>
              </w:rPr>
              <w:t>废水</w:t>
            </w:r>
          </w:p>
        </w:tc>
        <w:tc>
          <w:tcPr>
            <w:tcW w:w="3432" w:type="pct"/>
            <w:vAlign w:val="center"/>
          </w:tcPr>
          <w:p w14:paraId="6ABEBB02">
            <w:pPr>
              <w:adjustRightInd w:val="0"/>
              <w:snapToGrid w:val="0"/>
              <w:ind w:firstLine="420"/>
              <w:rPr>
                <w:color w:val="000000" w:themeColor="text1"/>
                <w:szCs w:val="21"/>
              </w:rPr>
            </w:pPr>
            <w:r>
              <w:rPr>
                <w:color w:val="000000" w:themeColor="text1"/>
                <w:szCs w:val="21"/>
              </w:rPr>
              <w:t>沉淀池（3</w:t>
            </w:r>
            <w:r>
              <w:rPr>
                <w:bCs/>
                <w:color w:val="000000" w:themeColor="text1"/>
                <w:szCs w:val="21"/>
              </w:rPr>
              <w:t>m</w:t>
            </w:r>
            <w:r>
              <w:rPr>
                <w:bCs/>
                <w:color w:val="000000" w:themeColor="text1"/>
                <w:szCs w:val="21"/>
                <w:vertAlign w:val="superscript"/>
              </w:rPr>
              <w:t>3</w:t>
            </w:r>
            <w:r>
              <w:rPr>
                <w:bCs/>
                <w:color w:val="000000" w:themeColor="text1"/>
                <w:szCs w:val="21"/>
              </w:rPr>
              <w:t>）</w:t>
            </w:r>
          </w:p>
        </w:tc>
        <w:tc>
          <w:tcPr>
            <w:tcW w:w="776" w:type="pct"/>
            <w:vAlign w:val="center"/>
          </w:tcPr>
          <w:p w14:paraId="20720B7F">
            <w:pPr>
              <w:pStyle w:val="59"/>
              <w:spacing w:line="240" w:lineRule="auto"/>
              <w:rPr>
                <w:color w:val="000000" w:themeColor="text1"/>
                <w:sz w:val="21"/>
                <w:szCs w:val="21"/>
              </w:rPr>
            </w:pPr>
            <w:r>
              <w:rPr>
                <w:color w:val="000000" w:themeColor="text1"/>
                <w:sz w:val="21"/>
                <w:szCs w:val="21"/>
              </w:rPr>
              <w:t>1</w:t>
            </w:r>
          </w:p>
        </w:tc>
      </w:tr>
      <w:tr w14:paraId="29579EE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7CC616FE">
            <w:pPr>
              <w:pStyle w:val="59"/>
              <w:spacing w:line="240" w:lineRule="auto"/>
              <w:rPr>
                <w:color w:val="000000" w:themeColor="text1"/>
                <w:sz w:val="21"/>
                <w:szCs w:val="21"/>
              </w:rPr>
            </w:pPr>
          </w:p>
        </w:tc>
        <w:tc>
          <w:tcPr>
            <w:tcW w:w="397" w:type="pct"/>
            <w:vAlign w:val="center"/>
          </w:tcPr>
          <w:p w14:paraId="06EF2252">
            <w:pPr>
              <w:adjustRightInd w:val="0"/>
              <w:snapToGrid w:val="0"/>
              <w:jc w:val="center"/>
              <w:rPr>
                <w:color w:val="000000" w:themeColor="text1"/>
                <w:szCs w:val="21"/>
              </w:rPr>
            </w:pPr>
            <w:r>
              <w:rPr>
                <w:color w:val="000000" w:themeColor="text1"/>
                <w:szCs w:val="21"/>
              </w:rPr>
              <w:t>废气</w:t>
            </w:r>
          </w:p>
        </w:tc>
        <w:tc>
          <w:tcPr>
            <w:tcW w:w="3432" w:type="pct"/>
            <w:vAlign w:val="center"/>
          </w:tcPr>
          <w:p w14:paraId="386F50CA">
            <w:pPr>
              <w:adjustRightInd w:val="0"/>
              <w:snapToGrid w:val="0"/>
              <w:ind w:firstLine="420"/>
              <w:rPr>
                <w:color w:val="000000" w:themeColor="text1"/>
                <w:szCs w:val="21"/>
              </w:rPr>
            </w:pPr>
            <w:r>
              <w:rPr>
                <w:color w:val="000000" w:themeColor="text1"/>
                <w:szCs w:val="21"/>
              </w:rPr>
              <w:t>洒水抑尘</w:t>
            </w:r>
          </w:p>
        </w:tc>
        <w:tc>
          <w:tcPr>
            <w:tcW w:w="776" w:type="pct"/>
            <w:vAlign w:val="center"/>
          </w:tcPr>
          <w:p w14:paraId="05DAD7AA">
            <w:pPr>
              <w:pStyle w:val="59"/>
              <w:spacing w:line="240" w:lineRule="auto"/>
              <w:rPr>
                <w:color w:val="000000" w:themeColor="text1"/>
                <w:sz w:val="21"/>
                <w:szCs w:val="21"/>
              </w:rPr>
            </w:pPr>
            <w:r>
              <w:rPr>
                <w:color w:val="000000" w:themeColor="text1"/>
                <w:sz w:val="21"/>
                <w:szCs w:val="21"/>
              </w:rPr>
              <w:t>1.5</w:t>
            </w:r>
          </w:p>
        </w:tc>
      </w:tr>
      <w:tr w14:paraId="0EB3D9A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5FC0F8F9">
            <w:pPr>
              <w:pStyle w:val="59"/>
              <w:spacing w:line="240" w:lineRule="auto"/>
              <w:rPr>
                <w:color w:val="000000" w:themeColor="text1"/>
                <w:sz w:val="21"/>
                <w:szCs w:val="21"/>
              </w:rPr>
            </w:pPr>
          </w:p>
        </w:tc>
        <w:tc>
          <w:tcPr>
            <w:tcW w:w="397" w:type="pct"/>
            <w:vAlign w:val="center"/>
          </w:tcPr>
          <w:p w14:paraId="7E2ABEAE">
            <w:pPr>
              <w:adjustRightInd w:val="0"/>
              <w:snapToGrid w:val="0"/>
              <w:jc w:val="center"/>
              <w:rPr>
                <w:color w:val="000000" w:themeColor="text1"/>
                <w:szCs w:val="21"/>
              </w:rPr>
            </w:pPr>
            <w:r>
              <w:rPr>
                <w:color w:val="000000" w:themeColor="text1"/>
                <w:szCs w:val="21"/>
              </w:rPr>
              <w:t>噪声</w:t>
            </w:r>
          </w:p>
        </w:tc>
        <w:tc>
          <w:tcPr>
            <w:tcW w:w="3432" w:type="pct"/>
            <w:vAlign w:val="center"/>
          </w:tcPr>
          <w:p w14:paraId="5135BC34">
            <w:pPr>
              <w:adjustRightInd w:val="0"/>
              <w:snapToGrid w:val="0"/>
              <w:ind w:firstLine="420"/>
              <w:rPr>
                <w:color w:val="000000" w:themeColor="text1"/>
                <w:szCs w:val="21"/>
              </w:rPr>
            </w:pPr>
            <w:r>
              <w:rPr>
                <w:color w:val="000000" w:themeColor="text1"/>
                <w:szCs w:val="21"/>
              </w:rPr>
              <w:t>减震等</w:t>
            </w:r>
          </w:p>
        </w:tc>
        <w:tc>
          <w:tcPr>
            <w:tcW w:w="776" w:type="pct"/>
            <w:vAlign w:val="center"/>
          </w:tcPr>
          <w:p w14:paraId="6D2F2278">
            <w:pPr>
              <w:pStyle w:val="59"/>
              <w:spacing w:line="240" w:lineRule="auto"/>
              <w:rPr>
                <w:color w:val="000000" w:themeColor="text1"/>
                <w:sz w:val="21"/>
                <w:szCs w:val="21"/>
              </w:rPr>
            </w:pPr>
            <w:r>
              <w:rPr>
                <w:color w:val="000000" w:themeColor="text1"/>
                <w:sz w:val="21"/>
                <w:szCs w:val="21"/>
              </w:rPr>
              <w:t>1</w:t>
            </w:r>
          </w:p>
        </w:tc>
      </w:tr>
      <w:tr w14:paraId="586C77C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restart"/>
            <w:vAlign w:val="center"/>
          </w:tcPr>
          <w:p w14:paraId="2509521F">
            <w:pPr>
              <w:pStyle w:val="59"/>
              <w:spacing w:line="240" w:lineRule="auto"/>
              <w:rPr>
                <w:color w:val="000000" w:themeColor="text1"/>
                <w:sz w:val="21"/>
                <w:szCs w:val="21"/>
              </w:rPr>
            </w:pPr>
            <w:r>
              <w:rPr>
                <w:color w:val="000000" w:themeColor="text1"/>
                <w:sz w:val="21"/>
                <w:szCs w:val="21"/>
              </w:rPr>
              <w:t>运</w:t>
            </w:r>
          </w:p>
          <w:p w14:paraId="00062877">
            <w:pPr>
              <w:pStyle w:val="59"/>
              <w:spacing w:line="240" w:lineRule="auto"/>
              <w:rPr>
                <w:color w:val="000000" w:themeColor="text1"/>
                <w:sz w:val="21"/>
                <w:szCs w:val="21"/>
              </w:rPr>
            </w:pPr>
            <w:r>
              <w:rPr>
                <w:color w:val="000000" w:themeColor="text1"/>
                <w:sz w:val="21"/>
                <w:szCs w:val="21"/>
              </w:rPr>
              <w:t>营</w:t>
            </w:r>
          </w:p>
          <w:p w14:paraId="0BE16058">
            <w:pPr>
              <w:pStyle w:val="59"/>
              <w:rPr>
                <w:color w:val="000000" w:themeColor="text1"/>
                <w:sz w:val="21"/>
                <w:szCs w:val="21"/>
              </w:rPr>
            </w:pPr>
            <w:r>
              <w:rPr>
                <w:color w:val="000000" w:themeColor="text1"/>
                <w:sz w:val="21"/>
                <w:szCs w:val="21"/>
              </w:rPr>
              <w:t>期</w:t>
            </w:r>
          </w:p>
        </w:tc>
        <w:tc>
          <w:tcPr>
            <w:tcW w:w="397" w:type="pct"/>
            <w:vMerge w:val="restart"/>
            <w:vAlign w:val="center"/>
          </w:tcPr>
          <w:p w14:paraId="441B6F09">
            <w:pPr>
              <w:pStyle w:val="59"/>
              <w:spacing w:line="240" w:lineRule="auto"/>
              <w:rPr>
                <w:color w:val="000000" w:themeColor="text1"/>
                <w:sz w:val="21"/>
                <w:szCs w:val="21"/>
              </w:rPr>
            </w:pPr>
            <w:r>
              <w:rPr>
                <w:color w:val="000000" w:themeColor="text1"/>
                <w:sz w:val="21"/>
                <w:szCs w:val="21"/>
              </w:rPr>
              <w:t>噪声</w:t>
            </w:r>
          </w:p>
        </w:tc>
        <w:tc>
          <w:tcPr>
            <w:tcW w:w="3432" w:type="pct"/>
            <w:vAlign w:val="center"/>
          </w:tcPr>
          <w:p w14:paraId="04B2225D">
            <w:pPr>
              <w:adjustRightInd w:val="0"/>
              <w:snapToGrid w:val="0"/>
              <w:ind w:firstLine="420"/>
              <w:rPr>
                <w:color w:val="000000" w:themeColor="text1"/>
                <w:szCs w:val="21"/>
              </w:rPr>
            </w:pPr>
            <w:r>
              <w:rPr>
                <w:color w:val="000000" w:themeColor="text1"/>
                <w:szCs w:val="21"/>
              </w:rPr>
              <w:t>设备减震、低噪声设备等</w:t>
            </w:r>
          </w:p>
        </w:tc>
        <w:tc>
          <w:tcPr>
            <w:tcW w:w="776" w:type="pct"/>
            <w:vAlign w:val="center"/>
          </w:tcPr>
          <w:p w14:paraId="0EFA51B8">
            <w:pPr>
              <w:pStyle w:val="59"/>
              <w:spacing w:line="240" w:lineRule="auto"/>
              <w:rPr>
                <w:color w:val="000000" w:themeColor="text1"/>
                <w:sz w:val="21"/>
                <w:szCs w:val="21"/>
              </w:rPr>
            </w:pPr>
            <w:r>
              <w:rPr>
                <w:color w:val="000000" w:themeColor="text1"/>
                <w:sz w:val="21"/>
                <w:szCs w:val="21"/>
              </w:rPr>
              <w:t>0.5</w:t>
            </w:r>
          </w:p>
        </w:tc>
      </w:tr>
      <w:tr w14:paraId="7ED5610D">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724D634A">
            <w:pPr>
              <w:pStyle w:val="59"/>
              <w:spacing w:line="240" w:lineRule="auto"/>
              <w:jc w:val="both"/>
              <w:rPr>
                <w:color w:val="000000" w:themeColor="text1"/>
                <w:sz w:val="21"/>
                <w:szCs w:val="21"/>
              </w:rPr>
            </w:pPr>
          </w:p>
        </w:tc>
        <w:tc>
          <w:tcPr>
            <w:tcW w:w="397" w:type="pct"/>
            <w:vMerge w:val="continue"/>
            <w:vAlign w:val="center"/>
          </w:tcPr>
          <w:p w14:paraId="4840FF37">
            <w:pPr>
              <w:pStyle w:val="59"/>
              <w:spacing w:line="240" w:lineRule="auto"/>
              <w:jc w:val="both"/>
              <w:rPr>
                <w:color w:val="000000" w:themeColor="text1"/>
                <w:sz w:val="21"/>
                <w:szCs w:val="21"/>
              </w:rPr>
            </w:pPr>
          </w:p>
        </w:tc>
        <w:tc>
          <w:tcPr>
            <w:tcW w:w="3432" w:type="pct"/>
            <w:vAlign w:val="center"/>
          </w:tcPr>
          <w:p w14:paraId="25FADB3C">
            <w:pPr>
              <w:pStyle w:val="59"/>
              <w:spacing w:line="240" w:lineRule="auto"/>
              <w:ind w:firstLine="420" w:firstLineChars="200"/>
              <w:jc w:val="both"/>
              <w:rPr>
                <w:color w:val="000000" w:themeColor="text1"/>
                <w:sz w:val="21"/>
                <w:szCs w:val="21"/>
              </w:rPr>
            </w:pPr>
            <w:r>
              <w:rPr>
                <w:color w:val="000000" w:themeColor="text1"/>
                <w:sz w:val="21"/>
                <w:szCs w:val="21"/>
              </w:rPr>
              <w:t>水泵、风机备设备减震防噪</w:t>
            </w:r>
          </w:p>
        </w:tc>
        <w:tc>
          <w:tcPr>
            <w:tcW w:w="776" w:type="pct"/>
            <w:vAlign w:val="center"/>
          </w:tcPr>
          <w:p w14:paraId="6D24C7A1">
            <w:pPr>
              <w:pStyle w:val="59"/>
              <w:spacing w:line="240" w:lineRule="auto"/>
              <w:rPr>
                <w:color w:val="000000" w:themeColor="text1"/>
                <w:sz w:val="21"/>
                <w:szCs w:val="21"/>
              </w:rPr>
            </w:pPr>
            <w:r>
              <w:rPr>
                <w:color w:val="000000" w:themeColor="text1"/>
                <w:sz w:val="21"/>
                <w:szCs w:val="21"/>
              </w:rPr>
              <w:t>0.5</w:t>
            </w:r>
          </w:p>
        </w:tc>
      </w:tr>
      <w:tr w14:paraId="095EA758">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4D44BBF2">
            <w:pPr>
              <w:pStyle w:val="59"/>
              <w:spacing w:line="240" w:lineRule="auto"/>
              <w:jc w:val="both"/>
              <w:rPr>
                <w:color w:val="000000" w:themeColor="text1"/>
                <w:sz w:val="21"/>
                <w:szCs w:val="21"/>
              </w:rPr>
            </w:pPr>
          </w:p>
        </w:tc>
        <w:tc>
          <w:tcPr>
            <w:tcW w:w="397" w:type="pct"/>
            <w:vAlign w:val="center"/>
          </w:tcPr>
          <w:p w14:paraId="12403487">
            <w:pPr>
              <w:pStyle w:val="59"/>
              <w:spacing w:line="240" w:lineRule="auto"/>
              <w:jc w:val="both"/>
              <w:rPr>
                <w:color w:val="000000" w:themeColor="text1"/>
                <w:sz w:val="21"/>
                <w:szCs w:val="21"/>
              </w:rPr>
            </w:pPr>
            <w:r>
              <w:rPr>
                <w:color w:val="000000" w:themeColor="text1"/>
                <w:sz w:val="21"/>
                <w:szCs w:val="21"/>
              </w:rPr>
              <w:t>废水</w:t>
            </w:r>
          </w:p>
        </w:tc>
        <w:tc>
          <w:tcPr>
            <w:tcW w:w="3432" w:type="pct"/>
            <w:vAlign w:val="center"/>
          </w:tcPr>
          <w:p w14:paraId="5CD8CCB7">
            <w:pPr>
              <w:pStyle w:val="59"/>
              <w:spacing w:line="240" w:lineRule="auto"/>
              <w:ind w:firstLine="420" w:firstLineChars="200"/>
              <w:jc w:val="left"/>
              <w:rPr>
                <w:color w:val="000000" w:themeColor="text1"/>
                <w:sz w:val="21"/>
                <w:szCs w:val="21"/>
              </w:rPr>
            </w:pPr>
            <w:r>
              <w:rPr>
                <w:color w:val="000000" w:themeColor="text1"/>
                <w:sz w:val="21"/>
                <w:szCs w:val="21"/>
              </w:rPr>
              <w:t>项目实行清污、雨污分流；</w:t>
            </w:r>
          </w:p>
          <w:p w14:paraId="2E426107">
            <w:pPr>
              <w:pStyle w:val="59"/>
              <w:spacing w:line="240" w:lineRule="auto"/>
              <w:ind w:firstLine="420" w:firstLineChars="200"/>
              <w:jc w:val="left"/>
              <w:rPr>
                <w:color w:val="000000" w:themeColor="text1"/>
                <w:sz w:val="21"/>
                <w:szCs w:val="21"/>
              </w:rPr>
            </w:pPr>
            <w:r>
              <w:rPr>
                <w:color w:val="000000" w:themeColor="text1"/>
                <w:sz w:val="21"/>
                <w:szCs w:val="21"/>
              </w:rPr>
              <w:t>本项目厂区设置雨水沟，雨水收集池（3m</w:t>
            </w:r>
            <w:r>
              <w:rPr>
                <w:color w:val="000000" w:themeColor="text1"/>
                <w:sz w:val="21"/>
                <w:szCs w:val="21"/>
                <w:vertAlign w:val="superscript"/>
              </w:rPr>
              <w:t>3</w:t>
            </w:r>
            <w:r>
              <w:rPr>
                <w:color w:val="000000" w:themeColor="text1"/>
                <w:sz w:val="21"/>
                <w:szCs w:val="21"/>
              </w:rPr>
              <w:t>）。</w:t>
            </w:r>
          </w:p>
          <w:p w14:paraId="180AA92D">
            <w:pPr>
              <w:pStyle w:val="59"/>
              <w:spacing w:line="240" w:lineRule="auto"/>
              <w:ind w:firstLine="422" w:firstLineChars="200"/>
              <w:jc w:val="both"/>
              <w:rPr>
                <w:bCs/>
                <w:color w:val="000000" w:themeColor="text1"/>
                <w:sz w:val="21"/>
                <w:szCs w:val="21"/>
              </w:rPr>
            </w:pPr>
            <w:r>
              <w:rPr>
                <w:b/>
                <w:color w:val="000000" w:themeColor="text1"/>
                <w:sz w:val="21"/>
                <w:szCs w:val="21"/>
              </w:rPr>
              <w:t>生活污水：</w:t>
            </w:r>
            <w:r>
              <w:rPr>
                <w:bCs/>
                <w:color w:val="000000" w:themeColor="text1"/>
                <w:sz w:val="21"/>
                <w:szCs w:val="21"/>
              </w:rPr>
              <w:t xml:space="preserve"> 1个隔油池（0.2m</w:t>
            </w:r>
            <w:r>
              <w:rPr>
                <w:bCs/>
                <w:color w:val="000000" w:themeColor="text1"/>
                <w:sz w:val="21"/>
                <w:szCs w:val="21"/>
                <w:vertAlign w:val="superscript"/>
              </w:rPr>
              <w:t>3</w:t>
            </w:r>
            <w:r>
              <w:rPr>
                <w:bCs/>
                <w:color w:val="000000" w:themeColor="text1"/>
                <w:sz w:val="21"/>
                <w:szCs w:val="21"/>
              </w:rPr>
              <w:t>），1个化粪池（26m</w:t>
            </w:r>
            <w:r>
              <w:rPr>
                <w:bCs/>
                <w:color w:val="000000" w:themeColor="text1"/>
                <w:sz w:val="21"/>
                <w:szCs w:val="21"/>
                <w:vertAlign w:val="superscript"/>
              </w:rPr>
              <w:t>3</w:t>
            </w:r>
            <w:r>
              <w:rPr>
                <w:bCs/>
                <w:color w:val="000000" w:themeColor="text1"/>
                <w:sz w:val="21"/>
                <w:szCs w:val="21"/>
              </w:rPr>
              <w:t>）。</w:t>
            </w:r>
          </w:p>
          <w:p w14:paraId="0D6663E8">
            <w:pPr>
              <w:pStyle w:val="59"/>
              <w:spacing w:line="240" w:lineRule="auto"/>
              <w:ind w:firstLine="422" w:firstLineChars="200"/>
              <w:jc w:val="both"/>
              <w:rPr>
                <w:b/>
                <w:color w:val="FF0000"/>
                <w:sz w:val="21"/>
                <w:szCs w:val="21"/>
              </w:rPr>
            </w:pPr>
            <w:r>
              <w:rPr>
                <w:b/>
                <w:color w:val="FF0000"/>
                <w:sz w:val="21"/>
                <w:szCs w:val="21"/>
              </w:rPr>
              <w:t>生产废水：</w:t>
            </w:r>
            <w:r>
              <w:rPr>
                <w:bCs/>
                <w:color w:val="FF0000"/>
                <w:sz w:val="21"/>
                <w:szCs w:val="21"/>
              </w:rPr>
              <w:t>污水处理设施（1个2m</w:t>
            </w:r>
            <w:r>
              <w:rPr>
                <w:bCs/>
                <w:color w:val="FF0000"/>
                <w:sz w:val="21"/>
                <w:szCs w:val="21"/>
                <w:vertAlign w:val="superscript"/>
              </w:rPr>
              <w:t>3</w:t>
            </w:r>
            <w:r>
              <w:rPr>
                <w:bCs/>
                <w:color w:val="FF0000"/>
                <w:sz w:val="21"/>
                <w:szCs w:val="21"/>
              </w:rPr>
              <w:t>隔油池+1000m</w:t>
            </w:r>
            <w:r>
              <w:rPr>
                <w:bCs/>
                <w:color w:val="FF0000"/>
                <w:sz w:val="21"/>
                <w:szCs w:val="21"/>
                <w:vertAlign w:val="superscript"/>
              </w:rPr>
              <w:t>3</w:t>
            </w:r>
            <w:r>
              <w:rPr>
                <w:bCs/>
                <w:color w:val="FF0000"/>
                <w:sz w:val="21"/>
                <w:szCs w:val="21"/>
              </w:rPr>
              <w:t>沉淀池）。</w:t>
            </w:r>
          </w:p>
        </w:tc>
        <w:tc>
          <w:tcPr>
            <w:tcW w:w="776" w:type="pct"/>
            <w:vAlign w:val="center"/>
          </w:tcPr>
          <w:p w14:paraId="08FF8EA1">
            <w:pPr>
              <w:pStyle w:val="59"/>
              <w:spacing w:line="240" w:lineRule="auto"/>
              <w:rPr>
                <w:color w:val="000000" w:themeColor="text1"/>
                <w:sz w:val="21"/>
                <w:szCs w:val="21"/>
              </w:rPr>
            </w:pPr>
            <w:r>
              <w:rPr>
                <w:color w:val="000000" w:themeColor="text1"/>
                <w:sz w:val="21"/>
                <w:szCs w:val="21"/>
              </w:rPr>
              <w:t>30</w:t>
            </w:r>
          </w:p>
        </w:tc>
      </w:tr>
      <w:tr w14:paraId="0287B7F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3764E725">
            <w:pPr>
              <w:pStyle w:val="59"/>
              <w:spacing w:line="240" w:lineRule="auto"/>
              <w:jc w:val="both"/>
              <w:rPr>
                <w:color w:val="000000" w:themeColor="text1"/>
                <w:sz w:val="21"/>
                <w:szCs w:val="21"/>
              </w:rPr>
            </w:pPr>
          </w:p>
        </w:tc>
        <w:tc>
          <w:tcPr>
            <w:tcW w:w="397" w:type="pct"/>
            <w:vMerge w:val="restart"/>
            <w:vAlign w:val="center"/>
          </w:tcPr>
          <w:p w14:paraId="66A0EE35">
            <w:pPr>
              <w:pStyle w:val="59"/>
              <w:spacing w:line="240" w:lineRule="auto"/>
              <w:jc w:val="both"/>
              <w:rPr>
                <w:color w:val="000000" w:themeColor="text1"/>
                <w:sz w:val="21"/>
                <w:szCs w:val="21"/>
              </w:rPr>
            </w:pPr>
            <w:r>
              <w:rPr>
                <w:color w:val="000000" w:themeColor="text1"/>
                <w:sz w:val="21"/>
                <w:szCs w:val="21"/>
              </w:rPr>
              <w:t>废气</w:t>
            </w:r>
          </w:p>
        </w:tc>
        <w:tc>
          <w:tcPr>
            <w:tcW w:w="3432" w:type="pct"/>
            <w:vAlign w:val="center"/>
          </w:tcPr>
          <w:p w14:paraId="77EC3ECB">
            <w:pPr>
              <w:pStyle w:val="59"/>
              <w:spacing w:line="240" w:lineRule="auto"/>
              <w:ind w:firstLine="422" w:firstLineChars="200"/>
              <w:jc w:val="both"/>
              <w:rPr>
                <w:bCs/>
                <w:color w:val="000000" w:themeColor="text1"/>
                <w:sz w:val="21"/>
                <w:szCs w:val="21"/>
              </w:rPr>
            </w:pPr>
            <w:r>
              <w:rPr>
                <w:b/>
                <w:color w:val="000000" w:themeColor="text1"/>
                <w:sz w:val="21"/>
                <w:szCs w:val="21"/>
              </w:rPr>
              <w:t>造粒工序：</w:t>
            </w:r>
            <w:r>
              <w:rPr>
                <w:bCs/>
                <w:color w:val="000000" w:themeColor="text1"/>
                <w:sz w:val="21"/>
                <w:szCs w:val="21"/>
              </w:rPr>
              <w:t>拟在两台塑料挤出机上方设置集气罩（风量为8000m</w:t>
            </w:r>
            <w:r>
              <w:rPr>
                <w:bCs/>
                <w:color w:val="000000" w:themeColor="text1"/>
                <w:sz w:val="21"/>
                <w:szCs w:val="21"/>
                <w:vertAlign w:val="superscript"/>
              </w:rPr>
              <w:t>3</w:t>
            </w:r>
            <w:r>
              <w:rPr>
                <w:bCs/>
                <w:color w:val="000000" w:themeColor="text1"/>
                <w:sz w:val="21"/>
                <w:szCs w:val="21"/>
              </w:rPr>
              <w:t>/h，集气效率90%），将颗粒物及非甲烷总烃引至过滤棉+UV光解装置处理达标后（颗粒物处置效率95%，非甲烷总烃处置效率85%），通过管道引至15m的排气筒排放。</w:t>
            </w:r>
          </w:p>
          <w:p w14:paraId="654484D1">
            <w:pPr>
              <w:pStyle w:val="59"/>
              <w:spacing w:line="240" w:lineRule="auto"/>
              <w:ind w:firstLine="422" w:firstLineChars="200"/>
              <w:jc w:val="both"/>
              <w:rPr>
                <w:bCs/>
                <w:color w:val="000000" w:themeColor="text1"/>
                <w:sz w:val="21"/>
                <w:szCs w:val="21"/>
              </w:rPr>
            </w:pPr>
            <w:r>
              <w:rPr>
                <w:b/>
                <w:bCs/>
                <w:color w:val="000000" w:themeColor="text1"/>
                <w:sz w:val="21"/>
                <w:szCs w:val="21"/>
              </w:rPr>
              <w:t>编织袋生产：</w:t>
            </w:r>
            <w:r>
              <w:rPr>
                <w:bCs/>
                <w:color w:val="000000" w:themeColor="text1"/>
                <w:sz w:val="21"/>
                <w:szCs w:val="21"/>
              </w:rPr>
              <w:t>设置1套集气罩对废气进行收集，然后经”过滤棉+UV光催化净化装置”处理后（收集效率90%，非甲烷总烃处理效率85%，颗粒物处理效率95%），通过15m高排气筒排放。</w:t>
            </w:r>
          </w:p>
          <w:p w14:paraId="3BB518B4">
            <w:pPr>
              <w:pStyle w:val="59"/>
              <w:spacing w:line="240" w:lineRule="auto"/>
              <w:ind w:firstLine="420" w:firstLineChars="200"/>
              <w:jc w:val="both"/>
              <w:rPr>
                <w:color w:val="FF0000"/>
                <w:sz w:val="21"/>
                <w:szCs w:val="21"/>
              </w:rPr>
            </w:pPr>
            <w:r>
              <w:rPr>
                <w:color w:val="000000" w:themeColor="text1"/>
                <w:sz w:val="21"/>
                <w:szCs w:val="21"/>
              </w:rPr>
              <w:t>原料仓库必须为封闭或半封闭设施， 应有防雨、防晒、防渗、防尘、防扬散和防火设施，地面硬化。</w:t>
            </w:r>
          </w:p>
        </w:tc>
        <w:tc>
          <w:tcPr>
            <w:tcW w:w="776" w:type="pct"/>
            <w:vAlign w:val="center"/>
          </w:tcPr>
          <w:p w14:paraId="074CF01F">
            <w:pPr>
              <w:pStyle w:val="59"/>
              <w:spacing w:line="240" w:lineRule="auto"/>
              <w:rPr>
                <w:color w:val="000000" w:themeColor="text1"/>
                <w:sz w:val="21"/>
                <w:szCs w:val="21"/>
              </w:rPr>
            </w:pPr>
            <w:r>
              <w:rPr>
                <w:color w:val="000000" w:themeColor="text1"/>
                <w:sz w:val="21"/>
                <w:szCs w:val="21"/>
              </w:rPr>
              <w:t>4</w:t>
            </w:r>
          </w:p>
        </w:tc>
      </w:tr>
      <w:tr w14:paraId="79A96EF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02EE0B6A">
            <w:pPr>
              <w:pStyle w:val="59"/>
              <w:spacing w:line="240" w:lineRule="auto"/>
              <w:jc w:val="both"/>
              <w:rPr>
                <w:color w:val="000000" w:themeColor="text1"/>
                <w:sz w:val="21"/>
                <w:szCs w:val="21"/>
              </w:rPr>
            </w:pPr>
          </w:p>
        </w:tc>
        <w:tc>
          <w:tcPr>
            <w:tcW w:w="397" w:type="pct"/>
            <w:vMerge w:val="continue"/>
            <w:vAlign w:val="center"/>
          </w:tcPr>
          <w:p w14:paraId="4D789CE1">
            <w:pPr>
              <w:pStyle w:val="59"/>
              <w:spacing w:line="240" w:lineRule="auto"/>
              <w:jc w:val="both"/>
              <w:rPr>
                <w:color w:val="000000" w:themeColor="text1"/>
                <w:sz w:val="21"/>
                <w:szCs w:val="21"/>
              </w:rPr>
            </w:pPr>
          </w:p>
        </w:tc>
        <w:tc>
          <w:tcPr>
            <w:tcW w:w="3432" w:type="pct"/>
            <w:vAlign w:val="center"/>
          </w:tcPr>
          <w:p w14:paraId="17AA9D51">
            <w:pPr>
              <w:pStyle w:val="59"/>
              <w:spacing w:line="240" w:lineRule="auto"/>
              <w:ind w:firstLine="527" w:firstLineChars="250"/>
              <w:jc w:val="both"/>
              <w:rPr>
                <w:color w:val="000000" w:themeColor="text1"/>
                <w:sz w:val="21"/>
                <w:szCs w:val="21"/>
              </w:rPr>
            </w:pPr>
            <w:r>
              <w:rPr>
                <w:b/>
                <w:color w:val="000000" w:themeColor="text1"/>
                <w:sz w:val="21"/>
                <w:szCs w:val="21"/>
              </w:rPr>
              <w:t>食堂油烟：</w:t>
            </w:r>
            <w:r>
              <w:rPr>
                <w:color w:val="000000" w:themeColor="text1"/>
                <w:sz w:val="21"/>
                <w:szCs w:val="21"/>
              </w:rPr>
              <w:t>净化效率60%的小型油烟净化设施。</w:t>
            </w:r>
          </w:p>
        </w:tc>
        <w:tc>
          <w:tcPr>
            <w:tcW w:w="776" w:type="pct"/>
            <w:vAlign w:val="center"/>
          </w:tcPr>
          <w:p w14:paraId="10CFD273">
            <w:pPr>
              <w:pStyle w:val="59"/>
              <w:spacing w:line="240" w:lineRule="auto"/>
              <w:rPr>
                <w:color w:val="000000" w:themeColor="text1"/>
                <w:sz w:val="21"/>
                <w:szCs w:val="21"/>
              </w:rPr>
            </w:pPr>
            <w:r>
              <w:rPr>
                <w:color w:val="000000" w:themeColor="text1"/>
                <w:sz w:val="21"/>
                <w:szCs w:val="21"/>
              </w:rPr>
              <w:t>0.3</w:t>
            </w:r>
          </w:p>
        </w:tc>
      </w:tr>
      <w:tr w14:paraId="429BE60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694692C2">
            <w:pPr>
              <w:pStyle w:val="59"/>
              <w:spacing w:line="240" w:lineRule="auto"/>
              <w:jc w:val="both"/>
              <w:rPr>
                <w:color w:val="000000" w:themeColor="text1"/>
                <w:sz w:val="21"/>
                <w:szCs w:val="21"/>
              </w:rPr>
            </w:pPr>
          </w:p>
        </w:tc>
        <w:tc>
          <w:tcPr>
            <w:tcW w:w="397" w:type="pct"/>
            <w:vAlign w:val="center"/>
          </w:tcPr>
          <w:p w14:paraId="0DC31942">
            <w:pPr>
              <w:pStyle w:val="59"/>
              <w:rPr>
                <w:color w:val="000000" w:themeColor="text1"/>
                <w:sz w:val="21"/>
                <w:szCs w:val="21"/>
              </w:rPr>
            </w:pPr>
            <w:r>
              <w:rPr>
                <w:color w:val="000000" w:themeColor="text1"/>
                <w:sz w:val="21"/>
                <w:szCs w:val="21"/>
              </w:rPr>
              <w:t>地下水</w:t>
            </w:r>
          </w:p>
        </w:tc>
        <w:tc>
          <w:tcPr>
            <w:tcW w:w="3432" w:type="pct"/>
            <w:vAlign w:val="center"/>
          </w:tcPr>
          <w:p w14:paraId="70EA4BD4">
            <w:pPr>
              <w:pStyle w:val="59"/>
              <w:spacing w:line="240" w:lineRule="auto"/>
              <w:ind w:firstLine="525" w:firstLineChars="250"/>
              <w:jc w:val="both"/>
              <w:rPr>
                <w:color w:val="000000" w:themeColor="text1"/>
                <w:sz w:val="21"/>
                <w:szCs w:val="21"/>
              </w:rPr>
            </w:pPr>
            <w:r>
              <w:rPr>
                <w:color w:val="000000" w:themeColor="text1"/>
                <w:sz w:val="21"/>
                <w:szCs w:val="21"/>
              </w:rPr>
              <w:t>1、分区防控措施</w:t>
            </w:r>
          </w:p>
          <w:p w14:paraId="46971750">
            <w:pPr>
              <w:pStyle w:val="59"/>
              <w:spacing w:line="240" w:lineRule="auto"/>
              <w:ind w:firstLine="525" w:firstLineChars="250"/>
              <w:jc w:val="both"/>
              <w:rPr>
                <w:color w:val="000000" w:themeColor="text1"/>
                <w:sz w:val="21"/>
                <w:szCs w:val="21"/>
              </w:rPr>
            </w:pPr>
            <w:r>
              <w:rPr>
                <w:color w:val="000000" w:themeColor="text1"/>
                <w:sz w:val="21"/>
                <w:szCs w:val="21"/>
              </w:rPr>
              <w:t>根据《环境影响评价技术导则 地下水环境》（HJ610-2016），将项目区分为重点防渗区、一般防渗区和简单防渗区。</w:t>
            </w:r>
          </w:p>
          <w:p w14:paraId="2F63C4EC">
            <w:pPr>
              <w:pStyle w:val="59"/>
              <w:spacing w:line="240" w:lineRule="auto"/>
              <w:ind w:firstLine="525" w:firstLineChars="250"/>
              <w:jc w:val="both"/>
              <w:rPr>
                <w:color w:val="000000" w:themeColor="text1"/>
                <w:sz w:val="21"/>
                <w:szCs w:val="21"/>
              </w:rPr>
            </w:pPr>
            <w:r>
              <w:rPr>
                <w:color w:val="000000" w:themeColor="text1"/>
                <w:sz w:val="21"/>
                <w:szCs w:val="21"/>
              </w:rPr>
              <w:t>重点防渗区：主要为危废间，基础采用6m厚压实粘土防渗，上面再用混凝土进行硬化。防渗性能应等效于厚度≥6m，渗透系数K≤1.0×10-7cm/s的黏土层的防渗性能。</w:t>
            </w:r>
          </w:p>
          <w:p w14:paraId="2CF26419">
            <w:pPr>
              <w:pStyle w:val="59"/>
              <w:spacing w:line="240" w:lineRule="auto"/>
              <w:ind w:firstLine="525" w:firstLineChars="250"/>
              <w:jc w:val="both"/>
              <w:rPr>
                <w:color w:val="000000" w:themeColor="text1"/>
                <w:sz w:val="21"/>
                <w:szCs w:val="21"/>
              </w:rPr>
            </w:pPr>
            <w:r>
              <w:rPr>
                <w:color w:val="000000" w:themeColor="text1"/>
                <w:sz w:val="21"/>
                <w:szCs w:val="21"/>
              </w:rPr>
              <w:t>一般防渗区：污水处理设施、原料仓库、破碎清洗生产区、造粒生产区等，基础采用1.5cm厚压实粘土防渗，上面再用混凝土进行硬化，防渗性能应等效于厚度≥1.5m，渗透系数K≤1.0×10-7cm/s 的黏土层的防渗性能。</w:t>
            </w:r>
          </w:p>
          <w:p w14:paraId="0D88E091">
            <w:pPr>
              <w:pStyle w:val="59"/>
              <w:spacing w:line="240" w:lineRule="auto"/>
              <w:ind w:firstLine="525" w:firstLineChars="250"/>
              <w:jc w:val="both"/>
              <w:rPr>
                <w:color w:val="000000" w:themeColor="text1"/>
                <w:sz w:val="21"/>
                <w:szCs w:val="21"/>
              </w:rPr>
            </w:pPr>
            <w:r>
              <w:rPr>
                <w:color w:val="000000" w:themeColor="text1"/>
                <w:sz w:val="21"/>
                <w:szCs w:val="21"/>
              </w:rPr>
              <w:t>简单防渗区：住宿及办公区、厨房等，不采取专门针对地下水污染的防治措施，地面可采用混凝土硬化。</w:t>
            </w:r>
          </w:p>
          <w:p w14:paraId="7B8F092C">
            <w:pPr>
              <w:pStyle w:val="59"/>
              <w:spacing w:line="240" w:lineRule="auto"/>
              <w:ind w:firstLine="525" w:firstLineChars="250"/>
              <w:jc w:val="both"/>
              <w:rPr>
                <w:color w:val="000000" w:themeColor="text1"/>
                <w:sz w:val="21"/>
                <w:szCs w:val="21"/>
              </w:rPr>
            </w:pPr>
            <w:r>
              <w:rPr>
                <w:color w:val="000000" w:themeColor="text1"/>
                <w:sz w:val="21"/>
                <w:szCs w:val="21"/>
              </w:rPr>
              <w:t>2、建立地下水环境跟踪监测制度</w:t>
            </w:r>
          </w:p>
          <w:p w14:paraId="0ACD7DEC">
            <w:pPr>
              <w:pStyle w:val="59"/>
              <w:spacing w:line="240" w:lineRule="auto"/>
              <w:ind w:firstLine="525" w:firstLineChars="250"/>
              <w:jc w:val="both"/>
              <w:rPr>
                <w:color w:val="000000" w:themeColor="text1"/>
                <w:sz w:val="21"/>
                <w:szCs w:val="21"/>
              </w:rPr>
            </w:pPr>
            <w:r>
              <w:rPr>
                <w:color w:val="000000" w:themeColor="text1"/>
                <w:sz w:val="21"/>
                <w:szCs w:val="21"/>
              </w:rPr>
              <w:t>本项目在项目区下游30m处设置1个污染源监测井，监测因子：pH、CODcr、BOD</w:t>
            </w:r>
            <w:r>
              <w:rPr>
                <w:color w:val="000000" w:themeColor="text1"/>
                <w:sz w:val="21"/>
                <w:szCs w:val="21"/>
                <w:vertAlign w:val="subscript"/>
              </w:rPr>
              <w:t>5</w:t>
            </w:r>
            <w:r>
              <w:rPr>
                <w:color w:val="000000" w:themeColor="text1"/>
                <w:sz w:val="21"/>
                <w:szCs w:val="21"/>
              </w:rPr>
              <w:t>、氨氮，建立地下水环境跟踪监测制度。</w:t>
            </w:r>
          </w:p>
        </w:tc>
        <w:tc>
          <w:tcPr>
            <w:tcW w:w="776" w:type="pct"/>
            <w:vAlign w:val="center"/>
          </w:tcPr>
          <w:p w14:paraId="34C15D8F">
            <w:pPr>
              <w:pStyle w:val="59"/>
              <w:spacing w:line="240" w:lineRule="auto"/>
              <w:rPr>
                <w:color w:val="000000" w:themeColor="text1"/>
                <w:sz w:val="21"/>
                <w:szCs w:val="21"/>
              </w:rPr>
            </w:pPr>
            <w:r>
              <w:rPr>
                <w:color w:val="000000" w:themeColor="text1"/>
                <w:sz w:val="21"/>
                <w:szCs w:val="21"/>
              </w:rPr>
              <w:t>12</w:t>
            </w:r>
          </w:p>
        </w:tc>
      </w:tr>
      <w:tr w14:paraId="49C15A6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Merge w:val="continue"/>
            <w:vAlign w:val="center"/>
          </w:tcPr>
          <w:p w14:paraId="6ADDBB1A">
            <w:pPr>
              <w:pStyle w:val="59"/>
              <w:spacing w:line="240" w:lineRule="auto"/>
              <w:jc w:val="both"/>
              <w:rPr>
                <w:color w:val="000000" w:themeColor="text1"/>
                <w:sz w:val="21"/>
                <w:szCs w:val="21"/>
              </w:rPr>
            </w:pPr>
          </w:p>
        </w:tc>
        <w:tc>
          <w:tcPr>
            <w:tcW w:w="397" w:type="pct"/>
            <w:vAlign w:val="center"/>
          </w:tcPr>
          <w:p w14:paraId="2EEF3BCA">
            <w:pPr>
              <w:pStyle w:val="59"/>
              <w:rPr>
                <w:color w:val="000000" w:themeColor="text1"/>
                <w:sz w:val="21"/>
                <w:szCs w:val="21"/>
              </w:rPr>
            </w:pPr>
            <w:r>
              <w:rPr>
                <w:color w:val="000000" w:themeColor="text1"/>
                <w:sz w:val="21"/>
                <w:szCs w:val="21"/>
              </w:rPr>
              <w:t>固废</w:t>
            </w:r>
          </w:p>
        </w:tc>
        <w:tc>
          <w:tcPr>
            <w:tcW w:w="3432" w:type="pct"/>
            <w:vAlign w:val="center"/>
          </w:tcPr>
          <w:p w14:paraId="361F62CB">
            <w:pPr>
              <w:pStyle w:val="59"/>
              <w:spacing w:line="240" w:lineRule="auto"/>
              <w:ind w:firstLine="525" w:firstLineChars="250"/>
              <w:jc w:val="both"/>
              <w:rPr>
                <w:color w:val="000000" w:themeColor="text1"/>
                <w:sz w:val="21"/>
                <w:szCs w:val="21"/>
              </w:rPr>
            </w:pPr>
            <w:r>
              <w:rPr>
                <w:color w:val="000000" w:themeColor="text1"/>
                <w:sz w:val="21"/>
                <w:szCs w:val="21"/>
              </w:rPr>
              <w:t>位于原料仓库，一般生产固废收集间15m</w:t>
            </w:r>
            <w:r>
              <w:rPr>
                <w:color w:val="000000" w:themeColor="text1"/>
                <w:sz w:val="21"/>
                <w:szCs w:val="21"/>
                <w:vertAlign w:val="superscript"/>
              </w:rPr>
              <w:t>2</w:t>
            </w:r>
            <w:r>
              <w:rPr>
                <w:color w:val="000000" w:themeColor="text1"/>
                <w:sz w:val="21"/>
                <w:szCs w:val="21"/>
              </w:rPr>
              <w:t>、危废废物收集间5m</w:t>
            </w:r>
            <w:r>
              <w:rPr>
                <w:color w:val="000000" w:themeColor="text1"/>
                <w:sz w:val="21"/>
                <w:szCs w:val="21"/>
                <w:vertAlign w:val="superscript"/>
              </w:rPr>
              <w:t>2</w:t>
            </w:r>
          </w:p>
        </w:tc>
        <w:tc>
          <w:tcPr>
            <w:tcW w:w="776" w:type="pct"/>
            <w:vAlign w:val="center"/>
          </w:tcPr>
          <w:p w14:paraId="5E6C48CB">
            <w:pPr>
              <w:pStyle w:val="59"/>
              <w:spacing w:line="240" w:lineRule="auto"/>
              <w:rPr>
                <w:color w:val="000000" w:themeColor="text1"/>
                <w:sz w:val="21"/>
                <w:szCs w:val="21"/>
              </w:rPr>
            </w:pPr>
            <w:r>
              <w:rPr>
                <w:color w:val="000000" w:themeColor="text1"/>
                <w:sz w:val="21"/>
                <w:szCs w:val="21"/>
              </w:rPr>
              <w:t>1.5</w:t>
            </w:r>
          </w:p>
        </w:tc>
      </w:tr>
      <w:tr w14:paraId="5FBB499D">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5" w:type="pct"/>
            <w:vAlign w:val="center"/>
          </w:tcPr>
          <w:p w14:paraId="14C3B2E8">
            <w:pPr>
              <w:pStyle w:val="59"/>
              <w:spacing w:line="240" w:lineRule="auto"/>
              <w:rPr>
                <w:rFonts w:eastAsia="GulimChe"/>
                <w:b/>
                <w:color w:val="000000" w:themeColor="text1"/>
                <w:sz w:val="21"/>
                <w:szCs w:val="21"/>
              </w:rPr>
            </w:pPr>
            <w:r>
              <w:rPr>
                <w:rFonts w:eastAsia="微软雅黑"/>
                <w:b/>
                <w:color w:val="000000" w:themeColor="text1"/>
                <w:sz w:val="21"/>
                <w:szCs w:val="21"/>
              </w:rPr>
              <w:t>合</w:t>
            </w:r>
            <w:r>
              <w:rPr>
                <w:b/>
                <w:color w:val="000000" w:themeColor="text1"/>
                <w:sz w:val="21"/>
                <w:szCs w:val="21"/>
              </w:rPr>
              <w:t>计</w:t>
            </w:r>
          </w:p>
        </w:tc>
        <w:tc>
          <w:tcPr>
            <w:tcW w:w="3829" w:type="pct"/>
            <w:gridSpan w:val="2"/>
            <w:vAlign w:val="center"/>
          </w:tcPr>
          <w:p w14:paraId="6A66B065">
            <w:pPr>
              <w:pStyle w:val="59"/>
              <w:spacing w:line="240" w:lineRule="auto"/>
              <w:rPr>
                <w:rFonts w:eastAsia="GulimChe"/>
                <w:b/>
                <w:color w:val="000000" w:themeColor="text1"/>
                <w:sz w:val="21"/>
                <w:szCs w:val="21"/>
              </w:rPr>
            </w:pPr>
            <w:r>
              <w:rPr>
                <w:rFonts w:eastAsia="GulimChe"/>
                <w:b/>
                <w:color w:val="000000" w:themeColor="text1"/>
                <w:sz w:val="21"/>
                <w:szCs w:val="21"/>
              </w:rPr>
              <w:t>/</w:t>
            </w:r>
          </w:p>
        </w:tc>
        <w:tc>
          <w:tcPr>
            <w:tcW w:w="776" w:type="pct"/>
            <w:vAlign w:val="center"/>
          </w:tcPr>
          <w:p w14:paraId="231448D2">
            <w:pPr>
              <w:pStyle w:val="59"/>
              <w:rPr>
                <w:b/>
                <w:color w:val="000000" w:themeColor="text1"/>
                <w:sz w:val="21"/>
                <w:szCs w:val="21"/>
              </w:rPr>
            </w:pPr>
            <w:r>
              <w:rPr>
                <w:b/>
                <w:color w:val="000000" w:themeColor="text1"/>
                <w:sz w:val="21"/>
                <w:szCs w:val="21"/>
              </w:rPr>
              <w:t>68.71</w:t>
            </w:r>
          </w:p>
        </w:tc>
      </w:tr>
    </w:tbl>
    <w:p w14:paraId="608DEA8D">
      <w:pPr>
        <w:adjustRightInd w:val="0"/>
        <w:snapToGrid w:val="0"/>
        <w:spacing w:line="360" w:lineRule="auto"/>
        <w:ind w:firstLine="480" w:firstLineChars="200"/>
        <w:jc w:val="left"/>
        <w:rPr>
          <w:color w:val="000000" w:themeColor="text1"/>
          <w:sz w:val="24"/>
        </w:rPr>
      </w:pPr>
      <w:r>
        <w:rPr>
          <w:color w:val="000000" w:themeColor="text1"/>
          <w:sz w:val="24"/>
        </w:rPr>
        <w:t>综上所述，环保投资68.71万元，占总投资的34.36%。</w:t>
      </w:r>
    </w:p>
    <w:bookmarkEnd w:id="432"/>
    <w:bookmarkEnd w:id="433"/>
    <w:p w14:paraId="0FFAC29F">
      <w:pPr>
        <w:adjustRightInd w:val="0"/>
        <w:snapToGrid w:val="0"/>
        <w:spacing w:line="360" w:lineRule="auto"/>
        <w:ind w:firstLine="480" w:firstLineChars="200"/>
        <w:jc w:val="left"/>
        <w:rPr>
          <w:color w:val="000000" w:themeColor="text1"/>
          <w:sz w:val="24"/>
        </w:rPr>
      </w:pPr>
    </w:p>
    <w:p w14:paraId="0C4FBED3">
      <w:pPr>
        <w:widowControl/>
        <w:jc w:val="left"/>
        <w:rPr>
          <w:rFonts w:eastAsia="黑体"/>
          <w:b/>
          <w:bCs/>
          <w:color w:val="000000" w:themeColor="text1"/>
          <w:kern w:val="44"/>
          <w:sz w:val="36"/>
          <w:szCs w:val="36"/>
        </w:rPr>
      </w:pPr>
      <w:r>
        <w:rPr>
          <w:color w:val="000000" w:themeColor="text1"/>
        </w:rPr>
        <w:br w:type="page"/>
      </w:r>
    </w:p>
    <w:p w14:paraId="3736A2CF">
      <w:pPr>
        <w:pStyle w:val="3"/>
        <w:rPr>
          <w:color w:val="000000" w:themeColor="text1"/>
        </w:rPr>
      </w:pPr>
      <w:bookmarkStart w:id="472" w:name="_Toc28117736"/>
      <w:r>
        <w:rPr>
          <w:color w:val="000000" w:themeColor="text1"/>
        </w:rPr>
        <w:t>10.环境管理及监测计划</w:t>
      </w:r>
      <w:bookmarkEnd w:id="472"/>
    </w:p>
    <w:p w14:paraId="2738E86D">
      <w:pPr>
        <w:pStyle w:val="116"/>
        <w:ind w:firstLine="480"/>
        <w:rPr>
          <w:color w:val="000000" w:themeColor="text1"/>
        </w:rPr>
      </w:pPr>
      <w:r>
        <w:rPr>
          <w:color w:val="000000" w:themeColor="text1"/>
        </w:rPr>
        <w:t>开展项目的环境管理及监测的目的是对项目从设计、施工到运行阶段的环保问题科学管理，对工程设计及实施监督管理，同时进行系统的环境监测，及时准确全面的了解环保措施的落实情况及环境污染状况，掌握污染动态，发现潜在的不利影响，从而及时采取有效的环保措施以减轻和消除不利环境影响，以便使环保措施发挥最佳效果，使环境不利影响减免到最低限度，使建设项目的经济效益， 社会效益和环境效益得到有机的统一。</w:t>
      </w:r>
    </w:p>
    <w:p w14:paraId="1F52BB51">
      <w:pPr>
        <w:pStyle w:val="17"/>
        <w:spacing w:before="9"/>
        <w:ind w:firstLine="230"/>
        <w:rPr>
          <w:sz w:val="23"/>
        </w:rPr>
      </w:pPr>
    </w:p>
    <w:p w14:paraId="20A7FE36">
      <w:pPr>
        <w:pStyle w:val="4"/>
        <w:rPr>
          <w:rFonts w:ascii="Times New Roman" w:hAnsi="Times New Roman"/>
          <w:color w:val="000000" w:themeColor="text1"/>
        </w:rPr>
      </w:pPr>
      <w:bookmarkStart w:id="473" w:name="_bookmark43"/>
      <w:bookmarkEnd w:id="473"/>
      <w:bookmarkStart w:id="474" w:name="8.1环境管理"/>
      <w:bookmarkEnd w:id="474"/>
      <w:bookmarkStart w:id="475" w:name="_Toc28117737"/>
      <w:r>
        <w:rPr>
          <w:rFonts w:ascii="Times New Roman" w:hAnsi="Times New Roman"/>
          <w:color w:val="000000" w:themeColor="text1"/>
        </w:rPr>
        <w:t>10.1环境管理</w:t>
      </w:r>
      <w:bookmarkEnd w:id="475"/>
    </w:p>
    <w:p w14:paraId="74CA4582">
      <w:pPr>
        <w:pStyle w:val="105"/>
        <w:rPr>
          <w:rFonts w:cs="Times New Roman"/>
          <w:color w:val="000000" w:themeColor="text1"/>
        </w:rPr>
      </w:pPr>
      <w:bookmarkStart w:id="476" w:name="8.1.1环境管理机构"/>
      <w:bookmarkEnd w:id="476"/>
      <w:r>
        <w:rPr>
          <w:rFonts w:cs="Times New Roman"/>
          <w:color w:val="000000" w:themeColor="text1"/>
        </w:rPr>
        <w:t>10.1.1环境管理机构</w:t>
      </w:r>
    </w:p>
    <w:p w14:paraId="1ED84686">
      <w:pPr>
        <w:pStyle w:val="116"/>
        <w:ind w:firstLine="480"/>
        <w:rPr>
          <w:color w:val="000000" w:themeColor="text1"/>
        </w:rPr>
      </w:pPr>
      <w:r>
        <w:rPr>
          <w:color w:val="000000" w:themeColor="text1"/>
        </w:rPr>
        <w:t>本项目尚未建设，未建立环境管理机构，项目建设单位应该有专门的人员或者机构负责环境管理和监督，并负责有关措施的落实，在施工期和运营期对项目区域污水、废气、噪声、固体废物等的处理、排放及环保设施运行状况进行监督， 密切注意相关的排污情况，以便能够在出现紧急情况的时候采取应急措施。因此， 要设立控制污染环境和生态保护相关的责任人，负责项目整个过程（包括施工期和运营期）的环境保护和生态保护工作。</w:t>
      </w:r>
    </w:p>
    <w:p w14:paraId="67BF79E5">
      <w:pPr>
        <w:pStyle w:val="17"/>
        <w:ind w:firstLine="210"/>
      </w:pPr>
    </w:p>
    <w:p w14:paraId="6B4D0D08">
      <w:pPr>
        <w:pStyle w:val="105"/>
        <w:rPr>
          <w:rFonts w:cs="Times New Roman"/>
          <w:color w:val="000000" w:themeColor="text1"/>
        </w:rPr>
      </w:pPr>
      <w:bookmarkStart w:id="477" w:name="8.1.2环境管理机构职责"/>
      <w:bookmarkEnd w:id="477"/>
      <w:r>
        <w:rPr>
          <w:rFonts w:cs="Times New Roman"/>
          <w:color w:val="000000" w:themeColor="text1"/>
        </w:rPr>
        <w:t>10.1.2环境管理机构职责</w:t>
      </w:r>
    </w:p>
    <w:p w14:paraId="746B985C">
      <w:pPr>
        <w:pStyle w:val="116"/>
        <w:ind w:firstLine="480"/>
        <w:rPr>
          <w:color w:val="000000" w:themeColor="text1"/>
        </w:rPr>
      </w:pPr>
      <w:r>
        <w:rPr>
          <w:color w:val="000000" w:themeColor="text1"/>
        </w:rPr>
        <w:t>（1）督促环境保护措施和经费的落实，协调政府环境管理与项目环境管理间的关系。建设期环保设施的“三同时”及施工现场的环境保护工作。</w:t>
      </w:r>
    </w:p>
    <w:p w14:paraId="03D19D75">
      <w:pPr>
        <w:pStyle w:val="116"/>
        <w:ind w:firstLine="480"/>
        <w:rPr>
          <w:color w:val="000000" w:themeColor="text1"/>
        </w:rPr>
      </w:pPr>
      <w:r>
        <w:rPr>
          <w:color w:val="000000" w:themeColor="text1"/>
        </w:rPr>
        <w:t>（2）监督检查、管理全厂各个环保设施的运行；搞好环保设施与生产主体设备的协调管理，使污染防治设施的完好率、运行率与生产主体设备相适应。</w:t>
      </w:r>
    </w:p>
    <w:p w14:paraId="718A2D8E">
      <w:pPr>
        <w:pStyle w:val="116"/>
        <w:ind w:firstLine="480"/>
        <w:rPr>
          <w:color w:val="000000" w:themeColor="text1"/>
        </w:rPr>
      </w:pPr>
      <w:r>
        <w:rPr>
          <w:color w:val="000000" w:themeColor="text1"/>
        </w:rPr>
        <w:t>（3）负责全厂职工的环保教育工作，提高全体职工的环保意识。</w:t>
      </w:r>
    </w:p>
    <w:p w14:paraId="6D4A4312">
      <w:pPr>
        <w:pStyle w:val="116"/>
        <w:ind w:firstLine="480"/>
        <w:rPr>
          <w:color w:val="000000" w:themeColor="text1"/>
        </w:rPr>
      </w:pPr>
      <w:r>
        <w:rPr>
          <w:color w:val="000000" w:themeColor="text1"/>
        </w:rPr>
        <w:t>（4）收集有关污染物放标准，环保法规、环保技术资料。</w:t>
      </w:r>
    </w:p>
    <w:p w14:paraId="703785D8">
      <w:pPr>
        <w:pStyle w:val="116"/>
        <w:ind w:firstLine="480"/>
        <w:rPr>
          <w:color w:val="000000" w:themeColor="text1"/>
        </w:rPr>
      </w:pPr>
      <w:r>
        <w:rPr>
          <w:color w:val="000000" w:themeColor="text1"/>
        </w:rPr>
        <w:t>（5）编制运行期年度投资环境保护工作报告和工程验收环境保护工作执行报告等，建立健全环保档案，做好环保资料的上报和保存。</w:t>
      </w:r>
    </w:p>
    <w:p w14:paraId="5F2A2CAF">
      <w:pPr>
        <w:pStyle w:val="116"/>
        <w:ind w:firstLine="480"/>
        <w:rPr>
          <w:color w:val="000000" w:themeColor="text1"/>
        </w:rPr>
      </w:pPr>
      <w:r>
        <w:rPr>
          <w:color w:val="000000" w:themeColor="text1"/>
        </w:rPr>
        <w:t>（6）负责各车间环保工作及环境监测的组织协调，根据地方环保部门提出的环境质量要求，确定环境目标管理责任制，对各车间、部门及监测分析室进行监督与考核。</w:t>
      </w:r>
    </w:p>
    <w:p w14:paraId="16D21594">
      <w:pPr>
        <w:pStyle w:val="116"/>
        <w:ind w:firstLine="480"/>
        <w:rPr>
          <w:color w:val="000000" w:themeColor="text1"/>
        </w:rPr>
      </w:pPr>
      <w:r>
        <w:rPr>
          <w:color w:val="000000" w:themeColor="text1"/>
        </w:rPr>
        <w:t>（7）开展排污单位环境管理台账工作，排污许可证执行报告申报工作。</w:t>
      </w:r>
    </w:p>
    <w:p w14:paraId="352EE410">
      <w:pPr>
        <w:pStyle w:val="17"/>
        <w:ind w:firstLine="210"/>
      </w:pPr>
    </w:p>
    <w:p w14:paraId="01C1A883">
      <w:pPr>
        <w:pStyle w:val="105"/>
        <w:rPr>
          <w:rFonts w:cs="Times New Roman"/>
          <w:color w:val="000000" w:themeColor="text1"/>
        </w:rPr>
      </w:pPr>
      <w:bookmarkStart w:id="478" w:name="8.1.3环境管理制度"/>
      <w:bookmarkEnd w:id="478"/>
      <w:r>
        <w:rPr>
          <w:rFonts w:cs="Times New Roman"/>
          <w:color w:val="000000" w:themeColor="text1"/>
        </w:rPr>
        <w:t>10.1.3环境管理制度</w:t>
      </w:r>
    </w:p>
    <w:p w14:paraId="69E75770">
      <w:pPr>
        <w:pStyle w:val="116"/>
        <w:ind w:firstLine="480"/>
        <w:rPr>
          <w:color w:val="000000" w:themeColor="text1"/>
        </w:rPr>
      </w:pPr>
      <w:r>
        <w:rPr>
          <w:color w:val="000000" w:themeColor="text1"/>
        </w:rPr>
        <w:t>为了落实各项污染防措施，加强环境保护工作的管理，应根据企业的实际情况，制订出有效的环境管理制度，主要包括：</w:t>
      </w:r>
    </w:p>
    <w:p w14:paraId="3483F85A">
      <w:pPr>
        <w:pStyle w:val="116"/>
        <w:ind w:firstLine="480"/>
        <w:rPr>
          <w:color w:val="000000" w:themeColor="text1"/>
        </w:rPr>
      </w:pPr>
      <w:r>
        <w:rPr>
          <w:color w:val="000000" w:themeColor="text1"/>
        </w:rPr>
        <w:t>（1）环保岗位责任制度；</w:t>
      </w:r>
    </w:p>
    <w:p w14:paraId="174BD081">
      <w:pPr>
        <w:pStyle w:val="116"/>
        <w:ind w:firstLine="480"/>
        <w:rPr>
          <w:color w:val="000000" w:themeColor="text1"/>
        </w:rPr>
      </w:pPr>
      <w:r>
        <w:rPr>
          <w:color w:val="000000" w:themeColor="text1"/>
        </w:rPr>
        <w:t>（2）项目制定环境监测制度，依法开展自行监测，保障数据合法有效，妥善保存原始记录；</w:t>
      </w:r>
    </w:p>
    <w:p w14:paraId="557930E4">
      <w:pPr>
        <w:pStyle w:val="116"/>
        <w:ind w:firstLine="480"/>
        <w:rPr>
          <w:color w:val="000000" w:themeColor="text1"/>
        </w:rPr>
      </w:pPr>
      <w:r>
        <w:rPr>
          <w:color w:val="000000" w:themeColor="text1"/>
        </w:rPr>
        <w:t>（3）环境污染事故调查与应急处理制度；</w:t>
      </w:r>
    </w:p>
    <w:p w14:paraId="287494D3">
      <w:pPr>
        <w:pStyle w:val="116"/>
        <w:ind w:firstLine="480"/>
        <w:rPr>
          <w:color w:val="000000" w:themeColor="text1"/>
        </w:rPr>
      </w:pPr>
      <w:r>
        <w:rPr>
          <w:color w:val="000000" w:themeColor="text1"/>
        </w:rPr>
        <w:t>（4）环保设施与设备运转与监督管理制度；</w:t>
      </w:r>
    </w:p>
    <w:p w14:paraId="4254F576">
      <w:pPr>
        <w:pStyle w:val="116"/>
        <w:ind w:firstLine="480"/>
        <w:rPr>
          <w:color w:val="000000" w:themeColor="text1"/>
        </w:rPr>
      </w:pPr>
      <w:r>
        <w:rPr>
          <w:color w:val="000000" w:themeColor="text1"/>
        </w:rPr>
        <w:t>（5）清洁生产管理制度 ；</w:t>
      </w:r>
    </w:p>
    <w:p w14:paraId="02D6C1CD">
      <w:pPr>
        <w:pStyle w:val="116"/>
        <w:ind w:firstLine="480"/>
        <w:rPr>
          <w:color w:val="000000" w:themeColor="text1"/>
        </w:rPr>
      </w:pPr>
      <w:r>
        <w:rPr>
          <w:color w:val="000000" w:themeColor="text1"/>
        </w:rPr>
        <w:t>（6）监督检查制度。</w:t>
      </w:r>
    </w:p>
    <w:p w14:paraId="629A8704">
      <w:pPr>
        <w:pStyle w:val="116"/>
        <w:ind w:firstLine="480"/>
        <w:rPr>
          <w:color w:val="000000" w:themeColor="text1"/>
        </w:rPr>
      </w:pPr>
      <w:r>
        <w:rPr>
          <w:color w:val="000000" w:themeColor="text1"/>
        </w:rPr>
        <w:t>企业应参照以上有关职责和制度针对本企业的实际情况，规定本企业内环境保护责任人和相关部门的职责，并建立相关的环境保护规章制度。</w:t>
      </w:r>
    </w:p>
    <w:p w14:paraId="4ACBA566">
      <w:pPr>
        <w:pStyle w:val="17"/>
        <w:ind w:firstLine="210"/>
      </w:pPr>
    </w:p>
    <w:p w14:paraId="1E3C246C">
      <w:pPr>
        <w:pStyle w:val="105"/>
        <w:rPr>
          <w:rFonts w:cs="Times New Roman"/>
          <w:color w:val="000000" w:themeColor="text1"/>
        </w:rPr>
      </w:pPr>
      <w:bookmarkStart w:id="479" w:name="8.1.4运营期环境管理"/>
      <w:bookmarkEnd w:id="479"/>
      <w:r>
        <w:rPr>
          <w:rFonts w:cs="Times New Roman"/>
          <w:color w:val="000000" w:themeColor="text1"/>
        </w:rPr>
        <w:t>10.1.4运营期环境管理</w:t>
      </w:r>
    </w:p>
    <w:p w14:paraId="5FD09D70">
      <w:pPr>
        <w:pStyle w:val="116"/>
        <w:ind w:firstLine="480"/>
        <w:rPr>
          <w:color w:val="000000" w:themeColor="text1"/>
        </w:rPr>
      </w:pPr>
      <w:r>
        <w:rPr>
          <w:color w:val="000000" w:themeColor="text1"/>
        </w:rPr>
        <w:t>（1）建立环境管理专业机构</w:t>
      </w:r>
    </w:p>
    <w:p w14:paraId="77EBC88B">
      <w:pPr>
        <w:pStyle w:val="116"/>
        <w:ind w:firstLine="480"/>
        <w:rPr>
          <w:color w:val="000000" w:themeColor="text1"/>
        </w:rPr>
      </w:pPr>
      <w:r>
        <w:rPr>
          <w:color w:val="000000" w:themeColor="text1"/>
        </w:rPr>
        <w:t>按照《建设项目环境保护设计规定》，建设项目必须设置专业环保机构，并配备环保技术人员。环境技术人员应具备一定的环境管理水平和专业技术知识， 熟悉国家的环保法律、法规。环保机构的职责必须明确，既能向企业领导提出环境管理的设想和规划，又能承上启下组织实施各项环保管理和监督工作，同时还应加强与当地政府环保职能部门的工作联系。</w:t>
      </w:r>
    </w:p>
    <w:p w14:paraId="4D646D90">
      <w:pPr>
        <w:pStyle w:val="116"/>
        <w:ind w:firstLine="480"/>
        <w:rPr>
          <w:color w:val="000000" w:themeColor="text1"/>
        </w:rPr>
      </w:pPr>
      <w:r>
        <w:rPr>
          <w:color w:val="000000" w:themeColor="text1"/>
        </w:rPr>
        <w:t>（2）加强环保宣传，提高环境意识</w:t>
      </w:r>
    </w:p>
    <w:p w14:paraId="64753590">
      <w:pPr>
        <w:pStyle w:val="17"/>
        <w:spacing w:before="2"/>
        <w:ind w:left="600" w:firstLine="210"/>
      </w:pPr>
      <w:r>
        <w:t>加强对全厂职工环保法律、法规宣传，提高全厂职工的环保意识。</w:t>
      </w:r>
    </w:p>
    <w:p w14:paraId="2A095120">
      <w:pPr>
        <w:pStyle w:val="116"/>
        <w:ind w:firstLine="480"/>
        <w:rPr>
          <w:color w:val="000000" w:themeColor="text1"/>
        </w:rPr>
      </w:pPr>
      <w:r>
        <w:rPr>
          <w:color w:val="000000" w:themeColor="text1"/>
        </w:rPr>
        <w:t>（3）建立健全环保管理规章制度和监督机制</w:t>
      </w:r>
    </w:p>
    <w:p w14:paraId="73ACD982">
      <w:pPr>
        <w:pStyle w:val="116"/>
        <w:ind w:firstLine="480"/>
        <w:rPr>
          <w:color w:val="000000" w:themeColor="text1"/>
        </w:rPr>
      </w:pPr>
      <w:r>
        <w:rPr>
          <w:color w:val="000000" w:themeColor="text1"/>
        </w:rPr>
        <w:t>建立健全有约束力的、奖惩分明的环保管理规章制度，完善环保指标的监督和考核机制。要做到有规必行，违规必罚。</w:t>
      </w:r>
    </w:p>
    <w:p w14:paraId="4C02BF49">
      <w:pPr>
        <w:pStyle w:val="116"/>
        <w:ind w:firstLine="480"/>
        <w:rPr>
          <w:color w:val="000000" w:themeColor="text1"/>
        </w:rPr>
      </w:pPr>
      <w:r>
        <w:rPr>
          <w:color w:val="000000" w:themeColor="text1"/>
        </w:rPr>
        <w:t>（4）严格遵守环保“三同时”规定</w:t>
      </w:r>
    </w:p>
    <w:p w14:paraId="1E1C6F7F">
      <w:pPr>
        <w:pStyle w:val="116"/>
        <w:ind w:firstLine="480"/>
        <w:rPr>
          <w:color w:val="000000" w:themeColor="text1"/>
        </w:rPr>
      </w:pPr>
      <w:r>
        <w:rPr>
          <w:color w:val="000000" w:themeColor="text1"/>
        </w:rPr>
        <w:t>建设项目环保设施必须与主体工程同时设计、同时施工、同时投入运行。</w:t>
      </w:r>
    </w:p>
    <w:p w14:paraId="26AE7B4D">
      <w:pPr>
        <w:pStyle w:val="116"/>
        <w:ind w:firstLine="480"/>
        <w:rPr>
          <w:color w:val="000000" w:themeColor="text1"/>
        </w:rPr>
      </w:pPr>
      <w:r>
        <w:rPr>
          <w:color w:val="000000" w:themeColor="text1"/>
        </w:rPr>
        <w:t>（5）加强对环保设施的运行管理</w:t>
      </w:r>
    </w:p>
    <w:p w14:paraId="403162BD">
      <w:pPr>
        <w:pStyle w:val="116"/>
        <w:ind w:firstLine="480"/>
        <w:rPr>
          <w:color w:val="000000" w:themeColor="text1"/>
        </w:rPr>
      </w:pPr>
      <w:r>
        <w:rPr>
          <w:color w:val="000000" w:themeColor="text1"/>
        </w:rPr>
        <w:t>项目在生产过程中应定岗定职，培训上岗。要严格按操作规程操作，必须保证治理设施的正常运行，从而确保污染物浓度及总量达标排放。 定期对污染治理设施检修和维护，以保证污染处理设施的正常运转。</w:t>
      </w:r>
    </w:p>
    <w:p w14:paraId="75945060">
      <w:pPr>
        <w:pStyle w:val="105"/>
        <w:rPr>
          <w:rFonts w:cs="Times New Roman"/>
          <w:color w:val="000000" w:themeColor="text1"/>
        </w:rPr>
      </w:pPr>
      <w:bookmarkStart w:id="480" w:name="8.1.5行业相关环境保护管理"/>
      <w:bookmarkEnd w:id="480"/>
      <w:r>
        <w:rPr>
          <w:rFonts w:cs="Times New Roman"/>
          <w:color w:val="000000" w:themeColor="text1"/>
        </w:rPr>
        <w:t>10.1.5行业相关环境保护管理</w:t>
      </w:r>
    </w:p>
    <w:p w14:paraId="6080210D">
      <w:pPr>
        <w:pStyle w:val="116"/>
        <w:ind w:firstLine="480"/>
        <w:rPr>
          <w:color w:val="000000" w:themeColor="text1"/>
        </w:rPr>
      </w:pPr>
      <w:r>
        <w:rPr>
          <w:color w:val="000000" w:themeColor="text1"/>
        </w:rPr>
        <w:t>2012 年 8 月 24 日国家环境保护部、发展改革委、商务部发布了联合公告“公告 2012 年第 55 号”《废塑料加工利用污染防治管理规定》，该《规定》于 2012年 10 月 1 日起执行。原国家环保总局批准的《废塑料回收与再生利用污染控制技术规范(试行)》(HJ/T364-2007)于 2007 年 12 月 1 日起实施。结合以上《规定》和《技术规范》要求，本项目在生产过程中还应遵守以下规定要求：</w:t>
      </w:r>
    </w:p>
    <w:p w14:paraId="7241D71F">
      <w:pPr>
        <w:pStyle w:val="116"/>
        <w:ind w:firstLine="480"/>
        <w:rPr>
          <w:color w:val="000000" w:themeColor="text1"/>
        </w:rPr>
      </w:pPr>
      <w:r>
        <w:rPr>
          <w:color w:val="000000" w:themeColor="text1"/>
        </w:rPr>
        <w:t>（1）生产过程中严格执行“公告 2012 年第 55 号”《废塑料加工利用污染防治管理规定》及《废塑料回收与再生利用污染控制技术规范(试行)》(HJ/T364-2007)要求。</w:t>
      </w:r>
    </w:p>
    <w:p w14:paraId="2E7ED7B5">
      <w:pPr>
        <w:pStyle w:val="116"/>
        <w:ind w:firstLine="480"/>
        <w:rPr>
          <w:color w:val="000000" w:themeColor="text1"/>
        </w:rPr>
      </w:pPr>
      <w:r>
        <w:rPr>
          <w:color w:val="000000" w:themeColor="text1"/>
        </w:rPr>
        <w:t>（2）禁止企业在无危险废物经营许可证的情况下从事废塑料类危险废物的回收利用活动，包括被危险化学品、农药等污染的废弃塑料包装物，废弃的一次性医疗用塑料制品(如输液器、血袋)等。</w:t>
      </w:r>
    </w:p>
    <w:p w14:paraId="10444DCE">
      <w:pPr>
        <w:pStyle w:val="116"/>
        <w:ind w:firstLine="480"/>
        <w:rPr>
          <w:color w:val="000000" w:themeColor="text1"/>
        </w:rPr>
      </w:pPr>
      <w:r>
        <w:rPr>
          <w:color w:val="000000" w:themeColor="text1"/>
        </w:rPr>
        <w:t>（3）建设单位应以环境无害化方式处理废旧塑料加工利用过程产生的残余垃圾、滤网；禁止交不符合环保要求的单位或个人处置。</w:t>
      </w:r>
    </w:p>
    <w:p w14:paraId="5EB1AB89">
      <w:pPr>
        <w:pStyle w:val="116"/>
        <w:ind w:firstLine="480"/>
        <w:rPr>
          <w:color w:val="000000" w:themeColor="text1"/>
        </w:rPr>
      </w:pPr>
      <w:r>
        <w:rPr>
          <w:color w:val="000000" w:themeColor="text1"/>
        </w:rPr>
        <w:t>（4）禁止露天焚烧废旧塑料及加工利用过程产生的残余垃圾、滤网。</w:t>
      </w:r>
    </w:p>
    <w:p w14:paraId="6EF6989F">
      <w:pPr>
        <w:pStyle w:val="116"/>
        <w:ind w:firstLine="480"/>
        <w:rPr>
          <w:color w:val="000000" w:themeColor="text1"/>
        </w:rPr>
      </w:pPr>
      <w:r>
        <w:rPr>
          <w:color w:val="000000" w:themeColor="text1"/>
        </w:rPr>
        <w:t>（5）废旧塑料运输前应包装或使用封闭的交通运输工具，不得裸露运输废旧塑料。</w:t>
      </w:r>
    </w:p>
    <w:p w14:paraId="36CA13EA">
      <w:pPr>
        <w:pStyle w:val="116"/>
        <w:ind w:firstLine="480"/>
        <w:rPr>
          <w:color w:val="000000" w:themeColor="text1"/>
        </w:rPr>
      </w:pPr>
      <w:r>
        <w:rPr>
          <w:color w:val="000000" w:themeColor="text1"/>
        </w:rPr>
        <w:t>（6）废旧塑料贮存场所必须为封闭或半封闭设施， 应有防雨、防晒、防渗、防尘、防扬散和防火设施。</w:t>
      </w:r>
    </w:p>
    <w:p w14:paraId="60F240E7">
      <w:pPr>
        <w:pStyle w:val="17"/>
        <w:spacing w:before="6"/>
        <w:ind w:firstLine="350"/>
        <w:rPr>
          <w:sz w:val="35"/>
        </w:rPr>
      </w:pPr>
    </w:p>
    <w:p w14:paraId="79119F57">
      <w:pPr>
        <w:pStyle w:val="105"/>
        <w:rPr>
          <w:rFonts w:cs="Times New Roman"/>
          <w:color w:val="000000" w:themeColor="text1"/>
        </w:rPr>
      </w:pPr>
      <w:bookmarkStart w:id="481" w:name="8.1.6环境管理台账"/>
      <w:bookmarkEnd w:id="481"/>
      <w:r>
        <w:rPr>
          <w:rFonts w:cs="Times New Roman"/>
          <w:color w:val="000000" w:themeColor="text1"/>
        </w:rPr>
        <w:t>10.1.6环境管理台账</w:t>
      </w:r>
    </w:p>
    <w:p w14:paraId="1D35170D">
      <w:pPr>
        <w:pStyle w:val="116"/>
        <w:ind w:firstLine="480"/>
        <w:rPr>
          <w:color w:val="000000" w:themeColor="text1"/>
        </w:rPr>
      </w:pPr>
      <w:r>
        <w:rPr>
          <w:color w:val="000000" w:themeColor="text1"/>
        </w:rPr>
        <w:t>环境管理台账记录要求如下：</w:t>
      </w:r>
    </w:p>
    <w:p w14:paraId="5C56512A">
      <w:pPr>
        <w:pStyle w:val="116"/>
        <w:ind w:firstLine="480"/>
        <w:rPr>
          <w:color w:val="000000" w:themeColor="text1"/>
        </w:rPr>
      </w:pPr>
      <w:r>
        <w:rPr>
          <w:color w:val="000000" w:themeColor="text1"/>
        </w:rPr>
        <w:t>（1）一般原则：排污单位应建立环境管理台账记录制度，落实环境管理台账记录的责任单位和责任人，明确工作职责，并对环境管理台账的真实性、完整性和规范性负责。一般按日或按批次进行记录，异常情况应按次记录。</w:t>
      </w:r>
    </w:p>
    <w:p w14:paraId="1857F36B">
      <w:pPr>
        <w:pStyle w:val="116"/>
        <w:ind w:firstLine="480"/>
        <w:rPr>
          <w:color w:val="000000" w:themeColor="text1"/>
        </w:rPr>
      </w:pPr>
      <w:r>
        <w:rPr>
          <w:color w:val="000000" w:themeColor="text1"/>
        </w:rPr>
        <w:t>实施简化管理的排污单位，其环境管理台账内容可适当缩减，至少记录污染防治设施运行管理信息和监测记录信息，记录频次可适当降低。</w:t>
      </w:r>
    </w:p>
    <w:p w14:paraId="501C565E">
      <w:pPr>
        <w:pStyle w:val="116"/>
        <w:ind w:firstLine="480"/>
        <w:rPr>
          <w:color w:val="000000" w:themeColor="text1"/>
        </w:rPr>
      </w:pPr>
      <w:r>
        <w:rPr>
          <w:color w:val="000000" w:themeColor="text1"/>
        </w:rPr>
        <w:t>（2）记录形式：分为电子台账和纸质台账两种形式。</w:t>
      </w:r>
    </w:p>
    <w:p w14:paraId="170B49EB">
      <w:pPr>
        <w:pStyle w:val="116"/>
        <w:ind w:firstLine="480"/>
        <w:rPr>
          <w:color w:val="000000" w:themeColor="text1"/>
        </w:rPr>
      </w:pPr>
      <w:r>
        <w:rPr>
          <w:color w:val="000000" w:themeColor="text1"/>
        </w:rPr>
        <w:t>（3）记录内容：包括基本信息、生产设施运行管理信息、污染防治设施运行管理信息、监测记录信息及其他环境管理信息等，参照《排污单位换环境管理台账及排污许可证执行报告技术规范 总则（试行）》附录 A。生产设施、污染防治设施、排放口编码应与排污许可证副本中载明的编码一致。</w:t>
      </w:r>
    </w:p>
    <w:p w14:paraId="5D898DE2">
      <w:pPr>
        <w:pStyle w:val="116"/>
        <w:ind w:firstLine="480"/>
        <w:rPr>
          <w:color w:val="000000" w:themeColor="text1"/>
        </w:rPr>
      </w:pPr>
      <w:r>
        <w:rPr>
          <w:color w:val="000000" w:themeColor="text1"/>
        </w:rPr>
        <w:t>（4）记录频次</w:t>
      </w:r>
    </w:p>
    <w:p w14:paraId="2B5155AF">
      <w:pPr>
        <w:pStyle w:val="116"/>
        <w:ind w:firstLine="480"/>
        <w:rPr>
          <w:color w:val="000000" w:themeColor="text1"/>
        </w:rPr>
      </w:pPr>
      <w:r>
        <w:rPr>
          <w:color w:val="000000" w:themeColor="text1"/>
        </w:rPr>
        <w:t>按照相关规定对基本信息、生产设施运行管理信息、污染防治设施运行管理信息、监测记录信息、其他环境管理信息的记录频次。</w:t>
      </w:r>
    </w:p>
    <w:p w14:paraId="22E23029">
      <w:pPr>
        <w:pStyle w:val="116"/>
        <w:ind w:firstLine="480"/>
        <w:rPr>
          <w:color w:val="000000" w:themeColor="text1"/>
        </w:rPr>
      </w:pPr>
      <w:r>
        <w:rPr>
          <w:color w:val="000000" w:themeColor="text1"/>
        </w:rPr>
        <w:t>（5）记录存储及保存</w:t>
      </w:r>
    </w:p>
    <w:p w14:paraId="54447871">
      <w:pPr>
        <w:pStyle w:val="116"/>
        <w:ind w:firstLine="480"/>
        <w:rPr>
          <w:color w:val="000000" w:themeColor="text1"/>
        </w:rPr>
      </w:pPr>
      <w:r>
        <w:rPr>
          <w:color w:val="000000" w:themeColor="text1"/>
        </w:rPr>
        <w:t>a）纸质存储：应将纸质台账存放于保护袋、卷夹或保护盒等保存介质中； 由专人签字、定点保存；应采取防光、防热、防潮、防细菌及防污染等措施；如有破损应及时修补，并留存备查；保存时间原则上不低于 3 年。</w:t>
      </w:r>
    </w:p>
    <w:p w14:paraId="79FB6B45">
      <w:pPr>
        <w:pStyle w:val="116"/>
        <w:ind w:firstLine="480"/>
        <w:rPr>
          <w:color w:val="000000" w:themeColor="text1"/>
        </w:rPr>
      </w:pPr>
      <w:r>
        <w:rPr>
          <w:color w:val="000000" w:themeColor="text1"/>
        </w:rPr>
        <w:t>b）电子化存储：应存放于电子存储介质中，并进行数据备份；可在排污许可管理信息平台填报并保存；由专人定期维护管理；保存时间原则上不低于 3 年。</w:t>
      </w:r>
    </w:p>
    <w:p w14:paraId="3C61547F">
      <w:pPr>
        <w:pStyle w:val="105"/>
        <w:rPr>
          <w:rFonts w:cs="Times New Roman"/>
          <w:color w:val="000000" w:themeColor="text1"/>
        </w:rPr>
      </w:pPr>
      <w:bookmarkStart w:id="482" w:name="8.1.7排污许可证执行报告"/>
      <w:bookmarkEnd w:id="482"/>
      <w:r>
        <w:rPr>
          <w:rFonts w:cs="Times New Roman"/>
          <w:color w:val="000000" w:themeColor="text1"/>
        </w:rPr>
        <w:t>10.1.7排污许可证执行报告</w:t>
      </w:r>
    </w:p>
    <w:p w14:paraId="6A736E99">
      <w:pPr>
        <w:pStyle w:val="116"/>
        <w:ind w:firstLine="480"/>
        <w:rPr>
          <w:color w:val="000000" w:themeColor="text1"/>
        </w:rPr>
      </w:pPr>
      <w:r>
        <w:rPr>
          <w:color w:val="000000" w:themeColor="text1"/>
        </w:rPr>
        <w:t>（1）报告分类</w:t>
      </w:r>
    </w:p>
    <w:p w14:paraId="469C6C22">
      <w:pPr>
        <w:pStyle w:val="116"/>
        <w:ind w:firstLine="480"/>
        <w:rPr>
          <w:color w:val="000000" w:themeColor="text1"/>
        </w:rPr>
      </w:pPr>
      <w:r>
        <w:rPr>
          <w:color w:val="000000" w:themeColor="text1"/>
        </w:rPr>
        <w:t>按报告周期分为年度执行报告、季度执行报告和月度执行报告。</w:t>
      </w:r>
    </w:p>
    <w:p w14:paraId="7A8A7940">
      <w:pPr>
        <w:pStyle w:val="116"/>
        <w:ind w:firstLine="480"/>
        <w:rPr>
          <w:color w:val="000000" w:themeColor="text1"/>
        </w:rPr>
      </w:pPr>
      <w:r>
        <w:rPr>
          <w:color w:val="000000" w:themeColor="text1"/>
        </w:rPr>
        <w:t>（2）编制流程</w:t>
      </w:r>
    </w:p>
    <w:p w14:paraId="6A2D47F8">
      <w:pPr>
        <w:pStyle w:val="116"/>
        <w:ind w:firstLine="480"/>
        <w:rPr>
          <w:color w:val="000000" w:themeColor="text1"/>
        </w:rPr>
      </w:pPr>
      <w:r>
        <w:rPr>
          <w:color w:val="000000" w:themeColor="text1"/>
        </w:rPr>
        <w:t>包括资料收集与分析、编制、质量控制、提交四个阶段。</w:t>
      </w:r>
    </w:p>
    <w:p w14:paraId="35F6551F">
      <w:pPr>
        <w:pStyle w:val="116"/>
        <w:ind w:firstLine="480"/>
        <w:rPr>
          <w:color w:val="000000" w:themeColor="text1"/>
        </w:rPr>
      </w:pPr>
      <w:r>
        <w:rPr>
          <w:color w:val="000000" w:themeColor="text1"/>
        </w:rPr>
        <w:t>第一阶段（资料收集与分析阶段）：收集排污许可证及申请材料、历史排污许可证执行报告、环境管理台账等相关资料，全面梳理排污单位在报告周期内的执行情况。</w:t>
      </w:r>
    </w:p>
    <w:p w14:paraId="4C67B120">
      <w:pPr>
        <w:pStyle w:val="116"/>
        <w:ind w:firstLine="480"/>
        <w:rPr>
          <w:color w:val="000000" w:themeColor="text1"/>
        </w:rPr>
      </w:pPr>
      <w:r>
        <w:rPr>
          <w:color w:val="000000" w:themeColor="text1"/>
        </w:rPr>
        <w:t>第二阶段（编制阶段）：针对排污许可证执行情况，汇总梳理依证排污的依据，分析违证排污的情形及原因，提出整改计划，在全国排污许可证管理信息平台填报相关内容。</w:t>
      </w:r>
    </w:p>
    <w:p w14:paraId="19256FE6">
      <w:pPr>
        <w:pStyle w:val="116"/>
        <w:ind w:firstLine="480"/>
        <w:rPr>
          <w:color w:val="000000" w:themeColor="text1"/>
        </w:rPr>
      </w:pPr>
      <w:r>
        <w:rPr>
          <w:color w:val="000000" w:themeColor="text1"/>
        </w:rPr>
        <w:t>第三阶段（质量控制阶段）：开展报告质量审核，确保执行报告内容真实、有效，并经排污单位技术负责人签字确认。</w:t>
      </w:r>
    </w:p>
    <w:p w14:paraId="27D455FE">
      <w:pPr>
        <w:pStyle w:val="116"/>
        <w:ind w:firstLine="480"/>
      </w:pPr>
      <w:r>
        <w:rPr>
          <w:color w:val="000000" w:themeColor="text1"/>
        </w:rPr>
        <w:t>第四阶段（提交阶段）：排污单位在全国排污许可证管理信息平台提交电子版执行报告，同时向有排污许可证核发权的环境保护主管部门提交通过平台印制的经排污单位法定代表人或实际负责人签字并加盖公章的书面执行报告。电子版</w:t>
      </w:r>
      <w:r>
        <w:t>执行报告与书面执行报告应保持一致。</w:t>
      </w:r>
    </w:p>
    <w:p w14:paraId="1F94A298">
      <w:pPr>
        <w:pStyle w:val="116"/>
        <w:ind w:firstLine="480"/>
        <w:rPr>
          <w:color w:val="000000" w:themeColor="text1"/>
        </w:rPr>
      </w:pPr>
      <w:r>
        <w:rPr>
          <w:color w:val="000000" w:themeColor="text1"/>
        </w:rPr>
        <w:t>（3）编制内容</w:t>
      </w:r>
    </w:p>
    <w:p w14:paraId="41728C09">
      <w:pPr>
        <w:pStyle w:val="116"/>
        <w:ind w:firstLine="480"/>
        <w:rPr>
          <w:color w:val="000000" w:themeColor="text1"/>
        </w:rPr>
      </w:pPr>
      <w:r>
        <w:rPr>
          <w:color w:val="000000" w:themeColor="text1"/>
        </w:rPr>
        <w:t>排污单位应对提交的排污许可证执行报告中各项内容和数据的真实性、有效性负责，并自愿承担相应法律责任；应自觉接受环境保护主管部门监管和社会公众监督，如提交的内容和数据与实际情况不符，应积极配合调查，并依法接受处罚。</w:t>
      </w:r>
    </w:p>
    <w:p w14:paraId="0365B415">
      <w:pPr>
        <w:pStyle w:val="116"/>
        <w:ind w:firstLine="480"/>
        <w:rPr>
          <w:color w:val="000000" w:themeColor="text1"/>
        </w:rPr>
      </w:pPr>
      <w:r>
        <w:rPr>
          <w:color w:val="000000" w:themeColor="text1"/>
        </w:rPr>
        <w:t>排污单位应对上述要求作出承诺，并将承诺书纳入执行报告中。执行报告封面格式参见《排污单位换环境管理台账及排污许可证执行报告技术规范 总则（试行）》附录 C，编写提纲参见《排污单位换环境管理台账及排污许可证执行报告技术规范 总则（试行）》附录 D。</w:t>
      </w:r>
    </w:p>
    <w:p w14:paraId="4E236D2D">
      <w:pPr>
        <w:pStyle w:val="116"/>
        <w:ind w:firstLine="480"/>
        <w:rPr>
          <w:color w:val="000000" w:themeColor="text1"/>
        </w:rPr>
      </w:pPr>
      <w:r>
        <w:rPr>
          <w:color w:val="000000" w:themeColor="text1"/>
        </w:rPr>
        <w:t>（4）报告周期</w:t>
      </w:r>
    </w:p>
    <w:p w14:paraId="37A8B48B">
      <w:pPr>
        <w:pStyle w:val="116"/>
        <w:ind w:firstLine="480"/>
        <w:rPr>
          <w:color w:val="000000" w:themeColor="text1"/>
        </w:rPr>
      </w:pPr>
      <w:r>
        <w:rPr>
          <w:color w:val="000000" w:themeColor="text1"/>
        </w:rPr>
        <w:t>排污单位按照排污许可证规定的时间提交执行报告，应每年提交一次排污许可证年度执行报告；同时，还应依据法律法规、标准等文件的要求，提交季度执行报告或月度执行报告。</w:t>
      </w:r>
    </w:p>
    <w:p w14:paraId="44F62174">
      <w:pPr>
        <w:pStyle w:val="116"/>
        <w:ind w:firstLine="480"/>
        <w:rPr>
          <w:color w:val="000000" w:themeColor="text1"/>
        </w:rPr>
      </w:pPr>
      <w:r>
        <w:rPr>
          <w:rFonts w:hint="eastAsia" w:ascii="宋体" w:hAnsi="宋体" w:cs="宋体"/>
          <w:color w:val="000000" w:themeColor="text1"/>
        </w:rPr>
        <w:t>①</w:t>
      </w:r>
      <w:r>
        <w:rPr>
          <w:color w:val="000000" w:themeColor="text1"/>
        </w:rPr>
        <w:t>年度执行报告</w:t>
      </w:r>
    </w:p>
    <w:p w14:paraId="6EDA398D">
      <w:pPr>
        <w:pStyle w:val="116"/>
        <w:ind w:firstLine="480"/>
        <w:rPr>
          <w:color w:val="000000" w:themeColor="text1"/>
        </w:rPr>
      </w:pPr>
      <w:r>
        <w:rPr>
          <w:color w:val="000000" w:themeColor="text1"/>
        </w:rPr>
        <w:t>对于持证时间超过三个月的年度，报告周期为当年全年（自然年）；对于持证时间不足三个月的年度，当年可不提交年度执行报告，排污许可证执行情况纳入下一年度执行报告。</w:t>
      </w:r>
    </w:p>
    <w:p w14:paraId="2A34FF5B">
      <w:pPr>
        <w:pStyle w:val="116"/>
        <w:ind w:firstLine="480"/>
        <w:rPr>
          <w:color w:val="000000" w:themeColor="text1"/>
        </w:rPr>
      </w:pPr>
      <w:r>
        <w:rPr>
          <w:rFonts w:hint="eastAsia" w:ascii="宋体" w:hAnsi="宋体" w:cs="宋体"/>
          <w:color w:val="000000" w:themeColor="text1"/>
        </w:rPr>
        <w:t>②</w:t>
      </w:r>
      <w:r>
        <w:rPr>
          <w:color w:val="000000" w:themeColor="text1"/>
        </w:rPr>
        <w:t>季度执行报告季度执行报告季度执行报告</w:t>
      </w:r>
    </w:p>
    <w:p w14:paraId="03B95C44">
      <w:pPr>
        <w:pStyle w:val="116"/>
        <w:ind w:firstLine="480"/>
        <w:rPr>
          <w:color w:val="000000" w:themeColor="text1"/>
        </w:rPr>
      </w:pPr>
      <w:r>
        <w:rPr>
          <w:color w:val="000000" w:themeColor="text1"/>
        </w:rPr>
        <w:t>对于持证时间超过一个月的季度，报告周期为当季全季（自然季度）；对于持证时间不足一个月的季度，该报告周期内可不提交季度执行报告，排污许可证执行情况纳入下一季度执行报告。</w:t>
      </w:r>
    </w:p>
    <w:p w14:paraId="76C5705A">
      <w:pPr>
        <w:pStyle w:val="116"/>
        <w:ind w:firstLine="480"/>
        <w:rPr>
          <w:color w:val="000000" w:themeColor="text1"/>
        </w:rPr>
      </w:pPr>
      <w:r>
        <w:rPr>
          <w:rFonts w:hint="eastAsia" w:ascii="宋体" w:hAnsi="宋体" w:cs="宋体"/>
          <w:color w:val="000000" w:themeColor="text1"/>
        </w:rPr>
        <w:t>③</w:t>
      </w:r>
      <w:r>
        <w:rPr>
          <w:color w:val="000000" w:themeColor="text1"/>
        </w:rPr>
        <w:t>月度执行报告月度执行报告月度执行报告</w:t>
      </w:r>
    </w:p>
    <w:p w14:paraId="14E9B0BF">
      <w:pPr>
        <w:pStyle w:val="116"/>
        <w:ind w:firstLine="480"/>
        <w:rPr>
          <w:color w:val="000000" w:themeColor="text1"/>
        </w:rPr>
      </w:pPr>
      <w:r>
        <w:rPr>
          <w:color w:val="000000" w:themeColor="text1"/>
        </w:rPr>
        <w:t>对于持证时间超过十日的月份，报告周期为当月全月（自然月）；对于持证时间不足十日的月份，该报告周期内可不提交月度执行报告，排污许可证执行情况纳入下一月度执行报告。</w:t>
      </w:r>
    </w:p>
    <w:p w14:paraId="50499486">
      <w:pPr>
        <w:spacing w:line="357" w:lineRule="auto"/>
        <w:sectPr>
          <w:footerReference r:id="rId13" w:type="default"/>
          <w:pgSz w:w="11910" w:h="16840"/>
          <w:pgMar w:top="1460" w:right="1680" w:bottom="1280" w:left="1680" w:header="0" w:footer="1081" w:gutter="0"/>
          <w:cols w:space="720" w:num="1"/>
        </w:sectPr>
      </w:pPr>
    </w:p>
    <w:p w14:paraId="474039BB">
      <w:pPr>
        <w:pStyle w:val="105"/>
        <w:rPr>
          <w:rFonts w:cs="Times New Roman"/>
          <w:color w:val="000000" w:themeColor="text1"/>
        </w:rPr>
      </w:pPr>
      <w:bookmarkStart w:id="483" w:name="8.1.8其它管理要求"/>
      <w:bookmarkEnd w:id="483"/>
      <w:r>
        <w:rPr>
          <w:rFonts w:cs="Times New Roman"/>
          <w:color w:val="000000" w:themeColor="text1"/>
        </w:rPr>
        <w:t>10.1.8其它管理要求</w:t>
      </w:r>
    </w:p>
    <w:p w14:paraId="78EE0B73">
      <w:pPr>
        <w:spacing w:line="360" w:lineRule="auto"/>
        <w:ind w:firstLine="480" w:firstLineChars="200"/>
        <w:rPr>
          <w:color w:val="000000" w:themeColor="text1"/>
          <w:sz w:val="24"/>
          <w:szCs w:val="22"/>
        </w:rPr>
      </w:pPr>
      <w:r>
        <w:rPr>
          <w:color w:val="000000" w:themeColor="text1"/>
          <w:sz w:val="24"/>
          <w:szCs w:val="22"/>
        </w:rPr>
        <w:t>（1）本环评提出的环保设施、措施，仅针对废旧塑料的回收造粒，若建设单位回收其他类型废旧塑料，应针对该类塑料特性对环保设施进行调整，并报相关环保部门批准方可开展。当项目需要开展其他品种的塑料加工时需要对项目另行办理环评手续。</w:t>
      </w:r>
    </w:p>
    <w:p w14:paraId="527A47E2">
      <w:pPr>
        <w:spacing w:line="360" w:lineRule="auto"/>
        <w:ind w:firstLine="480" w:firstLineChars="200"/>
        <w:rPr>
          <w:color w:val="000000" w:themeColor="text1"/>
          <w:sz w:val="24"/>
          <w:szCs w:val="22"/>
        </w:rPr>
      </w:pPr>
      <w:r>
        <w:rPr>
          <w:color w:val="000000" w:themeColor="text1"/>
          <w:sz w:val="24"/>
          <w:szCs w:val="22"/>
        </w:rPr>
        <w:t>（2）本项目的废水处理设施工艺简单，无法净化、处理含大量化学物质的废水，因此本项目回收的废旧塑料只能是不受化学物质、农药污染。</w:t>
      </w:r>
    </w:p>
    <w:p w14:paraId="282A63F0">
      <w:pPr>
        <w:spacing w:line="360" w:lineRule="auto"/>
        <w:ind w:firstLine="480" w:firstLineChars="200"/>
        <w:rPr>
          <w:color w:val="000000" w:themeColor="text1"/>
          <w:sz w:val="24"/>
          <w:szCs w:val="22"/>
        </w:rPr>
      </w:pPr>
      <w:r>
        <w:rPr>
          <w:color w:val="000000" w:themeColor="text1"/>
          <w:sz w:val="24"/>
          <w:szCs w:val="22"/>
        </w:rPr>
        <w:t>（3）本项目原料库的设置应按照《废塑料回收与再生利用污染控制技术规范（试行）》要求建设封闭型设施，有防雨、防晒、防渗、防尘、防扬散和防火措施，废旧塑料严禁露天堆放。</w:t>
      </w:r>
    </w:p>
    <w:p w14:paraId="3D497AED">
      <w:pPr>
        <w:spacing w:line="360" w:lineRule="auto"/>
        <w:ind w:firstLine="480" w:firstLineChars="200"/>
        <w:rPr>
          <w:color w:val="000000" w:themeColor="text1"/>
          <w:sz w:val="24"/>
          <w:szCs w:val="22"/>
        </w:rPr>
      </w:pPr>
      <w:r>
        <w:rPr>
          <w:color w:val="000000" w:themeColor="text1"/>
          <w:sz w:val="24"/>
          <w:szCs w:val="22"/>
        </w:rPr>
        <w:t>（4）建立废旧塑料回收和再生利用情况记录制度， 记录内容主要包括每批次废旧水泥袋、农用地膜的回收时间、地点、来源(名称和联系方式)、数量、种类、预处理情况、再生利用时间和再生制品的名称、质量、流向、用途等，并做好月度和年度汇总工作。</w:t>
      </w:r>
    </w:p>
    <w:p w14:paraId="192A46F7">
      <w:pPr>
        <w:spacing w:line="360" w:lineRule="auto"/>
        <w:ind w:firstLine="480" w:firstLineChars="200"/>
        <w:rPr>
          <w:color w:val="000000" w:themeColor="text1"/>
          <w:sz w:val="24"/>
          <w:szCs w:val="22"/>
        </w:rPr>
      </w:pPr>
      <w:r>
        <w:rPr>
          <w:color w:val="000000" w:themeColor="text1"/>
          <w:sz w:val="24"/>
          <w:szCs w:val="22"/>
        </w:rPr>
        <w:t>（5）建立污染预防机制和处理环境污染事故的应急预案制度；建立环境保护监测制度，不同污染物的采样监测方法和频次应执行相关国家或行业标准，并做好监测记录及特殊情况记录。</w:t>
      </w:r>
    </w:p>
    <w:p w14:paraId="5347325D">
      <w:pPr>
        <w:pStyle w:val="17"/>
        <w:spacing w:before="5"/>
        <w:ind w:firstLine="350"/>
        <w:rPr>
          <w:sz w:val="35"/>
        </w:rPr>
      </w:pPr>
    </w:p>
    <w:p w14:paraId="32F574FA">
      <w:pPr>
        <w:pStyle w:val="4"/>
        <w:rPr>
          <w:rFonts w:ascii="Times New Roman" w:hAnsi="Times New Roman"/>
          <w:color w:val="000000" w:themeColor="text1"/>
        </w:rPr>
      </w:pPr>
      <w:bookmarkStart w:id="484" w:name="_bookmark44"/>
      <w:bookmarkEnd w:id="484"/>
      <w:bookmarkStart w:id="485" w:name="8.2环境管理要求"/>
      <w:bookmarkEnd w:id="485"/>
      <w:bookmarkStart w:id="486" w:name="_Toc28117738"/>
      <w:r>
        <w:rPr>
          <w:rFonts w:ascii="Times New Roman" w:hAnsi="Times New Roman"/>
          <w:color w:val="000000" w:themeColor="text1"/>
        </w:rPr>
        <w:t>10.2环境管理要求</w:t>
      </w:r>
      <w:bookmarkEnd w:id="486"/>
    </w:p>
    <w:p w14:paraId="357F0517">
      <w:pPr>
        <w:pStyle w:val="105"/>
        <w:rPr>
          <w:rFonts w:cs="Times New Roman"/>
          <w:color w:val="000000" w:themeColor="text1"/>
        </w:rPr>
      </w:pPr>
      <w:bookmarkStart w:id="487" w:name="8.2.1项目建设阶段环境管理要求"/>
      <w:bookmarkEnd w:id="487"/>
      <w:r>
        <w:rPr>
          <w:rFonts w:cs="Times New Roman"/>
          <w:color w:val="000000" w:themeColor="text1"/>
        </w:rPr>
        <w:t>10.2.1项目建设阶段环境管理要求</w:t>
      </w:r>
    </w:p>
    <w:p w14:paraId="16731624">
      <w:pPr>
        <w:pStyle w:val="116"/>
        <w:ind w:firstLine="482"/>
        <w:rPr>
          <w:b/>
          <w:color w:val="000000" w:themeColor="text1"/>
        </w:rPr>
      </w:pPr>
      <w:r>
        <w:rPr>
          <w:b/>
          <w:color w:val="000000" w:themeColor="text1"/>
        </w:rPr>
        <w:t>1、废水</w:t>
      </w:r>
    </w:p>
    <w:p w14:paraId="46D9262D">
      <w:pPr>
        <w:pStyle w:val="116"/>
        <w:ind w:firstLine="480"/>
        <w:rPr>
          <w:color w:val="000000" w:themeColor="text1"/>
        </w:rPr>
      </w:pPr>
      <w:r>
        <w:rPr>
          <w:color w:val="000000" w:themeColor="text1"/>
        </w:rPr>
        <w:t>在现场监督施工单位严格按照设计方案及环保要求进行时施工；施工废水、生活污水、初期雨水经沉淀后回用不外排；明确施工中废水的排放与回用要求， 并定期检查，使废水处理后，并回用。</w:t>
      </w:r>
    </w:p>
    <w:p w14:paraId="51FBC631">
      <w:pPr>
        <w:pStyle w:val="116"/>
        <w:ind w:firstLine="482"/>
        <w:rPr>
          <w:b/>
          <w:color w:val="000000" w:themeColor="text1"/>
        </w:rPr>
      </w:pPr>
      <w:r>
        <w:rPr>
          <w:b/>
          <w:color w:val="000000" w:themeColor="text1"/>
        </w:rPr>
        <w:t>2、废气</w:t>
      </w:r>
    </w:p>
    <w:p w14:paraId="07A9E76F">
      <w:pPr>
        <w:pStyle w:val="116"/>
        <w:ind w:firstLine="480"/>
        <w:rPr>
          <w:color w:val="000000" w:themeColor="text1"/>
        </w:rPr>
      </w:pPr>
      <w:r>
        <w:rPr>
          <w:color w:val="000000" w:themeColor="text1"/>
        </w:rPr>
        <w:t>监督施工单位采取扬尘防治措施，如遮盖砂石堆场、遮盖临时堆土场、及时洒水抑尘等防止干燥气候条件下产生扬尘；在土石方运输过程中，监督车辆按照环保要求采取防尘措施，要求货车运输加盖防尘布。</w:t>
      </w:r>
    </w:p>
    <w:p w14:paraId="31DC70C4">
      <w:pPr>
        <w:pStyle w:val="116"/>
        <w:ind w:firstLine="482"/>
        <w:rPr>
          <w:b/>
          <w:color w:val="000000" w:themeColor="text1"/>
        </w:rPr>
      </w:pPr>
    </w:p>
    <w:p w14:paraId="7325AD80">
      <w:pPr>
        <w:pStyle w:val="116"/>
        <w:ind w:firstLine="482"/>
        <w:rPr>
          <w:b/>
          <w:color w:val="000000" w:themeColor="text1"/>
        </w:rPr>
      </w:pPr>
      <w:r>
        <w:rPr>
          <w:b/>
          <w:color w:val="000000" w:themeColor="text1"/>
        </w:rPr>
        <w:t>3、噪声</w:t>
      </w:r>
    </w:p>
    <w:p w14:paraId="4FA8762A">
      <w:pPr>
        <w:pStyle w:val="116"/>
        <w:ind w:firstLine="480"/>
        <w:rPr>
          <w:color w:val="000000" w:themeColor="text1"/>
        </w:rPr>
      </w:pPr>
      <w:r>
        <w:rPr>
          <w:color w:val="000000" w:themeColor="text1"/>
        </w:rPr>
        <w:t>确认施工单位使用的产噪设备符合国家要求；监督施工单位加强设备的维护，及时更换磨损部件降低噪声；作业中搬运物件，必须轻拿轻放，钢铁件堆放不发出大的声响，严禁抛掷物件而造成噪声；监督合理安排施工时间，车辆运输尽量安排在白天进出，车辆减速，发现问题应及时通知施工单位整改。</w:t>
      </w:r>
    </w:p>
    <w:p w14:paraId="6106EFA9">
      <w:pPr>
        <w:pStyle w:val="116"/>
        <w:ind w:firstLine="482"/>
        <w:rPr>
          <w:b/>
          <w:color w:val="000000" w:themeColor="text1"/>
        </w:rPr>
      </w:pPr>
      <w:r>
        <w:rPr>
          <w:b/>
          <w:color w:val="000000" w:themeColor="text1"/>
        </w:rPr>
        <w:t>4、固废</w:t>
      </w:r>
    </w:p>
    <w:p w14:paraId="48F25E19">
      <w:pPr>
        <w:pStyle w:val="116"/>
        <w:ind w:firstLine="480"/>
        <w:rPr>
          <w:color w:val="000000" w:themeColor="text1"/>
        </w:rPr>
      </w:pPr>
      <w:r>
        <w:rPr>
          <w:color w:val="000000" w:themeColor="text1"/>
        </w:rPr>
        <w:t>建筑垃圾统一收集后按照芒市建筑垃圾管理办法规定清运处置；生活垃圾用垃圾桶收集后，委托环卫部门清运处置。</w:t>
      </w:r>
    </w:p>
    <w:p w14:paraId="13CD9322">
      <w:pPr>
        <w:pStyle w:val="17"/>
        <w:spacing w:before="5"/>
        <w:ind w:firstLine="350"/>
        <w:rPr>
          <w:sz w:val="35"/>
        </w:rPr>
      </w:pPr>
    </w:p>
    <w:p w14:paraId="484E3CCC">
      <w:pPr>
        <w:pStyle w:val="105"/>
        <w:rPr>
          <w:rFonts w:cs="Times New Roman"/>
          <w:color w:val="000000" w:themeColor="text1"/>
        </w:rPr>
      </w:pPr>
      <w:bookmarkStart w:id="488" w:name="8.2.2运营期环境管理要求"/>
      <w:bookmarkEnd w:id="488"/>
      <w:r>
        <w:rPr>
          <w:rFonts w:cs="Times New Roman"/>
          <w:color w:val="000000" w:themeColor="text1"/>
        </w:rPr>
        <w:t>10.2.2运营期环境管理要求</w:t>
      </w:r>
    </w:p>
    <w:p w14:paraId="5CAF6F39">
      <w:pPr>
        <w:pStyle w:val="116"/>
        <w:ind w:firstLine="482"/>
        <w:rPr>
          <w:b/>
          <w:color w:val="000000" w:themeColor="text1"/>
        </w:rPr>
      </w:pPr>
      <w:r>
        <w:rPr>
          <w:b/>
          <w:color w:val="000000" w:themeColor="text1"/>
        </w:rPr>
        <w:t>1、废水</w:t>
      </w:r>
    </w:p>
    <w:p w14:paraId="30CCB378">
      <w:pPr>
        <w:pStyle w:val="116"/>
        <w:ind w:firstLine="480"/>
        <w:rPr>
          <w:color w:val="000000" w:themeColor="text1"/>
        </w:rPr>
      </w:pPr>
      <w:r>
        <w:rPr>
          <w:color w:val="000000" w:themeColor="text1"/>
        </w:rPr>
        <w:t>设置专门人员对项目污水处理设施（隔油池+沉淀池）进行管理和维护，及时将污泥压滤后交由砖厂制砖使用，不在厂区内长期停留，避免污水处理设施（隔油池+沉淀池）污泥过多导致处理效果下降，池体中废水外溢，造成污染，若发生事故时，立即停止生产，防止废水外溢。</w:t>
      </w:r>
    </w:p>
    <w:p w14:paraId="0ED3BE3D">
      <w:pPr>
        <w:pStyle w:val="116"/>
        <w:ind w:firstLine="482"/>
        <w:rPr>
          <w:b/>
          <w:color w:val="000000" w:themeColor="text1"/>
        </w:rPr>
      </w:pPr>
      <w:r>
        <w:rPr>
          <w:b/>
          <w:color w:val="000000" w:themeColor="text1"/>
        </w:rPr>
        <w:t>2、废气</w:t>
      </w:r>
    </w:p>
    <w:p w14:paraId="6FB18043">
      <w:pPr>
        <w:pStyle w:val="116"/>
        <w:ind w:firstLine="480"/>
        <w:rPr>
          <w:color w:val="000000" w:themeColor="text1"/>
        </w:rPr>
      </w:pPr>
      <w:r>
        <w:rPr>
          <w:color w:val="000000" w:themeColor="text1"/>
        </w:rPr>
        <w:t>建立健全的环保管理机构，对环保管理人员和技术人员岗位培训，委托具有专业资质的环境检测单位对厂区排放的各类废气污染物定期检测。定期对废气处理设施维护保养，及时发现处理设备的隐患，确保废气处理系统正常运行。确保工艺废气稳定达标排放。防止非正常排放工况产生，企业应严格环保管理，建立环保装置运行台账。</w:t>
      </w:r>
    </w:p>
    <w:p w14:paraId="7888E8AB">
      <w:pPr>
        <w:pStyle w:val="116"/>
        <w:ind w:firstLine="482"/>
        <w:rPr>
          <w:b/>
          <w:color w:val="000000" w:themeColor="text1"/>
        </w:rPr>
      </w:pPr>
      <w:r>
        <w:rPr>
          <w:b/>
          <w:color w:val="000000" w:themeColor="text1"/>
        </w:rPr>
        <w:t>3、噪声</w:t>
      </w:r>
    </w:p>
    <w:p w14:paraId="4C471741">
      <w:pPr>
        <w:pStyle w:val="116"/>
        <w:ind w:firstLine="480"/>
        <w:rPr>
          <w:color w:val="000000" w:themeColor="text1"/>
        </w:rPr>
      </w:pPr>
      <w:r>
        <w:rPr>
          <w:color w:val="000000" w:themeColor="text1"/>
        </w:rPr>
        <w:t>要求建设单位对震动产噪设备安装减震垫，将机械设备置于室内；在生产过程中应注意各类机械设备的日常维护工作，加强对机械设备的检修，确保设备处于良好运行状态，减轻设备噪声对周围环境的影响。</w:t>
      </w:r>
    </w:p>
    <w:p w14:paraId="059542A8">
      <w:pPr>
        <w:pStyle w:val="116"/>
        <w:ind w:firstLine="482"/>
        <w:rPr>
          <w:b/>
          <w:color w:val="000000" w:themeColor="text1"/>
        </w:rPr>
      </w:pPr>
      <w:r>
        <w:rPr>
          <w:b/>
          <w:color w:val="000000" w:themeColor="text1"/>
        </w:rPr>
        <w:t>4、固废</w:t>
      </w:r>
    </w:p>
    <w:p w14:paraId="77C5F61B">
      <w:pPr>
        <w:pStyle w:val="116"/>
        <w:ind w:firstLine="480"/>
        <w:rPr>
          <w:color w:val="000000" w:themeColor="text1"/>
        </w:rPr>
      </w:pPr>
      <w:r>
        <w:rPr>
          <w:color w:val="000000" w:themeColor="text1"/>
        </w:rPr>
        <w:t>固体废物规范堆存，分拣杂质、浮渣统一收集后，定期运至垃圾填埋场填埋处理。生活垃圾统一收集后交由当地环卫部门清运处置。污泥进入浓缩池沉淀+ 压滤机压滤后运至最近的垃圾收集点。废过滤棉、废光解灯定期更换后，交由有资质的单位处置。固体废物禁止向外泼洒、随意堆放污染环境；严格按照环保要求处置， 处置率100%。</w:t>
      </w:r>
    </w:p>
    <w:p w14:paraId="24EE9048">
      <w:pPr>
        <w:pStyle w:val="116"/>
        <w:ind w:firstLine="482"/>
        <w:rPr>
          <w:b/>
          <w:color w:val="000000" w:themeColor="text1"/>
        </w:rPr>
      </w:pPr>
      <w:r>
        <w:rPr>
          <w:b/>
          <w:color w:val="000000" w:themeColor="text1"/>
        </w:rPr>
        <w:t>5、原料来源</w:t>
      </w:r>
    </w:p>
    <w:p w14:paraId="34DED097">
      <w:pPr>
        <w:pStyle w:val="116"/>
        <w:ind w:firstLine="480"/>
        <w:rPr>
          <w:color w:val="000000" w:themeColor="text1"/>
        </w:rPr>
      </w:pPr>
      <w:r>
        <w:rPr>
          <w:rFonts w:hint="eastAsia" w:ascii="宋体" w:hAnsi="宋体" w:cs="宋体"/>
          <w:color w:val="000000" w:themeColor="text1"/>
        </w:rPr>
        <w:t>①</w:t>
      </w:r>
      <w:r>
        <w:rPr>
          <w:color w:val="000000" w:themeColor="text1"/>
        </w:rPr>
        <w:t>建设单位不得回收和再生利用属于医疗废物和危险废物的废塑料。</w:t>
      </w:r>
    </w:p>
    <w:p w14:paraId="518757DE">
      <w:pPr>
        <w:pStyle w:val="116"/>
        <w:ind w:firstLine="480"/>
        <w:rPr>
          <w:color w:val="000000" w:themeColor="text1"/>
        </w:rPr>
      </w:pPr>
      <w:r>
        <w:rPr>
          <w:rFonts w:hint="eastAsia" w:ascii="宋体" w:hAnsi="宋体" w:cs="宋体"/>
          <w:color w:val="000000" w:themeColor="text1"/>
        </w:rPr>
        <w:t>②</w:t>
      </w:r>
      <w:r>
        <w:rPr>
          <w:color w:val="000000" w:themeColor="text1"/>
        </w:rPr>
        <w:t>根据建设单位提供资料，本项目仅回收废旧塑料。</w:t>
      </w:r>
    </w:p>
    <w:p w14:paraId="4EAD7DE6">
      <w:pPr>
        <w:pStyle w:val="116"/>
        <w:ind w:firstLine="480"/>
        <w:rPr>
          <w:color w:val="000000" w:themeColor="text1"/>
        </w:rPr>
      </w:pPr>
      <w:r>
        <w:rPr>
          <w:rFonts w:hint="eastAsia" w:ascii="宋体" w:hAnsi="宋体" w:cs="宋体"/>
          <w:color w:val="000000" w:themeColor="text1"/>
        </w:rPr>
        <w:t>③</w:t>
      </w:r>
      <w:r>
        <w:rPr>
          <w:color w:val="000000" w:themeColor="text1"/>
        </w:rPr>
        <w:t>为规范原料控制管理，环评提出以下的管理控制细则：</w:t>
      </w:r>
    </w:p>
    <w:p w14:paraId="7428F63D">
      <w:pPr>
        <w:pStyle w:val="116"/>
        <w:ind w:firstLine="480"/>
        <w:rPr>
          <w:color w:val="000000" w:themeColor="text1"/>
        </w:rPr>
      </w:pPr>
      <w:r>
        <w:rPr>
          <w:color w:val="000000" w:themeColor="text1"/>
        </w:rPr>
        <w:t>a 企业应严格按照《废塑料回收与再生利用污染控制技术规范（试行）》的回收、包装、运输、储存要求执行。</w:t>
      </w:r>
    </w:p>
    <w:p w14:paraId="1BEADE0C">
      <w:pPr>
        <w:pStyle w:val="116"/>
        <w:ind w:firstLine="480"/>
        <w:rPr>
          <w:color w:val="000000" w:themeColor="text1"/>
        </w:rPr>
      </w:pPr>
      <w:r>
        <w:rPr>
          <w:color w:val="000000" w:themeColor="text1"/>
        </w:rPr>
        <w:t>b 建立原料采购管理</w:t>
      </w:r>
      <w:r>
        <w:rPr>
          <w:rFonts w:hint="eastAsia"/>
          <w:color w:val="000000" w:themeColor="text1"/>
          <w:lang w:eastAsia="zh-CN"/>
        </w:rPr>
        <w:t>台账</w:t>
      </w:r>
      <w:r>
        <w:rPr>
          <w:color w:val="000000" w:themeColor="text1"/>
        </w:rPr>
        <w:t>制度，详细记录原料来源及种类、数量。接受有关部门监督管理检查。</w:t>
      </w:r>
    </w:p>
    <w:p w14:paraId="5D2317AE">
      <w:pPr>
        <w:pStyle w:val="116"/>
        <w:ind w:firstLine="480"/>
        <w:rPr>
          <w:color w:val="000000" w:themeColor="text1"/>
        </w:rPr>
      </w:pPr>
      <w:r>
        <w:rPr>
          <w:color w:val="000000" w:themeColor="text1"/>
        </w:rPr>
        <w:t>c 制定严格的原料采购管理制度，设专人对原料采购进行监督管理，项目建成后应与合法废旧塑料回收单位签订采购合同。</w:t>
      </w:r>
    </w:p>
    <w:p w14:paraId="26DB332D">
      <w:pPr>
        <w:pStyle w:val="105"/>
        <w:rPr>
          <w:rFonts w:cs="Times New Roman"/>
          <w:color w:val="000000" w:themeColor="text1"/>
        </w:rPr>
      </w:pPr>
      <w:bookmarkStart w:id="489" w:name="8.2.3信息公开制度"/>
      <w:bookmarkEnd w:id="489"/>
      <w:r>
        <w:rPr>
          <w:rFonts w:cs="Times New Roman"/>
          <w:color w:val="000000" w:themeColor="text1"/>
        </w:rPr>
        <w:t>10.2.3信息公开制度</w:t>
      </w:r>
    </w:p>
    <w:p w14:paraId="09030C50">
      <w:pPr>
        <w:pStyle w:val="116"/>
        <w:ind w:firstLine="480"/>
        <w:rPr>
          <w:color w:val="000000" w:themeColor="text1"/>
        </w:rPr>
      </w:pPr>
      <w:r>
        <w:rPr>
          <w:color w:val="000000" w:themeColor="text1"/>
        </w:rPr>
        <w:t>根据《建设项</w:t>
      </w:r>
      <w:r>
        <w:rPr>
          <w:rFonts w:hint="eastAsia"/>
          <w:color w:val="000000" w:themeColor="text1"/>
          <w:lang w:val="en-US" w:eastAsia="zh-CN"/>
        </w:rPr>
        <w:t>目</w:t>
      </w:r>
      <w:r>
        <w:rPr>
          <w:color w:val="000000" w:themeColor="text1"/>
        </w:rPr>
        <w:t>环境影响评价信息公开机制方案》、《企业事业单位环境信息公开办法》中的相关规定，本项目建设单位应当向社会公开以下信息：</w:t>
      </w:r>
    </w:p>
    <w:p w14:paraId="38570919">
      <w:pPr>
        <w:pStyle w:val="116"/>
        <w:ind w:firstLine="480"/>
        <w:rPr>
          <w:color w:val="000000" w:themeColor="text1"/>
        </w:rPr>
      </w:pPr>
      <w:r>
        <w:rPr>
          <w:color w:val="000000" w:themeColor="text1"/>
        </w:rPr>
        <w:t>（1）基础信息，包括单位名称、组织机构代码、法定代表人、生产地址、联系方式，以及生产经营和管理服务的主要内容、产品及规模；</w:t>
      </w:r>
    </w:p>
    <w:p w14:paraId="37BF16E8">
      <w:pPr>
        <w:pStyle w:val="116"/>
        <w:ind w:firstLine="480"/>
        <w:rPr>
          <w:color w:val="000000" w:themeColor="text1"/>
        </w:rPr>
      </w:pPr>
      <w:r>
        <w:rPr>
          <w:color w:val="000000" w:themeColor="text1"/>
        </w:rPr>
        <w:t>（2）项目建设过程中，建设单位应当在施工中期向社会公开建设项目环境保护措施进展情况、施工期的环境保护措施落实情况、施工期环境监理情况、施工期环境监测结果等；</w:t>
      </w:r>
    </w:p>
    <w:p w14:paraId="3915167D">
      <w:pPr>
        <w:pStyle w:val="116"/>
        <w:ind w:firstLine="480"/>
        <w:rPr>
          <w:color w:val="000000" w:themeColor="text1"/>
        </w:rPr>
      </w:pPr>
      <w:r>
        <w:rPr>
          <w:color w:val="000000" w:themeColor="text1"/>
        </w:rPr>
        <w:t>（3）项目建成后，建设单位应当向社会公开建设项目环评提出的各项环境保护设施和措施执行情况、竣工环境保护验收监测和调查结果。对主要因排放污染物对环境产生影响的建设项目，投入生产或使用后，应当定期向社会特别是周边社区公开主要污染物排放情况；</w:t>
      </w:r>
    </w:p>
    <w:p w14:paraId="74FEB1F4">
      <w:pPr>
        <w:pStyle w:val="116"/>
        <w:ind w:firstLine="480"/>
        <w:rPr>
          <w:color w:val="000000" w:themeColor="text1"/>
        </w:rPr>
      </w:pPr>
      <w:r>
        <w:rPr>
          <w:color w:val="000000" w:themeColor="text1"/>
        </w:rPr>
        <w:t>（4）排污信息，包括主要污染物及特征污染物的名称、排放方式、排放口数量和分布情况、排放浓度和总量、超标情况，以及执行的污染物排放标准、核定的排放总量；</w:t>
      </w:r>
    </w:p>
    <w:p w14:paraId="47B4BEF8">
      <w:pPr>
        <w:pStyle w:val="116"/>
        <w:ind w:firstLine="480"/>
        <w:rPr>
          <w:color w:val="000000" w:themeColor="text1"/>
        </w:rPr>
      </w:pPr>
      <w:r>
        <w:rPr>
          <w:color w:val="000000" w:themeColor="text1"/>
        </w:rPr>
        <w:t>（5）建设项且环境影响评价及其他环境保护行政许可情况。</w:t>
      </w:r>
    </w:p>
    <w:p w14:paraId="28761F3F">
      <w:pPr>
        <w:pStyle w:val="17"/>
        <w:ind w:firstLine="210"/>
      </w:pPr>
    </w:p>
    <w:p w14:paraId="16C58B7D">
      <w:pPr>
        <w:pStyle w:val="17"/>
        <w:ind w:firstLine="210"/>
      </w:pPr>
    </w:p>
    <w:p w14:paraId="6E3DF34B">
      <w:pPr>
        <w:pStyle w:val="17"/>
        <w:ind w:firstLine="210"/>
      </w:pPr>
    </w:p>
    <w:p w14:paraId="11765803">
      <w:pPr>
        <w:pStyle w:val="17"/>
        <w:ind w:firstLine="210"/>
      </w:pPr>
    </w:p>
    <w:p w14:paraId="6422F176">
      <w:pPr>
        <w:pStyle w:val="17"/>
        <w:spacing w:before="6"/>
        <w:ind w:firstLine="200"/>
        <w:rPr>
          <w:sz w:val="20"/>
        </w:rPr>
      </w:pPr>
    </w:p>
    <w:p w14:paraId="3F1E072E">
      <w:pPr>
        <w:pStyle w:val="4"/>
        <w:rPr>
          <w:rFonts w:ascii="Times New Roman" w:hAnsi="Times New Roman"/>
          <w:color w:val="000000" w:themeColor="text1"/>
        </w:rPr>
      </w:pPr>
      <w:bookmarkStart w:id="490" w:name="8.3污染物排放清单"/>
      <w:bookmarkEnd w:id="490"/>
      <w:bookmarkStart w:id="491" w:name="_bookmark45"/>
      <w:bookmarkEnd w:id="491"/>
      <w:bookmarkStart w:id="492" w:name="_Toc28117739"/>
      <w:r>
        <w:rPr>
          <w:rFonts w:ascii="Times New Roman" w:hAnsi="Times New Roman"/>
          <w:color w:val="000000" w:themeColor="text1"/>
        </w:rPr>
        <w:t>10.3污染物排放清单</w:t>
      </w:r>
      <w:bookmarkEnd w:id="492"/>
    </w:p>
    <w:p w14:paraId="54F2FA18">
      <w:pPr>
        <w:pStyle w:val="105"/>
        <w:rPr>
          <w:rFonts w:cs="Times New Roman"/>
          <w:sz w:val="32"/>
        </w:rPr>
      </w:pPr>
      <w:bookmarkStart w:id="493" w:name="8.3.1污染物排放清单"/>
      <w:bookmarkEnd w:id="493"/>
      <w:r>
        <w:rPr>
          <w:rFonts w:cs="Times New Roman"/>
          <w:color w:val="000000" w:themeColor="text1"/>
        </w:rPr>
        <w:t>10.3.1污染物排放清单</w:t>
      </w:r>
    </w:p>
    <w:p w14:paraId="6565A4F7">
      <w:pPr>
        <w:pStyle w:val="116"/>
        <w:ind w:firstLine="480"/>
        <w:rPr>
          <w:color w:val="000000" w:themeColor="text1"/>
        </w:rPr>
      </w:pPr>
      <w:r>
        <w:rPr>
          <w:color w:val="000000" w:themeColor="text1"/>
        </w:rPr>
        <w:t>根据工程分析及影响分析，项目污染物排放清单见下表。</w:t>
      </w:r>
    </w:p>
    <w:p w14:paraId="12BF78AF">
      <w:pPr>
        <w:jc w:val="center"/>
        <w:rPr>
          <w:b/>
          <w:sz w:val="24"/>
        </w:rPr>
      </w:pPr>
      <w:r>
        <w:rPr>
          <w:b/>
          <w:sz w:val="24"/>
        </w:rPr>
        <w:t>表9.3-1   污染物排放清单</w:t>
      </w:r>
    </w:p>
    <w:tbl>
      <w:tblPr>
        <w:tblStyle w:val="42"/>
        <w:tblW w:w="5000"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726"/>
        <w:gridCol w:w="1397"/>
        <w:gridCol w:w="946"/>
        <w:gridCol w:w="1852"/>
        <w:gridCol w:w="2113"/>
        <w:gridCol w:w="1015"/>
      </w:tblGrid>
      <w:tr w14:paraId="3A68D8DD">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6" w:type="pct"/>
            <w:gridSpan w:val="2"/>
            <w:vAlign w:val="center"/>
          </w:tcPr>
          <w:p w14:paraId="3EDAD1BC">
            <w:pPr>
              <w:jc w:val="center"/>
              <w:rPr>
                <w:color w:val="000000" w:themeColor="text1"/>
                <w:szCs w:val="21"/>
              </w:rPr>
            </w:pPr>
            <w:r>
              <w:rPr>
                <w:color w:val="000000" w:themeColor="text1"/>
                <w:szCs w:val="21"/>
              </w:rPr>
              <w:t>污染源</w:t>
            </w:r>
          </w:p>
        </w:tc>
        <w:tc>
          <w:tcPr>
            <w:tcW w:w="819" w:type="pct"/>
            <w:vAlign w:val="center"/>
          </w:tcPr>
          <w:p w14:paraId="178A333C">
            <w:pPr>
              <w:jc w:val="center"/>
              <w:rPr>
                <w:color w:val="000000" w:themeColor="text1"/>
                <w:szCs w:val="21"/>
              </w:rPr>
            </w:pPr>
            <w:r>
              <w:rPr>
                <w:color w:val="000000" w:themeColor="text1"/>
                <w:szCs w:val="21"/>
              </w:rPr>
              <w:t>污染物名称</w:t>
            </w:r>
          </w:p>
        </w:tc>
        <w:tc>
          <w:tcPr>
            <w:tcW w:w="555" w:type="pct"/>
            <w:vAlign w:val="center"/>
          </w:tcPr>
          <w:p w14:paraId="4A0ADB0A">
            <w:pPr>
              <w:jc w:val="center"/>
              <w:rPr>
                <w:color w:val="000000" w:themeColor="text1"/>
                <w:szCs w:val="21"/>
              </w:rPr>
            </w:pPr>
            <w:r>
              <w:rPr>
                <w:color w:val="000000" w:themeColor="text1"/>
                <w:szCs w:val="21"/>
              </w:rPr>
              <w:t>排放量</w:t>
            </w:r>
          </w:p>
          <w:p w14:paraId="423A4488">
            <w:pPr>
              <w:jc w:val="center"/>
              <w:rPr>
                <w:color w:val="000000" w:themeColor="text1"/>
                <w:szCs w:val="21"/>
              </w:rPr>
            </w:pPr>
            <w:r>
              <w:rPr>
                <w:color w:val="000000" w:themeColor="text1"/>
                <w:szCs w:val="21"/>
              </w:rPr>
              <w:t>（t/a）</w:t>
            </w:r>
          </w:p>
        </w:tc>
        <w:tc>
          <w:tcPr>
            <w:tcW w:w="1086" w:type="pct"/>
            <w:vAlign w:val="center"/>
          </w:tcPr>
          <w:p w14:paraId="291EF36D">
            <w:pPr>
              <w:jc w:val="center"/>
              <w:rPr>
                <w:color w:val="000000" w:themeColor="text1"/>
                <w:szCs w:val="21"/>
              </w:rPr>
            </w:pPr>
            <w:r>
              <w:rPr>
                <w:color w:val="000000" w:themeColor="text1"/>
                <w:szCs w:val="21"/>
              </w:rPr>
              <w:t>处理处置方式</w:t>
            </w:r>
          </w:p>
        </w:tc>
        <w:tc>
          <w:tcPr>
            <w:tcW w:w="1239" w:type="pct"/>
            <w:vAlign w:val="center"/>
          </w:tcPr>
          <w:p w14:paraId="6C07D05A">
            <w:pPr>
              <w:jc w:val="center"/>
              <w:rPr>
                <w:color w:val="000000" w:themeColor="text1"/>
                <w:szCs w:val="21"/>
              </w:rPr>
            </w:pPr>
            <w:r>
              <w:rPr>
                <w:color w:val="000000" w:themeColor="text1"/>
                <w:szCs w:val="21"/>
              </w:rPr>
              <w:t>排放要求</w:t>
            </w:r>
          </w:p>
        </w:tc>
        <w:tc>
          <w:tcPr>
            <w:tcW w:w="595" w:type="pct"/>
            <w:vAlign w:val="center"/>
          </w:tcPr>
          <w:p w14:paraId="36B0F16F">
            <w:pPr>
              <w:jc w:val="center"/>
              <w:rPr>
                <w:color w:val="000000" w:themeColor="text1"/>
                <w:szCs w:val="21"/>
              </w:rPr>
            </w:pPr>
            <w:r>
              <w:rPr>
                <w:color w:val="000000" w:themeColor="text1"/>
                <w:szCs w:val="21"/>
              </w:rPr>
              <w:t>排污口信息</w:t>
            </w:r>
          </w:p>
        </w:tc>
      </w:tr>
      <w:tr w14:paraId="2A2FA16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0" w:type="pct"/>
            <w:vAlign w:val="center"/>
          </w:tcPr>
          <w:p w14:paraId="2E0EAA70">
            <w:pPr>
              <w:jc w:val="center"/>
              <w:rPr>
                <w:color w:val="000000" w:themeColor="text1"/>
                <w:szCs w:val="21"/>
              </w:rPr>
            </w:pPr>
            <w:r>
              <w:rPr>
                <w:color w:val="000000" w:themeColor="text1"/>
                <w:szCs w:val="21"/>
              </w:rPr>
              <w:t>废水</w:t>
            </w:r>
          </w:p>
        </w:tc>
        <w:tc>
          <w:tcPr>
            <w:tcW w:w="426" w:type="pct"/>
            <w:vAlign w:val="center"/>
          </w:tcPr>
          <w:p w14:paraId="4C9135D7">
            <w:pPr>
              <w:jc w:val="center"/>
              <w:rPr>
                <w:color w:val="000000" w:themeColor="text1"/>
                <w:szCs w:val="21"/>
              </w:rPr>
            </w:pPr>
            <w:r>
              <w:rPr>
                <w:color w:val="000000" w:themeColor="text1"/>
                <w:szCs w:val="21"/>
              </w:rPr>
              <w:t>生产、生活</w:t>
            </w:r>
          </w:p>
        </w:tc>
        <w:tc>
          <w:tcPr>
            <w:tcW w:w="819" w:type="pct"/>
            <w:vAlign w:val="center"/>
          </w:tcPr>
          <w:p w14:paraId="43591560">
            <w:pPr>
              <w:jc w:val="center"/>
              <w:rPr>
                <w:color w:val="000000" w:themeColor="text1"/>
                <w:szCs w:val="21"/>
              </w:rPr>
            </w:pPr>
            <w:r>
              <w:rPr>
                <w:color w:val="000000" w:themeColor="text1"/>
                <w:szCs w:val="21"/>
              </w:rPr>
              <w:t>废水量（万）</w:t>
            </w:r>
          </w:p>
        </w:tc>
        <w:tc>
          <w:tcPr>
            <w:tcW w:w="555" w:type="pct"/>
            <w:vAlign w:val="center"/>
          </w:tcPr>
          <w:p w14:paraId="0ACED63D">
            <w:pPr>
              <w:adjustRightInd w:val="0"/>
              <w:snapToGrid w:val="0"/>
              <w:contextualSpacing/>
              <w:jc w:val="center"/>
              <w:rPr>
                <w:color w:val="000000" w:themeColor="text1"/>
                <w:szCs w:val="21"/>
              </w:rPr>
            </w:pPr>
            <w:r>
              <w:rPr>
                <w:rFonts w:eastAsia="等线"/>
                <w:color w:val="000000" w:themeColor="text1"/>
                <w:szCs w:val="21"/>
              </w:rPr>
              <w:t>0</w:t>
            </w:r>
          </w:p>
        </w:tc>
        <w:tc>
          <w:tcPr>
            <w:tcW w:w="1086" w:type="pct"/>
            <w:vAlign w:val="center"/>
          </w:tcPr>
          <w:p w14:paraId="455719CE">
            <w:pPr>
              <w:jc w:val="center"/>
              <w:rPr>
                <w:color w:val="000000" w:themeColor="text1"/>
                <w:szCs w:val="21"/>
              </w:rPr>
            </w:pPr>
            <w:r>
              <w:rPr>
                <w:bCs/>
                <w:color w:val="000000" w:themeColor="text1"/>
              </w:rPr>
              <w:t>生产废水中清洗、破碎废水通过污水处理设施（</w:t>
            </w:r>
            <w:r>
              <w:rPr>
                <w:bCs/>
                <w:color w:val="000000" w:themeColor="text1"/>
                <w:szCs w:val="21"/>
              </w:rPr>
              <w:t>1个2m</w:t>
            </w:r>
            <w:r>
              <w:rPr>
                <w:bCs/>
                <w:color w:val="000000" w:themeColor="text1"/>
                <w:szCs w:val="21"/>
                <w:vertAlign w:val="superscript"/>
              </w:rPr>
              <w:t>3</w:t>
            </w:r>
            <w:r>
              <w:rPr>
                <w:bCs/>
                <w:color w:val="000000" w:themeColor="text1"/>
                <w:szCs w:val="21"/>
              </w:rPr>
              <w:t>隔油池+1000m</w:t>
            </w:r>
            <w:r>
              <w:rPr>
                <w:bCs/>
                <w:color w:val="000000" w:themeColor="text1"/>
                <w:szCs w:val="21"/>
                <w:vertAlign w:val="superscript"/>
              </w:rPr>
              <w:t>3</w:t>
            </w:r>
            <w:r>
              <w:rPr>
                <w:bCs/>
                <w:color w:val="000000" w:themeColor="text1"/>
                <w:szCs w:val="21"/>
              </w:rPr>
              <w:t>沉淀池</w:t>
            </w:r>
            <w:r>
              <w:rPr>
                <w:bCs/>
                <w:color w:val="000000" w:themeColor="text1"/>
              </w:rPr>
              <w:t>）处理后，储存于沉淀池池回用于生产，不外排</w:t>
            </w:r>
          </w:p>
        </w:tc>
        <w:tc>
          <w:tcPr>
            <w:tcW w:w="1239" w:type="pct"/>
            <w:vAlign w:val="center"/>
          </w:tcPr>
          <w:p w14:paraId="42778E0E">
            <w:pPr>
              <w:jc w:val="center"/>
              <w:rPr>
                <w:color w:val="000000" w:themeColor="text1"/>
                <w:szCs w:val="21"/>
              </w:rPr>
            </w:pPr>
            <w:r>
              <w:rPr>
                <w:color w:val="000000" w:themeColor="text1"/>
                <w:szCs w:val="21"/>
              </w:rPr>
              <w:t>不外排</w:t>
            </w:r>
          </w:p>
        </w:tc>
        <w:tc>
          <w:tcPr>
            <w:tcW w:w="595" w:type="pct"/>
            <w:vAlign w:val="center"/>
          </w:tcPr>
          <w:p w14:paraId="56259352">
            <w:pPr>
              <w:jc w:val="center"/>
              <w:rPr>
                <w:color w:val="000000" w:themeColor="text1"/>
                <w:szCs w:val="21"/>
              </w:rPr>
            </w:pPr>
            <w:r>
              <w:rPr>
                <w:color w:val="000000" w:themeColor="text1"/>
                <w:szCs w:val="21"/>
              </w:rPr>
              <w:t>/</w:t>
            </w:r>
          </w:p>
        </w:tc>
      </w:tr>
      <w:tr w14:paraId="5847269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0" w:type="pct"/>
            <w:vMerge w:val="restart"/>
            <w:vAlign w:val="center"/>
          </w:tcPr>
          <w:p w14:paraId="718B8AC2">
            <w:pPr>
              <w:jc w:val="center"/>
              <w:rPr>
                <w:color w:val="000000" w:themeColor="text1"/>
                <w:szCs w:val="21"/>
              </w:rPr>
            </w:pPr>
            <w:r>
              <w:rPr>
                <w:color w:val="000000" w:themeColor="text1"/>
                <w:szCs w:val="21"/>
              </w:rPr>
              <w:t>废气</w:t>
            </w:r>
          </w:p>
        </w:tc>
        <w:tc>
          <w:tcPr>
            <w:tcW w:w="426" w:type="pct"/>
            <w:vMerge w:val="restart"/>
            <w:vAlign w:val="center"/>
          </w:tcPr>
          <w:p w14:paraId="23F3456A">
            <w:pPr>
              <w:jc w:val="center"/>
              <w:rPr>
                <w:color w:val="000000" w:themeColor="text1"/>
                <w:szCs w:val="21"/>
              </w:rPr>
            </w:pPr>
            <w:r>
              <w:rPr>
                <w:color w:val="000000" w:themeColor="text1"/>
                <w:szCs w:val="21"/>
              </w:rPr>
              <w:t>造粒工序</w:t>
            </w:r>
          </w:p>
        </w:tc>
        <w:tc>
          <w:tcPr>
            <w:tcW w:w="819" w:type="pct"/>
            <w:vAlign w:val="center"/>
          </w:tcPr>
          <w:p w14:paraId="2FFB6BB2">
            <w:pPr>
              <w:jc w:val="center"/>
              <w:rPr>
                <w:color w:val="000000" w:themeColor="text1"/>
                <w:szCs w:val="21"/>
              </w:rPr>
            </w:pPr>
            <w:r>
              <w:rPr>
                <w:color w:val="000000" w:themeColor="text1"/>
                <w:szCs w:val="21"/>
              </w:rPr>
              <w:t>废气量（万m</w:t>
            </w:r>
            <w:r>
              <w:rPr>
                <w:color w:val="000000" w:themeColor="text1"/>
                <w:szCs w:val="21"/>
                <w:vertAlign w:val="superscript"/>
              </w:rPr>
              <w:t>3</w:t>
            </w:r>
            <w:r>
              <w:rPr>
                <w:color w:val="000000" w:themeColor="text1"/>
                <w:szCs w:val="21"/>
              </w:rPr>
              <w:t>/a）</w:t>
            </w:r>
          </w:p>
        </w:tc>
        <w:tc>
          <w:tcPr>
            <w:tcW w:w="555" w:type="pct"/>
            <w:vAlign w:val="center"/>
          </w:tcPr>
          <w:p w14:paraId="610D7F6F">
            <w:pPr>
              <w:jc w:val="center"/>
              <w:rPr>
                <w:color w:val="000000" w:themeColor="text1"/>
                <w:szCs w:val="21"/>
              </w:rPr>
            </w:pPr>
            <w:r>
              <w:rPr>
                <w:rFonts w:eastAsia="等线"/>
                <w:color w:val="000000" w:themeColor="text1"/>
                <w:szCs w:val="21"/>
              </w:rPr>
              <w:t>1920</w:t>
            </w:r>
          </w:p>
        </w:tc>
        <w:tc>
          <w:tcPr>
            <w:tcW w:w="1086" w:type="pct"/>
            <w:vMerge w:val="restart"/>
            <w:vAlign w:val="center"/>
          </w:tcPr>
          <w:p w14:paraId="6DAE68AE">
            <w:pPr>
              <w:jc w:val="center"/>
              <w:rPr>
                <w:color w:val="000000" w:themeColor="text1"/>
                <w:szCs w:val="21"/>
              </w:rPr>
            </w:pPr>
            <w:r>
              <w:rPr>
                <w:bCs/>
                <w:color w:val="000000" w:themeColor="text1"/>
                <w:szCs w:val="21"/>
              </w:rPr>
              <w:t>2套集气罩+1套过滤棉+1套UV光解装置+1根15m排气筒，集气效率90%，颗粒物处置效率95%，非甲烷总烃处置效率85+15m排气筒</w:t>
            </w:r>
          </w:p>
        </w:tc>
        <w:tc>
          <w:tcPr>
            <w:tcW w:w="1239" w:type="pct"/>
            <w:vMerge w:val="restart"/>
            <w:vAlign w:val="center"/>
          </w:tcPr>
          <w:p w14:paraId="5CAFCD17">
            <w:pPr>
              <w:adjustRightInd w:val="0"/>
              <w:snapToGrid w:val="0"/>
              <w:contextualSpacing/>
              <w:jc w:val="center"/>
              <w:rPr>
                <w:color w:val="000000" w:themeColor="text1"/>
                <w:szCs w:val="21"/>
              </w:rPr>
            </w:pPr>
            <w:r>
              <w:rPr>
                <w:color w:val="000000" w:themeColor="text1"/>
                <w:szCs w:val="21"/>
              </w:rPr>
              <w:t>《合成树脂工业污染物排放标准》（GB31572-2015），臭气浓度执行《恶臭污染物排放标准》（GB14554-1993）中表1恶臭污染物厂界标准中二级标准</w:t>
            </w:r>
          </w:p>
        </w:tc>
        <w:tc>
          <w:tcPr>
            <w:tcW w:w="595" w:type="pct"/>
            <w:vAlign w:val="center"/>
          </w:tcPr>
          <w:p w14:paraId="7283D1A1">
            <w:pPr>
              <w:jc w:val="center"/>
              <w:rPr>
                <w:color w:val="000000" w:themeColor="text1"/>
                <w:szCs w:val="21"/>
              </w:rPr>
            </w:pPr>
            <w:r>
              <w:rPr>
                <w:color w:val="000000" w:themeColor="text1"/>
                <w:szCs w:val="21"/>
              </w:rPr>
              <w:t>/</w:t>
            </w:r>
          </w:p>
        </w:tc>
      </w:tr>
      <w:tr w14:paraId="37C6709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0" w:type="pct"/>
            <w:vMerge w:val="continue"/>
            <w:vAlign w:val="center"/>
          </w:tcPr>
          <w:p w14:paraId="38854B28">
            <w:pPr>
              <w:jc w:val="center"/>
              <w:rPr>
                <w:color w:val="000000" w:themeColor="text1"/>
                <w:szCs w:val="21"/>
              </w:rPr>
            </w:pPr>
          </w:p>
        </w:tc>
        <w:tc>
          <w:tcPr>
            <w:tcW w:w="426" w:type="pct"/>
            <w:vMerge w:val="continue"/>
            <w:vAlign w:val="center"/>
          </w:tcPr>
          <w:p w14:paraId="51019704">
            <w:pPr>
              <w:jc w:val="center"/>
              <w:rPr>
                <w:color w:val="000000" w:themeColor="text1"/>
                <w:szCs w:val="21"/>
              </w:rPr>
            </w:pPr>
          </w:p>
        </w:tc>
        <w:tc>
          <w:tcPr>
            <w:tcW w:w="819" w:type="pct"/>
            <w:vAlign w:val="center"/>
          </w:tcPr>
          <w:p w14:paraId="23EF26DC">
            <w:pPr>
              <w:jc w:val="center"/>
              <w:rPr>
                <w:color w:val="000000" w:themeColor="text1"/>
                <w:szCs w:val="21"/>
              </w:rPr>
            </w:pPr>
            <w:r>
              <w:rPr>
                <w:color w:val="000000" w:themeColor="text1"/>
                <w:szCs w:val="21"/>
              </w:rPr>
              <w:t>颗粒物</w:t>
            </w:r>
          </w:p>
        </w:tc>
        <w:tc>
          <w:tcPr>
            <w:tcW w:w="555" w:type="pct"/>
            <w:vAlign w:val="center"/>
          </w:tcPr>
          <w:p w14:paraId="5F771B41">
            <w:pPr>
              <w:jc w:val="center"/>
              <w:rPr>
                <w:color w:val="000000" w:themeColor="text1"/>
                <w:szCs w:val="21"/>
              </w:rPr>
            </w:pPr>
            <w:r>
              <w:rPr>
                <w:rFonts w:eastAsia="等线"/>
                <w:color w:val="000000" w:themeColor="text1"/>
                <w:szCs w:val="21"/>
              </w:rPr>
              <w:t xml:space="preserve">0.012 </w:t>
            </w:r>
          </w:p>
        </w:tc>
        <w:tc>
          <w:tcPr>
            <w:tcW w:w="1086" w:type="pct"/>
            <w:vMerge w:val="continue"/>
            <w:vAlign w:val="center"/>
          </w:tcPr>
          <w:p w14:paraId="6D8BF268">
            <w:pPr>
              <w:jc w:val="center"/>
              <w:rPr>
                <w:color w:val="000000" w:themeColor="text1"/>
                <w:szCs w:val="21"/>
              </w:rPr>
            </w:pPr>
          </w:p>
        </w:tc>
        <w:tc>
          <w:tcPr>
            <w:tcW w:w="1239" w:type="pct"/>
            <w:vMerge w:val="continue"/>
            <w:vAlign w:val="center"/>
          </w:tcPr>
          <w:p w14:paraId="1CF637EA">
            <w:pPr>
              <w:adjustRightInd w:val="0"/>
              <w:snapToGrid w:val="0"/>
              <w:contextualSpacing/>
              <w:jc w:val="center"/>
              <w:rPr>
                <w:color w:val="000000" w:themeColor="text1"/>
                <w:szCs w:val="21"/>
              </w:rPr>
            </w:pPr>
          </w:p>
        </w:tc>
        <w:tc>
          <w:tcPr>
            <w:tcW w:w="595" w:type="pct"/>
            <w:vAlign w:val="center"/>
          </w:tcPr>
          <w:p w14:paraId="2591E5A3">
            <w:pPr>
              <w:jc w:val="center"/>
              <w:rPr>
                <w:color w:val="000000" w:themeColor="text1"/>
                <w:szCs w:val="21"/>
              </w:rPr>
            </w:pPr>
            <w:r>
              <w:rPr>
                <w:color w:val="000000" w:themeColor="text1"/>
                <w:szCs w:val="21"/>
              </w:rPr>
              <w:t>/</w:t>
            </w:r>
          </w:p>
        </w:tc>
      </w:tr>
      <w:tr w14:paraId="414F13D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0" w:type="pct"/>
            <w:vMerge w:val="continue"/>
            <w:vAlign w:val="center"/>
          </w:tcPr>
          <w:p w14:paraId="4FDB0A40">
            <w:pPr>
              <w:jc w:val="center"/>
              <w:rPr>
                <w:color w:val="000000" w:themeColor="text1"/>
                <w:szCs w:val="21"/>
              </w:rPr>
            </w:pPr>
          </w:p>
        </w:tc>
        <w:tc>
          <w:tcPr>
            <w:tcW w:w="426" w:type="pct"/>
            <w:vMerge w:val="continue"/>
            <w:vAlign w:val="center"/>
          </w:tcPr>
          <w:p w14:paraId="5026DAF5">
            <w:pPr>
              <w:jc w:val="center"/>
              <w:rPr>
                <w:color w:val="000000" w:themeColor="text1"/>
                <w:szCs w:val="21"/>
              </w:rPr>
            </w:pPr>
          </w:p>
        </w:tc>
        <w:tc>
          <w:tcPr>
            <w:tcW w:w="819" w:type="pct"/>
            <w:vAlign w:val="center"/>
          </w:tcPr>
          <w:p w14:paraId="38A4A340">
            <w:pPr>
              <w:jc w:val="center"/>
              <w:rPr>
                <w:color w:val="000000" w:themeColor="text1"/>
                <w:szCs w:val="21"/>
              </w:rPr>
            </w:pPr>
            <w:r>
              <w:rPr>
                <w:color w:val="000000" w:themeColor="text1"/>
                <w:szCs w:val="21"/>
              </w:rPr>
              <w:t>非甲烷总烃</w:t>
            </w:r>
          </w:p>
        </w:tc>
        <w:tc>
          <w:tcPr>
            <w:tcW w:w="555" w:type="pct"/>
            <w:vAlign w:val="center"/>
          </w:tcPr>
          <w:p w14:paraId="605FA194">
            <w:pPr>
              <w:jc w:val="center"/>
              <w:rPr>
                <w:color w:val="000000" w:themeColor="text1"/>
                <w:szCs w:val="21"/>
              </w:rPr>
            </w:pPr>
            <w:r>
              <w:rPr>
                <w:rFonts w:eastAsia="等线"/>
                <w:color w:val="000000" w:themeColor="text1"/>
                <w:szCs w:val="21"/>
              </w:rPr>
              <w:t xml:space="preserve">0.079 </w:t>
            </w:r>
          </w:p>
        </w:tc>
        <w:tc>
          <w:tcPr>
            <w:tcW w:w="1086" w:type="pct"/>
            <w:vMerge w:val="continue"/>
            <w:vAlign w:val="center"/>
          </w:tcPr>
          <w:p w14:paraId="4F9B95D5">
            <w:pPr>
              <w:jc w:val="center"/>
              <w:rPr>
                <w:color w:val="000000" w:themeColor="text1"/>
                <w:szCs w:val="21"/>
              </w:rPr>
            </w:pPr>
          </w:p>
        </w:tc>
        <w:tc>
          <w:tcPr>
            <w:tcW w:w="1239" w:type="pct"/>
            <w:vMerge w:val="continue"/>
            <w:vAlign w:val="center"/>
          </w:tcPr>
          <w:p w14:paraId="5B740BB3">
            <w:pPr>
              <w:adjustRightInd w:val="0"/>
              <w:snapToGrid w:val="0"/>
              <w:contextualSpacing/>
              <w:jc w:val="center"/>
              <w:rPr>
                <w:color w:val="000000" w:themeColor="text1"/>
                <w:szCs w:val="21"/>
              </w:rPr>
            </w:pPr>
          </w:p>
        </w:tc>
        <w:tc>
          <w:tcPr>
            <w:tcW w:w="595" w:type="pct"/>
            <w:vAlign w:val="center"/>
          </w:tcPr>
          <w:p w14:paraId="62A1F005">
            <w:pPr>
              <w:jc w:val="center"/>
              <w:rPr>
                <w:color w:val="000000" w:themeColor="text1"/>
                <w:szCs w:val="21"/>
              </w:rPr>
            </w:pPr>
            <w:r>
              <w:rPr>
                <w:color w:val="000000" w:themeColor="text1"/>
                <w:szCs w:val="21"/>
              </w:rPr>
              <w:t>/</w:t>
            </w:r>
          </w:p>
        </w:tc>
      </w:tr>
      <w:tr w14:paraId="2E22C705">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0" w:type="pct"/>
            <w:vMerge w:val="continue"/>
            <w:vAlign w:val="center"/>
          </w:tcPr>
          <w:p w14:paraId="68845783">
            <w:pPr>
              <w:jc w:val="center"/>
              <w:rPr>
                <w:color w:val="000000" w:themeColor="text1"/>
                <w:szCs w:val="21"/>
              </w:rPr>
            </w:pPr>
          </w:p>
        </w:tc>
        <w:tc>
          <w:tcPr>
            <w:tcW w:w="426" w:type="pct"/>
            <w:vMerge w:val="restart"/>
            <w:vAlign w:val="center"/>
          </w:tcPr>
          <w:p w14:paraId="39C441FC">
            <w:pPr>
              <w:jc w:val="center"/>
              <w:rPr>
                <w:color w:val="000000" w:themeColor="text1"/>
                <w:szCs w:val="21"/>
              </w:rPr>
            </w:pPr>
            <w:r>
              <w:rPr>
                <w:color w:val="000000" w:themeColor="text1"/>
                <w:szCs w:val="21"/>
              </w:rPr>
              <w:t>编织袋生产</w:t>
            </w:r>
          </w:p>
        </w:tc>
        <w:tc>
          <w:tcPr>
            <w:tcW w:w="819" w:type="pct"/>
            <w:vAlign w:val="center"/>
          </w:tcPr>
          <w:p w14:paraId="6FF654FC">
            <w:pPr>
              <w:jc w:val="center"/>
              <w:rPr>
                <w:color w:val="000000" w:themeColor="text1"/>
                <w:szCs w:val="21"/>
              </w:rPr>
            </w:pPr>
            <w:r>
              <w:rPr>
                <w:color w:val="000000" w:themeColor="text1"/>
                <w:szCs w:val="21"/>
              </w:rPr>
              <w:t>废气量（万m</w:t>
            </w:r>
            <w:r>
              <w:rPr>
                <w:color w:val="000000" w:themeColor="text1"/>
                <w:szCs w:val="21"/>
                <w:vertAlign w:val="superscript"/>
              </w:rPr>
              <w:t>3</w:t>
            </w:r>
            <w:r>
              <w:rPr>
                <w:color w:val="000000" w:themeColor="text1"/>
                <w:szCs w:val="21"/>
              </w:rPr>
              <w:t>/a）</w:t>
            </w:r>
          </w:p>
        </w:tc>
        <w:tc>
          <w:tcPr>
            <w:tcW w:w="555" w:type="pct"/>
            <w:vAlign w:val="center"/>
          </w:tcPr>
          <w:p w14:paraId="67D04CB7">
            <w:pPr>
              <w:jc w:val="center"/>
              <w:rPr>
                <w:color w:val="000000" w:themeColor="text1"/>
                <w:szCs w:val="21"/>
              </w:rPr>
            </w:pPr>
            <w:r>
              <w:rPr>
                <w:rFonts w:eastAsia="等线"/>
                <w:color w:val="000000" w:themeColor="text1"/>
                <w:szCs w:val="21"/>
              </w:rPr>
              <w:t>1200</w:t>
            </w:r>
          </w:p>
        </w:tc>
        <w:tc>
          <w:tcPr>
            <w:tcW w:w="1086" w:type="pct"/>
            <w:vMerge w:val="restart"/>
            <w:vAlign w:val="center"/>
          </w:tcPr>
          <w:p w14:paraId="18F08002">
            <w:pPr>
              <w:jc w:val="center"/>
              <w:rPr>
                <w:color w:val="000000" w:themeColor="text1"/>
                <w:szCs w:val="21"/>
              </w:rPr>
            </w:pPr>
            <w:r>
              <w:rPr>
                <w:bCs/>
                <w:color w:val="000000" w:themeColor="text1"/>
                <w:szCs w:val="21"/>
              </w:rPr>
              <w:t>1套集气罩+1套过滤棉+1套UV光解装置+1根15m排气筒，集气效率90%，颗粒物处置效率95%，非甲烷总烃处置效率85%+15m排气筒</w:t>
            </w:r>
          </w:p>
        </w:tc>
        <w:tc>
          <w:tcPr>
            <w:tcW w:w="1239" w:type="pct"/>
            <w:vMerge w:val="continue"/>
            <w:vAlign w:val="center"/>
          </w:tcPr>
          <w:p w14:paraId="3F145363">
            <w:pPr>
              <w:adjustRightInd w:val="0"/>
              <w:snapToGrid w:val="0"/>
              <w:contextualSpacing/>
              <w:jc w:val="center"/>
              <w:rPr>
                <w:color w:val="000000" w:themeColor="text1"/>
                <w:szCs w:val="21"/>
              </w:rPr>
            </w:pPr>
          </w:p>
        </w:tc>
        <w:tc>
          <w:tcPr>
            <w:tcW w:w="595" w:type="pct"/>
            <w:vAlign w:val="center"/>
          </w:tcPr>
          <w:p w14:paraId="43CCC05B">
            <w:pPr>
              <w:jc w:val="center"/>
              <w:rPr>
                <w:color w:val="000000" w:themeColor="text1"/>
                <w:szCs w:val="21"/>
              </w:rPr>
            </w:pPr>
            <w:r>
              <w:rPr>
                <w:color w:val="000000" w:themeColor="text1"/>
                <w:szCs w:val="21"/>
              </w:rPr>
              <w:t>/</w:t>
            </w:r>
          </w:p>
        </w:tc>
      </w:tr>
      <w:tr w14:paraId="6574363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0" w:type="pct"/>
            <w:vMerge w:val="continue"/>
            <w:vAlign w:val="center"/>
          </w:tcPr>
          <w:p w14:paraId="70970A84">
            <w:pPr>
              <w:jc w:val="center"/>
              <w:rPr>
                <w:color w:val="000000" w:themeColor="text1"/>
                <w:szCs w:val="21"/>
              </w:rPr>
            </w:pPr>
          </w:p>
        </w:tc>
        <w:tc>
          <w:tcPr>
            <w:tcW w:w="426" w:type="pct"/>
            <w:vMerge w:val="continue"/>
            <w:vAlign w:val="center"/>
          </w:tcPr>
          <w:p w14:paraId="7F1FC1FA">
            <w:pPr>
              <w:jc w:val="center"/>
              <w:rPr>
                <w:color w:val="000000" w:themeColor="text1"/>
                <w:szCs w:val="21"/>
              </w:rPr>
            </w:pPr>
          </w:p>
        </w:tc>
        <w:tc>
          <w:tcPr>
            <w:tcW w:w="819" w:type="pct"/>
            <w:vAlign w:val="center"/>
          </w:tcPr>
          <w:p w14:paraId="6A6A09F6">
            <w:pPr>
              <w:jc w:val="center"/>
              <w:rPr>
                <w:color w:val="000000" w:themeColor="text1"/>
                <w:szCs w:val="21"/>
              </w:rPr>
            </w:pPr>
            <w:r>
              <w:rPr>
                <w:color w:val="000000" w:themeColor="text1"/>
                <w:szCs w:val="21"/>
              </w:rPr>
              <w:t>颗粒物</w:t>
            </w:r>
          </w:p>
        </w:tc>
        <w:tc>
          <w:tcPr>
            <w:tcW w:w="555" w:type="pct"/>
            <w:vAlign w:val="center"/>
          </w:tcPr>
          <w:p w14:paraId="6B9BBC81">
            <w:pPr>
              <w:jc w:val="center"/>
              <w:rPr>
                <w:rFonts w:eastAsia="等线"/>
                <w:color w:val="000000" w:themeColor="text1"/>
                <w:szCs w:val="21"/>
              </w:rPr>
            </w:pPr>
            <w:r>
              <w:rPr>
                <w:rFonts w:eastAsia="等线"/>
                <w:color w:val="000000" w:themeColor="text1"/>
                <w:szCs w:val="21"/>
              </w:rPr>
              <w:t xml:space="preserve">0.007 </w:t>
            </w:r>
          </w:p>
        </w:tc>
        <w:tc>
          <w:tcPr>
            <w:tcW w:w="1086" w:type="pct"/>
            <w:vMerge w:val="continue"/>
            <w:vAlign w:val="center"/>
          </w:tcPr>
          <w:p w14:paraId="6F2CEB07">
            <w:pPr>
              <w:jc w:val="center"/>
              <w:rPr>
                <w:color w:val="000000" w:themeColor="text1"/>
                <w:szCs w:val="21"/>
              </w:rPr>
            </w:pPr>
          </w:p>
        </w:tc>
        <w:tc>
          <w:tcPr>
            <w:tcW w:w="1239" w:type="pct"/>
            <w:vMerge w:val="continue"/>
            <w:vAlign w:val="center"/>
          </w:tcPr>
          <w:p w14:paraId="70384720">
            <w:pPr>
              <w:adjustRightInd w:val="0"/>
              <w:snapToGrid w:val="0"/>
              <w:contextualSpacing/>
              <w:jc w:val="center"/>
              <w:rPr>
                <w:color w:val="000000" w:themeColor="text1"/>
                <w:szCs w:val="21"/>
              </w:rPr>
            </w:pPr>
          </w:p>
        </w:tc>
        <w:tc>
          <w:tcPr>
            <w:tcW w:w="595" w:type="pct"/>
            <w:vAlign w:val="center"/>
          </w:tcPr>
          <w:p w14:paraId="700EAD8C">
            <w:pPr>
              <w:jc w:val="center"/>
              <w:rPr>
                <w:color w:val="000000" w:themeColor="text1"/>
                <w:szCs w:val="21"/>
              </w:rPr>
            </w:pPr>
          </w:p>
        </w:tc>
      </w:tr>
      <w:tr w14:paraId="36869D4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0" w:type="pct"/>
            <w:vMerge w:val="continue"/>
            <w:vAlign w:val="center"/>
          </w:tcPr>
          <w:p w14:paraId="5FCE1596">
            <w:pPr>
              <w:jc w:val="center"/>
              <w:rPr>
                <w:color w:val="000000" w:themeColor="text1"/>
                <w:szCs w:val="21"/>
              </w:rPr>
            </w:pPr>
          </w:p>
        </w:tc>
        <w:tc>
          <w:tcPr>
            <w:tcW w:w="426" w:type="pct"/>
            <w:vMerge w:val="continue"/>
            <w:vAlign w:val="center"/>
          </w:tcPr>
          <w:p w14:paraId="7ACECEF9">
            <w:pPr>
              <w:jc w:val="center"/>
              <w:rPr>
                <w:color w:val="000000" w:themeColor="text1"/>
                <w:szCs w:val="21"/>
              </w:rPr>
            </w:pPr>
          </w:p>
        </w:tc>
        <w:tc>
          <w:tcPr>
            <w:tcW w:w="819" w:type="pct"/>
            <w:vAlign w:val="center"/>
          </w:tcPr>
          <w:p w14:paraId="69E69092">
            <w:pPr>
              <w:jc w:val="center"/>
              <w:rPr>
                <w:color w:val="000000" w:themeColor="text1"/>
                <w:szCs w:val="21"/>
              </w:rPr>
            </w:pPr>
            <w:r>
              <w:rPr>
                <w:color w:val="000000" w:themeColor="text1"/>
                <w:szCs w:val="21"/>
              </w:rPr>
              <w:t>非甲烷总烃</w:t>
            </w:r>
          </w:p>
        </w:tc>
        <w:tc>
          <w:tcPr>
            <w:tcW w:w="555" w:type="pct"/>
            <w:vAlign w:val="center"/>
          </w:tcPr>
          <w:p w14:paraId="72CE64DF">
            <w:pPr>
              <w:jc w:val="center"/>
              <w:rPr>
                <w:rFonts w:eastAsia="等线"/>
                <w:color w:val="000000" w:themeColor="text1"/>
                <w:szCs w:val="21"/>
              </w:rPr>
            </w:pPr>
            <w:r>
              <w:rPr>
                <w:rFonts w:eastAsia="等线"/>
                <w:color w:val="000000" w:themeColor="text1"/>
                <w:szCs w:val="21"/>
              </w:rPr>
              <w:t xml:space="preserve">0.047 </w:t>
            </w:r>
          </w:p>
        </w:tc>
        <w:tc>
          <w:tcPr>
            <w:tcW w:w="1086" w:type="pct"/>
            <w:vMerge w:val="continue"/>
            <w:vAlign w:val="center"/>
          </w:tcPr>
          <w:p w14:paraId="029B966B">
            <w:pPr>
              <w:jc w:val="center"/>
              <w:rPr>
                <w:color w:val="000000" w:themeColor="text1"/>
                <w:szCs w:val="21"/>
              </w:rPr>
            </w:pPr>
          </w:p>
        </w:tc>
        <w:tc>
          <w:tcPr>
            <w:tcW w:w="1239" w:type="pct"/>
            <w:vMerge w:val="continue"/>
            <w:vAlign w:val="center"/>
          </w:tcPr>
          <w:p w14:paraId="2B877BC2">
            <w:pPr>
              <w:adjustRightInd w:val="0"/>
              <w:snapToGrid w:val="0"/>
              <w:contextualSpacing/>
              <w:jc w:val="center"/>
              <w:rPr>
                <w:color w:val="000000" w:themeColor="text1"/>
                <w:szCs w:val="21"/>
              </w:rPr>
            </w:pPr>
          </w:p>
        </w:tc>
        <w:tc>
          <w:tcPr>
            <w:tcW w:w="595" w:type="pct"/>
            <w:vAlign w:val="center"/>
          </w:tcPr>
          <w:p w14:paraId="5BF1DCC8">
            <w:pPr>
              <w:jc w:val="center"/>
              <w:rPr>
                <w:color w:val="000000" w:themeColor="text1"/>
                <w:szCs w:val="21"/>
              </w:rPr>
            </w:pPr>
            <w:r>
              <w:rPr>
                <w:color w:val="000000" w:themeColor="text1"/>
                <w:szCs w:val="21"/>
              </w:rPr>
              <w:t>/</w:t>
            </w:r>
          </w:p>
        </w:tc>
      </w:tr>
      <w:tr w14:paraId="26B8BF7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6" w:type="pct"/>
            <w:gridSpan w:val="2"/>
            <w:vMerge w:val="restart"/>
            <w:vAlign w:val="center"/>
          </w:tcPr>
          <w:p w14:paraId="6BC9E2F5">
            <w:pPr>
              <w:jc w:val="center"/>
              <w:rPr>
                <w:color w:val="000000" w:themeColor="text1"/>
                <w:szCs w:val="21"/>
              </w:rPr>
            </w:pPr>
            <w:r>
              <w:rPr>
                <w:color w:val="000000" w:themeColor="text1"/>
                <w:szCs w:val="21"/>
              </w:rPr>
              <w:t>固废</w:t>
            </w:r>
          </w:p>
        </w:tc>
        <w:tc>
          <w:tcPr>
            <w:tcW w:w="819" w:type="pct"/>
            <w:vAlign w:val="center"/>
          </w:tcPr>
          <w:p w14:paraId="7377AD16">
            <w:pPr>
              <w:jc w:val="center"/>
              <w:rPr>
                <w:color w:val="000000" w:themeColor="text1"/>
                <w:szCs w:val="21"/>
              </w:rPr>
            </w:pPr>
            <w:r>
              <w:rPr>
                <w:color w:val="000000" w:themeColor="text1"/>
                <w:szCs w:val="21"/>
              </w:rPr>
              <w:t>拆包、人工分选杂物</w:t>
            </w:r>
          </w:p>
        </w:tc>
        <w:tc>
          <w:tcPr>
            <w:tcW w:w="555" w:type="pct"/>
            <w:vAlign w:val="center"/>
          </w:tcPr>
          <w:p w14:paraId="233CE78E">
            <w:pPr>
              <w:jc w:val="center"/>
              <w:rPr>
                <w:color w:val="000000" w:themeColor="text1"/>
                <w:szCs w:val="21"/>
              </w:rPr>
            </w:pPr>
            <w:r>
              <w:rPr>
                <w:color w:val="000000" w:themeColor="text1"/>
                <w:szCs w:val="21"/>
              </w:rPr>
              <w:t>3</w:t>
            </w:r>
          </w:p>
        </w:tc>
        <w:tc>
          <w:tcPr>
            <w:tcW w:w="1086" w:type="pct"/>
            <w:vMerge w:val="restart"/>
            <w:vAlign w:val="center"/>
          </w:tcPr>
          <w:p w14:paraId="4694B7EE">
            <w:pPr>
              <w:jc w:val="center"/>
              <w:rPr>
                <w:color w:val="000000" w:themeColor="text1"/>
                <w:szCs w:val="21"/>
              </w:rPr>
            </w:pPr>
            <w:r>
              <w:rPr>
                <w:color w:val="000000" w:themeColor="text1"/>
                <w:szCs w:val="21"/>
              </w:rPr>
              <w:t>收集后外卖</w:t>
            </w:r>
          </w:p>
        </w:tc>
        <w:tc>
          <w:tcPr>
            <w:tcW w:w="1239" w:type="pct"/>
            <w:vMerge w:val="restart"/>
            <w:vAlign w:val="center"/>
          </w:tcPr>
          <w:p w14:paraId="1C5FCDC9">
            <w:pPr>
              <w:jc w:val="center"/>
              <w:rPr>
                <w:color w:val="000000" w:themeColor="text1"/>
                <w:szCs w:val="21"/>
              </w:rPr>
            </w:pPr>
            <w:r>
              <w:rPr>
                <w:color w:val="000000" w:themeColor="text1"/>
                <w:szCs w:val="21"/>
              </w:rPr>
              <w:t>固废处置率100%</w:t>
            </w:r>
          </w:p>
        </w:tc>
        <w:tc>
          <w:tcPr>
            <w:tcW w:w="595" w:type="pct"/>
            <w:vAlign w:val="center"/>
          </w:tcPr>
          <w:p w14:paraId="45401B39">
            <w:pPr>
              <w:jc w:val="center"/>
              <w:rPr>
                <w:color w:val="000000" w:themeColor="text1"/>
                <w:szCs w:val="21"/>
              </w:rPr>
            </w:pPr>
            <w:r>
              <w:rPr>
                <w:color w:val="000000" w:themeColor="text1"/>
                <w:szCs w:val="21"/>
              </w:rPr>
              <w:t>/</w:t>
            </w:r>
          </w:p>
        </w:tc>
      </w:tr>
      <w:tr w14:paraId="3738685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6" w:type="pct"/>
            <w:gridSpan w:val="2"/>
            <w:vMerge w:val="continue"/>
            <w:vAlign w:val="center"/>
          </w:tcPr>
          <w:p w14:paraId="3770C9F9">
            <w:pPr>
              <w:jc w:val="center"/>
              <w:rPr>
                <w:color w:val="000000" w:themeColor="text1"/>
                <w:szCs w:val="21"/>
              </w:rPr>
            </w:pPr>
          </w:p>
        </w:tc>
        <w:tc>
          <w:tcPr>
            <w:tcW w:w="819" w:type="pct"/>
            <w:vAlign w:val="center"/>
          </w:tcPr>
          <w:p w14:paraId="6C179094">
            <w:pPr>
              <w:jc w:val="center"/>
              <w:rPr>
                <w:color w:val="000000" w:themeColor="text1"/>
                <w:szCs w:val="21"/>
              </w:rPr>
            </w:pPr>
            <w:r>
              <w:rPr>
                <w:color w:val="000000" w:themeColor="text1"/>
                <w:szCs w:val="21"/>
              </w:rPr>
              <w:t>剥离废标签纸</w:t>
            </w:r>
          </w:p>
        </w:tc>
        <w:tc>
          <w:tcPr>
            <w:tcW w:w="555" w:type="pct"/>
            <w:vAlign w:val="center"/>
          </w:tcPr>
          <w:p w14:paraId="6EE1E9FD">
            <w:pPr>
              <w:jc w:val="center"/>
              <w:rPr>
                <w:color w:val="000000" w:themeColor="text1"/>
                <w:szCs w:val="21"/>
              </w:rPr>
            </w:pPr>
            <w:r>
              <w:rPr>
                <w:color w:val="000000" w:themeColor="text1"/>
                <w:szCs w:val="21"/>
              </w:rPr>
              <w:t>1</w:t>
            </w:r>
          </w:p>
        </w:tc>
        <w:tc>
          <w:tcPr>
            <w:tcW w:w="1086" w:type="pct"/>
            <w:vMerge w:val="continue"/>
            <w:vAlign w:val="center"/>
          </w:tcPr>
          <w:p w14:paraId="00A506C5">
            <w:pPr>
              <w:jc w:val="center"/>
              <w:rPr>
                <w:color w:val="000000" w:themeColor="text1"/>
                <w:szCs w:val="21"/>
              </w:rPr>
            </w:pPr>
          </w:p>
        </w:tc>
        <w:tc>
          <w:tcPr>
            <w:tcW w:w="1239" w:type="pct"/>
            <w:vMerge w:val="continue"/>
            <w:vAlign w:val="center"/>
          </w:tcPr>
          <w:p w14:paraId="0E9E8815">
            <w:pPr>
              <w:jc w:val="center"/>
              <w:rPr>
                <w:color w:val="000000" w:themeColor="text1"/>
                <w:szCs w:val="21"/>
              </w:rPr>
            </w:pPr>
          </w:p>
        </w:tc>
        <w:tc>
          <w:tcPr>
            <w:tcW w:w="595" w:type="pct"/>
            <w:vAlign w:val="center"/>
          </w:tcPr>
          <w:p w14:paraId="3B1C15A6">
            <w:pPr>
              <w:jc w:val="center"/>
              <w:rPr>
                <w:color w:val="000000" w:themeColor="text1"/>
                <w:szCs w:val="21"/>
              </w:rPr>
            </w:pPr>
            <w:r>
              <w:rPr>
                <w:color w:val="000000" w:themeColor="text1"/>
                <w:szCs w:val="21"/>
              </w:rPr>
              <w:t>/</w:t>
            </w:r>
          </w:p>
        </w:tc>
      </w:tr>
      <w:tr w14:paraId="6B3ED99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6" w:type="pct"/>
            <w:gridSpan w:val="2"/>
            <w:vMerge w:val="continue"/>
            <w:vAlign w:val="center"/>
          </w:tcPr>
          <w:p w14:paraId="70035454">
            <w:pPr>
              <w:jc w:val="center"/>
              <w:rPr>
                <w:color w:val="000000" w:themeColor="text1"/>
                <w:szCs w:val="21"/>
              </w:rPr>
            </w:pPr>
          </w:p>
        </w:tc>
        <w:tc>
          <w:tcPr>
            <w:tcW w:w="819" w:type="pct"/>
            <w:vAlign w:val="center"/>
          </w:tcPr>
          <w:p w14:paraId="0460279A">
            <w:pPr>
              <w:jc w:val="center"/>
              <w:rPr>
                <w:color w:val="000000" w:themeColor="text1"/>
                <w:szCs w:val="21"/>
              </w:rPr>
            </w:pPr>
            <w:r>
              <w:rPr>
                <w:color w:val="000000" w:themeColor="text1"/>
                <w:szCs w:val="21"/>
              </w:rPr>
              <w:t>污水处理设施（隔油池+沉淀池）污泥</w:t>
            </w:r>
          </w:p>
        </w:tc>
        <w:tc>
          <w:tcPr>
            <w:tcW w:w="555" w:type="pct"/>
            <w:vAlign w:val="center"/>
          </w:tcPr>
          <w:p w14:paraId="2CD29548">
            <w:pPr>
              <w:jc w:val="center"/>
              <w:rPr>
                <w:color w:val="000000" w:themeColor="text1"/>
                <w:szCs w:val="21"/>
              </w:rPr>
            </w:pPr>
            <w:r>
              <w:rPr>
                <w:color w:val="000000" w:themeColor="text1"/>
                <w:szCs w:val="21"/>
              </w:rPr>
              <w:t>6.77</w:t>
            </w:r>
          </w:p>
        </w:tc>
        <w:tc>
          <w:tcPr>
            <w:tcW w:w="1086" w:type="pct"/>
            <w:vAlign w:val="center"/>
          </w:tcPr>
          <w:p w14:paraId="43C13335">
            <w:pPr>
              <w:jc w:val="center"/>
              <w:rPr>
                <w:color w:val="000000" w:themeColor="text1"/>
                <w:szCs w:val="21"/>
              </w:rPr>
            </w:pPr>
            <w:r>
              <w:rPr>
                <w:color w:val="000000" w:themeColor="text1"/>
                <w:szCs w:val="21"/>
              </w:rPr>
              <w:t>外运至最近村庄垃圾收集点处理</w:t>
            </w:r>
          </w:p>
        </w:tc>
        <w:tc>
          <w:tcPr>
            <w:tcW w:w="1239" w:type="pct"/>
            <w:vMerge w:val="continue"/>
            <w:vAlign w:val="center"/>
          </w:tcPr>
          <w:p w14:paraId="131323BF">
            <w:pPr>
              <w:jc w:val="center"/>
              <w:rPr>
                <w:color w:val="000000" w:themeColor="text1"/>
                <w:szCs w:val="21"/>
              </w:rPr>
            </w:pPr>
          </w:p>
        </w:tc>
        <w:tc>
          <w:tcPr>
            <w:tcW w:w="595" w:type="pct"/>
            <w:vAlign w:val="center"/>
          </w:tcPr>
          <w:p w14:paraId="0F910539">
            <w:pPr>
              <w:jc w:val="center"/>
              <w:rPr>
                <w:color w:val="000000" w:themeColor="text1"/>
                <w:szCs w:val="21"/>
              </w:rPr>
            </w:pPr>
            <w:r>
              <w:rPr>
                <w:color w:val="000000" w:themeColor="text1"/>
                <w:szCs w:val="21"/>
              </w:rPr>
              <w:t>/</w:t>
            </w:r>
          </w:p>
        </w:tc>
      </w:tr>
      <w:tr w14:paraId="1FF93EA8">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6" w:type="pct"/>
            <w:gridSpan w:val="2"/>
            <w:vMerge w:val="continue"/>
            <w:vAlign w:val="center"/>
          </w:tcPr>
          <w:p w14:paraId="54C8D0EE">
            <w:pPr>
              <w:jc w:val="center"/>
              <w:rPr>
                <w:color w:val="000000" w:themeColor="text1"/>
                <w:szCs w:val="21"/>
              </w:rPr>
            </w:pPr>
          </w:p>
        </w:tc>
        <w:tc>
          <w:tcPr>
            <w:tcW w:w="819" w:type="pct"/>
            <w:vAlign w:val="center"/>
          </w:tcPr>
          <w:p w14:paraId="5064DF65">
            <w:pPr>
              <w:jc w:val="center"/>
              <w:rPr>
                <w:color w:val="000000" w:themeColor="text1"/>
                <w:szCs w:val="21"/>
              </w:rPr>
            </w:pPr>
            <w:r>
              <w:rPr>
                <w:color w:val="000000" w:themeColor="text1"/>
                <w:szCs w:val="21"/>
              </w:rPr>
              <w:t>废过滤棉</w:t>
            </w:r>
          </w:p>
        </w:tc>
        <w:tc>
          <w:tcPr>
            <w:tcW w:w="555" w:type="pct"/>
            <w:vAlign w:val="center"/>
          </w:tcPr>
          <w:p w14:paraId="620D0940">
            <w:pPr>
              <w:adjustRightInd w:val="0"/>
              <w:snapToGrid w:val="0"/>
              <w:contextualSpacing/>
              <w:jc w:val="center"/>
              <w:rPr>
                <w:color w:val="000000" w:themeColor="text1"/>
                <w:szCs w:val="21"/>
              </w:rPr>
            </w:pPr>
            <w:r>
              <w:rPr>
                <w:color w:val="000000" w:themeColor="text1"/>
                <w:szCs w:val="21"/>
              </w:rPr>
              <w:t>0.164</w:t>
            </w:r>
          </w:p>
        </w:tc>
        <w:tc>
          <w:tcPr>
            <w:tcW w:w="1086" w:type="pct"/>
            <w:vMerge w:val="restart"/>
            <w:vAlign w:val="center"/>
          </w:tcPr>
          <w:p w14:paraId="1486A7EF">
            <w:pPr>
              <w:jc w:val="center"/>
              <w:rPr>
                <w:color w:val="000000" w:themeColor="text1"/>
                <w:szCs w:val="21"/>
              </w:rPr>
            </w:pPr>
            <w:r>
              <w:rPr>
                <w:color w:val="000000" w:themeColor="text1"/>
                <w:szCs w:val="21"/>
              </w:rPr>
              <w:t>暂存于危废收集间5m</w:t>
            </w:r>
            <w:r>
              <w:rPr>
                <w:color w:val="000000" w:themeColor="text1"/>
                <w:szCs w:val="21"/>
                <w:vertAlign w:val="superscript"/>
              </w:rPr>
              <w:t>2</w:t>
            </w:r>
            <w:r>
              <w:rPr>
                <w:color w:val="000000" w:themeColor="text1"/>
                <w:szCs w:val="21"/>
              </w:rPr>
              <w:t>，交由有资质的单位进行处置</w:t>
            </w:r>
          </w:p>
        </w:tc>
        <w:tc>
          <w:tcPr>
            <w:tcW w:w="1239" w:type="pct"/>
            <w:vMerge w:val="continue"/>
            <w:vAlign w:val="center"/>
          </w:tcPr>
          <w:p w14:paraId="12F71756">
            <w:pPr>
              <w:jc w:val="center"/>
              <w:rPr>
                <w:color w:val="000000" w:themeColor="text1"/>
                <w:szCs w:val="21"/>
              </w:rPr>
            </w:pPr>
          </w:p>
        </w:tc>
        <w:tc>
          <w:tcPr>
            <w:tcW w:w="595" w:type="pct"/>
            <w:vAlign w:val="center"/>
          </w:tcPr>
          <w:p w14:paraId="419BD263">
            <w:pPr>
              <w:jc w:val="center"/>
              <w:rPr>
                <w:color w:val="000000" w:themeColor="text1"/>
                <w:szCs w:val="21"/>
              </w:rPr>
            </w:pPr>
            <w:r>
              <w:rPr>
                <w:color w:val="000000" w:themeColor="text1"/>
                <w:szCs w:val="21"/>
              </w:rPr>
              <w:t>/</w:t>
            </w:r>
          </w:p>
        </w:tc>
      </w:tr>
      <w:tr w14:paraId="441C3D7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6" w:type="pct"/>
            <w:gridSpan w:val="2"/>
            <w:vMerge w:val="continue"/>
            <w:vAlign w:val="center"/>
          </w:tcPr>
          <w:p w14:paraId="0CFAED82">
            <w:pPr>
              <w:jc w:val="center"/>
              <w:rPr>
                <w:color w:val="000000" w:themeColor="text1"/>
                <w:szCs w:val="21"/>
              </w:rPr>
            </w:pPr>
          </w:p>
        </w:tc>
        <w:tc>
          <w:tcPr>
            <w:tcW w:w="819" w:type="pct"/>
            <w:vAlign w:val="center"/>
          </w:tcPr>
          <w:p w14:paraId="27FA788E">
            <w:pPr>
              <w:jc w:val="center"/>
              <w:rPr>
                <w:color w:val="000000" w:themeColor="text1"/>
                <w:szCs w:val="21"/>
              </w:rPr>
            </w:pPr>
            <w:r>
              <w:rPr>
                <w:color w:val="000000" w:themeColor="text1"/>
                <w:szCs w:val="21"/>
              </w:rPr>
              <w:t>废过滤网</w:t>
            </w:r>
          </w:p>
        </w:tc>
        <w:tc>
          <w:tcPr>
            <w:tcW w:w="555" w:type="pct"/>
            <w:vAlign w:val="center"/>
          </w:tcPr>
          <w:p w14:paraId="5AC00F53">
            <w:pPr>
              <w:adjustRightInd w:val="0"/>
              <w:snapToGrid w:val="0"/>
              <w:contextualSpacing/>
              <w:jc w:val="center"/>
              <w:rPr>
                <w:color w:val="000000" w:themeColor="text1"/>
                <w:szCs w:val="21"/>
              </w:rPr>
            </w:pPr>
            <w:r>
              <w:rPr>
                <w:color w:val="000000" w:themeColor="text1"/>
                <w:szCs w:val="21"/>
              </w:rPr>
              <w:t>0.4</w:t>
            </w:r>
          </w:p>
        </w:tc>
        <w:tc>
          <w:tcPr>
            <w:tcW w:w="1086" w:type="pct"/>
            <w:vMerge w:val="continue"/>
            <w:vAlign w:val="center"/>
          </w:tcPr>
          <w:p w14:paraId="648BBD17">
            <w:pPr>
              <w:jc w:val="center"/>
              <w:rPr>
                <w:color w:val="000000" w:themeColor="text1"/>
                <w:szCs w:val="21"/>
              </w:rPr>
            </w:pPr>
          </w:p>
        </w:tc>
        <w:tc>
          <w:tcPr>
            <w:tcW w:w="1239" w:type="pct"/>
            <w:vMerge w:val="continue"/>
            <w:vAlign w:val="center"/>
          </w:tcPr>
          <w:p w14:paraId="108549D8">
            <w:pPr>
              <w:jc w:val="center"/>
              <w:rPr>
                <w:color w:val="000000" w:themeColor="text1"/>
                <w:szCs w:val="21"/>
              </w:rPr>
            </w:pPr>
          </w:p>
        </w:tc>
        <w:tc>
          <w:tcPr>
            <w:tcW w:w="595" w:type="pct"/>
            <w:vAlign w:val="center"/>
          </w:tcPr>
          <w:p w14:paraId="3B8A8691">
            <w:pPr>
              <w:jc w:val="center"/>
              <w:rPr>
                <w:color w:val="000000" w:themeColor="text1"/>
                <w:szCs w:val="21"/>
              </w:rPr>
            </w:pPr>
            <w:r>
              <w:rPr>
                <w:color w:val="000000" w:themeColor="text1"/>
                <w:szCs w:val="21"/>
              </w:rPr>
              <w:t>/</w:t>
            </w:r>
          </w:p>
        </w:tc>
      </w:tr>
      <w:tr w14:paraId="42320CF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6" w:type="pct"/>
            <w:gridSpan w:val="2"/>
            <w:vMerge w:val="continue"/>
            <w:vAlign w:val="center"/>
          </w:tcPr>
          <w:p w14:paraId="05610986">
            <w:pPr>
              <w:jc w:val="center"/>
              <w:rPr>
                <w:color w:val="000000" w:themeColor="text1"/>
                <w:szCs w:val="21"/>
              </w:rPr>
            </w:pPr>
          </w:p>
        </w:tc>
        <w:tc>
          <w:tcPr>
            <w:tcW w:w="819" w:type="pct"/>
            <w:vAlign w:val="center"/>
          </w:tcPr>
          <w:p w14:paraId="5260EAD6">
            <w:pPr>
              <w:jc w:val="center"/>
              <w:rPr>
                <w:color w:val="000000" w:themeColor="text1"/>
                <w:szCs w:val="21"/>
              </w:rPr>
            </w:pPr>
            <w:r>
              <w:rPr>
                <w:color w:val="000000" w:themeColor="text1"/>
                <w:szCs w:val="21"/>
              </w:rPr>
              <w:t>光解废气处理灯</w:t>
            </w:r>
          </w:p>
        </w:tc>
        <w:tc>
          <w:tcPr>
            <w:tcW w:w="555" w:type="pct"/>
            <w:vAlign w:val="center"/>
          </w:tcPr>
          <w:p w14:paraId="28ED464E">
            <w:pPr>
              <w:adjustRightInd w:val="0"/>
              <w:snapToGrid w:val="0"/>
              <w:contextualSpacing/>
              <w:jc w:val="center"/>
              <w:rPr>
                <w:color w:val="000000" w:themeColor="text1"/>
                <w:szCs w:val="21"/>
              </w:rPr>
            </w:pPr>
            <w:r>
              <w:rPr>
                <w:color w:val="000000" w:themeColor="text1"/>
                <w:szCs w:val="21"/>
              </w:rPr>
              <w:t>0.05</w:t>
            </w:r>
          </w:p>
        </w:tc>
        <w:tc>
          <w:tcPr>
            <w:tcW w:w="1086" w:type="pct"/>
            <w:vMerge w:val="continue"/>
            <w:vAlign w:val="center"/>
          </w:tcPr>
          <w:p w14:paraId="281E9C2D">
            <w:pPr>
              <w:jc w:val="center"/>
              <w:rPr>
                <w:color w:val="000000" w:themeColor="text1"/>
                <w:szCs w:val="21"/>
              </w:rPr>
            </w:pPr>
          </w:p>
        </w:tc>
        <w:tc>
          <w:tcPr>
            <w:tcW w:w="1239" w:type="pct"/>
            <w:vMerge w:val="continue"/>
            <w:vAlign w:val="center"/>
          </w:tcPr>
          <w:p w14:paraId="55084BD6">
            <w:pPr>
              <w:jc w:val="center"/>
              <w:rPr>
                <w:color w:val="000000" w:themeColor="text1"/>
                <w:szCs w:val="21"/>
              </w:rPr>
            </w:pPr>
          </w:p>
        </w:tc>
        <w:tc>
          <w:tcPr>
            <w:tcW w:w="595" w:type="pct"/>
            <w:vAlign w:val="center"/>
          </w:tcPr>
          <w:p w14:paraId="1F3F88AF">
            <w:pPr>
              <w:jc w:val="center"/>
              <w:rPr>
                <w:color w:val="000000" w:themeColor="text1"/>
                <w:szCs w:val="21"/>
              </w:rPr>
            </w:pPr>
            <w:r>
              <w:rPr>
                <w:color w:val="000000" w:themeColor="text1"/>
                <w:szCs w:val="21"/>
              </w:rPr>
              <w:t>/</w:t>
            </w:r>
          </w:p>
        </w:tc>
      </w:tr>
      <w:tr w14:paraId="27FD1FD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6" w:type="pct"/>
            <w:gridSpan w:val="2"/>
            <w:vMerge w:val="continue"/>
            <w:vAlign w:val="center"/>
          </w:tcPr>
          <w:p w14:paraId="387AE3AA">
            <w:pPr>
              <w:jc w:val="center"/>
              <w:rPr>
                <w:color w:val="000000" w:themeColor="text1"/>
                <w:szCs w:val="21"/>
              </w:rPr>
            </w:pPr>
          </w:p>
        </w:tc>
        <w:tc>
          <w:tcPr>
            <w:tcW w:w="819" w:type="pct"/>
            <w:vAlign w:val="center"/>
          </w:tcPr>
          <w:p w14:paraId="057AE6F5">
            <w:pPr>
              <w:jc w:val="center"/>
              <w:rPr>
                <w:color w:val="000000" w:themeColor="text1"/>
                <w:szCs w:val="21"/>
              </w:rPr>
            </w:pPr>
            <w:r>
              <w:rPr>
                <w:color w:val="000000" w:themeColor="text1"/>
                <w:szCs w:val="21"/>
              </w:rPr>
              <w:t>生活垃圾</w:t>
            </w:r>
          </w:p>
        </w:tc>
        <w:tc>
          <w:tcPr>
            <w:tcW w:w="555" w:type="pct"/>
            <w:vAlign w:val="center"/>
          </w:tcPr>
          <w:p w14:paraId="73B0E4F2">
            <w:pPr>
              <w:adjustRightInd w:val="0"/>
              <w:snapToGrid w:val="0"/>
              <w:contextualSpacing/>
              <w:jc w:val="center"/>
              <w:rPr>
                <w:color w:val="000000" w:themeColor="text1"/>
                <w:szCs w:val="21"/>
              </w:rPr>
            </w:pPr>
            <w:r>
              <w:rPr>
                <w:color w:val="000000" w:themeColor="text1"/>
                <w:szCs w:val="21"/>
              </w:rPr>
              <w:t>3</w:t>
            </w:r>
          </w:p>
        </w:tc>
        <w:tc>
          <w:tcPr>
            <w:tcW w:w="1086" w:type="pct"/>
            <w:vMerge w:val="restart"/>
            <w:vAlign w:val="center"/>
          </w:tcPr>
          <w:p w14:paraId="2F8745AF">
            <w:pPr>
              <w:jc w:val="center"/>
              <w:rPr>
                <w:color w:val="000000" w:themeColor="text1"/>
                <w:szCs w:val="21"/>
              </w:rPr>
            </w:pPr>
            <w:r>
              <w:rPr>
                <w:color w:val="000000" w:themeColor="text1"/>
                <w:szCs w:val="21"/>
              </w:rPr>
              <w:t>外运至最近村庄垃圾收集点处理</w:t>
            </w:r>
          </w:p>
        </w:tc>
        <w:tc>
          <w:tcPr>
            <w:tcW w:w="1239" w:type="pct"/>
            <w:vMerge w:val="continue"/>
            <w:vAlign w:val="center"/>
          </w:tcPr>
          <w:p w14:paraId="7204F700">
            <w:pPr>
              <w:jc w:val="center"/>
              <w:rPr>
                <w:color w:val="000000" w:themeColor="text1"/>
                <w:szCs w:val="21"/>
              </w:rPr>
            </w:pPr>
          </w:p>
        </w:tc>
        <w:tc>
          <w:tcPr>
            <w:tcW w:w="595" w:type="pct"/>
            <w:vAlign w:val="center"/>
          </w:tcPr>
          <w:p w14:paraId="4719FC67">
            <w:pPr>
              <w:jc w:val="center"/>
              <w:rPr>
                <w:color w:val="000000" w:themeColor="text1"/>
                <w:szCs w:val="21"/>
              </w:rPr>
            </w:pPr>
            <w:r>
              <w:rPr>
                <w:color w:val="000000" w:themeColor="text1"/>
                <w:szCs w:val="21"/>
              </w:rPr>
              <w:t>/</w:t>
            </w:r>
          </w:p>
        </w:tc>
      </w:tr>
      <w:tr w14:paraId="1B9FFEC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6" w:type="pct"/>
            <w:gridSpan w:val="2"/>
            <w:vMerge w:val="continue"/>
            <w:vAlign w:val="center"/>
          </w:tcPr>
          <w:p w14:paraId="4E954902">
            <w:pPr>
              <w:jc w:val="center"/>
              <w:rPr>
                <w:color w:val="000000" w:themeColor="text1"/>
                <w:szCs w:val="21"/>
              </w:rPr>
            </w:pPr>
          </w:p>
        </w:tc>
        <w:tc>
          <w:tcPr>
            <w:tcW w:w="819" w:type="pct"/>
            <w:vAlign w:val="center"/>
          </w:tcPr>
          <w:p w14:paraId="2B0822AD">
            <w:pPr>
              <w:jc w:val="center"/>
              <w:rPr>
                <w:color w:val="000000" w:themeColor="text1"/>
                <w:szCs w:val="21"/>
              </w:rPr>
            </w:pPr>
            <w:r>
              <w:rPr>
                <w:color w:val="000000" w:themeColor="text1"/>
                <w:szCs w:val="21"/>
              </w:rPr>
              <w:t>食堂泔水</w:t>
            </w:r>
          </w:p>
        </w:tc>
        <w:tc>
          <w:tcPr>
            <w:tcW w:w="555" w:type="pct"/>
            <w:vAlign w:val="center"/>
          </w:tcPr>
          <w:p w14:paraId="29CF764B">
            <w:pPr>
              <w:adjustRightInd w:val="0"/>
              <w:snapToGrid w:val="0"/>
              <w:contextualSpacing/>
              <w:jc w:val="center"/>
              <w:rPr>
                <w:color w:val="000000" w:themeColor="text1"/>
                <w:szCs w:val="21"/>
              </w:rPr>
            </w:pPr>
            <w:r>
              <w:rPr>
                <w:color w:val="000000" w:themeColor="text1"/>
                <w:szCs w:val="21"/>
              </w:rPr>
              <w:t>1</w:t>
            </w:r>
          </w:p>
        </w:tc>
        <w:tc>
          <w:tcPr>
            <w:tcW w:w="1086" w:type="pct"/>
            <w:vMerge w:val="continue"/>
            <w:vAlign w:val="center"/>
          </w:tcPr>
          <w:p w14:paraId="31CCAA0D">
            <w:pPr>
              <w:jc w:val="center"/>
              <w:rPr>
                <w:color w:val="000000" w:themeColor="text1"/>
                <w:szCs w:val="21"/>
              </w:rPr>
            </w:pPr>
          </w:p>
        </w:tc>
        <w:tc>
          <w:tcPr>
            <w:tcW w:w="1239" w:type="pct"/>
            <w:vMerge w:val="continue"/>
            <w:vAlign w:val="center"/>
          </w:tcPr>
          <w:p w14:paraId="49EBC6CA">
            <w:pPr>
              <w:jc w:val="center"/>
              <w:rPr>
                <w:color w:val="000000" w:themeColor="text1"/>
                <w:szCs w:val="21"/>
              </w:rPr>
            </w:pPr>
          </w:p>
        </w:tc>
        <w:tc>
          <w:tcPr>
            <w:tcW w:w="595" w:type="pct"/>
            <w:vAlign w:val="center"/>
          </w:tcPr>
          <w:p w14:paraId="30023CA4">
            <w:pPr>
              <w:jc w:val="center"/>
              <w:rPr>
                <w:color w:val="000000" w:themeColor="text1"/>
                <w:szCs w:val="21"/>
              </w:rPr>
            </w:pPr>
            <w:r>
              <w:rPr>
                <w:color w:val="000000" w:themeColor="text1"/>
                <w:szCs w:val="21"/>
              </w:rPr>
              <w:t>/</w:t>
            </w:r>
          </w:p>
        </w:tc>
      </w:tr>
      <w:tr w14:paraId="01DB0E8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06" w:type="pct"/>
            <w:gridSpan w:val="2"/>
            <w:vMerge w:val="continue"/>
            <w:vAlign w:val="center"/>
          </w:tcPr>
          <w:p w14:paraId="0443686C">
            <w:pPr>
              <w:jc w:val="center"/>
              <w:rPr>
                <w:color w:val="000000" w:themeColor="text1"/>
                <w:szCs w:val="21"/>
              </w:rPr>
            </w:pPr>
          </w:p>
        </w:tc>
        <w:tc>
          <w:tcPr>
            <w:tcW w:w="819" w:type="pct"/>
            <w:vAlign w:val="center"/>
          </w:tcPr>
          <w:p w14:paraId="257463F6">
            <w:pPr>
              <w:jc w:val="center"/>
              <w:rPr>
                <w:color w:val="000000" w:themeColor="text1"/>
                <w:szCs w:val="21"/>
              </w:rPr>
            </w:pPr>
            <w:r>
              <w:rPr>
                <w:color w:val="000000" w:themeColor="text1"/>
                <w:szCs w:val="21"/>
              </w:rPr>
              <w:t>化粪池污泥</w:t>
            </w:r>
          </w:p>
        </w:tc>
        <w:tc>
          <w:tcPr>
            <w:tcW w:w="555" w:type="pct"/>
            <w:vAlign w:val="center"/>
          </w:tcPr>
          <w:p w14:paraId="17211EFE">
            <w:pPr>
              <w:jc w:val="center"/>
              <w:rPr>
                <w:color w:val="000000" w:themeColor="text1"/>
                <w:szCs w:val="21"/>
              </w:rPr>
            </w:pPr>
            <w:r>
              <w:rPr>
                <w:color w:val="000000" w:themeColor="text1"/>
                <w:szCs w:val="21"/>
              </w:rPr>
              <w:t>0.116</w:t>
            </w:r>
          </w:p>
        </w:tc>
        <w:tc>
          <w:tcPr>
            <w:tcW w:w="1086" w:type="pct"/>
            <w:vAlign w:val="center"/>
          </w:tcPr>
          <w:p w14:paraId="381FF962">
            <w:pPr>
              <w:jc w:val="center"/>
              <w:rPr>
                <w:color w:val="000000" w:themeColor="text1"/>
                <w:szCs w:val="21"/>
              </w:rPr>
            </w:pPr>
            <w:r>
              <w:rPr>
                <w:color w:val="000000" w:themeColor="text1"/>
                <w:szCs w:val="21"/>
              </w:rPr>
              <w:t>作为农作物施肥</w:t>
            </w:r>
          </w:p>
        </w:tc>
        <w:tc>
          <w:tcPr>
            <w:tcW w:w="1239" w:type="pct"/>
            <w:vMerge w:val="continue"/>
            <w:vAlign w:val="center"/>
          </w:tcPr>
          <w:p w14:paraId="53EDAE72">
            <w:pPr>
              <w:jc w:val="center"/>
              <w:rPr>
                <w:color w:val="000000" w:themeColor="text1"/>
                <w:szCs w:val="21"/>
              </w:rPr>
            </w:pPr>
          </w:p>
        </w:tc>
        <w:tc>
          <w:tcPr>
            <w:tcW w:w="595" w:type="pct"/>
            <w:vAlign w:val="center"/>
          </w:tcPr>
          <w:p w14:paraId="137B185C">
            <w:pPr>
              <w:jc w:val="center"/>
              <w:rPr>
                <w:color w:val="000000" w:themeColor="text1"/>
                <w:szCs w:val="21"/>
              </w:rPr>
            </w:pPr>
            <w:r>
              <w:rPr>
                <w:color w:val="000000" w:themeColor="text1"/>
                <w:szCs w:val="21"/>
              </w:rPr>
              <w:t>/</w:t>
            </w:r>
          </w:p>
        </w:tc>
      </w:tr>
    </w:tbl>
    <w:p w14:paraId="4BF6C29F">
      <w:pPr>
        <w:pStyle w:val="116"/>
        <w:ind w:firstLine="480"/>
        <w:rPr>
          <w:color w:val="000000" w:themeColor="text1"/>
        </w:rPr>
      </w:pPr>
    </w:p>
    <w:p w14:paraId="07FBE38B">
      <w:pPr>
        <w:pStyle w:val="105"/>
        <w:rPr>
          <w:rFonts w:cs="Times New Roman"/>
          <w:color w:val="000000" w:themeColor="text1"/>
        </w:rPr>
      </w:pPr>
      <w:bookmarkStart w:id="494" w:name="8.3.2污染物排放及总量控制指标"/>
      <w:bookmarkEnd w:id="494"/>
      <w:r>
        <w:rPr>
          <w:rFonts w:cs="Times New Roman"/>
          <w:color w:val="000000" w:themeColor="text1"/>
        </w:rPr>
        <w:t>10.3.2总量控制指标</w:t>
      </w:r>
    </w:p>
    <w:p w14:paraId="546E811F">
      <w:pPr>
        <w:pStyle w:val="106"/>
        <w:adjustRightInd w:val="0"/>
        <w:snapToGrid w:val="0"/>
        <w:spacing w:line="360" w:lineRule="auto"/>
        <w:ind w:firstLine="482" w:firstLineChars="200"/>
        <w:rPr>
          <w:b/>
          <w:color w:val="000000" w:themeColor="text1"/>
          <w:sz w:val="24"/>
          <w:szCs w:val="24"/>
        </w:rPr>
      </w:pPr>
      <w:r>
        <w:rPr>
          <w:b/>
          <w:color w:val="000000" w:themeColor="text1"/>
          <w:sz w:val="24"/>
          <w:szCs w:val="24"/>
        </w:rPr>
        <w:t>1、项目污染物产排情况</w:t>
      </w:r>
    </w:p>
    <w:p w14:paraId="3DA57170">
      <w:pPr>
        <w:pStyle w:val="11"/>
        <w:ind w:firstLine="0" w:firstLineChars="0"/>
        <w:jc w:val="center"/>
        <w:rPr>
          <w:b/>
          <w:color w:val="000000" w:themeColor="text1"/>
          <w:sz w:val="9"/>
        </w:rPr>
      </w:pPr>
      <w:r>
        <w:rPr>
          <w:b/>
          <w:color w:val="000000" w:themeColor="text1"/>
          <w:sz w:val="24"/>
        </w:rPr>
        <w:t>表10.3-2   项目污染物产排情况一览表</w:t>
      </w:r>
    </w:p>
    <w:tbl>
      <w:tblPr>
        <w:tblStyle w:val="280"/>
        <w:tblW w:w="832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92"/>
        <w:gridCol w:w="1890"/>
        <w:gridCol w:w="1380"/>
        <w:gridCol w:w="1395"/>
        <w:gridCol w:w="3163"/>
      </w:tblGrid>
      <w:tr w14:paraId="40B87C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92" w:type="dxa"/>
            <w:vAlign w:val="center"/>
          </w:tcPr>
          <w:p w14:paraId="58E4A528">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类型</w:t>
            </w:r>
          </w:p>
        </w:tc>
        <w:tc>
          <w:tcPr>
            <w:tcW w:w="1890" w:type="dxa"/>
            <w:vAlign w:val="center"/>
          </w:tcPr>
          <w:p w14:paraId="63F15850">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污染物</w:t>
            </w:r>
          </w:p>
        </w:tc>
        <w:tc>
          <w:tcPr>
            <w:tcW w:w="1380" w:type="dxa"/>
            <w:vAlign w:val="center"/>
          </w:tcPr>
          <w:p w14:paraId="4449D5B8">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产生量</w:t>
            </w:r>
          </w:p>
        </w:tc>
        <w:tc>
          <w:tcPr>
            <w:tcW w:w="1395" w:type="dxa"/>
            <w:vAlign w:val="center"/>
          </w:tcPr>
          <w:p w14:paraId="6E652114">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排放量</w:t>
            </w:r>
          </w:p>
        </w:tc>
        <w:tc>
          <w:tcPr>
            <w:tcW w:w="3163" w:type="dxa"/>
            <w:vAlign w:val="center"/>
          </w:tcPr>
          <w:p w14:paraId="6B1C9209">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备注</w:t>
            </w:r>
          </w:p>
        </w:tc>
      </w:tr>
      <w:tr w14:paraId="60A243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92" w:type="dxa"/>
            <w:vMerge w:val="restart"/>
            <w:vAlign w:val="center"/>
          </w:tcPr>
          <w:p w14:paraId="33D6F919">
            <w:pPr>
              <w:adjustRightInd w:val="0"/>
              <w:snapToGrid w:val="0"/>
              <w:jc w:val="center"/>
              <w:rPr>
                <w:rFonts w:ascii="Times New Roman" w:hAnsi="Times New Roman" w:eastAsia="宋体" w:cs="Times New Roman"/>
                <w:color w:val="000000" w:themeColor="text1"/>
                <w:sz w:val="21"/>
                <w:szCs w:val="21"/>
                <w:lang w:eastAsia="zh-CN"/>
              </w:rPr>
            </w:pPr>
          </w:p>
          <w:p w14:paraId="1FF44597">
            <w:pPr>
              <w:adjustRightInd w:val="0"/>
              <w:snapToGrid w:val="0"/>
              <w:jc w:val="center"/>
              <w:rPr>
                <w:rFonts w:ascii="Times New Roman" w:hAnsi="Times New Roman" w:eastAsia="宋体" w:cs="Times New Roman"/>
                <w:color w:val="000000" w:themeColor="text1"/>
                <w:sz w:val="21"/>
                <w:szCs w:val="21"/>
                <w:lang w:eastAsia="zh-CN"/>
              </w:rPr>
            </w:pPr>
          </w:p>
          <w:p w14:paraId="287AF63F">
            <w:pPr>
              <w:adjustRightInd w:val="0"/>
              <w:snapToGrid w:val="0"/>
              <w:jc w:val="center"/>
              <w:rPr>
                <w:rFonts w:ascii="Times New Roman" w:hAnsi="Times New Roman" w:eastAsia="宋体" w:cs="Times New Roman"/>
                <w:color w:val="000000" w:themeColor="text1"/>
                <w:sz w:val="21"/>
                <w:szCs w:val="21"/>
                <w:lang w:eastAsia="zh-CN"/>
              </w:rPr>
            </w:pPr>
          </w:p>
          <w:p w14:paraId="0CAE1B14">
            <w:pPr>
              <w:adjustRightInd w:val="0"/>
              <w:snapToGrid w:val="0"/>
              <w:jc w:val="center"/>
              <w:rPr>
                <w:rFonts w:ascii="Times New Roman" w:hAnsi="Times New Roman" w:eastAsia="宋体" w:cs="Times New Roman"/>
                <w:color w:val="000000" w:themeColor="text1"/>
                <w:sz w:val="21"/>
                <w:szCs w:val="21"/>
                <w:lang w:eastAsia="zh-CN"/>
              </w:rPr>
            </w:pPr>
          </w:p>
          <w:p w14:paraId="1BA80981">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废气</w:t>
            </w:r>
          </w:p>
        </w:tc>
        <w:tc>
          <w:tcPr>
            <w:tcW w:w="1890" w:type="dxa"/>
            <w:vAlign w:val="center"/>
          </w:tcPr>
          <w:p w14:paraId="13FE12BF">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非甲烷总烃</w:t>
            </w:r>
          </w:p>
        </w:tc>
        <w:tc>
          <w:tcPr>
            <w:tcW w:w="1380" w:type="dxa"/>
            <w:vAlign w:val="center"/>
          </w:tcPr>
          <w:p w14:paraId="518DBF43">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0.154t/a</w:t>
            </w:r>
          </w:p>
        </w:tc>
        <w:tc>
          <w:tcPr>
            <w:tcW w:w="1395" w:type="dxa"/>
            <w:vAlign w:val="center"/>
          </w:tcPr>
          <w:p w14:paraId="02345300">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0.49t/a</w:t>
            </w:r>
          </w:p>
        </w:tc>
        <w:tc>
          <w:tcPr>
            <w:tcW w:w="3163" w:type="dxa"/>
            <w:vAlign w:val="center"/>
          </w:tcPr>
          <w:p w14:paraId="6CDDA3C6">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经过滤棉+UV光解处理装置处理后通过 15m 高排气筒排放</w:t>
            </w:r>
          </w:p>
        </w:tc>
      </w:tr>
      <w:tr w14:paraId="46FFE5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92" w:type="dxa"/>
            <w:vMerge w:val="continue"/>
            <w:vAlign w:val="center"/>
          </w:tcPr>
          <w:p w14:paraId="6206D037">
            <w:pPr>
              <w:adjustRightInd w:val="0"/>
              <w:snapToGrid w:val="0"/>
              <w:jc w:val="center"/>
              <w:rPr>
                <w:rFonts w:ascii="Times New Roman" w:hAnsi="Times New Roman" w:cs="Times New Roman" w:eastAsiaTheme="minorEastAsia"/>
                <w:color w:val="000000" w:themeColor="text1"/>
                <w:szCs w:val="21"/>
                <w:lang w:eastAsia="zh-CN"/>
              </w:rPr>
            </w:pPr>
          </w:p>
        </w:tc>
        <w:tc>
          <w:tcPr>
            <w:tcW w:w="1890" w:type="dxa"/>
            <w:vAlign w:val="center"/>
          </w:tcPr>
          <w:p w14:paraId="417EBE10">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颗粒物</w:t>
            </w:r>
          </w:p>
        </w:tc>
        <w:tc>
          <w:tcPr>
            <w:tcW w:w="1380" w:type="dxa"/>
            <w:vAlign w:val="center"/>
          </w:tcPr>
          <w:p w14:paraId="1B02951A">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0.0231t/a</w:t>
            </w:r>
          </w:p>
        </w:tc>
        <w:tc>
          <w:tcPr>
            <w:tcW w:w="1395" w:type="dxa"/>
            <w:vAlign w:val="center"/>
          </w:tcPr>
          <w:p w14:paraId="3DF7E59A">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1.05t/a</w:t>
            </w:r>
          </w:p>
        </w:tc>
        <w:tc>
          <w:tcPr>
            <w:tcW w:w="3163" w:type="dxa"/>
            <w:vAlign w:val="center"/>
          </w:tcPr>
          <w:p w14:paraId="5DA3E9B0">
            <w:pPr>
              <w:pStyle w:val="281"/>
              <w:adjustRightInd w:val="0"/>
              <w:snapToGrid w:val="0"/>
              <w:jc w:val="center"/>
              <w:rPr>
                <w:rFonts w:ascii="Times New Roman" w:hAnsi="Times New Roman" w:eastAsia="宋体" w:cs="Times New Roman"/>
                <w:color w:val="000000" w:themeColor="text1"/>
                <w:kern w:val="2"/>
                <w:sz w:val="21"/>
                <w:szCs w:val="21"/>
                <w:lang w:eastAsia="zh-CN"/>
              </w:rPr>
            </w:pPr>
          </w:p>
          <w:p w14:paraId="79AD837A">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无组织排放</w:t>
            </w:r>
          </w:p>
        </w:tc>
      </w:tr>
      <w:tr w14:paraId="3889DD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92" w:type="dxa"/>
            <w:vMerge w:val="continue"/>
            <w:vAlign w:val="center"/>
          </w:tcPr>
          <w:p w14:paraId="4014BE22">
            <w:pPr>
              <w:adjustRightInd w:val="0"/>
              <w:snapToGrid w:val="0"/>
              <w:jc w:val="center"/>
              <w:rPr>
                <w:rFonts w:ascii="Times New Roman" w:hAnsi="Times New Roman" w:cs="Times New Roman" w:eastAsiaTheme="minorEastAsia"/>
                <w:color w:val="000000" w:themeColor="text1"/>
                <w:szCs w:val="21"/>
                <w:lang w:eastAsia="en-US"/>
              </w:rPr>
            </w:pPr>
          </w:p>
        </w:tc>
        <w:tc>
          <w:tcPr>
            <w:tcW w:w="1890" w:type="dxa"/>
            <w:vAlign w:val="center"/>
          </w:tcPr>
          <w:p w14:paraId="1EE7FBD4">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恶臭</w:t>
            </w:r>
          </w:p>
        </w:tc>
        <w:tc>
          <w:tcPr>
            <w:tcW w:w="1380" w:type="dxa"/>
            <w:vAlign w:val="center"/>
          </w:tcPr>
          <w:p w14:paraId="72F2B21C">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少量</w:t>
            </w:r>
          </w:p>
        </w:tc>
        <w:tc>
          <w:tcPr>
            <w:tcW w:w="1395" w:type="dxa"/>
            <w:vAlign w:val="center"/>
          </w:tcPr>
          <w:p w14:paraId="78BB5C01">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少量</w:t>
            </w:r>
          </w:p>
        </w:tc>
        <w:tc>
          <w:tcPr>
            <w:tcW w:w="3163" w:type="dxa"/>
            <w:vAlign w:val="center"/>
          </w:tcPr>
          <w:p w14:paraId="79015BDD">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无组织排放</w:t>
            </w:r>
          </w:p>
        </w:tc>
      </w:tr>
      <w:tr w14:paraId="013573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92" w:type="dxa"/>
            <w:vMerge w:val="restart"/>
            <w:vAlign w:val="center"/>
          </w:tcPr>
          <w:p w14:paraId="6B168BC4">
            <w:pPr>
              <w:adjustRightInd w:val="0"/>
              <w:snapToGrid w:val="0"/>
              <w:jc w:val="center"/>
              <w:rPr>
                <w:rFonts w:ascii="Times New Roman" w:hAnsi="Times New Roman" w:eastAsia="宋体" w:cs="Times New Roman"/>
                <w:color w:val="000000" w:themeColor="text1"/>
                <w:sz w:val="21"/>
                <w:szCs w:val="21"/>
                <w:lang w:eastAsia="zh-CN"/>
              </w:rPr>
            </w:pPr>
          </w:p>
          <w:p w14:paraId="4EFC4187">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废水</w:t>
            </w:r>
          </w:p>
        </w:tc>
        <w:tc>
          <w:tcPr>
            <w:tcW w:w="1890" w:type="dxa"/>
            <w:vAlign w:val="center"/>
          </w:tcPr>
          <w:p w14:paraId="4C03D765">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冷却水</w:t>
            </w:r>
          </w:p>
        </w:tc>
        <w:tc>
          <w:tcPr>
            <w:tcW w:w="1380" w:type="dxa"/>
            <w:vAlign w:val="center"/>
          </w:tcPr>
          <w:p w14:paraId="192FD7B2">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7200t/a</w:t>
            </w:r>
          </w:p>
        </w:tc>
        <w:tc>
          <w:tcPr>
            <w:tcW w:w="1395" w:type="dxa"/>
            <w:vAlign w:val="center"/>
          </w:tcPr>
          <w:p w14:paraId="62870EFA">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0</w:t>
            </w:r>
          </w:p>
        </w:tc>
        <w:tc>
          <w:tcPr>
            <w:tcW w:w="3163" w:type="dxa"/>
            <w:vAlign w:val="center"/>
          </w:tcPr>
          <w:p w14:paraId="2BA2D03C">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循环使用，不外排</w:t>
            </w:r>
          </w:p>
        </w:tc>
      </w:tr>
      <w:tr w14:paraId="53EF70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92" w:type="dxa"/>
            <w:vMerge w:val="continue"/>
            <w:vAlign w:val="center"/>
          </w:tcPr>
          <w:p w14:paraId="76CC6C27">
            <w:pPr>
              <w:adjustRightInd w:val="0"/>
              <w:snapToGrid w:val="0"/>
              <w:jc w:val="center"/>
              <w:rPr>
                <w:rFonts w:ascii="Times New Roman" w:hAnsi="Times New Roman" w:cs="Times New Roman" w:eastAsiaTheme="minorEastAsia"/>
                <w:color w:val="000000" w:themeColor="text1"/>
                <w:szCs w:val="21"/>
                <w:lang w:eastAsia="en-US"/>
              </w:rPr>
            </w:pPr>
          </w:p>
        </w:tc>
        <w:tc>
          <w:tcPr>
            <w:tcW w:w="1890" w:type="dxa"/>
            <w:vAlign w:val="center"/>
          </w:tcPr>
          <w:p w14:paraId="7C20DABD">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清洗废水</w:t>
            </w:r>
          </w:p>
        </w:tc>
        <w:tc>
          <w:tcPr>
            <w:tcW w:w="1380" w:type="dxa"/>
            <w:vAlign w:val="center"/>
          </w:tcPr>
          <w:p w14:paraId="465CBB1A">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8898t/a</w:t>
            </w:r>
          </w:p>
        </w:tc>
        <w:tc>
          <w:tcPr>
            <w:tcW w:w="1395" w:type="dxa"/>
            <w:vAlign w:val="center"/>
          </w:tcPr>
          <w:p w14:paraId="1D2722AD">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0</w:t>
            </w:r>
          </w:p>
        </w:tc>
        <w:tc>
          <w:tcPr>
            <w:tcW w:w="3163" w:type="dxa"/>
            <w:vMerge w:val="restart"/>
            <w:vAlign w:val="center"/>
          </w:tcPr>
          <w:p w14:paraId="1F823FF4">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进入污水处理设施（隔油池+沉淀池）处理后，全部回用于生产不外排</w:t>
            </w:r>
          </w:p>
        </w:tc>
      </w:tr>
      <w:tr w14:paraId="0ACC57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92" w:type="dxa"/>
            <w:vMerge w:val="continue"/>
            <w:vAlign w:val="center"/>
          </w:tcPr>
          <w:p w14:paraId="28557424">
            <w:pPr>
              <w:adjustRightInd w:val="0"/>
              <w:snapToGrid w:val="0"/>
              <w:jc w:val="center"/>
              <w:rPr>
                <w:rFonts w:ascii="Times New Roman" w:hAnsi="Times New Roman" w:cs="Times New Roman" w:eastAsiaTheme="minorEastAsia"/>
                <w:color w:val="000000" w:themeColor="text1"/>
                <w:szCs w:val="21"/>
                <w:lang w:eastAsia="zh-CN"/>
              </w:rPr>
            </w:pPr>
          </w:p>
        </w:tc>
        <w:tc>
          <w:tcPr>
            <w:tcW w:w="1890" w:type="dxa"/>
            <w:vAlign w:val="center"/>
          </w:tcPr>
          <w:p w14:paraId="4DE0A6F5">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生活污水</w:t>
            </w:r>
          </w:p>
        </w:tc>
        <w:tc>
          <w:tcPr>
            <w:tcW w:w="1380" w:type="dxa"/>
            <w:vAlign w:val="center"/>
          </w:tcPr>
          <w:p w14:paraId="4C2A6F5B">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528t/a</w:t>
            </w:r>
          </w:p>
        </w:tc>
        <w:tc>
          <w:tcPr>
            <w:tcW w:w="1395" w:type="dxa"/>
            <w:vAlign w:val="center"/>
          </w:tcPr>
          <w:p w14:paraId="1FDE2F54">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0</w:t>
            </w:r>
          </w:p>
        </w:tc>
        <w:tc>
          <w:tcPr>
            <w:tcW w:w="3163" w:type="dxa"/>
            <w:vMerge w:val="continue"/>
            <w:vAlign w:val="center"/>
          </w:tcPr>
          <w:p w14:paraId="0C541A86">
            <w:pPr>
              <w:adjustRightInd w:val="0"/>
              <w:snapToGrid w:val="0"/>
              <w:jc w:val="center"/>
              <w:rPr>
                <w:rFonts w:ascii="Times New Roman" w:hAnsi="Times New Roman" w:cs="Times New Roman" w:eastAsiaTheme="minorEastAsia"/>
                <w:color w:val="000000" w:themeColor="text1"/>
                <w:szCs w:val="21"/>
                <w:lang w:eastAsia="en-US"/>
              </w:rPr>
            </w:pPr>
          </w:p>
        </w:tc>
      </w:tr>
      <w:tr w14:paraId="36AA9F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92" w:type="dxa"/>
            <w:vMerge w:val="restart"/>
            <w:vAlign w:val="center"/>
          </w:tcPr>
          <w:p w14:paraId="5D685020">
            <w:pPr>
              <w:adjustRightInd w:val="0"/>
              <w:snapToGrid w:val="0"/>
              <w:jc w:val="center"/>
              <w:rPr>
                <w:rFonts w:ascii="Times New Roman" w:hAnsi="Times New Roman" w:cs="Times New Roman" w:eastAsiaTheme="minorEastAsia"/>
                <w:color w:val="000000" w:themeColor="text1"/>
                <w:szCs w:val="21"/>
                <w:lang w:eastAsia="en-US"/>
              </w:rPr>
            </w:pPr>
            <w:r>
              <w:rPr>
                <w:rFonts w:ascii="Times New Roman" w:hAnsi="Times New Roman" w:eastAsia="宋体" w:cs="Times New Roman"/>
                <w:color w:val="000000" w:themeColor="text1"/>
                <w:sz w:val="21"/>
                <w:szCs w:val="21"/>
                <w:lang w:eastAsia="zh-CN"/>
              </w:rPr>
              <w:t>固体废物</w:t>
            </w:r>
          </w:p>
        </w:tc>
        <w:tc>
          <w:tcPr>
            <w:tcW w:w="1890" w:type="dxa"/>
            <w:vAlign w:val="center"/>
          </w:tcPr>
          <w:p w14:paraId="5760CCD5">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cs="Times New Roman"/>
                <w:color w:val="000000" w:themeColor="text1"/>
                <w:szCs w:val="21"/>
              </w:rPr>
              <w:t>拆包、人工分选杂物</w:t>
            </w:r>
          </w:p>
        </w:tc>
        <w:tc>
          <w:tcPr>
            <w:tcW w:w="1380" w:type="dxa"/>
            <w:vAlign w:val="center"/>
          </w:tcPr>
          <w:p w14:paraId="148B8684">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cs="Times New Roman"/>
                <w:color w:val="000000" w:themeColor="text1"/>
                <w:szCs w:val="21"/>
              </w:rPr>
              <w:t>3</w:t>
            </w:r>
          </w:p>
        </w:tc>
        <w:tc>
          <w:tcPr>
            <w:tcW w:w="1395" w:type="dxa"/>
            <w:vAlign w:val="center"/>
          </w:tcPr>
          <w:p w14:paraId="27FDA1D1">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0</w:t>
            </w:r>
          </w:p>
        </w:tc>
        <w:tc>
          <w:tcPr>
            <w:tcW w:w="3163" w:type="dxa"/>
            <w:vMerge w:val="restart"/>
            <w:vAlign w:val="center"/>
          </w:tcPr>
          <w:p w14:paraId="76D3210A">
            <w:pPr>
              <w:adjustRightInd w:val="0"/>
              <w:snapToGrid w:val="0"/>
              <w:jc w:val="center"/>
              <w:rPr>
                <w:rFonts w:ascii="Times New Roman" w:hAnsi="Times New Roman" w:cs="Times New Roman" w:eastAsiaTheme="minorEastAsia"/>
                <w:color w:val="000000" w:themeColor="text1"/>
                <w:szCs w:val="21"/>
                <w:lang w:eastAsia="en-US"/>
              </w:rPr>
            </w:pPr>
            <w:r>
              <w:rPr>
                <w:rFonts w:ascii="Times New Roman" w:hAnsi="Times New Roman" w:cs="Times New Roman" w:eastAsiaTheme="minorEastAsia"/>
                <w:color w:val="000000" w:themeColor="text1"/>
                <w:szCs w:val="21"/>
                <w:lang w:eastAsia="en-US"/>
              </w:rPr>
              <w:t>收集后外卖</w:t>
            </w:r>
          </w:p>
        </w:tc>
      </w:tr>
      <w:tr w14:paraId="2C1D76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92" w:type="dxa"/>
            <w:vMerge w:val="continue"/>
            <w:vAlign w:val="center"/>
          </w:tcPr>
          <w:p w14:paraId="41112B03">
            <w:pPr>
              <w:adjustRightInd w:val="0"/>
              <w:snapToGrid w:val="0"/>
              <w:jc w:val="center"/>
              <w:rPr>
                <w:rFonts w:ascii="Times New Roman" w:hAnsi="Times New Roman" w:eastAsia="宋体" w:cs="Times New Roman"/>
                <w:color w:val="000000" w:themeColor="text1"/>
                <w:sz w:val="21"/>
                <w:szCs w:val="21"/>
                <w:lang w:eastAsia="zh-CN"/>
              </w:rPr>
            </w:pPr>
          </w:p>
        </w:tc>
        <w:tc>
          <w:tcPr>
            <w:tcW w:w="1890" w:type="dxa"/>
            <w:vAlign w:val="center"/>
          </w:tcPr>
          <w:p w14:paraId="4E8BCFF2">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cs="Times New Roman" w:eastAsiaTheme="minorEastAsia"/>
                <w:color w:val="000000" w:themeColor="text1"/>
                <w:szCs w:val="21"/>
                <w:lang w:eastAsia="en-US"/>
              </w:rPr>
              <w:t>剥离废标签纸</w:t>
            </w:r>
          </w:p>
        </w:tc>
        <w:tc>
          <w:tcPr>
            <w:tcW w:w="1380" w:type="dxa"/>
            <w:vAlign w:val="center"/>
          </w:tcPr>
          <w:p w14:paraId="2E2A46EB">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cs="Times New Roman" w:eastAsiaTheme="minorEastAsia"/>
                <w:color w:val="000000" w:themeColor="text1"/>
                <w:szCs w:val="21"/>
                <w:lang w:eastAsia="en-US"/>
              </w:rPr>
              <w:t>1</w:t>
            </w:r>
          </w:p>
        </w:tc>
        <w:tc>
          <w:tcPr>
            <w:tcW w:w="1395" w:type="dxa"/>
            <w:vAlign w:val="center"/>
          </w:tcPr>
          <w:p w14:paraId="6C572D4D">
            <w:pPr>
              <w:adjustRightInd w:val="0"/>
              <w:snapToGrid w:val="0"/>
              <w:jc w:val="center"/>
              <w:rPr>
                <w:rFonts w:ascii="Times New Roman" w:hAnsi="Times New Roman" w:eastAsia="宋体" w:cs="Times New Roman"/>
                <w:color w:val="000000" w:themeColor="text1"/>
                <w:sz w:val="21"/>
                <w:szCs w:val="21"/>
                <w:lang w:eastAsia="zh-CN"/>
              </w:rPr>
            </w:pPr>
            <w:r>
              <w:rPr>
                <w:rFonts w:ascii="Times New Roman" w:hAnsi="Times New Roman" w:eastAsia="宋体" w:cs="Times New Roman"/>
                <w:color w:val="000000" w:themeColor="text1"/>
                <w:sz w:val="21"/>
                <w:szCs w:val="21"/>
                <w:lang w:eastAsia="zh-CN"/>
              </w:rPr>
              <w:t>0</w:t>
            </w:r>
          </w:p>
        </w:tc>
        <w:tc>
          <w:tcPr>
            <w:tcW w:w="3163" w:type="dxa"/>
            <w:vMerge w:val="continue"/>
            <w:tcBorders>
              <w:bottom w:val="single" w:color="auto" w:sz="4" w:space="0"/>
            </w:tcBorders>
            <w:vAlign w:val="center"/>
          </w:tcPr>
          <w:p w14:paraId="2B589935">
            <w:pPr>
              <w:adjustRightInd w:val="0"/>
              <w:snapToGrid w:val="0"/>
              <w:jc w:val="center"/>
              <w:rPr>
                <w:rFonts w:ascii="Times New Roman" w:hAnsi="Times New Roman" w:eastAsia="宋体" w:cs="Times New Roman"/>
                <w:color w:val="000000" w:themeColor="text1"/>
                <w:sz w:val="21"/>
                <w:szCs w:val="21"/>
                <w:lang w:eastAsia="zh-CN"/>
              </w:rPr>
            </w:pPr>
          </w:p>
        </w:tc>
      </w:tr>
      <w:tr w14:paraId="0440A6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92" w:type="dxa"/>
            <w:vMerge w:val="continue"/>
            <w:vAlign w:val="center"/>
          </w:tcPr>
          <w:p w14:paraId="46501995">
            <w:pPr>
              <w:adjustRightInd w:val="0"/>
              <w:snapToGrid w:val="0"/>
              <w:jc w:val="center"/>
              <w:rPr>
                <w:rFonts w:ascii="Times New Roman" w:hAnsi="Times New Roman" w:cs="Times New Roman" w:eastAsiaTheme="minorEastAsia"/>
                <w:color w:val="000000" w:themeColor="text1"/>
                <w:szCs w:val="21"/>
                <w:lang w:eastAsia="en-US"/>
              </w:rPr>
            </w:pPr>
          </w:p>
        </w:tc>
        <w:tc>
          <w:tcPr>
            <w:tcW w:w="1890" w:type="dxa"/>
            <w:vAlign w:val="center"/>
          </w:tcPr>
          <w:p w14:paraId="397AA1FC">
            <w:pPr>
              <w:adjustRightInd w:val="0"/>
              <w:snapToGrid w:val="0"/>
              <w:jc w:val="center"/>
              <w:rPr>
                <w:rFonts w:ascii="Times New Roman" w:hAnsi="Times New Roman" w:cs="Times New Roman" w:eastAsiaTheme="minorEastAsia"/>
                <w:color w:val="000000" w:themeColor="text1"/>
                <w:szCs w:val="21"/>
                <w:lang w:eastAsia="en-US"/>
              </w:rPr>
            </w:pPr>
            <w:r>
              <w:rPr>
                <w:rFonts w:ascii="Times New Roman" w:hAnsi="Times New Roman" w:cs="Times New Roman" w:eastAsiaTheme="minorEastAsia"/>
                <w:color w:val="000000" w:themeColor="text1"/>
                <w:szCs w:val="21"/>
                <w:lang w:eastAsia="en-US"/>
              </w:rPr>
              <w:t>废过滤网</w:t>
            </w:r>
          </w:p>
        </w:tc>
        <w:tc>
          <w:tcPr>
            <w:tcW w:w="1380" w:type="dxa"/>
            <w:vAlign w:val="center"/>
          </w:tcPr>
          <w:p w14:paraId="1B6DBB14">
            <w:pPr>
              <w:adjustRightInd w:val="0"/>
              <w:snapToGrid w:val="0"/>
              <w:jc w:val="center"/>
              <w:rPr>
                <w:rFonts w:ascii="Times New Roman" w:hAnsi="Times New Roman" w:cs="Times New Roman" w:eastAsiaTheme="minorEastAsia"/>
                <w:color w:val="000000" w:themeColor="text1"/>
                <w:szCs w:val="21"/>
                <w:lang w:eastAsia="en-US"/>
              </w:rPr>
            </w:pPr>
            <w:r>
              <w:rPr>
                <w:rFonts w:ascii="Times New Roman" w:hAnsi="Times New Roman" w:cs="Times New Roman" w:eastAsiaTheme="minorEastAsia"/>
                <w:color w:val="000000" w:themeColor="text1"/>
                <w:szCs w:val="21"/>
                <w:lang w:eastAsia="en-US"/>
              </w:rPr>
              <w:t>0.4</w:t>
            </w:r>
          </w:p>
        </w:tc>
        <w:tc>
          <w:tcPr>
            <w:tcW w:w="1395" w:type="dxa"/>
            <w:vAlign w:val="center"/>
          </w:tcPr>
          <w:p w14:paraId="74523CD4">
            <w:pPr>
              <w:adjustRightInd w:val="0"/>
              <w:snapToGrid w:val="0"/>
              <w:jc w:val="center"/>
              <w:rPr>
                <w:rFonts w:ascii="Times New Roman" w:hAnsi="Times New Roman" w:cs="Times New Roman" w:eastAsiaTheme="minorEastAsia"/>
                <w:color w:val="000000" w:themeColor="text1"/>
                <w:szCs w:val="21"/>
                <w:lang w:eastAsia="en-US"/>
              </w:rPr>
            </w:pPr>
            <w:r>
              <w:rPr>
                <w:rFonts w:ascii="Times New Roman" w:hAnsi="Times New Roman" w:eastAsia="宋体" w:cs="Times New Roman"/>
                <w:color w:val="000000" w:themeColor="text1"/>
                <w:sz w:val="21"/>
                <w:szCs w:val="21"/>
                <w:lang w:eastAsia="zh-CN"/>
              </w:rPr>
              <w:t>0</w:t>
            </w:r>
          </w:p>
        </w:tc>
        <w:tc>
          <w:tcPr>
            <w:tcW w:w="3163" w:type="dxa"/>
            <w:vMerge w:val="restart"/>
            <w:vAlign w:val="center"/>
          </w:tcPr>
          <w:p w14:paraId="55064226">
            <w:pPr>
              <w:adjustRightInd w:val="0"/>
              <w:snapToGrid w:val="0"/>
              <w:jc w:val="center"/>
              <w:rPr>
                <w:rFonts w:ascii="Times New Roman" w:hAnsi="Times New Roman" w:cs="Times New Roman" w:eastAsiaTheme="minorEastAsia"/>
                <w:color w:val="000000" w:themeColor="text1"/>
                <w:szCs w:val="21"/>
                <w:lang w:eastAsia="zh-CN"/>
              </w:rPr>
            </w:pPr>
            <w:r>
              <w:rPr>
                <w:rFonts w:ascii="Times New Roman" w:hAnsi="Times New Roman" w:cs="Times New Roman" w:eastAsiaTheme="minorEastAsia"/>
                <w:color w:val="000000" w:themeColor="text1"/>
                <w:szCs w:val="21"/>
                <w:lang w:eastAsia="zh-CN"/>
              </w:rPr>
              <w:t>外运至最近村庄垃圾收集点处理</w:t>
            </w:r>
          </w:p>
        </w:tc>
      </w:tr>
      <w:tr w14:paraId="1ED12D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92" w:type="dxa"/>
            <w:vMerge w:val="continue"/>
            <w:vAlign w:val="center"/>
          </w:tcPr>
          <w:p w14:paraId="21F55940">
            <w:pPr>
              <w:adjustRightInd w:val="0"/>
              <w:snapToGrid w:val="0"/>
              <w:jc w:val="center"/>
              <w:rPr>
                <w:rFonts w:ascii="Times New Roman" w:hAnsi="Times New Roman" w:cs="Times New Roman" w:eastAsiaTheme="minorEastAsia"/>
                <w:color w:val="000000" w:themeColor="text1"/>
                <w:szCs w:val="21"/>
                <w:lang w:eastAsia="zh-CN"/>
              </w:rPr>
            </w:pPr>
          </w:p>
        </w:tc>
        <w:tc>
          <w:tcPr>
            <w:tcW w:w="1890" w:type="dxa"/>
            <w:vAlign w:val="center"/>
          </w:tcPr>
          <w:p w14:paraId="247AF09C">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cs="Times New Roman"/>
                <w:color w:val="000000" w:themeColor="text1"/>
                <w:szCs w:val="21"/>
                <w:lang w:eastAsia="zh-CN"/>
              </w:rPr>
              <w:t>污水处理设施（隔油池+沉淀池）污泥</w:t>
            </w:r>
          </w:p>
        </w:tc>
        <w:tc>
          <w:tcPr>
            <w:tcW w:w="1380" w:type="dxa"/>
            <w:vAlign w:val="center"/>
          </w:tcPr>
          <w:p w14:paraId="565A1953">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cs="Times New Roman"/>
                <w:color w:val="000000" w:themeColor="text1"/>
                <w:szCs w:val="21"/>
              </w:rPr>
              <w:t>6.77</w:t>
            </w:r>
          </w:p>
        </w:tc>
        <w:tc>
          <w:tcPr>
            <w:tcW w:w="1395" w:type="dxa"/>
            <w:vAlign w:val="center"/>
          </w:tcPr>
          <w:p w14:paraId="7C8F9747">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0</w:t>
            </w:r>
          </w:p>
        </w:tc>
        <w:tc>
          <w:tcPr>
            <w:tcW w:w="3163" w:type="dxa"/>
            <w:vMerge w:val="continue"/>
            <w:vAlign w:val="center"/>
          </w:tcPr>
          <w:p w14:paraId="0BAFB6D9">
            <w:pPr>
              <w:adjustRightInd w:val="0"/>
              <w:snapToGrid w:val="0"/>
              <w:jc w:val="center"/>
              <w:rPr>
                <w:rFonts w:ascii="Times New Roman" w:hAnsi="Times New Roman" w:cs="Times New Roman" w:eastAsiaTheme="minorEastAsia"/>
                <w:color w:val="000000" w:themeColor="text1"/>
                <w:szCs w:val="21"/>
                <w:lang w:eastAsia="zh-CN"/>
              </w:rPr>
            </w:pPr>
          </w:p>
        </w:tc>
      </w:tr>
      <w:tr w14:paraId="7ED364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92" w:type="dxa"/>
            <w:vMerge w:val="continue"/>
            <w:vAlign w:val="center"/>
          </w:tcPr>
          <w:p w14:paraId="310ADFAA">
            <w:pPr>
              <w:adjustRightInd w:val="0"/>
              <w:snapToGrid w:val="0"/>
              <w:jc w:val="center"/>
              <w:rPr>
                <w:rFonts w:ascii="Times New Roman" w:hAnsi="Times New Roman" w:cs="Times New Roman" w:eastAsiaTheme="minorEastAsia"/>
                <w:color w:val="000000" w:themeColor="text1"/>
                <w:szCs w:val="21"/>
                <w:lang w:eastAsia="zh-CN"/>
              </w:rPr>
            </w:pPr>
          </w:p>
        </w:tc>
        <w:tc>
          <w:tcPr>
            <w:tcW w:w="1890" w:type="dxa"/>
            <w:vAlign w:val="center"/>
          </w:tcPr>
          <w:p w14:paraId="137446AE">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cs="Times New Roman"/>
                <w:color w:val="000000" w:themeColor="text1"/>
                <w:szCs w:val="21"/>
              </w:rPr>
              <w:t>废过滤棉</w:t>
            </w:r>
          </w:p>
        </w:tc>
        <w:tc>
          <w:tcPr>
            <w:tcW w:w="1380" w:type="dxa"/>
            <w:vAlign w:val="center"/>
          </w:tcPr>
          <w:p w14:paraId="344AC783">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cs="Times New Roman"/>
                <w:color w:val="000000" w:themeColor="text1"/>
                <w:szCs w:val="21"/>
              </w:rPr>
              <w:t>0.164</w:t>
            </w:r>
          </w:p>
        </w:tc>
        <w:tc>
          <w:tcPr>
            <w:tcW w:w="1395" w:type="dxa"/>
            <w:vAlign w:val="center"/>
          </w:tcPr>
          <w:p w14:paraId="1C4A2C97">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0</w:t>
            </w:r>
          </w:p>
        </w:tc>
        <w:tc>
          <w:tcPr>
            <w:tcW w:w="3163" w:type="dxa"/>
            <w:vMerge w:val="restart"/>
            <w:vAlign w:val="center"/>
          </w:tcPr>
          <w:p w14:paraId="7D8AA2E1">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cs="Times New Roman"/>
                <w:color w:val="000000" w:themeColor="text1"/>
                <w:szCs w:val="21"/>
                <w:lang w:eastAsia="zh-CN"/>
              </w:rPr>
              <w:t>暂存于危废收集间5m</w:t>
            </w:r>
            <w:r>
              <w:rPr>
                <w:rFonts w:ascii="Times New Roman" w:hAnsi="Times New Roman" w:cs="Times New Roman"/>
                <w:color w:val="000000" w:themeColor="text1"/>
                <w:szCs w:val="21"/>
                <w:vertAlign w:val="superscript"/>
                <w:lang w:eastAsia="zh-CN"/>
              </w:rPr>
              <w:t>2</w:t>
            </w:r>
            <w:r>
              <w:rPr>
                <w:rFonts w:ascii="Times New Roman" w:hAnsi="Times New Roman" w:cs="Times New Roman"/>
                <w:color w:val="000000" w:themeColor="text1"/>
                <w:szCs w:val="21"/>
                <w:lang w:eastAsia="zh-CN"/>
              </w:rPr>
              <w:t>，交由有资质的单位进行处置</w:t>
            </w:r>
          </w:p>
        </w:tc>
      </w:tr>
      <w:tr w14:paraId="662C09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92" w:type="dxa"/>
            <w:vMerge w:val="continue"/>
            <w:vAlign w:val="center"/>
          </w:tcPr>
          <w:p w14:paraId="3E6C2C47">
            <w:pPr>
              <w:adjustRightInd w:val="0"/>
              <w:snapToGrid w:val="0"/>
              <w:jc w:val="center"/>
              <w:rPr>
                <w:rFonts w:ascii="Times New Roman" w:hAnsi="Times New Roman" w:cs="Times New Roman" w:eastAsiaTheme="minorEastAsia"/>
                <w:color w:val="000000" w:themeColor="text1"/>
                <w:szCs w:val="21"/>
                <w:lang w:eastAsia="zh-CN"/>
              </w:rPr>
            </w:pPr>
          </w:p>
        </w:tc>
        <w:tc>
          <w:tcPr>
            <w:tcW w:w="1890" w:type="dxa"/>
            <w:vAlign w:val="center"/>
          </w:tcPr>
          <w:p w14:paraId="01F95B4D">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cs="Times New Roman"/>
                <w:color w:val="000000" w:themeColor="text1"/>
                <w:szCs w:val="21"/>
              </w:rPr>
              <w:t>光解废气处理灯</w:t>
            </w:r>
          </w:p>
        </w:tc>
        <w:tc>
          <w:tcPr>
            <w:tcW w:w="1380" w:type="dxa"/>
            <w:vAlign w:val="center"/>
          </w:tcPr>
          <w:p w14:paraId="5FE73505">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cs="Times New Roman"/>
                <w:color w:val="000000" w:themeColor="text1"/>
                <w:szCs w:val="21"/>
              </w:rPr>
              <w:t>0.05</w:t>
            </w:r>
          </w:p>
        </w:tc>
        <w:tc>
          <w:tcPr>
            <w:tcW w:w="1395" w:type="dxa"/>
            <w:vAlign w:val="center"/>
          </w:tcPr>
          <w:p w14:paraId="1EC2984E">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0</w:t>
            </w:r>
          </w:p>
        </w:tc>
        <w:tc>
          <w:tcPr>
            <w:tcW w:w="3163" w:type="dxa"/>
            <w:vMerge w:val="continue"/>
            <w:vAlign w:val="center"/>
          </w:tcPr>
          <w:p w14:paraId="172A4A68">
            <w:pPr>
              <w:adjustRightInd w:val="0"/>
              <w:snapToGrid w:val="0"/>
              <w:jc w:val="center"/>
              <w:rPr>
                <w:rFonts w:ascii="Times New Roman" w:hAnsi="Times New Roman" w:cs="Times New Roman" w:eastAsiaTheme="minorEastAsia"/>
                <w:color w:val="000000" w:themeColor="text1"/>
                <w:szCs w:val="21"/>
                <w:lang w:eastAsia="en-US"/>
              </w:rPr>
            </w:pPr>
          </w:p>
        </w:tc>
      </w:tr>
      <w:tr w14:paraId="05A523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92" w:type="dxa"/>
            <w:vMerge w:val="continue"/>
            <w:vAlign w:val="center"/>
          </w:tcPr>
          <w:p w14:paraId="6E607E0C">
            <w:pPr>
              <w:adjustRightInd w:val="0"/>
              <w:snapToGrid w:val="0"/>
              <w:jc w:val="center"/>
              <w:rPr>
                <w:rFonts w:ascii="Times New Roman" w:hAnsi="Times New Roman" w:cs="Times New Roman" w:eastAsiaTheme="minorEastAsia"/>
                <w:color w:val="000000" w:themeColor="text1"/>
                <w:szCs w:val="21"/>
                <w:lang w:eastAsia="en-US"/>
              </w:rPr>
            </w:pPr>
          </w:p>
        </w:tc>
        <w:tc>
          <w:tcPr>
            <w:tcW w:w="1890" w:type="dxa"/>
            <w:vAlign w:val="center"/>
          </w:tcPr>
          <w:p w14:paraId="4254F210">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cs="Times New Roman"/>
                <w:color w:val="000000" w:themeColor="text1"/>
                <w:szCs w:val="21"/>
              </w:rPr>
              <w:t>生活垃圾</w:t>
            </w:r>
          </w:p>
        </w:tc>
        <w:tc>
          <w:tcPr>
            <w:tcW w:w="1380" w:type="dxa"/>
            <w:vAlign w:val="center"/>
          </w:tcPr>
          <w:p w14:paraId="7709322D">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cs="Times New Roman"/>
                <w:color w:val="000000" w:themeColor="text1"/>
                <w:szCs w:val="21"/>
              </w:rPr>
              <w:t>3</w:t>
            </w:r>
          </w:p>
        </w:tc>
        <w:tc>
          <w:tcPr>
            <w:tcW w:w="1395" w:type="dxa"/>
            <w:vAlign w:val="center"/>
          </w:tcPr>
          <w:p w14:paraId="09155C53">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0</w:t>
            </w:r>
          </w:p>
        </w:tc>
        <w:tc>
          <w:tcPr>
            <w:tcW w:w="3163" w:type="dxa"/>
            <w:vMerge w:val="restart"/>
            <w:vAlign w:val="center"/>
          </w:tcPr>
          <w:p w14:paraId="7E962ABD">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cs="Times New Roman"/>
                <w:color w:val="000000" w:themeColor="text1"/>
                <w:szCs w:val="21"/>
                <w:lang w:eastAsia="zh-CN"/>
              </w:rPr>
              <w:t>外运至最近村庄垃圾收集点处理</w:t>
            </w:r>
          </w:p>
        </w:tc>
      </w:tr>
      <w:tr w14:paraId="1DE8B7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92" w:type="dxa"/>
            <w:vMerge w:val="continue"/>
            <w:vAlign w:val="center"/>
          </w:tcPr>
          <w:p w14:paraId="485E89DF">
            <w:pPr>
              <w:adjustRightInd w:val="0"/>
              <w:snapToGrid w:val="0"/>
              <w:jc w:val="center"/>
              <w:rPr>
                <w:rFonts w:ascii="Times New Roman" w:hAnsi="Times New Roman" w:cs="Times New Roman" w:eastAsiaTheme="minorEastAsia"/>
                <w:color w:val="000000" w:themeColor="text1"/>
                <w:szCs w:val="21"/>
                <w:lang w:eastAsia="zh-CN"/>
              </w:rPr>
            </w:pPr>
          </w:p>
        </w:tc>
        <w:tc>
          <w:tcPr>
            <w:tcW w:w="1890" w:type="dxa"/>
            <w:vAlign w:val="center"/>
          </w:tcPr>
          <w:p w14:paraId="3370CDC0">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cs="Times New Roman"/>
                <w:color w:val="000000" w:themeColor="text1"/>
                <w:szCs w:val="21"/>
              </w:rPr>
              <w:t>食堂泔水</w:t>
            </w:r>
          </w:p>
        </w:tc>
        <w:tc>
          <w:tcPr>
            <w:tcW w:w="1380" w:type="dxa"/>
            <w:vAlign w:val="center"/>
          </w:tcPr>
          <w:p w14:paraId="55441CE2">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cs="Times New Roman"/>
                <w:color w:val="000000" w:themeColor="text1"/>
                <w:szCs w:val="21"/>
              </w:rPr>
              <w:t>1</w:t>
            </w:r>
          </w:p>
        </w:tc>
        <w:tc>
          <w:tcPr>
            <w:tcW w:w="1395" w:type="dxa"/>
            <w:vAlign w:val="center"/>
          </w:tcPr>
          <w:p w14:paraId="695A41A1">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0</w:t>
            </w:r>
          </w:p>
        </w:tc>
        <w:tc>
          <w:tcPr>
            <w:tcW w:w="3163" w:type="dxa"/>
            <w:vMerge w:val="continue"/>
            <w:vAlign w:val="center"/>
          </w:tcPr>
          <w:p w14:paraId="657F16CE">
            <w:pPr>
              <w:pStyle w:val="281"/>
              <w:adjustRightInd w:val="0"/>
              <w:snapToGrid w:val="0"/>
              <w:jc w:val="center"/>
              <w:rPr>
                <w:rFonts w:ascii="Times New Roman" w:hAnsi="Times New Roman" w:eastAsia="宋体" w:cs="Times New Roman"/>
                <w:color w:val="000000" w:themeColor="text1"/>
                <w:kern w:val="2"/>
                <w:sz w:val="21"/>
                <w:szCs w:val="21"/>
                <w:lang w:eastAsia="zh-CN"/>
              </w:rPr>
            </w:pPr>
          </w:p>
        </w:tc>
      </w:tr>
      <w:tr w14:paraId="74D996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92" w:type="dxa"/>
            <w:vMerge w:val="continue"/>
            <w:vAlign w:val="center"/>
          </w:tcPr>
          <w:p w14:paraId="6492042E">
            <w:pPr>
              <w:adjustRightInd w:val="0"/>
              <w:snapToGrid w:val="0"/>
              <w:jc w:val="center"/>
              <w:rPr>
                <w:rFonts w:ascii="Times New Roman" w:hAnsi="Times New Roman" w:cs="Times New Roman" w:eastAsiaTheme="minorEastAsia"/>
                <w:color w:val="000000" w:themeColor="text1"/>
                <w:szCs w:val="21"/>
                <w:lang w:eastAsia="en-US"/>
              </w:rPr>
            </w:pPr>
          </w:p>
        </w:tc>
        <w:tc>
          <w:tcPr>
            <w:tcW w:w="1890" w:type="dxa"/>
            <w:vAlign w:val="center"/>
          </w:tcPr>
          <w:p w14:paraId="3C1DF4D9">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cs="Times New Roman"/>
                <w:color w:val="000000" w:themeColor="text1"/>
                <w:szCs w:val="21"/>
              </w:rPr>
              <w:t>化粪池污泥</w:t>
            </w:r>
          </w:p>
        </w:tc>
        <w:tc>
          <w:tcPr>
            <w:tcW w:w="1380" w:type="dxa"/>
            <w:vAlign w:val="center"/>
          </w:tcPr>
          <w:p w14:paraId="4DC4DCF4">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cs="Times New Roman"/>
                <w:color w:val="000000" w:themeColor="text1"/>
                <w:szCs w:val="21"/>
              </w:rPr>
              <w:t>0.116</w:t>
            </w:r>
          </w:p>
        </w:tc>
        <w:tc>
          <w:tcPr>
            <w:tcW w:w="1395" w:type="dxa"/>
            <w:vAlign w:val="center"/>
          </w:tcPr>
          <w:p w14:paraId="1407AF06">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eastAsia="宋体" w:cs="Times New Roman"/>
                <w:color w:val="000000" w:themeColor="text1"/>
                <w:kern w:val="2"/>
                <w:sz w:val="21"/>
                <w:szCs w:val="21"/>
                <w:lang w:eastAsia="zh-CN"/>
              </w:rPr>
              <w:t>0</w:t>
            </w:r>
          </w:p>
        </w:tc>
        <w:tc>
          <w:tcPr>
            <w:tcW w:w="3163" w:type="dxa"/>
            <w:vAlign w:val="center"/>
          </w:tcPr>
          <w:p w14:paraId="757AA4AA">
            <w:pPr>
              <w:pStyle w:val="281"/>
              <w:adjustRightInd w:val="0"/>
              <w:snapToGrid w:val="0"/>
              <w:jc w:val="center"/>
              <w:rPr>
                <w:rFonts w:ascii="Times New Roman" w:hAnsi="Times New Roman" w:eastAsia="宋体" w:cs="Times New Roman"/>
                <w:color w:val="000000" w:themeColor="text1"/>
                <w:kern w:val="2"/>
                <w:sz w:val="21"/>
                <w:szCs w:val="21"/>
                <w:lang w:eastAsia="zh-CN"/>
              </w:rPr>
            </w:pPr>
            <w:r>
              <w:rPr>
                <w:rFonts w:ascii="Times New Roman" w:hAnsi="Times New Roman" w:cs="Times New Roman"/>
                <w:color w:val="000000" w:themeColor="text1"/>
                <w:szCs w:val="21"/>
              </w:rPr>
              <w:t>作为农作物施肥</w:t>
            </w:r>
          </w:p>
        </w:tc>
      </w:tr>
    </w:tbl>
    <w:p w14:paraId="7824CFAA">
      <w:pPr>
        <w:pStyle w:val="17"/>
        <w:ind w:firstLine="210"/>
      </w:pPr>
    </w:p>
    <w:p w14:paraId="5DEC219A">
      <w:pPr>
        <w:pStyle w:val="106"/>
        <w:adjustRightInd w:val="0"/>
        <w:snapToGrid w:val="0"/>
        <w:spacing w:line="360" w:lineRule="auto"/>
        <w:ind w:firstLine="482" w:firstLineChars="200"/>
        <w:rPr>
          <w:b/>
          <w:color w:val="000000" w:themeColor="text1"/>
          <w:sz w:val="24"/>
          <w:szCs w:val="24"/>
        </w:rPr>
      </w:pPr>
      <w:r>
        <w:rPr>
          <w:b/>
          <w:color w:val="000000" w:themeColor="text1"/>
          <w:sz w:val="24"/>
          <w:szCs w:val="24"/>
        </w:rPr>
        <w:t>2、总量控制指标</w:t>
      </w:r>
    </w:p>
    <w:p w14:paraId="55917CEB">
      <w:pPr>
        <w:pStyle w:val="106"/>
        <w:adjustRightInd w:val="0"/>
        <w:snapToGrid w:val="0"/>
        <w:spacing w:line="360" w:lineRule="auto"/>
        <w:ind w:firstLine="480" w:firstLineChars="200"/>
        <w:rPr>
          <w:sz w:val="24"/>
          <w:szCs w:val="24"/>
        </w:rPr>
      </w:pPr>
      <w:r>
        <w:rPr>
          <w:color w:val="000000" w:themeColor="text1"/>
          <w:sz w:val="24"/>
          <w:szCs w:val="24"/>
        </w:rPr>
        <w:t>根据国家规定的“十</w:t>
      </w:r>
      <w:r>
        <w:rPr>
          <w:sz w:val="24"/>
          <w:szCs w:val="24"/>
        </w:rPr>
        <w:t>三五“期间污染排放总量控制指标有： 大气环境污染物：二氧化硫，氮氧化物、挥发性有机物；水环境污染物：化学需氧量，氨氮。</w:t>
      </w:r>
    </w:p>
    <w:p w14:paraId="798F6692">
      <w:pPr>
        <w:pStyle w:val="115"/>
        <w:rPr>
          <w:color w:val="000000" w:themeColor="text1"/>
        </w:rPr>
      </w:pPr>
      <w:r>
        <w:rPr>
          <w:color w:val="000000" w:themeColor="text1"/>
        </w:rPr>
        <w:t>（1）废气总量控制</w:t>
      </w:r>
    </w:p>
    <w:p w14:paraId="5D5E58E7">
      <w:pPr>
        <w:pStyle w:val="114"/>
        <w:rPr>
          <w:color w:val="000000" w:themeColor="text1"/>
        </w:rPr>
      </w:pPr>
      <w:r>
        <w:rPr>
          <w:color w:val="000000" w:themeColor="text1"/>
        </w:rPr>
        <w:t>本项目排入大气的废气总量控制指标如下：</w:t>
      </w:r>
    </w:p>
    <w:p w14:paraId="2C01E6CE">
      <w:pPr>
        <w:pStyle w:val="114"/>
        <w:rPr>
          <w:color w:val="000000" w:themeColor="text1"/>
        </w:rPr>
      </w:pPr>
      <w:r>
        <w:rPr>
          <w:color w:val="000000" w:themeColor="text1"/>
        </w:rPr>
        <w:t>废气量：3120万Nm</w:t>
      </w:r>
      <w:r>
        <w:rPr>
          <w:color w:val="000000" w:themeColor="text1"/>
          <w:vertAlign w:val="superscript"/>
        </w:rPr>
        <w:t>3</w:t>
      </w:r>
      <w:r>
        <w:rPr>
          <w:color w:val="000000" w:themeColor="text1"/>
        </w:rPr>
        <w:t>/a；非甲烷总烃：0.154</w:t>
      </w:r>
      <w:r>
        <w:rPr>
          <w:color w:val="000000" w:themeColor="text1"/>
          <w:szCs w:val="21"/>
        </w:rPr>
        <w:t xml:space="preserve"> t</w:t>
      </w:r>
      <w:r>
        <w:rPr>
          <w:color w:val="000000" w:themeColor="text1"/>
        </w:rPr>
        <w:t>/a。</w:t>
      </w:r>
    </w:p>
    <w:p w14:paraId="01C35EE9">
      <w:pPr>
        <w:spacing w:line="360" w:lineRule="auto"/>
        <w:ind w:firstLine="482" w:firstLineChars="200"/>
        <w:rPr>
          <w:b/>
          <w:color w:val="000000" w:themeColor="text1"/>
          <w:sz w:val="24"/>
        </w:rPr>
      </w:pPr>
      <w:r>
        <w:rPr>
          <w:b/>
          <w:color w:val="000000" w:themeColor="text1"/>
          <w:sz w:val="24"/>
        </w:rPr>
        <w:t>（2）废水总量控制</w:t>
      </w:r>
    </w:p>
    <w:p w14:paraId="6EAB2922">
      <w:pPr>
        <w:adjustRightInd w:val="0"/>
        <w:snapToGrid w:val="0"/>
        <w:spacing w:line="360" w:lineRule="auto"/>
        <w:ind w:firstLine="480"/>
        <w:jc w:val="left"/>
        <w:rPr>
          <w:color w:val="000000" w:themeColor="text1"/>
          <w:sz w:val="24"/>
        </w:rPr>
      </w:pPr>
      <w:r>
        <w:rPr>
          <w:b/>
          <w:color w:val="000000" w:themeColor="text1"/>
          <w:sz w:val="24"/>
        </w:rPr>
        <w:t>生活废水：</w:t>
      </w:r>
      <w:r>
        <w:rPr>
          <w:color w:val="000000" w:themeColor="text1"/>
          <w:sz w:val="24"/>
        </w:rPr>
        <w:t>废水主要为员工生活废水，厨房废水经1个隔油池处理后，与其它生活废水排入化粪池处理，定期委托周边村民清运，用于农作物施肥，不外排。</w:t>
      </w:r>
    </w:p>
    <w:p w14:paraId="7C8FA47D">
      <w:pPr>
        <w:adjustRightInd w:val="0"/>
        <w:snapToGrid w:val="0"/>
        <w:spacing w:line="360" w:lineRule="auto"/>
        <w:ind w:firstLine="480"/>
        <w:jc w:val="left"/>
        <w:rPr>
          <w:color w:val="000000" w:themeColor="text1"/>
          <w:sz w:val="24"/>
        </w:rPr>
      </w:pPr>
      <w:r>
        <w:rPr>
          <w:b/>
          <w:color w:val="000000" w:themeColor="text1"/>
          <w:sz w:val="24"/>
        </w:rPr>
        <w:t>生产废水：</w:t>
      </w:r>
      <w:r>
        <w:rPr>
          <w:color w:val="000000" w:themeColor="text1"/>
          <w:sz w:val="24"/>
        </w:rPr>
        <w:t>本项目生产清洗废水通过污水处理设施（隔油池+沉淀池）处理后，回用于生产；造粒冷却水循环使用（主要污染物为SS），不外排。</w:t>
      </w:r>
    </w:p>
    <w:p w14:paraId="66B11A01">
      <w:pPr>
        <w:spacing w:line="360" w:lineRule="auto"/>
        <w:ind w:firstLine="480" w:firstLineChars="200"/>
        <w:rPr>
          <w:color w:val="000000" w:themeColor="text1"/>
          <w:sz w:val="24"/>
        </w:rPr>
      </w:pPr>
      <w:r>
        <w:rPr>
          <w:color w:val="000000" w:themeColor="text1"/>
          <w:sz w:val="24"/>
        </w:rPr>
        <w:t>综上，本项目废水排放量为0万m</w:t>
      </w:r>
      <w:r>
        <w:rPr>
          <w:color w:val="000000" w:themeColor="text1"/>
          <w:sz w:val="24"/>
          <w:vertAlign w:val="superscript"/>
        </w:rPr>
        <w:t>3</w:t>
      </w:r>
      <w:r>
        <w:rPr>
          <w:color w:val="000000" w:themeColor="text1"/>
          <w:sz w:val="24"/>
        </w:rPr>
        <w:t>/a。</w:t>
      </w:r>
    </w:p>
    <w:p w14:paraId="04C4D79B">
      <w:pPr>
        <w:spacing w:line="360" w:lineRule="auto"/>
        <w:ind w:firstLine="482" w:firstLineChars="200"/>
        <w:rPr>
          <w:b/>
          <w:color w:val="000000" w:themeColor="text1"/>
          <w:sz w:val="24"/>
        </w:rPr>
      </w:pPr>
      <w:r>
        <w:rPr>
          <w:b/>
          <w:color w:val="000000" w:themeColor="text1"/>
          <w:sz w:val="24"/>
        </w:rPr>
        <w:t>（3）固体废弃物</w:t>
      </w:r>
    </w:p>
    <w:p w14:paraId="4971D98B">
      <w:pPr>
        <w:spacing w:line="360" w:lineRule="auto"/>
        <w:ind w:firstLine="480" w:firstLineChars="200"/>
        <w:rPr>
          <w:color w:val="000000" w:themeColor="text1"/>
          <w:sz w:val="24"/>
        </w:rPr>
      </w:pPr>
      <w:r>
        <w:rPr>
          <w:color w:val="000000" w:themeColor="text1"/>
          <w:sz w:val="24"/>
        </w:rPr>
        <w:t>固体废物均得到合理有效的处置，处置率为100℅。</w:t>
      </w:r>
    </w:p>
    <w:p w14:paraId="5AC1C305">
      <w:pPr>
        <w:pStyle w:val="17"/>
        <w:ind w:firstLine="210"/>
      </w:pPr>
    </w:p>
    <w:p w14:paraId="108CBFFB">
      <w:pPr>
        <w:pStyle w:val="105"/>
        <w:rPr>
          <w:rFonts w:cs="Times New Roman"/>
          <w:color w:val="000000" w:themeColor="text1"/>
        </w:rPr>
      </w:pPr>
      <w:bookmarkStart w:id="495" w:name="8.3.3规范化排污口"/>
      <w:bookmarkEnd w:id="495"/>
      <w:r>
        <w:rPr>
          <w:rFonts w:cs="Times New Roman"/>
          <w:color w:val="000000" w:themeColor="text1"/>
        </w:rPr>
        <w:t>10.3.3规范化排污口</w:t>
      </w:r>
    </w:p>
    <w:p w14:paraId="11736438">
      <w:pPr>
        <w:spacing w:line="360" w:lineRule="auto"/>
        <w:ind w:firstLine="480" w:firstLineChars="200"/>
        <w:rPr>
          <w:color w:val="000000" w:themeColor="text1"/>
          <w:sz w:val="24"/>
        </w:rPr>
      </w:pPr>
      <w:r>
        <w:rPr>
          <w:color w:val="000000" w:themeColor="text1"/>
          <w:sz w:val="24"/>
        </w:rPr>
        <w:t>根据《排污口规范化整治技术要求（试行）》（环监[1996]470 号），排污口规范设置主要是便于计量监测和日常现场监督检查。项目建成后应按照国家对排污口设置相关规范，在排污口设置有相应的环境保护图形标志牌。根据《排污口规范化整治技术要求（试行）》，排污口立标要求主要有：</w:t>
      </w:r>
    </w:p>
    <w:p w14:paraId="169E97E0">
      <w:pPr>
        <w:spacing w:line="360" w:lineRule="auto"/>
        <w:ind w:firstLine="480" w:firstLineChars="200"/>
        <w:rPr>
          <w:color w:val="000000" w:themeColor="text1"/>
          <w:sz w:val="24"/>
        </w:rPr>
      </w:pPr>
      <w:r>
        <w:rPr>
          <w:color w:val="000000" w:themeColor="text1"/>
          <w:sz w:val="24"/>
        </w:rPr>
        <w:t>（1）排污单位的污染物排放口(源)和固体废物贮存、处置场，必须实行规范化整治，按照国家标准《环境保护图形标志》(GB15562.1 -1995)的规定，设置与之相适应的环境保护图形标志牌。</w:t>
      </w:r>
    </w:p>
    <w:p w14:paraId="09A8FDB1">
      <w:pPr>
        <w:spacing w:line="360" w:lineRule="auto"/>
        <w:ind w:firstLine="480" w:firstLineChars="200"/>
        <w:rPr>
          <w:color w:val="000000" w:themeColor="text1"/>
          <w:sz w:val="24"/>
        </w:rPr>
      </w:pPr>
      <w:r>
        <w:rPr>
          <w:color w:val="000000" w:themeColor="text1"/>
          <w:sz w:val="24"/>
        </w:rPr>
        <w:t>（2）开展排放口(源)和固体废物贮存、处置场规范化，必须使用由国家环境保护局统一定点制作和监制的环境保护图形标志牌。</w:t>
      </w:r>
    </w:p>
    <w:p w14:paraId="744AE731">
      <w:pPr>
        <w:spacing w:line="360" w:lineRule="auto"/>
        <w:ind w:firstLine="480" w:firstLineChars="200"/>
        <w:rPr>
          <w:color w:val="000000" w:themeColor="text1"/>
          <w:sz w:val="24"/>
        </w:rPr>
      </w:pPr>
      <w:r>
        <w:rPr>
          <w:color w:val="000000" w:themeColor="text1"/>
          <w:sz w:val="24"/>
        </w:rPr>
        <w:t>（3）环境保护图形标志牌设置位置应距污染物排放口(源)及固体废物贮存(处置)场或采样点较近且醒目处，并能长久保留，其中：噪声排放源标志牌应设置在距选定监测点较近且醒目处。设置高度一般为：环境保护图形标志牌上缘距离地面 2 米。</w:t>
      </w:r>
    </w:p>
    <w:p w14:paraId="32B96990">
      <w:pPr>
        <w:spacing w:line="360" w:lineRule="auto"/>
        <w:ind w:firstLine="480" w:firstLineChars="200"/>
        <w:rPr>
          <w:color w:val="000000" w:themeColor="text1"/>
          <w:sz w:val="24"/>
        </w:rPr>
      </w:pPr>
      <w:r>
        <w:rPr>
          <w:color w:val="000000" w:themeColor="text1"/>
          <w:sz w:val="24"/>
        </w:rPr>
        <w:t>（4）一般性污染物排放口(源)或固体废物贮存、处置场，设置提示性环境保护图形标志牌。</w:t>
      </w:r>
    </w:p>
    <w:p w14:paraId="0A2D00A4">
      <w:pPr>
        <w:spacing w:line="360" w:lineRule="auto"/>
        <w:ind w:firstLine="480" w:firstLineChars="200"/>
        <w:rPr>
          <w:color w:val="000000" w:themeColor="text1"/>
          <w:sz w:val="24"/>
        </w:rPr>
      </w:pPr>
      <w:r>
        <w:rPr>
          <w:color w:val="000000" w:themeColor="text1"/>
          <w:sz w:val="24"/>
        </w:rPr>
        <w:t>（5）环境保护图形标志牌的辅助标志上，需要填写的栏目，应由环境保护部门统一组织填写，要求字迹工整，字的颜色与标志牌颜色要总体协调。</w:t>
      </w:r>
    </w:p>
    <w:p w14:paraId="29D9DF4D">
      <w:pPr>
        <w:pStyle w:val="4"/>
        <w:rPr>
          <w:rFonts w:ascii="Times New Roman" w:hAnsi="Times New Roman"/>
          <w:color w:val="000000" w:themeColor="text1"/>
        </w:rPr>
      </w:pPr>
      <w:bookmarkStart w:id="496" w:name="_bookmark46"/>
      <w:bookmarkEnd w:id="496"/>
      <w:bookmarkStart w:id="497" w:name="8.4环境监测"/>
      <w:bookmarkEnd w:id="497"/>
      <w:bookmarkStart w:id="498" w:name="_Toc28117740"/>
      <w:r>
        <w:rPr>
          <w:rFonts w:ascii="Times New Roman" w:hAnsi="Times New Roman"/>
          <w:color w:val="000000" w:themeColor="text1"/>
        </w:rPr>
        <w:t>10.4环境监测</w:t>
      </w:r>
      <w:bookmarkEnd w:id="498"/>
    </w:p>
    <w:p w14:paraId="473241A8">
      <w:pPr>
        <w:spacing w:line="360" w:lineRule="auto"/>
        <w:ind w:firstLine="480" w:firstLineChars="200"/>
        <w:rPr>
          <w:color w:val="000000" w:themeColor="text1"/>
          <w:sz w:val="24"/>
        </w:rPr>
      </w:pPr>
      <w:r>
        <w:rPr>
          <w:color w:val="000000" w:themeColor="text1"/>
          <w:sz w:val="24"/>
        </w:rPr>
        <w:t>通过环境监测能够客观准确的评估项目环境影响的程度，对监测数据综合分析，掌握污染源控制情况及环境顽量状况，向上级提出防治污染、改善环境质量的建议，预防项目营运中的不利因素，减轻环境问題对企业生产和公众生活环境的影响。</w:t>
      </w:r>
    </w:p>
    <w:p w14:paraId="25450DD4">
      <w:pPr>
        <w:pStyle w:val="105"/>
        <w:rPr>
          <w:rFonts w:cs="Times New Roman"/>
          <w:color w:val="000000" w:themeColor="text1"/>
        </w:rPr>
      </w:pPr>
      <w:bookmarkStart w:id="499" w:name="8.4.1环境监测计划"/>
      <w:bookmarkEnd w:id="499"/>
      <w:r>
        <w:rPr>
          <w:rFonts w:cs="Times New Roman"/>
          <w:color w:val="000000" w:themeColor="text1"/>
        </w:rPr>
        <w:t>10.4.1环境监测计划</w:t>
      </w:r>
    </w:p>
    <w:p w14:paraId="2D61FA1B">
      <w:pPr>
        <w:spacing w:line="360" w:lineRule="auto"/>
        <w:ind w:firstLine="482" w:firstLineChars="200"/>
        <w:rPr>
          <w:b/>
          <w:color w:val="000000" w:themeColor="text1"/>
          <w:sz w:val="24"/>
        </w:rPr>
      </w:pPr>
      <w:r>
        <w:rPr>
          <w:b/>
          <w:color w:val="000000" w:themeColor="text1"/>
          <w:sz w:val="24"/>
        </w:rPr>
        <w:t>1、监测机构及职责</w:t>
      </w:r>
    </w:p>
    <w:p w14:paraId="7A12606D">
      <w:pPr>
        <w:spacing w:line="360" w:lineRule="auto"/>
        <w:ind w:firstLine="480" w:firstLineChars="200"/>
        <w:rPr>
          <w:color w:val="000000" w:themeColor="text1"/>
          <w:sz w:val="24"/>
        </w:rPr>
      </w:pPr>
      <w:r>
        <w:rPr>
          <w:color w:val="000000" w:themeColor="text1"/>
          <w:sz w:val="24"/>
        </w:rPr>
        <w:t>对于项目生产中排放的废气、噪声及固废等污染物，应委托具有资质的监测机构监测。</w:t>
      </w:r>
    </w:p>
    <w:p w14:paraId="127EEAFD">
      <w:pPr>
        <w:spacing w:line="360" w:lineRule="auto"/>
        <w:ind w:firstLine="480" w:firstLineChars="200"/>
        <w:rPr>
          <w:color w:val="000000" w:themeColor="text1"/>
          <w:sz w:val="24"/>
        </w:rPr>
      </w:pPr>
      <w:r>
        <w:rPr>
          <w:color w:val="000000" w:themeColor="text1"/>
          <w:sz w:val="24"/>
        </w:rPr>
        <w:t>环境监测单位开展全场污染及环境质量监测工作，切实搞好监测质量保证工。</w:t>
      </w:r>
    </w:p>
    <w:p w14:paraId="1E3007F5">
      <w:pPr>
        <w:spacing w:line="360" w:lineRule="auto"/>
        <w:ind w:firstLine="480" w:firstLineChars="200"/>
        <w:rPr>
          <w:color w:val="000000" w:themeColor="text1"/>
          <w:sz w:val="24"/>
        </w:rPr>
      </w:pPr>
      <w:r>
        <w:rPr>
          <w:color w:val="000000" w:themeColor="text1"/>
          <w:sz w:val="24"/>
        </w:rPr>
        <w:t>环境监测单位职责如下：</w:t>
      </w:r>
    </w:p>
    <w:p w14:paraId="2382CDF2">
      <w:pPr>
        <w:spacing w:line="360" w:lineRule="auto"/>
        <w:ind w:firstLine="480" w:firstLineChars="200"/>
        <w:rPr>
          <w:color w:val="000000" w:themeColor="text1"/>
          <w:sz w:val="24"/>
        </w:rPr>
      </w:pPr>
      <w:r>
        <w:rPr>
          <w:rFonts w:hint="eastAsia" w:ascii="宋体" w:hAnsi="宋体" w:cs="宋体"/>
          <w:color w:val="000000" w:themeColor="text1"/>
          <w:sz w:val="24"/>
        </w:rPr>
        <w:t>①</w:t>
      </w:r>
      <w:r>
        <w:rPr>
          <w:color w:val="000000" w:themeColor="text1"/>
          <w:sz w:val="24"/>
        </w:rPr>
        <w:t>建立严格可行的监测质量保证制度；建立健全污染源档案；</w:t>
      </w:r>
    </w:p>
    <w:p w14:paraId="2A2AFFAC">
      <w:pPr>
        <w:spacing w:line="360" w:lineRule="auto"/>
        <w:ind w:firstLine="480" w:firstLineChars="200"/>
        <w:rPr>
          <w:color w:val="000000" w:themeColor="text1"/>
          <w:sz w:val="24"/>
        </w:rPr>
      </w:pPr>
      <w:r>
        <w:rPr>
          <w:rFonts w:hint="eastAsia" w:ascii="宋体" w:hAnsi="宋体" w:cs="宋体"/>
          <w:color w:val="000000" w:themeColor="text1"/>
          <w:sz w:val="24"/>
        </w:rPr>
        <w:t>②</w:t>
      </w:r>
      <w:r>
        <w:rPr>
          <w:color w:val="000000" w:themeColor="text1"/>
          <w:sz w:val="24"/>
        </w:rPr>
        <w:t>在监测过程中，如发现某污染因子有超标现象，应分析超标原因并及时上报，委托方管理部门采取措施控制污染；</w:t>
      </w:r>
    </w:p>
    <w:p w14:paraId="4A4D073E">
      <w:pPr>
        <w:spacing w:line="360" w:lineRule="auto"/>
        <w:ind w:firstLine="480" w:firstLineChars="200"/>
        <w:rPr>
          <w:color w:val="000000" w:themeColor="text1"/>
          <w:sz w:val="24"/>
        </w:rPr>
      </w:pPr>
      <w:r>
        <w:rPr>
          <w:rFonts w:hint="eastAsia" w:ascii="宋体" w:hAnsi="宋体" w:cs="宋体"/>
          <w:color w:val="000000" w:themeColor="text1"/>
          <w:sz w:val="24"/>
        </w:rPr>
        <w:t>③</w:t>
      </w:r>
      <w:r>
        <w:rPr>
          <w:color w:val="000000" w:themeColor="text1"/>
          <w:sz w:val="24"/>
        </w:rPr>
        <w:t>定期（季、年）监测数据的综合分析，掌握污染源控制情况及环境质量状况，向委托方提出防治污染、改善环境质量的建议。</w:t>
      </w:r>
    </w:p>
    <w:p w14:paraId="1B9C581C">
      <w:pPr>
        <w:spacing w:line="360" w:lineRule="auto"/>
        <w:ind w:firstLine="482" w:firstLineChars="200"/>
        <w:rPr>
          <w:b/>
          <w:color w:val="000000" w:themeColor="text1"/>
          <w:sz w:val="24"/>
        </w:rPr>
      </w:pPr>
      <w:r>
        <w:rPr>
          <w:b/>
          <w:color w:val="000000" w:themeColor="text1"/>
          <w:sz w:val="24"/>
        </w:rPr>
        <w:t>2、环境监测计划</w:t>
      </w:r>
    </w:p>
    <w:p w14:paraId="54CB1F09">
      <w:pPr>
        <w:spacing w:line="360" w:lineRule="auto"/>
        <w:ind w:firstLine="480" w:firstLineChars="200"/>
        <w:rPr>
          <w:color w:val="000000" w:themeColor="text1"/>
          <w:sz w:val="24"/>
        </w:rPr>
      </w:pPr>
      <w:r>
        <w:rPr>
          <w:color w:val="000000" w:themeColor="text1"/>
          <w:sz w:val="24"/>
        </w:rPr>
        <w:t>项目监测计划见表10.4-1。</w:t>
      </w:r>
    </w:p>
    <w:p w14:paraId="177F5E55">
      <w:pPr>
        <w:jc w:val="center"/>
        <w:rPr>
          <w:b/>
          <w:sz w:val="24"/>
        </w:rPr>
      </w:pPr>
      <w:r>
        <w:rPr>
          <w:b/>
          <w:sz w:val="24"/>
        </w:rPr>
        <w:t>表 10.4-1  项目环境监测计划表</w:t>
      </w:r>
    </w:p>
    <w:tbl>
      <w:tblPr>
        <w:tblStyle w:val="42"/>
        <w:tblW w:w="8522"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572"/>
        <w:gridCol w:w="3294"/>
        <w:gridCol w:w="1468"/>
      </w:tblGrid>
      <w:tr w14:paraId="6693178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7D01D4">
            <w:pPr>
              <w:pStyle w:val="108"/>
              <w:adjustRightInd w:val="0"/>
              <w:snapToGrid w:val="0"/>
              <w:spacing w:line="240" w:lineRule="auto"/>
              <w:ind w:firstLine="0" w:firstLineChars="0"/>
              <w:jc w:val="center"/>
              <w:rPr>
                <w:rFonts w:hAnsi="Times New Roman"/>
                <w:snapToGrid w:val="0"/>
                <w:color w:val="000000" w:themeColor="text1"/>
                <w:sz w:val="21"/>
                <w:szCs w:val="21"/>
              </w:rPr>
            </w:pPr>
            <w:r>
              <w:rPr>
                <w:rFonts w:hAnsi="Times New Roman"/>
                <w:snapToGrid w:val="0"/>
                <w:color w:val="000000" w:themeColor="text1"/>
                <w:sz w:val="21"/>
                <w:szCs w:val="21"/>
              </w:rPr>
              <w:t>监测项目</w:t>
            </w:r>
          </w:p>
        </w:tc>
        <w:tc>
          <w:tcPr>
            <w:tcW w:w="2572" w:type="dxa"/>
            <w:vAlign w:val="center"/>
          </w:tcPr>
          <w:p w14:paraId="56E4559B">
            <w:pPr>
              <w:pStyle w:val="108"/>
              <w:adjustRightInd w:val="0"/>
              <w:snapToGrid w:val="0"/>
              <w:spacing w:line="240" w:lineRule="auto"/>
              <w:ind w:firstLine="0" w:firstLineChars="0"/>
              <w:jc w:val="center"/>
              <w:rPr>
                <w:rFonts w:hAnsi="Times New Roman"/>
                <w:snapToGrid w:val="0"/>
                <w:color w:val="000000" w:themeColor="text1"/>
                <w:sz w:val="21"/>
                <w:szCs w:val="21"/>
              </w:rPr>
            </w:pPr>
            <w:r>
              <w:rPr>
                <w:rFonts w:hAnsi="Times New Roman"/>
                <w:snapToGrid w:val="0"/>
                <w:color w:val="000000" w:themeColor="text1"/>
                <w:sz w:val="21"/>
                <w:szCs w:val="21"/>
              </w:rPr>
              <w:t>监测点位</w:t>
            </w:r>
          </w:p>
        </w:tc>
        <w:tc>
          <w:tcPr>
            <w:tcW w:w="3294" w:type="dxa"/>
            <w:vAlign w:val="center"/>
          </w:tcPr>
          <w:p w14:paraId="36F3EE4D">
            <w:pPr>
              <w:pStyle w:val="108"/>
              <w:adjustRightInd w:val="0"/>
              <w:snapToGrid w:val="0"/>
              <w:spacing w:line="240" w:lineRule="auto"/>
              <w:ind w:firstLine="0" w:firstLineChars="0"/>
              <w:jc w:val="center"/>
              <w:rPr>
                <w:rFonts w:hAnsi="Times New Roman"/>
                <w:snapToGrid w:val="0"/>
                <w:color w:val="000000" w:themeColor="text1"/>
                <w:sz w:val="21"/>
                <w:szCs w:val="21"/>
              </w:rPr>
            </w:pPr>
            <w:r>
              <w:rPr>
                <w:rFonts w:hAnsi="Times New Roman"/>
                <w:snapToGrid w:val="0"/>
                <w:color w:val="000000" w:themeColor="text1"/>
                <w:sz w:val="21"/>
                <w:szCs w:val="21"/>
              </w:rPr>
              <w:t>监测项目</w:t>
            </w:r>
          </w:p>
        </w:tc>
        <w:tc>
          <w:tcPr>
            <w:tcW w:w="1468" w:type="dxa"/>
            <w:vAlign w:val="center"/>
          </w:tcPr>
          <w:p w14:paraId="674E5E3C">
            <w:pPr>
              <w:pStyle w:val="108"/>
              <w:adjustRightInd w:val="0"/>
              <w:snapToGrid w:val="0"/>
              <w:spacing w:line="240" w:lineRule="auto"/>
              <w:ind w:firstLine="0" w:firstLineChars="0"/>
              <w:jc w:val="center"/>
              <w:rPr>
                <w:rFonts w:hAnsi="Times New Roman"/>
                <w:snapToGrid w:val="0"/>
                <w:color w:val="000000" w:themeColor="text1"/>
                <w:sz w:val="21"/>
                <w:szCs w:val="21"/>
              </w:rPr>
            </w:pPr>
            <w:r>
              <w:rPr>
                <w:rFonts w:hAnsi="Times New Roman"/>
                <w:snapToGrid w:val="0"/>
                <w:color w:val="000000" w:themeColor="text1"/>
                <w:sz w:val="21"/>
                <w:szCs w:val="21"/>
              </w:rPr>
              <w:t>监测时间及频率</w:t>
            </w:r>
          </w:p>
        </w:tc>
      </w:tr>
      <w:tr w14:paraId="2519C337">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8" w:type="dxa"/>
            <w:vMerge w:val="restart"/>
            <w:vAlign w:val="center"/>
          </w:tcPr>
          <w:p w14:paraId="376428F3">
            <w:pPr>
              <w:pStyle w:val="108"/>
              <w:adjustRightInd w:val="0"/>
              <w:snapToGrid w:val="0"/>
              <w:spacing w:line="240" w:lineRule="auto"/>
              <w:ind w:firstLine="0" w:firstLineChars="0"/>
              <w:jc w:val="center"/>
              <w:rPr>
                <w:rFonts w:hAnsi="Times New Roman"/>
                <w:snapToGrid w:val="0"/>
                <w:color w:val="000000" w:themeColor="text1"/>
                <w:sz w:val="21"/>
                <w:szCs w:val="21"/>
              </w:rPr>
            </w:pPr>
            <w:r>
              <w:rPr>
                <w:rFonts w:hAnsi="Times New Roman"/>
                <w:snapToGrid w:val="0"/>
                <w:color w:val="000000" w:themeColor="text1"/>
                <w:sz w:val="21"/>
                <w:szCs w:val="21"/>
              </w:rPr>
              <w:t>废气</w:t>
            </w:r>
          </w:p>
        </w:tc>
        <w:tc>
          <w:tcPr>
            <w:tcW w:w="2572" w:type="dxa"/>
            <w:vAlign w:val="center"/>
          </w:tcPr>
          <w:p w14:paraId="4E12EEB8">
            <w:pPr>
              <w:pStyle w:val="108"/>
              <w:adjustRightInd w:val="0"/>
              <w:snapToGrid w:val="0"/>
              <w:spacing w:line="240" w:lineRule="auto"/>
              <w:ind w:firstLine="0" w:firstLineChars="0"/>
              <w:jc w:val="center"/>
              <w:rPr>
                <w:rFonts w:hAnsi="Times New Roman"/>
                <w:snapToGrid w:val="0"/>
                <w:color w:val="000000" w:themeColor="text1"/>
                <w:sz w:val="21"/>
                <w:szCs w:val="21"/>
              </w:rPr>
            </w:pPr>
            <w:r>
              <w:rPr>
                <w:rFonts w:hAnsi="Times New Roman"/>
                <w:snapToGrid w:val="0"/>
                <w:color w:val="000000" w:themeColor="text1"/>
                <w:sz w:val="21"/>
                <w:szCs w:val="21"/>
              </w:rPr>
              <w:t>造粒工序热熔挤出废气排气筒、编织袋生产废气排气筒</w:t>
            </w:r>
          </w:p>
        </w:tc>
        <w:tc>
          <w:tcPr>
            <w:tcW w:w="3294" w:type="dxa"/>
            <w:vAlign w:val="center"/>
          </w:tcPr>
          <w:p w14:paraId="28DEA48B">
            <w:pPr>
              <w:pStyle w:val="108"/>
              <w:adjustRightInd w:val="0"/>
              <w:snapToGrid w:val="0"/>
              <w:spacing w:line="240" w:lineRule="auto"/>
              <w:ind w:firstLine="0" w:firstLineChars="0"/>
              <w:jc w:val="center"/>
              <w:rPr>
                <w:rFonts w:hAnsi="Times New Roman"/>
                <w:snapToGrid w:val="0"/>
                <w:color w:val="000000" w:themeColor="text1"/>
                <w:sz w:val="21"/>
                <w:szCs w:val="21"/>
              </w:rPr>
            </w:pPr>
            <w:r>
              <w:rPr>
                <w:rFonts w:hAnsi="Times New Roman"/>
                <w:snapToGrid w:val="0"/>
                <w:color w:val="000000" w:themeColor="text1"/>
                <w:sz w:val="21"/>
                <w:szCs w:val="21"/>
              </w:rPr>
              <w:t>颗粒物、非甲烷总烃、废气量</w:t>
            </w:r>
          </w:p>
        </w:tc>
        <w:tc>
          <w:tcPr>
            <w:tcW w:w="1468" w:type="dxa"/>
            <w:vMerge w:val="restart"/>
            <w:vAlign w:val="center"/>
          </w:tcPr>
          <w:p w14:paraId="772E55BA">
            <w:pPr>
              <w:pStyle w:val="108"/>
              <w:adjustRightInd w:val="0"/>
              <w:snapToGrid w:val="0"/>
              <w:spacing w:line="240" w:lineRule="auto"/>
              <w:ind w:firstLine="0" w:firstLineChars="0"/>
              <w:jc w:val="center"/>
              <w:rPr>
                <w:rFonts w:hAnsi="Times New Roman"/>
                <w:snapToGrid w:val="0"/>
                <w:color w:val="000000" w:themeColor="text1"/>
                <w:sz w:val="21"/>
                <w:szCs w:val="21"/>
              </w:rPr>
            </w:pPr>
            <w:r>
              <w:rPr>
                <w:rFonts w:hAnsi="Times New Roman"/>
                <w:snapToGrid w:val="0"/>
                <w:color w:val="000000" w:themeColor="text1"/>
                <w:sz w:val="21"/>
                <w:szCs w:val="21"/>
              </w:rPr>
              <w:t>按国家相关规定</w:t>
            </w:r>
          </w:p>
        </w:tc>
      </w:tr>
      <w:tr w14:paraId="6774BDB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14:paraId="137A789D">
            <w:pPr>
              <w:pStyle w:val="108"/>
              <w:adjustRightInd w:val="0"/>
              <w:snapToGrid w:val="0"/>
              <w:spacing w:line="240" w:lineRule="auto"/>
              <w:ind w:firstLine="0" w:firstLineChars="0"/>
              <w:jc w:val="center"/>
              <w:rPr>
                <w:rFonts w:hAnsi="Times New Roman"/>
                <w:snapToGrid w:val="0"/>
                <w:color w:val="000000" w:themeColor="text1"/>
                <w:sz w:val="21"/>
                <w:szCs w:val="21"/>
              </w:rPr>
            </w:pPr>
          </w:p>
        </w:tc>
        <w:tc>
          <w:tcPr>
            <w:tcW w:w="2572" w:type="dxa"/>
            <w:vAlign w:val="center"/>
          </w:tcPr>
          <w:p w14:paraId="4F6729A6">
            <w:pPr>
              <w:pStyle w:val="108"/>
              <w:adjustRightInd w:val="0"/>
              <w:snapToGrid w:val="0"/>
              <w:spacing w:line="240" w:lineRule="auto"/>
              <w:ind w:firstLine="0" w:firstLineChars="0"/>
              <w:jc w:val="center"/>
              <w:rPr>
                <w:rFonts w:hAnsi="Times New Roman"/>
                <w:snapToGrid w:val="0"/>
                <w:color w:val="000000" w:themeColor="text1"/>
                <w:sz w:val="21"/>
                <w:szCs w:val="21"/>
              </w:rPr>
            </w:pPr>
            <w:r>
              <w:rPr>
                <w:rFonts w:hAnsi="Times New Roman"/>
                <w:snapToGrid w:val="0"/>
                <w:color w:val="000000" w:themeColor="text1"/>
                <w:sz w:val="21"/>
                <w:szCs w:val="21"/>
              </w:rPr>
              <w:t>厂界上风向、下风向</w:t>
            </w:r>
          </w:p>
        </w:tc>
        <w:tc>
          <w:tcPr>
            <w:tcW w:w="3294" w:type="dxa"/>
            <w:vAlign w:val="center"/>
          </w:tcPr>
          <w:p w14:paraId="53916BB1">
            <w:pPr>
              <w:pStyle w:val="108"/>
              <w:adjustRightInd w:val="0"/>
              <w:snapToGrid w:val="0"/>
              <w:spacing w:line="240" w:lineRule="auto"/>
              <w:ind w:firstLine="0" w:firstLineChars="0"/>
              <w:jc w:val="center"/>
              <w:rPr>
                <w:rFonts w:hAnsi="Times New Roman"/>
                <w:snapToGrid w:val="0"/>
                <w:color w:val="000000" w:themeColor="text1"/>
                <w:sz w:val="21"/>
                <w:szCs w:val="21"/>
              </w:rPr>
            </w:pPr>
            <w:r>
              <w:rPr>
                <w:rFonts w:hAnsi="Times New Roman"/>
                <w:snapToGrid w:val="0"/>
                <w:color w:val="000000" w:themeColor="text1"/>
                <w:sz w:val="21"/>
                <w:szCs w:val="21"/>
              </w:rPr>
              <w:t>颗粒物、非甲烷总烃、臭气</w:t>
            </w:r>
          </w:p>
        </w:tc>
        <w:tc>
          <w:tcPr>
            <w:tcW w:w="1468" w:type="dxa"/>
            <w:vMerge w:val="continue"/>
            <w:vAlign w:val="center"/>
          </w:tcPr>
          <w:p w14:paraId="0234ADB4">
            <w:pPr>
              <w:pStyle w:val="108"/>
              <w:adjustRightInd w:val="0"/>
              <w:snapToGrid w:val="0"/>
              <w:spacing w:line="240" w:lineRule="auto"/>
              <w:ind w:firstLine="0" w:firstLineChars="0"/>
              <w:jc w:val="center"/>
              <w:rPr>
                <w:rFonts w:hAnsi="Times New Roman"/>
                <w:snapToGrid w:val="0"/>
                <w:color w:val="000000" w:themeColor="text1"/>
                <w:sz w:val="21"/>
                <w:szCs w:val="21"/>
              </w:rPr>
            </w:pPr>
          </w:p>
        </w:tc>
      </w:tr>
      <w:tr w14:paraId="6DD0494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7BFFBBD">
            <w:pPr>
              <w:pStyle w:val="108"/>
              <w:adjustRightInd w:val="0"/>
              <w:snapToGrid w:val="0"/>
              <w:spacing w:line="240" w:lineRule="auto"/>
              <w:ind w:firstLine="0" w:firstLineChars="0"/>
              <w:jc w:val="center"/>
              <w:rPr>
                <w:rFonts w:hAnsi="Times New Roman"/>
                <w:snapToGrid w:val="0"/>
                <w:color w:val="000000" w:themeColor="text1"/>
                <w:sz w:val="21"/>
                <w:szCs w:val="21"/>
              </w:rPr>
            </w:pPr>
            <w:r>
              <w:rPr>
                <w:rFonts w:hAnsi="Times New Roman"/>
                <w:snapToGrid w:val="0"/>
                <w:color w:val="000000" w:themeColor="text1"/>
                <w:sz w:val="21"/>
                <w:szCs w:val="21"/>
              </w:rPr>
              <w:t>地下水</w:t>
            </w:r>
          </w:p>
        </w:tc>
        <w:tc>
          <w:tcPr>
            <w:tcW w:w="2572" w:type="dxa"/>
            <w:vAlign w:val="center"/>
          </w:tcPr>
          <w:p w14:paraId="7CFE2F83">
            <w:pPr>
              <w:pStyle w:val="108"/>
              <w:adjustRightInd w:val="0"/>
              <w:snapToGrid w:val="0"/>
              <w:spacing w:line="240" w:lineRule="auto"/>
              <w:ind w:firstLine="0" w:firstLineChars="0"/>
              <w:jc w:val="center"/>
              <w:rPr>
                <w:rFonts w:hAnsi="Times New Roman"/>
                <w:snapToGrid w:val="0"/>
                <w:color w:val="000000" w:themeColor="text1"/>
                <w:sz w:val="21"/>
                <w:szCs w:val="21"/>
              </w:rPr>
            </w:pPr>
            <w:r>
              <w:rPr>
                <w:rFonts w:hAnsi="Times New Roman"/>
                <w:snapToGrid w:val="0"/>
                <w:color w:val="000000" w:themeColor="text1"/>
                <w:sz w:val="21"/>
                <w:szCs w:val="21"/>
              </w:rPr>
              <w:t>1个监测井</w:t>
            </w:r>
          </w:p>
        </w:tc>
        <w:tc>
          <w:tcPr>
            <w:tcW w:w="3294" w:type="dxa"/>
            <w:vAlign w:val="center"/>
          </w:tcPr>
          <w:p w14:paraId="3690F7DD">
            <w:pPr>
              <w:pStyle w:val="108"/>
              <w:adjustRightInd w:val="0"/>
              <w:snapToGrid w:val="0"/>
              <w:spacing w:line="240" w:lineRule="auto"/>
              <w:ind w:firstLine="0" w:firstLineChars="0"/>
              <w:jc w:val="center"/>
              <w:rPr>
                <w:rFonts w:hAnsi="Times New Roman"/>
                <w:snapToGrid w:val="0"/>
                <w:color w:val="000000" w:themeColor="text1"/>
                <w:sz w:val="21"/>
                <w:szCs w:val="21"/>
              </w:rPr>
            </w:pPr>
            <w:r>
              <w:rPr>
                <w:rFonts w:hAnsi="Times New Roman"/>
                <w:snapToGrid w:val="0"/>
                <w:color w:val="000000" w:themeColor="text1"/>
                <w:sz w:val="21"/>
                <w:szCs w:val="21"/>
              </w:rPr>
              <w:t>pH、溶解性总固体、耗氧量、氨氮、挥发酚、氯化物、硫酸盐、氟化物、菌落总数、总大肠菌群、铁、锰、铅</w:t>
            </w:r>
          </w:p>
        </w:tc>
        <w:tc>
          <w:tcPr>
            <w:tcW w:w="1468" w:type="dxa"/>
            <w:vMerge w:val="continue"/>
            <w:vAlign w:val="center"/>
          </w:tcPr>
          <w:p w14:paraId="2E373689">
            <w:pPr>
              <w:pStyle w:val="108"/>
              <w:adjustRightInd w:val="0"/>
              <w:snapToGrid w:val="0"/>
              <w:spacing w:line="240" w:lineRule="auto"/>
              <w:ind w:firstLine="0" w:firstLineChars="0"/>
              <w:jc w:val="center"/>
              <w:rPr>
                <w:rFonts w:hAnsi="Times New Roman"/>
                <w:snapToGrid w:val="0"/>
                <w:color w:val="000000" w:themeColor="text1"/>
                <w:sz w:val="21"/>
                <w:szCs w:val="21"/>
              </w:rPr>
            </w:pPr>
          </w:p>
        </w:tc>
      </w:tr>
      <w:tr w14:paraId="76A4716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73831BB">
            <w:pPr>
              <w:pStyle w:val="108"/>
              <w:adjustRightInd w:val="0"/>
              <w:snapToGrid w:val="0"/>
              <w:spacing w:line="240" w:lineRule="auto"/>
              <w:ind w:firstLine="0" w:firstLineChars="0"/>
              <w:jc w:val="center"/>
              <w:rPr>
                <w:rFonts w:hAnsi="Times New Roman"/>
                <w:snapToGrid w:val="0"/>
                <w:color w:val="000000" w:themeColor="text1"/>
                <w:sz w:val="21"/>
                <w:szCs w:val="21"/>
              </w:rPr>
            </w:pPr>
            <w:r>
              <w:rPr>
                <w:rFonts w:hAnsi="Times New Roman"/>
                <w:snapToGrid w:val="0"/>
                <w:color w:val="000000" w:themeColor="text1"/>
                <w:sz w:val="21"/>
                <w:szCs w:val="21"/>
              </w:rPr>
              <w:t>噪声</w:t>
            </w:r>
          </w:p>
        </w:tc>
        <w:tc>
          <w:tcPr>
            <w:tcW w:w="2572" w:type="dxa"/>
            <w:vAlign w:val="center"/>
          </w:tcPr>
          <w:p w14:paraId="2F3B843E">
            <w:pPr>
              <w:pStyle w:val="108"/>
              <w:adjustRightInd w:val="0"/>
              <w:snapToGrid w:val="0"/>
              <w:spacing w:line="240" w:lineRule="auto"/>
              <w:ind w:firstLine="0" w:firstLineChars="0"/>
              <w:jc w:val="center"/>
              <w:rPr>
                <w:rFonts w:hAnsi="Times New Roman"/>
                <w:snapToGrid w:val="0"/>
                <w:color w:val="000000" w:themeColor="text1"/>
                <w:sz w:val="21"/>
                <w:szCs w:val="21"/>
              </w:rPr>
            </w:pPr>
            <w:r>
              <w:rPr>
                <w:rFonts w:hAnsi="Times New Roman"/>
                <w:snapToGrid w:val="0"/>
                <w:color w:val="000000" w:themeColor="text1"/>
                <w:sz w:val="21"/>
                <w:szCs w:val="21"/>
              </w:rPr>
              <w:t>项目东面、西面、南面、北面厂界各1个点</w:t>
            </w:r>
          </w:p>
        </w:tc>
        <w:tc>
          <w:tcPr>
            <w:tcW w:w="3294" w:type="dxa"/>
            <w:vAlign w:val="center"/>
          </w:tcPr>
          <w:p w14:paraId="74CCDA66">
            <w:pPr>
              <w:pStyle w:val="108"/>
              <w:adjustRightInd w:val="0"/>
              <w:snapToGrid w:val="0"/>
              <w:spacing w:line="240" w:lineRule="auto"/>
              <w:ind w:firstLine="0" w:firstLineChars="0"/>
              <w:jc w:val="center"/>
              <w:rPr>
                <w:rFonts w:hAnsi="Times New Roman"/>
                <w:snapToGrid w:val="0"/>
                <w:color w:val="000000" w:themeColor="text1"/>
                <w:sz w:val="21"/>
                <w:szCs w:val="21"/>
              </w:rPr>
            </w:pPr>
            <w:r>
              <w:rPr>
                <w:rFonts w:hAnsi="Times New Roman"/>
                <w:snapToGrid w:val="0"/>
                <w:color w:val="000000" w:themeColor="text1"/>
                <w:sz w:val="21"/>
                <w:szCs w:val="21"/>
              </w:rPr>
              <w:t>昼间、夜间噪声</w:t>
            </w:r>
          </w:p>
        </w:tc>
        <w:tc>
          <w:tcPr>
            <w:tcW w:w="1468" w:type="dxa"/>
            <w:vMerge w:val="continue"/>
            <w:vAlign w:val="center"/>
          </w:tcPr>
          <w:p w14:paraId="4E558CEC">
            <w:pPr>
              <w:pStyle w:val="108"/>
              <w:adjustRightInd w:val="0"/>
              <w:snapToGrid w:val="0"/>
              <w:spacing w:line="240" w:lineRule="auto"/>
              <w:ind w:firstLine="0" w:firstLineChars="0"/>
              <w:jc w:val="center"/>
              <w:rPr>
                <w:rFonts w:hAnsi="Times New Roman"/>
                <w:snapToGrid w:val="0"/>
                <w:color w:val="000000" w:themeColor="text1"/>
                <w:sz w:val="21"/>
                <w:szCs w:val="21"/>
              </w:rPr>
            </w:pPr>
          </w:p>
        </w:tc>
      </w:tr>
    </w:tbl>
    <w:p w14:paraId="7BB85682">
      <w:pPr>
        <w:pStyle w:val="17"/>
        <w:spacing w:before="9"/>
        <w:ind w:firstLine="191"/>
        <w:rPr>
          <w:b/>
          <w:sz w:val="19"/>
        </w:rPr>
      </w:pPr>
    </w:p>
    <w:p w14:paraId="4C07AA00">
      <w:pPr>
        <w:pStyle w:val="105"/>
        <w:rPr>
          <w:rFonts w:cs="Times New Roman"/>
          <w:color w:val="000000" w:themeColor="text1"/>
        </w:rPr>
      </w:pPr>
      <w:bookmarkStart w:id="500" w:name="8.4.2监测数据的整理、审核和存档"/>
      <w:bookmarkEnd w:id="500"/>
      <w:r>
        <w:rPr>
          <w:rFonts w:cs="Times New Roman"/>
          <w:color w:val="000000" w:themeColor="text1"/>
        </w:rPr>
        <w:t>10.4.2监测数据的整理、审核和存档</w:t>
      </w:r>
    </w:p>
    <w:p w14:paraId="39693EE2">
      <w:pPr>
        <w:spacing w:line="360" w:lineRule="auto"/>
        <w:ind w:firstLine="480" w:firstLineChars="200"/>
        <w:rPr>
          <w:color w:val="000000" w:themeColor="text1"/>
          <w:sz w:val="24"/>
        </w:rPr>
      </w:pPr>
      <w:r>
        <w:rPr>
          <w:color w:val="000000" w:themeColor="text1"/>
          <w:sz w:val="24"/>
        </w:rPr>
        <w:t>按年度考核，必须把所有的环境监测资料进行归纳，整理和评价，审核后资料按档案管理规范编号存档，并同时上报当地环保部门以便落实环保措施，作为今后区域环境管理及政府决策使用。</w:t>
      </w:r>
    </w:p>
    <w:p w14:paraId="6D2760CA">
      <w:pPr>
        <w:pStyle w:val="4"/>
        <w:rPr>
          <w:rFonts w:ascii="Times New Roman" w:hAnsi="Times New Roman"/>
          <w:color w:val="000000" w:themeColor="text1"/>
        </w:rPr>
      </w:pPr>
      <w:bookmarkStart w:id="501" w:name="_bookmark47"/>
      <w:bookmarkEnd w:id="501"/>
      <w:bookmarkStart w:id="502" w:name="8.5竣工环境保护验收"/>
      <w:bookmarkEnd w:id="502"/>
      <w:bookmarkStart w:id="503" w:name="_Toc28117741"/>
      <w:r>
        <w:rPr>
          <w:rFonts w:ascii="Times New Roman" w:hAnsi="Times New Roman"/>
          <w:color w:val="000000" w:themeColor="text1"/>
        </w:rPr>
        <w:t>10.5竣工环境保护验收</w:t>
      </w:r>
      <w:bookmarkEnd w:id="503"/>
    </w:p>
    <w:p w14:paraId="54A9769B">
      <w:pPr>
        <w:spacing w:line="360" w:lineRule="auto"/>
        <w:ind w:firstLine="480" w:firstLineChars="200"/>
        <w:rPr>
          <w:color w:val="000000" w:themeColor="text1"/>
          <w:sz w:val="24"/>
        </w:rPr>
      </w:pPr>
      <w:r>
        <w:rPr>
          <w:color w:val="000000" w:themeColor="text1"/>
          <w:sz w:val="24"/>
        </w:rPr>
        <w:t>根据《中华人民共和国环境保护法》规定，建设项目污染防治设施必须与主体工程同时设计、同时施工、同时投入运行。该项目所涉及到的各项环保措施必须参照“三同时”的要求落实到位，污染治理措施“三同时”验收项目见表 10.5-1。</w:t>
      </w:r>
    </w:p>
    <w:p w14:paraId="57DB893B">
      <w:pPr>
        <w:spacing w:line="360" w:lineRule="auto"/>
        <w:ind w:firstLine="480" w:firstLineChars="200"/>
        <w:rPr>
          <w:color w:val="000000" w:themeColor="text1"/>
          <w:sz w:val="24"/>
        </w:rPr>
      </w:pPr>
    </w:p>
    <w:p w14:paraId="6911EEEA">
      <w:pPr>
        <w:spacing w:line="360" w:lineRule="auto"/>
        <w:ind w:firstLine="480" w:firstLineChars="200"/>
        <w:rPr>
          <w:color w:val="000000" w:themeColor="text1"/>
          <w:sz w:val="24"/>
        </w:rPr>
      </w:pPr>
    </w:p>
    <w:p w14:paraId="52E82137">
      <w:pPr>
        <w:spacing w:line="360" w:lineRule="auto"/>
        <w:ind w:firstLine="480" w:firstLineChars="200"/>
        <w:rPr>
          <w:color w:val="000000" w:themeColor="text1"/>
          <w:sz w:val="24"/>
        </w:rPr>
      </w:pPr>
    </w:p>
    <w:p w14:paraId="3EAC4AD6">
      <w:pPr>
        <w:jc w:val="center"/>
        <w:rPr>
          <w:b/>
          <w:sz w:val="24"/>
        </w:rPr>
      </w:pPr>
      <w:r>
        <w:rPr>
          <w:b/>
          <w:sz w:val="24"/>
        </w:rPr>
        <w:t>表10.5-1</w:t>
      </w:r>
      <w:r>
        <w:rPr>
          <w:b/>
          <w:sz w:val="24"/>
        </w:rPr>
        <w:tab/>
      </w:r>
      <w:r>
        <w:rPr>
          <w:b/>
          <w:sz w:val="24"/>
        </w:rPr>
        <w:t>项目竣工环境保护验收一览表</w:t>
      </w:r>
    </w:p>
    <w:tbl>
      <w:tblPr>
        <w:tblStyle w:val="42"/>
        <w:tblW w:w="8858"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1559"/>
        <w:gridCol w:w="2977"/>
        <w:gridCol w:w="2654"/>
      </w:tblGrid>
      <w:tr w14:paraId="059299B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8" w:type="dxa"/>
            <w:gridSpan w:val="2"/>
            <w:vAlign w:val="center"/>
          </w:tcPr>
          <w:p w14:paraId="7AEF404A">
            <w:pPr>
              <w:jc w:val="center"/>
              <w:rPr>
                <w:rFonts w:eastAsiaTheme="minorEastAsia"/>
                <w:b/>
                <w:color w:val="000000" w:themeColor="text1"/>
                <w:szCs w:val="21"/>
              </w:rPr>
            </w:pPr>
            <w:r>
              <w:rPr>
                <w:rFonts w:eastAsiaTheme="minorEastAsia"/>
                <w:b/>
                <w:color w:val="000000" w:themeColor="text1"/>
                <w:szCs w:val="21"/>
              </w:rPr>
              <w:t>污染源</w:t>
            </w:r>
          </w:p>
        </w:tc>
        <w:tc>
          <w:tcPr>
            <w:tcW w:w="1559" w:type="dxa"/>
            <w:vAlign w:val="center"/>
          </w:tcPr>
          <w:p w14:paraId="2599B8AC">
            <w:pPr>
              <w:jc w:val="center"/>
              <w:rPr>
                <w:rFonts w:eastAsiaTheme="minorEastAsia"/>
                <w:b/>
                <w:color w:val="000000" w:themeColor="text1"/>
                <w:szCs w:val="21"/>
              </w:rPr>
            </w:pPr>
            <w:r>
              <w:rPr>
                <w:rFonts w:eastAsiaTheme="minorEastAsia"/>
                <w:b/>
                <w:color w:val="000000" w:themeColor="text1"/>
                <w:szCs w:val="21"/>
              </w:rPr>
              <w:t>处理对象</w:t>
            </w:r>
          </w:p>
        </w:tc>
        <w:tc>
          <w:tcPr>
            <w:tcW w:w="2977" w:type="dxa"/>
            <w:vAlign w:val="center"/>
          </w:tcPr>
          <w:p w14:paraId="31373816">
            <w:pPr>
              <w:jc w:val="center"/>
              <w:rPr>
                <w:rFonts w:eastAsiaTheme="minorEastAsia"/>
                <w:b/>
                <w:color w:val="000000" w:themeColor="text1"/>
                <w:szCs w:val="21"/>
              </w:rPr>
            </w:pPr>
            <w:r>
              <w:rPr>
                <w:rFonts w:eastAsiaTheme="minorEastAsia"/>
                <w:b/>
                <w:color w:val="000000" w:themeColor="text1"/>
                <w:szCs w:val="21"/>
              </w:rPr>
              <w:t>环保措施</w:t>
            </w:r>
          </w:p>
        </w:tc>
        <w:tc>
          <w:tcPr>
            <w:tcW w:w="2654" w:type="dxa"/>
            <w:vAlign w:val="center"/>
          </w:tcPr>
          <w:p w14:paraId="4936A258">
            <w:pPr>
              <w:jc w:val="center"/>
              <w:rPr>
                <w:rFonts w:eastAsiaTheme="minorEastAsia"/>
                <w:b/>
                <w:color w:val="000000" w:themeColor="text1"/>
                <w:szCs w:val="21"/>
              </w:rPr>
            </w:pPr>
            <w:r>
              <w:rPr>
                <w:rFonts w:eastAsiaTheme="minorEastAsia"/>
                <w:b/>
                <w:color w:val="000000" w:themeColor="text1"/>
                <w:szCs w:val="21"/>
              </w:rPr>
              <w:t>验收标准</w:t>
            </w:r>
          </w:p>
        </w:tc>
      </w:tr>
      <w:tr w14:paraId="4867F12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restart"/>
            <w:vAlign w:val="center"/>
          </w:tcPr>
          <w:p w14:paraId="72EF63C1">
            <w:pPr>
              <w:jc w:val="center"/>
              <w:rPr>
                <w:rFonts w:eastAsiaTheme="minorEastAsia"/>
                <w:b/>
                <w:color w:val="000000" w:themeColor="text1"/>
                <w:szCs w:val="21"/>
              </w:rPr>
            </w:pPr>
            <w:r>
              <w:rPr>
                <w:rFonts w:eastAsiaTheme="minorEastAsia"/>
                <w:b/>
                <w:color w:val="000000" w:themeColor="text1"/>
                <w:szCs w:val="21"/>
              </w:rPr>
              <w:t>废气</w:t>
            </w:r>
          </w:p>
        </w:tc>
        <w:tc>
          <w:tcPr>
            <w:tcW w:w="1134" w:type="dxa"/>
            <w:vAlign w:val="center"/>
          </w:tcPr>
          <w:p w14:paraId="53F3082F">
            <w:pPr>
              <w:jc w:val="center"/>
              <w:rPr>
                <w:rFonts w:eastAsiaTheme="minorEastAsia"/>
                <w:b/>
                <w:color w:val="000000" w:themeColor="text1"/>
                <w:szCs w:val="21"/>
              </w:rPr>
            </w:pPr>
            <w:r>
              <w:rPr>
                <w:rFonts w:eastAsiaTheme="minorEastAsia"/>
                <w:b/>
                <w:color w:val="000000" w:themeColor="text1"/>
                <w:szCs w:val="21"/>
              </w:rPr>
              <w:t>食堂</w:t>
            </w:r>
          </w:p>
        </w:tc>
        <w:tc>
          <w:tcPr>
            <w:tcW w:w="1559" w:type="dxa"/>
            <w:vAlign w:val="center"/>
          </w:tcPr>
          <w:p w14:paraId="36CB0934">
            <w:pPr>
              <w:jc w:val="center"/>
              <w:rPr>
                <w:rFonts w:eastAsiaTheme="minorEastAsia"/>
                <w:color w:val="000000" w:themeColor="text1"/>
                <w:szCs w:val="21"/>
              </w:rPr>
            </w:pPr>
            <w:r>
              <w:rPr>
                <w:rFonts w:eastAsiaTheme="minorEastAsia"/>
                <w:color w:val="000000" w:themeColor="text1"/>
                <w:szCs w:val="21"/>
              </w:rPr>
              <w:t>油烟</w:t>
            </w:r>
          </w:p>
        </w:tc>
        <w:tc>
          <w:tcPr>
            <w:tcW w:w="2977" w:type="dxa"/>
            <w:vAlign w:val="center"/>
          </w:tcPr>
          <w:p w14:paraId="729B969B">
            <w:pPr>
              <w:jc w:val="center"/>
              <w:rPr>
                <w:rFonts w:eastAsiaTheme="minorEastAsia"/>
                <w:color w:val="000000" w:themeColor="text1"/>
                <w:szCs w:val="21"/>
              </w:rPr>
            </w:pPr>
            <w:r>
              <w:rPr>
                <w:rFonts w:eastAsiaTheme="minorEastAsia"/>
                <w:color w:val="000000" w:themeColor="text1"/>
                <w:szCs w:val="21"/>
              </w:rPr>
              <w:t xml:space="preserve">油烟净化系统，净化效率60% </w:t>
            </w:r>
          </w:p>
        </w:tc>
        <w:tc>
          <w:tcPr>
            <w:tcW w:w="2654" w:type="dxa"/>
            <w:vAlign w:val="center"/>
          </w:tcPr>
          <w:p w14:paraId="6D6515A0">
            <w:pPr>
              <w:jc w:val="center"/>
              <w:rPr>
                <w:rFonts w:eastAsiaTheme="minorEastAsia"/>
                <w:color w:val="000000" w:themeColor="text1"/>
                <w:szCs w:val="21"/>
              </w:rPr>
            </w:pPr>
            <w:r>
              <w:rPr>
                <w:rFonts w:eastAsiaTheme="minorEastAsia"/>
                <w:color w:val="000000" w:themeColor="text1"/>
                <w:szCs w:val="21"/>
              </w:rPr>
              <w:t>满足《饮食业油烟排放标准》小型要求≤2.0mg/m</w:t>
            </w:r>
            <w:r>
              <w:rPr>
                <w:rFonts w:eastAsiaTheme="minorEastAsia"/>
                <w:color w:val="000000" w:themeColor="text1"/>
                <w:szCs w:val="21"/>
                <w:vertAlign w:val="superscript"/>
              </w:rPr>
              <w:t>3</w:t>
            </w:r>
          </w:p>
        </w:tc>
      </w:tr>
      <w:tr w14:paraId="7DB270F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0" w:hRule="atLeast"/>
        </w:trPr>
        <w:tc>
          <w:tcPr>
            <w:tcW w:w="534" w:type="dxa"/>
            <w:vMerge w:val="continue"/>
            <w:vAlign w:val="center"/>
          </w:tcPr>
          <w:p w14:paraId="1049BBA6">
            <w:pPr>
              <w:jc w:val="center"/>
              <w:rPr>
                <w:rFonts w:eastAsiaTheme="minorEastAsia"/>
                <w:b/>
                <w:color w:val="000000" w:themeColor="text1"/>
                <w:szCs w:val="21"/>
                <w:highlight w:val="yellow"/>
              </w:rPr>
            </w:pPr>
          </w:p>
        </w:tc>
        <w:tc>
          <w:tcPr>
            <w:tcW w:w="1134" w:type="dxa"/>
            <w:vAlign w:val="center"/>
          </w:tcPr>
          <w:p w14:paraId="305D8313">
            <w:pPr>
              <w:jc w:val="center"/>
              <w:rPr>
                <w:rFonts w:eastAsiaTheme="minorEastAsia"/>
                <w:b/>
                <w:color w:val="000000" w:themeColor="text1"/>
                <w:szCs w:val="21"/>
              </w:rPr>
            </w:pPr>
            <w:r>
              <w:rPr>
                <w:rFonts w:eastAsiaTheme="minorEastAsia"/>
                <w:b/>
                <w:color w:val="000000" w:themeColor="text1"/>
                <w:szCs w:val="21"/>
              </w:rPr>
              <w:t>造粒工序、编织袋生产</w:t>
            </w:r>
          </w:p>
        </w:tc>
        <w:tc>
          <w:tcPr>
            <w:tcW w:w="1559" w:type="dxa"/>
            <w:vAlign w:val="center"/>
          </w:tcPr>
          <w:p w14:paraId="782DBA9B">
            <w:pPr>
              <w:jc w:val="center"/>
              <w:rPr>
                <w:rFonts w:eastAsiaTheme="minorEastAsia"/>
                <w:color w:val="000000" w:themeColor="text1"/>
                <w:szCs w:val="21"/>
              </w:rPr>
            </w:pPr>
            <w:r>
              <w:rPr>
                <w:rFonts w:eastAsiaTheme="minorEastAsia"/>
                <w:color w:val="000000" w:themeColor="text1"/>
                <w:szCs w:val="21"/>
              </w:rPr>
              <w:t>颗粒物、非甲烷总烃</w:t>
            </w:r>
          </w:p>
        </w:tc>
        <w:tc>
          <w:tcPr>
            <w:tcW w:w="2977" w:type="dxa"/>
          </w:tcPr>
          <w:p w14:paraId="2B8FE279">
            <w:pPr>
              <w:pStyle w:val="59"/>
              <w:spacing w:line="240" w:lineRule="auto"/>
              <w:ind w:firstLine="422" w:firstLineChars="200"/>
              <w:jc w:val="both"/>
              <w:rPr>
                <w:bCs/>
                <w:color w:val="000000" w:themeColor="text1"/>
                <w:sz w:val="21"/>
                <w:szCs w:val="21"/>
              </w:rPr>
            </w:pPr>
            <w:r>
              <w:rPr>
                <w:b/>
                <w:color w:val="000000" w:themeColor="text1"/>
                <w:sz w:val="21"/>
                <w:szCs w:val="21"/>
              </w:rPr>
              <w:t>造粒工序：</w:t>
            </w:r>
            <w:r>
              <w:rPr>
                <w:bCs/>
                <w:color w:val="000000" w:themeColor="text1"/>
                <w:sz w:val="21"/>
                <w:szCs w:val="21"/>
              </w:rPr>
              <w:t>拟在两台塑料挤出机上方设置集气罩（风量为8000m</w:t>
            </w:r>
            <w:r>
              <w:rPr>
                <w:bCs/>
                <w:color w:val="000000" w:themeColor="text1"/>
                <w:sz w:val="21"/>
                <w:szCs w:val="21"/>
                <w:vertAlign w:val="superscript"/>
              </w:rPr>
              <w:t>3</w:t>
            </w:r>
            <w:r>
              <w:rPr>
                <w:bCs/>
                <w:color w:val="000000" w:themeColor="text1"/>
                <w:sz w:val="21"/>
                <w:szCs w:val="21"/>
              </w:rPr>
              <w:t>/h，集气效率90%），将颗粒物及非甲烷总烃引至过滤棉+UV光解装置处理达标后（颗粒物处置效率95%，非甲烷总烃处置效率85%），通过管道引至15m的排气筒排放。</w:t>
            </w:r>
          </w:p>
          <w:p w14:paraId="1E3B958C">
            <w:pPr>
              <w:ind w:firstLine="422" w:firstLineChars="200"/>
              <w:jc w:val="left"/>
              <w:rPr>
                <w:bCs/>
                <w:color w:val="000000" w:themeColor="text1"/>
                <w:szCs w:val="21"/>
              </w:rPr>
            </w:pPr>
            <w:r>
              <w:rPr>
                <w:b/>
                <w:bCs/>
                <w:color w:val="000000" w:themeColor="text1"/>
                <w:szCs w:val="21"/>
              </w:rPr>
              <w:t>编织袋生产：</w:t>
            </w:r>
            <w:r>
              <w:rPr>
                <w:bCs/>
                <w:color w:val="000000" w:themeColor="text1"/>
                <w:szCs w:val="21"/>
              </w:rPr>
              <w:t>设置1套集气罩对废气进行收集，然后经”过滤棉+UV光催化净化装置”处理后（收集效率90%，非甲烷总烃处理效率85%，颗粒物处理效率95%），通过15m高排气筒排放。</w:t>
            </w:r>
          </w:p>
          <w:p w14:paraId="290BBC2C">
            <w:pPr>
              <w:ind w:firstLine="420" w:firstLineChars="200"/>
              <w:jc w:val="left"/>
              <w:rPr>
                <w:rFonts w:eastAsiaTheme="minorEastAsia"/>
                <w:color w:val="000000" w:themeColor="text1"/>
                <w:szCs w:val="21"/>
              </w:rPr>
            </w:pPr>
          </w:p>
        </w:tc>
        <w:tc>
          <w:tcPr>
            <w:tcW w:w="2654" w:type="dxa"/>
            <w:vAlign w:val="center"/>
          </w:tcPr>
          <w:p w14:paraId="616DCB12">
            <w:pPr>
              <w:jc w:val="center"/>
              <w:rPr>
                <w:rFonts w:eastAsiaTheme="minorEastAsia"/>
                <w:color w:val="000000" w:themeColor="text1"/>
                <w:szCs w:val="21"/>
              </w:rPr>
            </w:pPr>
            <w:r>
              <w:rPr>
                <w:rFonts w:eastAsiaTheme="minorEastAsia"/>
                <w:bCs/>
                <w:color w:val="000000" w:themeColor="text1"/>
                <w:szCs w:val="21"/>
              </w:rPr>
              <w:t>颗粒物、非甲烷总烃满足</w:t>
            </w:r>
            <w:r>
              <w:rPr>
                <w:rFonts w:eastAsiaTheme="minorEastAsia"/>
                <w:color w:val="000000" w:themeColor="text1"/>
                <w:szCs w:val="21"/>
              </w:rPr>
              <w:t>《合成树脂工业污染物排放标准》（GB31572-2015）；</w:t>
            </w:r>
          </w:p>
          <w:p w14:paraId="0F429AD8">
            <w:pPr>
              <w:jc w:val="center"/>
              <w:rPr>
                <w:rFonts w:eastAsiaTheme="minorEastAsia"/>
                <w:color w:val="000000" w:themeColor="text1"/>
                <w:szCs w:val="21"/>
              </w:rPr>
            </w:pPr>
            <w:r>
              <w:rPr>
                <w:rFonts w:eastAsiaTheme="minorEastAsia"/>
                <w:color w:val="000000" w:themeColor="text1"/>
                <w:szCs w:val="21"/>
              </w:rPr>
              <w:t>臭气浓度执行《恶臭污染物排放标准》（GB14554-1993）中表1恶臭污染物厂界标准中二级标准</w:t>
            </w:r>
          </w:p>
        </w:tc>
      </w:tr>
      <w:tr w14:paraId="2A3EF2A5">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restart"/>
            <w:vAlign w:val="center"/>
          </w:tcPr>
          <w:p w14:paraId="09D5247F">
            <w:pPr>
              <w:jc w:val="center"/>
              <w:rPr>
                <w:rFonts w:eastAsiaTheme="minorEastAsia"/>
                <w:b/>
                <w:color w:val="000000" w:themeColor="text1"/>
                <w:szCs w:val="21"/>
              </w:rPr>
            </w:pPr>
            <w:r>
              <w:rPr>
                <w:rFonts w:eastAsiaTheme="minorEastAsia"/>
                <w:b/>
                <w:color w:val="000000" w:themeColor="text1"/>
                <w:szCs w:val="21"/>
              </w:rPr>
              <w:t>废</w:t>
            </w:r>
          </w:p>
          <w:p w14:paraId="0C52CD61">
            <w:pPr>
              <w:jc w:val="center"/>
              <w:rPr>
                <w:rFonts w:eastAsiaTheme="minorEastAsia"/>
                <w:b/>
                <w:color w:val="000000" w:themeColor="text1"/>
                <w:szCs w:val="21"/>
              </w:rPr>
            </w:pPr>
            <w:r>
              <w:rPr>
                <w:rFonts w:eastAsiaTheme="minorEastAsia"/>
                <w:b/>
                <w:color w:val="000000" w:themeColor="text1"/>
                <w:szCs w:val="21"/>
              </w:rPr>
              <w:t>水</w:t>
            </w:r>
          </w:p>
        </w:tc>
        <w:tc>
          <w:tcPr>
            <w:tcW w:w="1134" w:type="dxa"/>
            <w:vAlign w:val="center"/>
          </w:tcPr>
          <w:p w14:paraId="2E668356">
            <w:pPr>
              <w:jc w:val="center"/>
              <w:rPr>
                <w:rFonts w:eastAsiaTheme="minorEastAsia"/>
                <w:b/>
                <w:color w:val="000000" w:themeColor="text1"/>
                <w:szCs w:val="21"/>
              </w:rPr>
            </w:pPr>
            <w:r>
              <w:rPr>
                <w:rFonts w:eastAsiaTheme="minorEastAsia"/>
                <w:b/>
                <w:color w:val="000000" w:themeColor="text1"/>
                <w:szCs w:val="21"/>
              </w:rPr>
              <w:t>雨水</w:t>
            </w:r>
          </w:p>
        </w:tc>
        <w:tc>
          <w:tcPr>
            <w:tcW w:w="1559" w:type="dxa"/>
            <w:vAlign w:val="center"/>
          </w:tcPr>
          <w:p w14:paraId="459B09A4">
            <w:pPr>
              <w:jc w:val="center"/>
              <w:rPr>
                <w:rFonts w:eastAsiaTheme="minorEastAsia"/>
                <w:color w:val="000000" w:themeColor="text1"/>
                <w:szCs w:val="21"/>
              </w:rPr>
            </w:pPr>
            <w:r>
              <w:rPr>
                <w:rFonts w:eastAsiaTheme="minorEastAsia"/>
                <w:color w:val="000000" w:themeColor="text1"/>
                <w:szCs w:val="21"/>
              </w:rPr>
              <w:t>SS等</w:t>
            </w:r>
          </w:p>
        </w:tc>
        <w:tc>
          <w:tcPr>
            <w:tcW w:w="2977" w:type="dxa"/>
            <w:vAlign w:val="center"/>
          </w:tcPr>
          <w:p w14:paraId="2BA63FAB">
            <w:pPr>
              <w:jc w:val="center"/>
              <w:rPr>
                <w:rFonts w:eastAsiaTheme="minorEastAsia"/>
                <w:color w:val="000000" w:themeColor="text1"/>
                <w:szCs w:val="21"/>
              </w:rPr>
            </w:pPr>
            <w:r>
              <w:rPr>
                <w:rFonts w:eastAsiaTheme="minorEastAsia"/>
                <w:color w:val="000000" w:themeColor="text1"/>
                <w:szCs w:val="21"/>
              </w:rPr>
              <w:t>项目实行清污、雨污分流；本项目厂区设置雨水沟，收集前1h的雨水进入本项目雨水收集池（3m</w:t>
            </w:r>
            <w:r>
              <w:rPr>
                <w:rFonts w:eastAsiaTheme="minorEastAsia"/>
                <w:color w:val="000000" w:themeColor="text1"/>
                <w:szCs w:val="21"/>
                <w:vertAlign w:val="superscript"/>
              </w:rPr>
              <w:t>3</w:t>
            </w:r>
            <w:r>
              <w:rPr>
                <w:rFonts w:eastAsiaTheme="minorEastAsia"/>
                <w:color w:val="000000" w:themeColor="text1"/>
                <w:szCs w:val="21"/>
              </w:rPr>
              <w:t>）处理，回用于生产，其余经沉淀后外排。</w:t>
            </w:r>
          </w:p>
        </w:tc>
        <w:tc>
          <w:tcPr>
            <w:tcW w:w="2654" w:type="dxa"/>
            <w:vAlign w:val="center"/>
          </w:tcPr>
          <w:p w14:paraId="7CE4F3F3">
            <w:pPr>
              <w:jc w:val="center"/>
              <w:rPr>
                <w:rFonts w:eastAsiaTheme="minorEastAsia"/>
                <w:color w:val="000000" w:themeColor="text1"/>
                <w:szCs w:val="21"/>
              </w:rPr>
            </w:pPr>
            <w:r>
              <w:rPr>
                <w:rFonts w:eastAsiaTheme="minorEastAsia"/>
                <w:color w:val="000000" w:themeColor="text1"/>
                <w:szCs w:val="21"/>
              </w:rPr>
              <w:t>/</w:t>
            </w:r>
          </w:p>
        </w:tc>
      </w:tr>
      <w:tr w14:paraId="00E357A8">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continue"/>
            <w:vAlign w:val="center"/>
          </w:tcPr>
          <w:p w14:paraId="7F4AC3F0">
            <w:pPr>
              <w:jc w:val="center"/>
              <w:rPr>
                <w:rFonts w:eastAsiaTheme="minorEastAsia"/>
                <w:b/>
                <w:color w:val="000000" w:themeColor="text1"/>
                <w:szCs w:val="21"/>
              </w:rPr>
            </w:pPr>
          </w:p>
        </w:tc>
        <w:tc>
          <w:tcPr>
            <w:tcW w:w="1134" w:type="dxa"/>
            <w:vAlign w:val="center"/>
          </w:tcPr>
          <w:p w14:paraId="646C1EC4">
            <w:pPr>
              <w:jc w:val="center"/>
              <w:rPr>
                <w:rFonts w:eastAsiaTheme="minorEastAsia"/>
                <w:b/>
                <w:color w:val="000000" w:themeColor="text1"/>
                <w:szCs w:val="21"/>
              </w:rPr>
            </w:pPr>
            <w:r>
              <w:rPr>
                <w:rFonts w:eastAsiaTheme="minorEastAsia"/>
                <w:b/>
                <w:color w:val="000000" w:themeColor="text1"/>
                <w:szCs w:val="21"/>
              </w:rPr>
              <w:t>生活污水</w:t>
            </w:r>
          </w:p>
        </w:tc>
        <w:tc>
          <w:tcPr>
            <w:tcW w:w="1559" w:type="dxa"/>
            <w:vAlign w:val="center"/>
          </w:tcPr>
          <w:p w14:paraId="122DCFED">
            <w:pPr>
              <w:jc w:val="center"/>
              <w:rPr>
                <w:rFonts w:eastAsiaTheme="minorEastAsia"/>
                <w:color w:val="000000" w:themeColor="text1"/>
                <w:szCs w:val="21"/>
              </w:rPr>
            </w:pPr>
            <w:r>
              <w:rPr>
                <w:rFonts w:eastAsiaTheme="minorEastAsia"/>
                <w:color w:val="000000" w:themeColor="text1"/>
                <w:szCs w:val="21"/>
              </w:rPr>
              <w:t>COD、SS等</w:t>
            </w:r>
          </w:p>
        </w:tc>
        <w:tc>
          <w:tcPr>
            <w:tcW w:w="2977" w:type="dxa"/>
            <w:vAlign w:val="center"/>
          </w:tcPr>
          <w:p w14:paraId="64753991">
            <w:pPr>
              <w:pStyle w:val="59"/>
              <w:spacing w:line="240" w:lineRule="auto"/>
              <w:ind w:firstLine="420" w:firstLineChars="200"/>
              <w:jc w:val="both"/>
              <w:rPr>
                <w:rFonts w:eastAsiaTheme="minorEastAsia"/>
                <w:color w:val="000000" w:themeColor="text1"/>
                <w:szCs w:val="21"/>
              </w:rPr>
            </w:pPr>
            <w:r>
              <w:rPr>
                <w:rFonts w:eastAsiaTheme="minorEastAsia"/>
                <w:bCs/>
                <w:color w:val="000000" w:themeColor="text1"/>
                <w:sz w:val="21"/>
                <w:szCs w:val="21"/>
              </w:rPr>
              <w:t>厨房废水经1个隔油池（0.2m</w:t>
            </w:r>
            <w:r>
              <w:rPr>
                <w:rFonts w:eastAsiaTheme="minorEastAsia"/>
                <w:bCs/>
                <w:color w:val="000000" w:themeColor="text1"/>
                <w:sz w:val="21"/>
                <w:szCs w:val="21"/>
                <w:vertAlign w:val="superscript"/>
              </w:rPr>
              <w:t>3</w:t>
            </w:r>
            <w:r>
              <w:rPr>
                <w:rFonts w:eastAsiaTheme="minorEastAsia"/>
                <w:bCs/>
                <w:color w:val="000000" w:themeColor="text1"/>
                <w:sz w:val="21"/>
                <w:szCs w:val="21"/>
              </w:rPr>
              <w:t>）处理后，与其它生活废水排入化粪池（1个，26m</w:t>
            </w:r>
            <w:r>
              <w:rPr>
                <w:rFonts w:eastAsiaTheme="minorEastAsia"/>
                <w:bCs/>
                <w:color w:val="000000" w:themeColor="text1"/>
                <w:sz w:val="21"/>
                <w:szCs w:val="21"/>
                <w:vertAlign w:val="superscript"/>
              </w:rPr>
              <w:t>3</w:t>
            </w:r>
            <w:r>
              <w:rPr>
                <w:rFonts w:eastAsiaTheme="minorEastAsia"/>
                <w:bCs/>
                <w:color w:val="000000" w:themeColor="text1"/>
                <w:sz w:val="21"/>
                <w:szCs w:val="21"/>
              </w:rPr>
              <w:t>）处理，定期委托周边村民清运，用于农作物施肥。</w:t>
            </w:r>
          </w:p>
        </w:tc>
        <w:tc>
          <w:tcPr>
            <w:tcW w:w="2654" w:type="dxa"/>
            <w:vAlign w:val="center"/>
          </w:tcPr>
          <w:p w14:paraId="67369D2C">
            <w:pPr>
              <w:jc w:val="center"/>
              <w:rPr>
                <w:rFonts w:eastAsiaTheme="minorEastAsia"/>
                <w:color w:val="000000" w:themeColor="text1"/>
                <w:szCs w:val="21"/>
              </w:rPr>
            </w:pPr>
            <w:r>
              <w:rPr>
                <w:rFonts w:eastAsiaTheme="minorEastAsia"/>
                <w:color w:val="000000" w:themeColor="text1"/>
                <w:szCs w:val="21"/>
              </w:rPr>
              <w:t>不外排</w:t>
            </w:r>
          </w:p>
        </w:tc>
      </w:tr>
      <w:tr w14:paraId="472BB4A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continue"/>
            <w:vAlign w:val="center"/>
          </w:tcPr>
          <w:p w14:paraId="3DA3DF92">
            <w:pPr>
              <w:jc w:val="center"/>
              <w:rPr>
                <w:rFonts w:eastAsiaTheme="minorEastAsia"/>
                <w:b/>
                <w:color w:val="000000" w:themeColor="text1"/>
                <w:szCs w:val="21"/>
              </w:rPr>
            </w:pPr>
          </w:p>
        </w:tc>
        <w:tc>
          <w:tcPr>
            <w:tcW w:w="1134" w:type="dxa"/>
            <w:vAlign w:val="center"/>
          </w:tcPr>
          <w:p w14:paraId="671F2058">
            <w:pPr>
              <w:jc w:val="center"/>
              <w:rPr>
                <w:rFonts w:eastAsiaTheme="minorEastAsia"/>
                <w:b/>
                <w:color w:val="000000" w:themeColor="text1"/>
                <w:szCs w:val="21"/>
              </w:rPr>
            </w:pPr>
            <w:r>
              <w:rPr>
                <w:rFonts w:eastAsiaTheme="minorEastAsia"/>
                <w:b/>
                <w:color w:val="000000" w:themeColor="text1"/>
                <w:szCs w:val="21"/>
              </w:rPr>
              <w:t>生产废水</w:t>
            </w:r>
          </w:p>
        </w:tc>
        <w:tc>
          <w:tcPr>
            <w:tcW w:w="1559" w:type="dxa"/>
            <w:vAlign w:val="center"/>
          </w:tcPr>
          <w:p w14:paraId="50778865">
            <w:pPr>
              <w:jc w:val="center"/>
              <w:rPr>
                <w:rFonts w:eastAsiaTheme="minorEastAsia"/>
                <w:color w:val="000000" w:themeColor="text1"/>
                <w:szCs w:val="21"/>
              </w:rPr>
            </w:pPr>
            <w:r>
              <w:rPr>
                <w:rFonts w:eastAsiaTheme="minorEastAsia"/>
                <w:color w:val="000000" w:themeColor="text1"/>
                <w:szCs w:val="21"/>
              </w:rPr>
              <w:t>COD、SS等</w:t>
            </w:r>
          </w:p>
        </w:tc>
        <w:tc>
          <w:tcPr>
            <w:tcW w:w="2977" w:type="dxa"/>
            <w:vAlign w:val="center"/>
          </w:tcPr>
          <w:p w14:paraId="37D3CE4C">
            <w:pPr>
              <w:ind w:firstLine="315" w:firstLineChars="150"/>
              <w:rPr>
                <w:rFonts w:eastAsiaTheme="minorEastAsia"/>
                <w:bCs/>
                <w:color w:val="000000" w:themeColor="text1"/>
                <w:szCs w:val="21"/>
              </w:rPr>
            </w:pPr>
            <w:r>
              <w:rPr>
                <w:rFonts w:eastAsiaTheme="minorEastAsia"/>
                <w:bCs/>
                <w:color w:val="000000" w:themeColor="text1"/>
                <w:szCs w:val="21"/>
              </w:rPr>
              <w:t>生产废水中清洗、破碎废水通过污水处理设施（</w:t>
            </w:r>
            <w:r>
              <w:rPr>
                <w:bCs/>
                <w:color w:val="000000" w:themeColor="text1"/>
                <w:szCs w:val="21"/>
              </w:rPr>
              <w:t>1个2m</w:t>
            </w:r>
            <w:r>
              <w:rPr>
                <w:bCs/>
                <w:color w:val="000000" w:themeColor="text1"/>
                <w:szCs w:val="21"/>
                <w:vertAlign w:val="superscript"/>
              </w:rPr>
              <w:t>3</w:t>
            </w:r>
            <w:r>
              <w:rPr>
                <w:bCs/>
                <w:color w:val="000000" w:themeColor="text1"/>
                <w:szCs w:val="21"/>
              </w:rPr>
              <w:t>隔油池+1000m</w:t>
            </w:r>
            <w:r>
              <w:rPr>
                <w:bCs/>
                <w:color w:val="000000" w:themeColor="text1"/>
                <w:szCs w:val="21"/>
                <w:vertAlign w:val="superscript"/>
              </w:rPr>
              <w:t>3</w:t>
            </w:r>
            <w:r>
              <w:rPr>
                <w:bCs/>
                <w:color w:val="000000" w:themeColor="text1"/>
                <w:szCs w:val="21"/>
              </w:rPr>
              <w:t>沉淀池</w:t>
            </w:r>
            <w:r>
              <w:rPr>
                <w:rFonts w:eastAsiaTheme="minorEastAsia"/>
                <w:bCs/>
                <w:color w:val="000000" w:themeColor="text1"/>
                <w:szCs w:val="21"/>
              </w:rPr>
              <w:t>）处理后，储存于沉淀池回用于生产，不外排；</w:t>
            </w:r>
          </w:p>
          <w:p w14:paraId="722782CC">
            <w:pPr>
              <w:ind w:firstLine="315" w:firstLineChars="150"/>
              <w:rPr>
                <w:rFonts w:eastAsiaTheme="minorEastAsia"/>
                <w:color w:val="000000" w:themeColor="text1"/>
                <w:szCs w:val="21"/>
              </w:rPr>
            </w:pPr>
            <w:r>
              <w:rPr>
                <w:rFonts w:eastAsiaTheme="minorEastAsia"/>
                <w:bCs/>
                <w:color w:val="000000" w:themeColor="text1"/>
                <w:szCs w:val="21"/>
              </w:rPr>
              <w:t>造粒工序设置两台造粒机，各配套一个冷却水槽，共用一个冷却水循环系统（循环冷却水池1m</w:t>
            </w:r>
            <w:r>
              <w:rPr>
                <w:rFonts w:eastAsiaTheme="minorEastAsia"/>
                <w:bCs/>
                <w:color w:val="000000" w:themeColor="text1"/>
                <w:szCs w:val="21"/>
                <w:vertAlign w:val="superscript"/>
              </w:rPr>
              <w:t>3</w:t>
            </w:r>
            <w:r>
              <w:rPr>
                <w:rFonts w:eastAsiaTheme="minorEastAsia"/>
                <w:bCs/>
                <w:color w:val="000000" w:themeColor="text1"/>
                <w:szCs w:val="21"/>
              </w:rPr>
              <w:t>），本项目编织袋生产配套一个冷却水循环系统（循环冷却水池0.5m</w:t>
            </w:r>
            <w:r>
              <w:rPr>
                <w:rFonts w:eastAsiaTheme="minorEastAsia"/>
                <w:bCs/>
                <w:color w:val="000000" w:themeColor="text1"/>
                <w:szCs w:val="21"/>
                <w:vertAlign w:val="superscript"/>
              </w:rPr>
              <w:t>3</w:t>
            </w:r>
            <w:r>
              <w:rPr>
                <w:rFonts w:eastAsiaTheme="minorEastAsia"/>
                <w:bCs/>
                <w:color w:val="000000" w:themeColor="text1"/>
                <w:szCs w:val="21"/>
              </w:rPr>
              <w:t>），此部分废水经冷却循环池冷却及沉淀后，回用于生产。</w:t>
            </w:r>
          </w:p>
        </w:tc>
        <w:tc>
          <w:tcPr>
            <w:tcW w:w="2654" w:type="dxa"/>
            <w:vAlign w:val="center"/>
          </w:tcPr>
          <w:p w14:paraId="7709DD06">
            <w:pPr>
              <w:jc w:val="center"/>
              <w:rPr>
                <w:rFonts w:eastAsiaTheme="minorEastAsia"/>
                <w:color w:val="000000" w:themeColor="text1"/>
                <w:szCs w:val="21"/>
              </w:rPr>
            </w:pPr>
            <w:r>
              <w:rPr>
                <w:rFonts w:eastAsiaTheme="minorEastAsia"/>
                <w:color w:val="000000" w:themeColor="text1"/>
                <w:szCs w:val="21"/>
              </w:rPr>
              <w:t>不外排</w:t>
            </w:r>
          </w:p>
        </w:tc>
      </w:tr>
      <w:tr w14:paraId="6AD2005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534" w:type="dxa"/>
            <w:vMerge w:val="restart"/>
            <w:vAlign w:val="center"/>
          </w:tcPr>
          <w:p w14:paraId="07E288CE">
            <w:pPr>
              <w:jc w:val="center"/>
              <w:rPr>
                <w:rFonts w:eastAsiaTheme="minorEastAsia"/>
                <w:b/>
                <w:color w:val="000000" w:themeColor="text1"/>
                <w:szCs w:val="21"/>
              </w:rPr>
            </w:pPr>
            <w:r>
              <w:rPr>
                <w:rFonts w:eastAsiaTheme="minorEastAsia"/>
                <w:b/>
                <w:color w:val="000000" w:themeColor="text1"/>
                <w:szCs w:val="21"/>
              </w:rPr>
              <w:t>地下水</w:t>
            </w:r>
          </w:p>
        </w:tc>
        <w:tc>
          <w:tcPr>
            <w:tcW w:w="1134" w:type="dxa"/>
            <w:vMerge w:val="restart"/>
            <w:vAlign w:val="center"/>
          </w:tcPr>
          <w:p w14:paraId="287DF865">
            <w:pPr>
              <w:jc w:val="center"/>
              <w:rPr>
                <w:rFonts w:eastAsiaTheme="minorEastAsia"/>
                <w:b/>
                <w:color w:val="000000" w:themeColor="text1"/>
                <w:szCs w:val="21"/>
              </w:rPr>
            </w:pPr>
            <w:r>
              <w:rPr>
                <w:rFonts w:eastAsiaTheme="minorEastAsia"/>
                <w:b/>
                <w:color w:val="000000" w:themeColor="text1"/>
                <w:szCs w:val="21"/>
              </w:rPr>
              <w:t>生活、生产</w:t>
            </w:r>
          </w:p>
        </w:tc>
        <w:tc>
          <w:tcPr>
            <w:tcW w:w="1559" w:type="dxa"/>
            <w:vMerge w:val="restart"/>
            <w:vAlign w:val="center"/>
          </w:tcPr>
          <w:p w14:paraId="1AEAD902">
            <w:pPr>
              <w:jc w:val="center"/>
              <w:rPr>
                <w:rFonts w:eastAsiaTheme="minorEastAsia"/>
                <w:color w:val="000000" w:themeColor="text1"/>
                <w:szCs w:val="21"/>
              </w:rPr>
            </w:pPr>
            <w:r>
              <w:rPr>
                <w:rFonts w:eastAsiaTheme="minorEastAsia"/>
                <w:color w:val="000000" w:themeColor="text1"/>
                <w:szCs w:val="21"/>
              </w:rPr>
              <w:t>COD、SS等</w:t>
            </w:r>
          </w:p>
        </w:tc>
        <w:tc>
          <w:tcPr>
            <w:tcW w:w="2977" w:type="dxa"/>
            <w:vAlign w:val="center"/>
          </w:tcPr>
          <w:p w14:paraId="5D753B9C">
            <w:pPr>
              <w:pStyle w:val="296"/>
              <w:spacing w:line="240" w:lineRule="auto"/>
              <w:ind w:firstLine="420"/>
              <w:rPr>
                <w:rFonts w:cs="Times New Roman" w:eastAsiaTheme="minorEastAsia"/>
                <w:color w:val="000000" w:themeColor="text1"/>
                <w:szCs w:val="21"/>
              </w:rPr>
            </w:pPr>
            <w:r>
              <w:rPr>
                <w:rFonts w:cs="Times New Roman" w:eastAsiaTheme="minorEastAsia"/>
                <w:color w:val="000000" w:themeColor="text1"/>
                <w:sz w:val="21"/>
                <w:szCs w:val="21"/>
              </w:rPr>
              <w:t>危废间，基础采用6m厚压实粘土防渗，上面再用混凝土进行硬化。</w:t>
            </w:r>
          </w:p>
        </w:tc>
        <w:tc>
          <w:tcPr>
            <w:tcW w:w="2654" w:type="dxa"/>
            <w:vAlign w:val="center"/>
          </w:tcPr>
          <w:p w14:paraId="3445D939">
            <w:pPr>
              <w:jc w:val="center"/>
              <w:rPr>
                <w:rFonts w:eastAsiaTheme="minorEastAsia"/>
                <w:color w:val="000000" w:themeColor="text1"/>
                <w:szCs w:val="21"/>
              </w:rPr>
            </w:pPr>
            <w:r>
              <w:rPr>
                <w:rFonts w:eastAsiaTheme="minorEastAsia"/>
                <w:color w:val="000000" w:themeColor="text1"/>
                <w:szCs w:val="21"/>
              </w:rPr>
              <w:t>防渗性能应等效于厚度≥6m，渗透系数K≤1.0×10</w:t>
            </w:r>
            <w:r>
              <w:rPr>
                <w:rFonts w:eastAsiaTheme="minorEastAsia"/>
                <w:color w:val="000000" w:themeColor="text1"/>
                <w:szCs w:val="21"/>
                <w:vertAlign w:val="superscript"/>
              </w:rPr>
              <w:t>-7</w:t>
            </w:r>
            <w:r>
              <w:rPr>
                <w:rFonts w:eastAsiaTheme="minorEastAsia"/>
                <w:color w:val="000000" w:themeColor="text1"/>
                <w:szCs w:val="21"/>
              </w:rPr>
              <w:t>cm/s的黏土层的防渗性能</w:t>
            </w:r>
          </w:p>
        </w:tc>
      </w:tr>
      <w:tr w14:paraId="53CEF8B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534" w:type="dxa"/>
            <w:vMerge w:val="continue"/>
            <w:vAlign w:val="center"/>
          </w:tcPr>
          <w:p w14:paraId="1CF1A098">
            <w:pPr>
              <w:jc w:val="center"/>
              <w:rPr>
                <w:rFonts w:eastAsiaTheme="minorEastAsia"/>
                <w:b/>
                <w:color w:val="000000" w:themeColor="text1"/>
                <w:szCs w:val="21"/>
              </w:rPr>
            </w:pPr>
          </w:p>
        </w:tc>
        <w:tc>
          <w:tcPr>
            <w:tcW w:w="1134" w:type="dxa"/>
            <w:vMerge w:val="continue"/>
            <w:vAlign w:val="center"/>
          </w:tcPr>
          <w:p w14:paraId="68FA0780">
            <w:pPr>
              <w:jc w:val="center"/>
              <w:rPr>
                <w:rFonts w:eastAsiaTheme="minorEastAsia"/>
                <w:b/>
                <w:color w:val="000000" w:themeColor="text1"/>
                <w:szCs w:val="21"/>
              </w:rPr>
            </w:pPr>
          </w:p>
        </w:tc>
        <w:tc>
          <w:tcPr>
            <w:tcW w:w="1559" w:type="dxa"/>
            <w:vMerge w:val="continue"/>
            <w:vAlign w:val="center"/>
          </w:tcPr>
          <w:p w14:paraId="761C606D">
            <w:pPr>
              <w:jc w:val="center"/>
              <w:rPr>
                <w:rFonts w:eastAsiaTheme="minorEastAsia"/>
                <w:color w:val="000000" w:themeColor="text1"/>
                <w:szCs w:val="21"/>
              </w:rPr>
            </w:pPr>
          </w:p>
        </w:tc>
        <w:tc>
          <w:tcPr>
            <w:tcW w:w="2977" w:type="dxa"/>
            <w:vAlign w:val="center"/>
          </w:tcPr>
          <w:p w14:paraId="32CA423C">
            <w:pPr>
              <w:pStyle w:val="295"/>
              <w:spacing w:line="240" w:lineRule="auto"/>
              <w:ind w:firstLine="420"/>
              <w:rPr>
                <w:rFonts w:eastAsiaTheme="minorEastAsia"/>
                <w:color w:val="000000" w:themeColor="text1"/>
                <w:szCs w:val="21"/>
              </w:rPr>
            </w:pPr>
            <w:r>
              <w:rPr>
                <w:rFonts w:eastAsiaTheme="minorEastAsia"/>
                <w:color w:val="000000" w:themeColor="text1"/>
                <w:sz w:val="21"/>
                <w:szCs w:val="21"/>
              </w:rPr>
              <w:t>污水处理设施、原料仓库、破碎清洗生产区、造粒生产区等，基础采用1.5cm厚压实粘土防渗，上面再用混凝土进行硬化</w:t>
            </w:r>
          </w:p>
        </w:tc>
        <w:tc>
          <w:tcPr>
            <w:tcW w:w="2654" w:type="dxa"/>
            <w:vAlign w:val="center"/>
          </w:tcPr>
          <w:p w14:paraId="7A2A5892">
            <w:pPr>
              <w:jc w:val="center"/>
              <w:rPr>
                <w:rFonts w:eastAsiaTheme="minorEastAsia"/>
                <w:color w:val="000000" w:themeColor="text1"/>
                <w:szCs w:val="21"/>
              </w:rPr>
            </w:pPr>
            <w:r>
              <w:rPr>
                <w:rFonts w:eastAsiaTheme="minorEastAsia"/>
                <w:color w:val="000000" w:themeColor="text1"/>
                <w:szCs w:val="21"/>
              </w:rPr>
              <w:t>防渗性能应等效于厚度≥1.5m，渗透系数K≤1.0×10</w:t>
            </w:r>
            <w:r>
              <w:rPr>
                <w:rFonts w:eastAsiaTheme="minorEastAsia"/>
                <w:color w:val="000000" w:themeColor="text1"/>
                <w:szCs w:val="21"/>
                <w:vertAlign w:val="superscript"/>
              </w:rPr>
              <w:t>-7</w:t>
            </w:r>
            <w:r>
              <w:rPr>
                <w:rFonts w:eastAsiaTheme="minorEastAsia"/>
                <w:color w:val="000000" w:themeColor="text1"/>
                <w:szCs w:val="21"/>
              </w:rPr>
              <w:t>cm/s 的黏土层的防渗性能</w:t>
            </w:r>
          </w:p>
        </w:tc>
      </w:tr>
      <w:tr w14:paraId="214E19C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34" w:type="dxa"/>
            <w:vMerge w:val="continue"/>
            <w:vAlign w:val="center"/>
          </w:tcPr>
          <w:p w14:paraId="2312D83F">
            <w:pPr>
              <w:jc w:val="center"/>
              <w:rPr>
                <w:rFonts w:eastAsiaTheme="minorEastAsia"/>
                <w:b/>
                <w:color w:val="000000" w:themeColor="text1"/>
                <w:szCs w:val="21"/>
              </w:rPr>
            </w:pPr>
          </w:p>
        </w:tc>
        <w:tc>
          <w:tcPr>
            <w:tcW w:w="1134" w:type="dxa"/>
            <w:vMerge w:val="continue"/>
            <w:vAlign w:val="center"/>
          </w:tcPr>
          <w:p w14:paraId="6C6667F6">
            <w:pPr>
              <w:jc w:val="center"/>
              <w:rPr>
                <w:rFonts w:eastAsiaTheme="minorEastAsia"/>
                <w:b/>
                <w:color w:val="000000" w:themeColor="text1"/>
                <w:szCs w:val="21"/>
              </w:rPr>
            </w:pPr>
          </w:p>
        </w:tc>
        <w:tc>
          <w:tcPr>
            <w:tcW w:w="1559" w:type="dxa"/>
            <w:vMerge w:val="continue"/>
            <w:vAlign w:val="center"/>
          </w:tcPr>
          <w:p w14:paraId="29C183F9">
            <w:pPr>
              <w:jc w:val="center"/>
              <w:rPr>
                <w:rFonts w:eastAsiaTheme="minorEastAsia"/>
                <w:color w:val="000000" w:themeColor="text1"/>
                <w:szCs w:val="21"/>
              </w:rPr>
            </w:pPr>
          </w:p>
        </w:tc>
        <w:tc>
          <w:tcPr>
            <w:tcW w:w="2977" w:type="dxa"/>
            <w:vAlign w:val="center"/>
          </w:tcPr>
          <w:p w14:paraId="2958F1BB">
            <w:pPr>
              <w:pStyle w:val="295"/>
              <w:spacing w:line="240" w:lineRule="auto"/>
              <w:ind w:firstLine="420"/>
              <w:rPr>
                <w:rFonts w:eastAsiaTheme="minorEastAsia"/>
                <w:color w:val="000000" w:themeColor="text1"/>
                <w:sz w:val="21"/>
                <w:szCs w:val="21"/>
              </w:rPr>
            </w:pPr>
            <w:r>
              <w:rPr>
                <w:rFonts w:eastAsiaTheme="minorEastAsia"/>
                <w:color w:val="000000" w:themeColor="text1"/>
                <w:sz w:val="21"/>
                <w:szCs w:val="21"/>
              </w:rPr>
              <w:t>简单防渗区：住宿及办公区、厨房等，用混凝土进行硬化。</w:t>
            </w:r>
          </w:p>
        </w:tc>
        <w:tc>
          <w:tcPr>
            <w:tcW w:w="2654" w:type="dxa"/>
            <w:vAlign w:val="center"/>
          </w:tcPr>
          <w:p w14:paraId="77194F31">
            <w:pPr>
              <w:jc w:val="center"/>
              <w:rPr>
                <w:rFonts w:eastAsiaTheme="minorEastAsia"/>
                <w:color w:val="000000" w:themeColor="text1"/>
                <w:szCs w:val="21"/>
              </w:rPr>
            </w:pPr>
            <w:r>
              <w:rPr>
                <w:rFonts w:eastAsiaTheme="minorEastAsia"/>
                <w:color w:val="000000" w:themeColor="text1"/>
                <w:szCs w:val="21"/>
              </w:rPr>
              <w:t>混凝土硬化</w:t>
            </w:r>
          </w:p>
        </w:tc>
      </w:tr>
      <w:tr w14:paraId="7EC8AC3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restart"/>
            <w:vAlign w:val="center"/>
          </w:tcPr>
          <w:p w14:paraId="7AB9CEEE">
            <w:pPr>
              <w:jc w:val="center"/>
              <w:rPr>
                <w:rFonts w:eastAsiaTheme="minorEastAsia"/>
                <w:b/>
                <w:color w:val="000000" w:themeColor="text1"/>
                <w:szCs w:val="21"/>
              </w:rPr>
            </w:pPr>
            <w:r>
              <w:rPr>
                <w:rFonts w:eastAsiaTheme="minorEastAsia"/>
                <w:b/>
                <w:color w:val="000000" w:themeColor="text1"/>
                <w:szCs w:val="21"/>
              </w:rPr>
              <w:t>固废</w:t>
            </w:r>
          </w:p>
        </w:tc>
        <w:tc>
          <w:tcPr>
            <w:tcW w:w="1134" w:type="dxa"/>
            <w:vAlign w:val="center"/>
          </w:tcPr>
          <w:p w14:paraId="5EB04338">
            <w:pPr>
              <w:jc w:val="center"/>
              <w:rPr>
                <w:rFonts w:eastAsiaTheme="minorEastAsia"/>
                <w:b/>
                <w:color w:val="000000" w:themeColor="text1"/>
                <w:szCs w:val="21"/>
              </w:rPr>
            </w:pPr>
            <w:r>
              <w:rPr>
                <w:rFonts w:eastAsiaTheme="minorEastAsia"/>
                <w:b/>
                <w:color w:val="000000" w:themeColor="text1"/>
                <w:szCs w:val="21"/>
              </w:rPr>
              <w:t>一般固废</w:t>
            </w:r>
          </w:p>
        </w:tc>
        <w:tc>
          <w:tcPr>
            <w:tcW w:w="1559" w:type="dxa"/>
            <w:vAlign w:val="center"/>
          </w:tcPr>
          <w:p w14:paraId="6E3ABA39">
            <w:pPr>
              <w:jc w:val="center"/>
              <w:rPr>
                <w:rFonts w:eastAsiaTheme="minorEastAsia"/>
                <w:color w:val="000000" w:themeColor="text1"/>
                <w:szCs w:val="21"/>
              </w:rPr>
            </w:pPr>
            <w:r>
              <w:rPr>
                <w:rFonts w:eastAsiaTheme="minorEastAsia"/>
                <w:color w:val="000000" w:themeColor="text1"/>
                <w:szCs w:val="21"/>
              </w:rPr>
              <w:t>拆包、人工分选杂物、剥离废标签纸、污水处理设施（隔油池+沉淀池）污泥</w:t>
            </w:r>
          </w:p>
        </w:tc>
        <w:tc>
          <w:tcPr>
            <w:tcW w:w="2977" w:type="dxa"/>
            <w:vAlign w:val="center"/>
          </w:tcPr>
          <w:p w14:paraId="46B89AE8">
            <w:pPr>
              <w:ind w:firstLine="105" w:firstLineChars="50"/>
              <w:rPr>
                <w:rFonts w:eastAsiaTheme="minorEastAsia"/>
                <w:color w:val="000000" w:themeColor="text1"/>
                <w:szCs w:val="21"/>
              </w:rPr>
            </w:pPr>
            <w:r>
              <w:rPr>
                <w:rFonts w:eastAsiaTheme="minorEastAsia"/>
                <w:color w:val="000000" w:themeColor="text1"/>
                <w:szCs w:val="21"/>
              </w:rPr>
              <w:t>拆包、人工分选杂物分类收集后，一部分外卖，其余外运至最近村庄垃圾收集点处理，禁止随意丢弃；剥离废标签纸外卖处理；污水处理设施（隔油池+沉淀池）污泥外运至最近村庄垃圾收集点处理。</w:t>
            </w:r>
          </w:p>
        </w:tc>
        <w:tc>
          <w:tcPr>
            <w:tcW w:w="2654" w:type="dxa"/>
            <w:vMerge w:val="restart"/>
            <w:vAlign w:val="center"/>
          </w:tcPr>
          <w:p w14:paraId="658DB187">
            <w:pPr>
              <w:jc w:val="center"/>
              <w:rPr>
                <w:rFonts w:eastAsiaTheme="minorEastAsia"/>
                <w:color w:val="000000" w:themeColor="text1"/>
                <w:szCs w:val="21"/>
              </w:rPr>
            </w:pPr>
            <w:r>
              <w:rPr>
                <w:rFonts w:eastAsiaTheme="minorEastAsia"/>
                <w:color w:val="000000" w:themeColor="text1"/>
                <w:szCs w:val="21"/>
              </w:rPr>
              <w:t>处置率100%</w:t>
            </w:r>
          </w:p>
        </w:tc>
      </w:tr>
      <w:tr w14:paraId="1E44432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continue"/>
            <w:vAlign w:val="center"/>
          </w:tcPr>
          <w:p w14:paraId="44D14F2A">
            <w:pPr>
              <w:jc w:val="center"/>
              <w:rPr>
                <w:rFonts w:eastAsiaTheme="minorEastAsia"/>
                <w:b/>
                <w:color w:val="000000" w:themeColor="text1"/>
                <w:szCs w:val="21"/>
              </w:rPr>
            </w:pPr>
          </w:p>
        </w:tc>
        <w:tc>
          <w:tcPr>
            <w:tcW w:w="1134" w:type="dxa"/>
            <w:vAlign w:val="center"/>
          </w:tcPr>
          <w:p w14:paraId="2BA8721D">
            <w:pPr>
              <w:jc w:val="center"/>
              <w:rPr>
                <w:rFonts w:eastAsiaTheme="minorEastAsia"/>
                <w:b/>
                <w:color w:val="000000" w:themeColor="text1"/>
                <w:szCs w:val="21"/>
              </w:rPr>
            </w:pPr>
            <w:r>
              <w:rPr>
                <w:rFonts w:eastAsiaTheme="minorEastAsia"/>
                <w:b/>
                <w:color w:val="000000" w:themeColor="text1"/>
                <w:szCs w:val="21"/>
              </w:rPr>
              <w:t>危险废物</w:t>
            </w:r>
          </w:p>
        </w:tc>
        <w:tc>
          <w:tcPr>
            <w:tcW w:w="1559" w:type="dxa"/>
            <w:vAlign w:val="center"/>
          </w:tcPr>
          <w:p w14:paraId="70018F5B">
            <w:pPr>
              <w:jc w:val="center"/>
              <w:rPr>
                <w:rFonts w:eastAsiaTheme="minorEastAsia"/>
                <w:color w:val="000000" w:themeColor="text1"/>
                <w:szCs w:val="21"/>
              </w:rPr>
            </w:pPr>
            <w:r>
              <w:rPr>
                <w:rFonts w:eastAsiaTheme="minorEastAsia"/>
                <w:color w:val="000000" w:themeColor="text1"/>
                <w:szCs w:val="21"/>
              </w:rPr>
              <w:t>废过滤棉、光解废气处理灯、废过滤网</w:t>
            </w:r>
          </w:p>
        </w:tc>
        <w:tc>
          <w:tcPr>
            <w:tcW w:w="2977" w:type="dxa"/>
            <w:vAlign w:val="center"/>
          </w:tcPr>
          <w:p w14:paraId="13F0D282">
            <w:pPr>
              <w:rPr>
                <w:rFonts w:eastAsiaTheme="minorEastAsia"/>
                <w:color w:val="000000" w:themeColor="text1"/>
                <w:szCs w:val="21"/>
              </w:rPr>
            </w:pPr>
            <w:r>
              <w:rPr>
                <w:rFonts w:eastAsiaTheme="minorEastAsia"/>
                <w:color w:val="000000" w:themeColor="text1"/>
                <w:szCs w:val="21"/>
              </w:rPr>
              <w:t>设危险废物存储间5m</w:t>
            </w:r>
            <w:r>
              <w:rPr>
                <w:rFonts w:eastAsiaTheme="minorEastAsia"/>
                <w:color w:val="000000" w:themeColor="text1"/>
                <w:szCs w:val="21"/>
                <w:vertAlign w:val="superscript"/>
              </w:rPr>
              <w:t>2</w:t>
            </w:r>
            <w:r>
              <w:rPr>
                <w:rFonts w:eastAsiaTheme="minorEastAsia"/>
                <w:color w:val="000000" w:themeColor="text1"/>
                <w:szCs w:val="21"/>
              </w:rPr>
              <w:t>，统一收集存放，定期委托有资质的单位处置，避免二次污染的发生</w:t>
            </w:r>
          </w:p>
        </w:tc>
        <w:tc>
          <w:tcPr>
            <w:tcW w:w="2654" w:type="dxa"/>
            <w:vMerge w:val="continue"/>
            <w:vAlign w:val="center"/>
          </w:tcPr>
          <w:p w14:paraId="36C03FE0">
            <w:pPr>
              <w:jc w:val="center"/>
              <w:rPr>
                <w:rFonts w:eastAsiaTheme="minorEastAsia"/>
                <w:color w:val="000000" w:themeColor="text1"/>
                <w:szCs w:val="21"/>
              </w:rPr>
            </w:pPr>
          </w:p>
        </w:tc>
      </w:tr>
      <w:tr w14:paraId="292663F8">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4" w:type="dxa"/>
            <w:vMerge w:val="continue"/>
            <w:vAlign w:val="center"/>
          </w:tcPr>
          <w:p w14:paraId="76F4D72F">
            <w:pPr>
              <w:jc w:val="center"/>
              <w:rPr>
                <w:rFonts w:eastAsiaTheme="minorEastAsia"/>
                <w:b/>
                <w:color w:val="000000" w:themeColor="text1"/>
                <w:szCs w:val="21"/>
              </w:rPr>
            </w:pPr>
          </w:p>
        </w:tc>
        <w:tc>
          <w:tcPr>
            <w:tcW w:w="1134" w:type="dxa"/>
            <w:vAlign w:val="center"/>
          </w:tcPr>
          <w:p w14:paraId="21E1D05F">
            <w:pPr>
              <w:jc w:val="center"/>
              <w:rPr>
                <w:rFonts w:eastAsiaTheme="minorEastAsia"/>
                <w:b/>
                <w:color w:val="000000" w:themeColor="text1"/>
                <w:szCs w:val="21"/>
              </w:rPr>
            </w:pPr>
            <w:r>
              <w:rPr>
                <w:rFonts w:eastAsiaTheme="minorEastAsia"/>
                <w:b/>
                <w:color w:val="000000" w:themeColor="text1"/>
                <w:szCs w:val="21"/>
              </w:rPr>
              <w:t>生活垃圾</w:t>
            </w:r>
          </w:p>
        </w:tc>
        <w:tc>
          <w:tcPr>
            <w:tcW w:w="1559" w:type="dxa"/>
            <w:vAlign w:val="center"/>
          </w:tcPr>
          <w:p w14:paraId="4CD3D0DD">
            <w:pPr>
              <w:jc w:val="center"/>
              <w:rPr>
                <w:rFonts w:eastAsiaTheme="minorEastAsia"/>
                <w:color w:val="000000" w:themeColor="text1"/>
                <w:szCs w:val="21"/>
              </w:rPr>
            </w:pPr>
            <w:r>
              <w:rPr>
                <w:rFonts w:eastAsiaTheme="minorEastAsia"/>
                <w:color w:val="000000" w:themeColor="text1"/>
                <w:szCs w:val="21"/>
              </w:rPr>
              <w:t>生活垃圾、污泥、食堂泔水</w:t>
            </w:r>
          </w:p>
        </w:tc>
        <w:tc>
          <w:tcPr>
            <w:tcW w:w="2977" w:type="dxa"/>
            <w:vAlign w:val="center"/>
          </w:tcPr>
          <w:p w14:paraId="65A8D8F7">
            <w:pPr>
              <w:jc w:val="center"/>
              <w:rPr>
                <w:rFonts w:eastAsiaTheme="minorEastAsia"/>
                <w:color w:val="000000" w:themeColor="text1"/>
                <w:szCs w:val="21"/>
              </w:rPr>
            </w:pPr>
            <w:r>
              <w:rPr>
                <w:rFonts w:eastAsiaTheme="minorEastAsia"/>
                <w:color w:val="000000" w:themeColor="text1"/>
                <w:szCs w:val="21"/>
              </w:rPr>
              <w:t>外运至最近村庄垃圾收集点处理</w:t>
            </w:r>
          </w:p>
        </w:tc>
        <w:tc>
          <w:tcPr>
            <w:tcW w:w="2654" w:type="dxa"/>
            <w:vMerge w:val="continue"/>
            <w:vAlign w:val="center"/>
          </w:tcPr>
          <w:p w14:paraId="343AE9D3">
            <w:pPr>
              <w:jc w:val="center"/>
              <w:rPr>
                <w:rFonts w:eastAsiaTheme="minorEastAsia"/>
                <w:color w:val="000000" w:themeColor="text1"/>
                <w:szCs w:val="21"/>
              </w:rPr>
            </w:pPr>
          </w:p>
        </w:tc>
      </w:tr>
      <w:tr w14:paraId="162ACB8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8" w:type="dxa"/>
            <w:gridSpan w:val="2"/>
            <w:vAlign w:val="center"/>
          </w:tcPr>
          <w:p w14:paraId="15BE0BFF">
            <w:pPr>
              <w:jc w:val="center"/>
              <w:rPr>
                <w:rFonts w:eastAsiaTheme="minorEastAsia"/>
                <w:b/>
                <w:color w:val="000000" w:themeColor="text1"/>
                <w:szCs w:val="21"/>
              </w:rPr>
            </w:pPr>
            <w:r>
              <w:rPr>
                <w:rFonts w:eastAsiaTheme="minorEastAsia"/>
                <w:b/>
                <w:color w:val="000000" w:themeColor="text1"/>
                <w:szCs w:val="21"/>
              </w:rPr>
              <w:t>噪声</w:t>
            </w:r>
          </w:p>
        </w:tc>
        <w:tc>
          <w:tcPr>
            <w:tcW w:w="1559" w:type="dxa"/>
            <w:vAlign w:val="center"/>
          </w:tcPr>
          <w:p w14:paraId="2113C433">
            <w:pPr>
              <w:jc w:val="center"/>
              <w:rPr>
                <w:rFonts w:eastAsiaTheme="minorEastAsia"/>
                <w:color w:val="000000" w:themeColor="text1"/>
                <w:szCs w:val="21"/>
              </w:rPr>
            </w:pPr>
            <w:r>
              <w:rPr>
                <w:rFonts w:eastAsiaTheme="minorEastAsia"/>
                <w:color w:val="000000" w:themeColor="text1"/>
                <w:szCs w:val="21"/>
              </w:rPr>
              <w:t>生产设备等</w:t>
            </w:r>
          </w:p>
        </w:tc>
        <w:tc>
          <w:tcPr>
            <w:tcW w:w="2977" w:type="dxa"/>
            <w:vAlign w:val="center"/>
          </w:tcPr>
          <w:p w14:paraId="0C0A535A">
            <w:pPr>
              <w:jc w:val="center"/>
              <w:rPr>
                <w:rFonts w:eastAsiaTheme="minorEastAsia"/>
                <w:color w:val="000000" w:themeColor="text1"/>
                <w:szCs w:val="21"/>
              </w:rPr>
            </w:pPr>
            <w:r>
              <w:rPr>
                <w:rFonts w:eastAsiaTheme="minorEastAsia"/>
                <w:color w:val="000000" w:themeColor="text1"/>
                <w:szCs w:val="21"/>
              </w:rPr>
              <w:t>墙体吸声、设备减震、厂区绿化、加强生产管理等</w:t>
            </w:r>
          </w:p>
        </w:tc>
        <w:tc>
          <w:tcPr>
            <w:tcW w:w="2654" w:type="dxa"/>
            <w:vAlign w:val="center"/>
          </w:tcPr>
          <w:p w14:paraId="33BB3CC5">
            <w:pPr>
              <w:jc w:val="center"/>
              <w:rPr>
                <w:rFonts w:eastAsiaTheme="minorEastAsia"/>
                <w:color w:val="000000" w:themeColor="text1"/>
                <w:szCs w:val="21"/>
              </w:rPr>
            </w:pPr>
            <w:r>
              <w:rPr>
                <w:rFonts w:eastAsiaTheme="minorEastAsia"/>
                <w:color w:val="000000" w:themeColor="text1"/>
                <w:szCs w:val="21"/>
              </w:rPr>
              <w:t>达到《工业企业厂界环境噪声排放标准》2类</w:t>
            </w:r>
          </w:p>
        </w:tc>
      </w:tr>
      <w:tr w14:paraId="3AD2CA90">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8" w:type="dxa"/>
            <w:gridSpan w:val="2"/>
            <w:vAlign w:val="center"/>
          </w:tcPr>
          <w:p w14:paraId="19AB6514">
            <w:pPr>
              <w:jc w:val="center"/>
              <w:rPr>
                <w:rFonts w:eastAsiaTheme="minorEastAsia"/>
                <w:b/>
                <w:color w:val="000000" w:themeColor="text1"/>
                <w:szCs w:val="21"/>
              </w:rPr>
            </w:pPr>
            <w:r>
              <w:rPr>
                <w:rFonts w:eastAsiaTheme="minorEastAsia"/>
                <w:b/>
                <w:color w:val="000000" w:themeColor="text1"/>
                <w:szCs w:val="21"/>
              </w:rPr>
              <w:t>水土流失</w:t>
            </w:r>
          </w:p>
        </w:tc>
        <w:tc>
          <w:tcPr>
            <w:tcW w:w="1559" w:type="dxa"/>
            <w:vAlign w:val="center"/>
          </w:tcPr>
          <w:p w14:paraId="2C2B9F5A">
            <w:pPr>
              <w:jc w:val="center"/>
              <w:rPr>
                <w:rFonts w:eastAsiaTheme="minorEastAsia"/>
                <w:color w:val="000000" w:themeColor="text1"/>
                <w:szCs w:val="21"/>
              </w:rPr>
            </w:pPr>
            <w:r>
              <w:rPr>
                <w:rFonts w:eastAsiaTheme="minorEastAsia"/>
                <w:color w:val="000000" w:themeColor="text1"/>
                <w:szCs w:val="21"/>
              </w:rPr>
              <w:t>基础开挖等</w:t>
            </w:r>
          </w:p>
        </w:tc>
        <w:tc>
          <w:tcPr>
            <w:tcW w:w="2977" w:type="dxa"/>
            <w:vAlign w:val="center"/>
          </w:tcPr>
          <w:p w14:paraId="455A49E6">
            <w:pPr>
              <w:jc w:val="center"/>
              <w:rPr>
                <w:rFonts w:eastAsiaTheme="minorEastAsia"/>
                <w:color w:val="000000" w:themeColor="text1"/>
                <w:szCs w:val="21"/>
              </w:rPr>
            </w:pPr>
            <w:r>
              <w:rPr>
                <w:rFonts w:eastAsiaTheme="minorEastAsia"/>
                <w:color w:val="000000" w:themeColor="text1"/>
                <w:szCs w:val="21"/>
              </w:rPr>
              <w:t>绿化</w:t>
            </w:r>
          </w:p>
        </w:tc>
        <w:tc>
          <w:tcPr>
            <w:tcW w:w="2654" w:type="dxa"/>
            <w:vAlign w:val="center"/>
          </w:tcPr>
          <w:p w14:paraId="43AAD5EB">
            <w:pPr>
              <w:jc w:val="center"/>
              <w:rPr>
                <w:rFonts w:eastAsiaTheme="minorEastAsia"/>
                <w:color w:val="000000" w:themeColor="text1"/>
                <w:szCs w:val="21"/>
              </w:rPr>
            </w:pPr>
            <w:r>
              <w:rPr>
                <w:rFonts w:eastAsiaTheme="minorEastAsia"/>
                <w:color w:val="000000" w:themeColor="text1"/>
                <w:szCs w:val="21"/>
              </w:rPr>
              <w:t>/</w:t>
            </w:r>
          </w:p>
        </w:tc>
      </w:tr>
      <w:tr w14:paraId="287B1FF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8" w:type="dxa"/>
            <w:gridSpan w:val="2"/>
            <w:vAlign w:val="center"/>
          </w:tcPr>
          <w:p w14:paraId="748676CB">
            <w:pPr>
              <w:jc w:val="center"/>
              <w:rPr>
                <w:rFonts w:eastAsiaTheme="minorEastAsia"/>
                <w:b/>
                <w:color w:val="000000" w:themeColor="text1"/>
                <w:szCs w:val="21"/>
              </w:rPr>
            </w:pPr>
            <w:r>
              <w:rPr>
                <w:rFonts w:hint="eastAsia" w:eastAsiaTheme="minorEastAsia"/>
                <w:b/>
                <w:color w:val="FF0000"/>
                <w:szCs w:val="21"/>
              </w:rPr>
              <w:t>其它</w:t>
            </w:r>
          </w:p>
        </w:tc>
        <w:tc>
          <w:tcPr>
            <w:tcW w:w="1559" w:type="dxa"/>
            <w:vAlign w:val="center"/>
          </w:tcPr>
          <w:p w14:paraId="6F2E7A6E">
            <w:pPr>
              <w:jc w:val="center"/>
              <w:rPr>
                <w:rFonts w:eastAsiaTheme="minorEastAsia"/>
                <w:color w:val="000000" w:themeColor="text1"/>
                <w:szCs w:val="21"/>
              </w:rPr>
            </w:pPr>
            <w:r>
              <w:rPr>
                <w:rFonts w:hint="eastAsia" w:eastAsiaTheme="minorEastAsia"/>
                <w:color w:val="FF0000"/>
                <w:szCs w:val="21"/>
              </w:rPr>
              <w:t>/</w:t>
            </w:r>
          </w:p>
        </w:tc>
        <w:tc>
          <w:tcPr>
            <w:tcW w:w="2977" w:type="dxa"/>
            <w:vAlign w:val="center"/>
          </w:tcPr>
          <w:p w14:paraId="575315D3">
            <w:pPr>
              <w:jc w:val="center"/>
              <w:rPr>
                <w:rFonts w:eastAsiaTheme="minorEastAsia"/>
                <w:color w:val="000000" w:themeColor="text1"/>
                <w:szCs w:val="21"/>
              </w:rPr>
            </w:pPr>
            <w:r>
              <w:rPr>
                <w:rFonts w:hint="eastAsia" w:eastAsiaTheme="minorEastAsia"/>
                <w:color w:val="FF0000"/>
                <w:szCs w:val="21"/>
              </w:rPr>
              <w:t>编制《</w:t>
            </w:r>
            <w:r>
              <w:rPr>
                <w:rFonts w:hint="eastAsia"/>
                <w:color w:val="FF0000"/>
                <w:szCs w:val="21"/>
              </w:rPr>
              <w:t>突发环境事件应急预案</w:t>
            </w:r>
            <w:r>
              <w:rPr>
                <w:rFonts w:hint="eastAsia" w:eastAsiaTheme="minorEastAsia"/>
                <w:color w:val="FF0000"/>
                <w:szCs w:val="21"/>
              </w:rPr>
              <w:t>》</w:t>
            </w:r>
          </w:p>
        </w:tc>
        <w:tc>
          <w:tcPr>
            <w:tcW w:w="2654" w:type="dxa"/>
            <w:vAlign w:val="center"/>
          </w:tcPr>
          <w:p w14:paraId="5579F516">
            <w:pPr>
              <w:jc w:val="center"/>
              <w:rPr>
                <w:rFonts w:eastAsiaTheme="minorEastAsia"/>
                <w:color w:val="000000" w:themeColor="text1"/>
                <w:szCs w:val="21"/>
              </w:rPr>
            </w:pPr>
            <w:r>
              <w:rPr>
                <w:rFonts w:hint="eastAsia" w:eastAsiaTheme="minorEastAsia"/>
                <w:color w:val="FF0000"/>
                <w:szCs w:val="21"/>
              </w:rPr>
              <w:t>/</w:t>
            </w:r>
          </w:p>
        </w:tc>
      </w:tr>
    </w:tbl>
    <w:p w14:paraId="7A8047FA">
      <w:pPr>
        <w:jc w:val="center"/>
        <w:rPr>
          <w:b/>
          <w:sz w:val="24"/>
        </w:rPr>
      </w:pPr>
    </w:p>
    <w:p w14:paraId="7AF485A2">
      <w:pPr>
        <w:spacing w:line="408" w:lineRule="auto"/>
        <w:sectPr>
          <w:footerReference r:id="rId14" w:type="default"/>
          <w:pgSz w:w="11910" w:h="16840"/>
          <w:pgMar w:top="1440" w:right="1800" w:bottom="1440" w:left="1800" w:header="0" w:footer="1021" w:gutter="0"/>
          <w:cols w:space="720" w:num="1"/>
          <w:docGrid w:linePitch="286" w:charSpace="0"/>
        </w:sectPr>
      </w:pPr>
    </w:p>
    <w:p w14:paraId="3E748DDD">
      <w:pPr>
        <w:pStyle w:val="3"/>
        <w:rPr>
          <w:color w:val="000000" w:themeColor="text1"/>
        </w:rPr>
      </w:pPr>
      <w:bookmarkStart w:id="504" w:name="_Toc28117742"/>
      <w:r>
        <w:rPr>
          <w:color w:val="000000" w:themeColor="text1"/>
        </w:rPr>
        <w:t>11环境影响总结论</w:t>
      </w:r>
      <w:bookmarkEnd w:id="504"/>
    </w:p>
    <w:p w14:paraId="193472A3">
      <w:pPr>
        <w:pStyle w:val="4"/>
        <w:rPr>
          <w:rFonts w:ascii="Times New Roman" w:hAnsi="Times New Roman"/>
          <w:color w:val="000000" w:themeColor="text1"/>
        </w:rPr>
      </w:pPr>
      <w:bookmarkStart w:id="505" w:name="_Toc28117743"/>
      <w:r>
        <w:rPr>
          <w:rFonts w:ascii="Times New Roman" w:hAnsi="Times New Roman"/>
          <w:color w:val="000000" w:themeColor="text1"/>
        </w:rPr>
        <w:t>11.1产业政策符合性</w:t>
      </w:r>
      <w:bookmarkEnd w:id="505"/>
    </w:p>
    <w:p w14:paraId="4BF0D40B">
      <w:pPr>
        <w:pStyle w:val="114"/>
        <w:rPr>
          <w:color w:val="000000" w:themeColor="text1"/>
        </w:rPr>
      </w:pPr>
      <w:r>
        <w:rPr>
          <w:color w:val="000000" w:themeColor="text1"/>
        </w:rPr>
        <w:t>根据国家发展改革委《国家产业结构调整指导目录（2019年本）》，本项目属于国家鼓励类第三十八类”环境保护与资源节约综合利用”中的第28条“再生资源回收利用产业化”。</w:t>
      </w:r>
    </w:p>
    <w:p w14:paraId="51A22D40">
      <w:pPr>
        <w:pStyle w:val="114"/>
        <w:rPr>
          <w:color w:val="000000" w:themeColor="text1"/>
        </w:rPr>
      </w:pPr>
      <w:r>
        <w:rPr>
          <w:color w:val="000000" w:themeColor="text1"/>
        </w:rPr>
        <w:t>因此，项目符合国家产业政策。</w:t>
      </w:r>
    </w:p>
    <w:p w14:paraId="40D41F2C">
      <w:pPr>
        <w:pStyle w:val="4"/>
        <w:rPr>
          <w:rFonts w:ascii="Times New Roman" w:hAnsi="Times New Roman"/>
          <w:color w:val="000000" w:themeColor="text1"/>
        </w:rPr>
      </w:pPr>
      <w:bookmarkStart w:id="506" w:name="_Toc28117744"/>
      <w:r>
        <w:rPr>
          <w:rFonts w:ascii="Times New Roman" w:hAnsi="Times New Roman"/>
          <w:color w:val="000000" w:themeColor="text1"/>
        </w:rPr>
        <w:t>12.2规划、选址符合性</w:t>
      </w:r>
      <w:bookmarkEnd w:id="506"/>
    </w:p>
    <w:p w14:paraId="4C6911BE">
      <w:pPr>
        <w:adjustRightInd w:val="0"/>
        <w:snapToGrid w:val="0"/>
        <w:spacing w:line="360" w:lineRule="auto"/>
        <w:ind w:firstLine="480" w:firstLineChars="200"/>
        <w:rPr>
          <w:bCs/>
          <w:color w:val="000000" w:themeColor="text1"/>
          <w:sz w:val="24"/>
        </w:rPr>
      </w:pPr>
      <w:r>
        <w:rPr>
          <w:color w:val="000000" w:themeColor="text1"/>
          <w:sz w:val="24"/>
        </w:rPr>
        <w:t>本项目位于云南省德宏州芒市遮放镇户拉村委会遮焕村民小组盛达泰硅业厂区内，根据</w:t>
      </w:r>
      <w:r>
        <w:rPr>
          <w:bCs/>
          <w:color w:val="000000" w:themeColor="text1"/>
          <w:sz w:val="24"/>
        </w:rPr>
        <w:t>土地证明，本项目选址不属于农业用地和林业用地，为</w:t>
      </w:r>
      <w:r>
        <w:rPr>
          <w:rFonts w:eastAsiaTheme="minorEastAsia"/>
          <w:color w:val="000000" w:themeColor="text1"/>
          <w:sz w:val="24"/>
        </w:rPr>
        <w:t>租用盛达泰硅业的土地</w:t>
      </w:r>
      <w:r>
        <w:rPr>
          <w:bCs/>
          <w:color w:val="000000" w:themeColor="text1"/>
          <w:sz w:val="24"/>
        </w:rPr>
        <w:t>；</w:t>
      </w:r>
    </w:p>
    <w:p w14:paraId="26CA5350">
      <w:pPr>
        <w:adjustRightInd w:val="0"/>
        <w:snapToGrid w:val="0"/>
        <w:spacing w:line="360" w:lineRule="auto"/>
        <w:ind w:firstLine="480" w:firstLineChars="200"/>
        <w:rPr>
          <w:bCs/>
          <w:color w:val="000000" w:themeColor="text1"/>
          <w:sz w:val="24"/>
        </w:rPr>
      </w:pPr>
      <w:r>
        <w:rPr>
          <w:bCs/>
          <w:color w:val="000000" w:themeColor="text1"/>
          <w:sz w:val="24"/>
        </w:rPr>
        <w:t>同时</w:t>
      </w:r>
      <w:r>
        <w:rPr>
          <w:color w:val="000000" w:themeColor="text1"/>
          <w:sz w:val="24"/>
        </w:rPr>
        <w:t>选址不属于《德宏州域城镇体系规划（2011—2030）》用地范围，</w:t>
      </w:r>
      <w:r>
        <w:rPr>
          <w:bCs/>
          <w:color w:val="000000" w:themeColor="text1"/>
          <w:sz w:val="24"/>
        </w:rPr>
        <w:t>建设项目与《德宏州域城镇体系规划（2011—2030）》的总体规划定位分析不冲突，建设项目符合相关规划要求。</w:t>
      </w:r>
    </w:p>
    <w:p w14:paraId="656412D8">
      <w:pPr>
        <w:adjustRightInd w:val="0"/>
        <w:snapToGrid w:val="0"/>
        <w:spacing w:line="360" w:lineRule="auto"/>
        <w:ind w:firstLine="480" w:firstLineChars="200"/>
        <w:rPr>
          <w:color w:val="000000" w:themeColor="text1"/>
          <w:sz w:val="24"/>
        </w:rPr>
      </w:pPr>
      <w:r>
        <w:rPr>
          <w:color w:val="000000" w:themeColor="text1"/>
          <w:sz w:val="24"/>
        </w:rPr>
        <w:t>本项目以电为主要能源，主要污染物为废水、废气、固废，采取相应的措施后对环境影响对环境的影响程度和范围可为周围环境所接受，从环境保护角度分析，本项目选址是可行的。</w:t>
      </w:r>
    </w:p>
    <w:p w14:paraId="1ABCE0BC">
      <w:pPr>
        <w:adjustRightInd w:val="0"/>
        <w:snapToGrid w:val="0"/>
        <w:spacing w:line="360" w:lineRule="auto"/>
        <w:ind w:firstLine="480" w:firstLineChars="200"/>
        <w:rPr>
          <w:color w:val="000000" w:themeColor="text1"/>
          <w:sz w:val="24"/>
        </w:rPr>
      </w:pPr>
      <w:r>
        <w:rPr>
          <w:bCs/>
          <w:color w:val="000000" w:themeColor="text1"/>
          <w:sz w:val="24"/>
        </w:rPr>
        <w:t>本项目符合《废塑料加工利用污染防治管理规定》、《废塑料加工利用污染防治管理规定》（详见8.4节）、《废塑料加工利用污染防治管理规定》、《再生资源回收管理办法》、《废塑料回收与再生利用污染控制技术规范（试行）》要求。</w:t>
      </w:r>
    </w:p>
    <w:p w14:paraId="38AC3031">
      <w:pPr>
        <w:pStyle w:val="4"/>
        <w:rPr>
          <w:rFonts w:ascii="Times New Roman" w:hAnsi="Times New Roman"/>
          <w:color w:val="000000" w:themeColor="text1"/>
        </w:rPr>
      </w:pPr>
      <w:bookmarkStart w:id="507" w:name="_Toc28117745"/>
      <w:r>
        <w:rPr>
          <w:rFonts w:ascii="Times New Roman" w:hAnsi="Times New Roman"/>
          <w:color w:val="000000" w:themeColor="text1"/>
        </w:rPr>
        <w:t>11.3环境质量现状</w:t>
      </w:r>
      <w:bookmarkEnd w:id="507"/>
    </w:p>
    <w:p w14:paraId="06791EB7">
      <w:pPr>
        <w:pStyle w:val="57"/>
        <w:ind w:firstLine="480" w:firstLineChars="200"/>
        <w:rPr>
          <w:b/>
          <w:color w:val="000000" w:themeColor="text1"/>
        </w:rPr>
      </w:pPr>
      <w:r>
        <w:rPr>
          <w:b/>
          <w:color w:val="000000" w:themeColor="text1"/>
        </w:rPr>
        <w:t>1、环境空气</w:t>
      </w:r>
    </w:p>
    <w:p w14:paraId="1A3F0E58">
      <w:pPr>
        <w:pStyle w:val="57"/>
        <w:ind w:firstLine="480" w:firstLineChars="200"/>
        <w:rPr>
          <w:bCs/>
          <w:color w:val="000000" w:themeColor="text1"/>
        </w:rPr>
      </w:pPr>
      <w:r>
        <w:rPr>
          <w:color w:val="000000" w:themeColor="text1"/>
        </w:rPr>
        <w:t>根据</w:t>
      </w:r>
      <w:r>
        <w:rPr>
          <w:bCs/>
          <w:color w:val="000000" w:themeColor="text1"/>
        </w:rPr>
        <w:t>云南环绿环境检测技术有限公司于</w:t>
      </w:r>
      <w:r>
        <w:rPr>
          <w:color w:val="000000" w:themeColor="text1"/>
        </w:rPr>
        <w:t>2019年11月12日~18日</w:t>
      </w:r>
      <w:r>
        <w:rPr>
          <w:bCs/>
          <w:color w:val="000000" w:themeColor="text1"/>
        </w:rPr>
        <w:t>对项目区域环境空气质量进行的现状监测，项目所在区域</w:t>
      </w:r>
      <w:r>
        <w:rPr>
          <w:bCs/>
          <w:color w:val="000000" w:themeColor="text1"/>
          <w:lang w:val="zh-CN"/>
        </w:rPr>
        <w:t>的非甲烷总烃</w:t>
      </w:r>
      <w:r>
        <w:rPr>
          <w:bCs/>
          <w:color w:val="000000" w:themeColor="text1"/>
        </w:rPr>
        <w:t>、PM</w:t>
      </w:r>
      <w:r>
        <w:rPr>
          <w:bCs/>
          <w:color w:val="000000" w:themeColor="text1"/>
          <w:vertAlign w:val="subscript"/>
        </w:rPr>
        <w:t>10</w:t>
      </w:r>
      <w:r>
        <w:rPr>
          <w:bCs/>
          <w:color w:val="000000" w:themeColor="text1"/>
        </w:rPr>
        <w:t>、TSP、SO</w:t>
      </w:r>
      <w:r>
        <w:rPr>
          <w:bCs/>
          <w:color w:val="000000" w:themeColor="text1"/>
          <w:vertAlign w:val="subscript"/>
        </w:rPr>
        <w:t>2</w:t>
      </w:r>
      <w:r>
        <w:rPr>
          <w:bCs/>
          <w:color w:val="000000" w:themeColor="text1"/>
        </w:rPr>
        <w:t>、NO</w:t>
      </w:r>
      <w:r>
        <w:rPr>
          <w:bCs/>
          <w:color w:val="000000" w:themeColor="text1"/>
          <w:vertAlign w:val="subscript"/>
        </w:rPr>
        <w:t>2</w:t>
      </w:r>
      <w:r>
        <w:rPr>
          <w:bCs/>
          <w:color w:val="000000" w:themeColor="text1"/>
        </w:rPr>
        <w:t>均未</w:t>
      </w:r>
      <w:r>
        <w:rPr>
          <w:bCs/>
          <w:color w:val="000000" w:themeColor="text1"/>
          <w:lang w:val="zh-CN"/>
        </w:rPr>
        <w:t>超标，</w:t>
      </w:r>
      <w:r>
        <w:rPr>
          <w:bCs/>
          <w:color w:val="000000" w:themeColor="text1"/>
        </w:rPr>
        <w:t>项目区区域环境空气可以达到GB3095-2012《环境空气质量标准》二级标准，区域环境空气质量良好。</w:t>
      </w:r>
    </w:p>
    <w:p w14:paraId="3541CABD">
      <w:pPr>
        <w:pStyle w:val="57"/>
        <w:ind w:firstLine="480" w:firstLineChars="200"/>
        <w:rPr>
          <w:b/>
          <w:bCs/>
          <w:color w:val="000000" w:themeColor="text1"/>
        </w:rPr>
      </w:pPr>
      <w:r>
        <w:rPr>
          <w:b/>
          <w:bCs/>
          <w:color w:val="000000" w:themeColor="text1"/>
        </w:rPr>
        <w:t>2、地表水</w:t>
      </w:r>
    </w:p>
    <w:p w14:paraId="114184B7">
      <w:pPr>
        <w:pStyle w:val="57"/>
        <w:ind w:firstLine="480" w:firstLineChars="200"/>
        <w:rPr>
          <w:color w:val="000000" w:themeColor="text1"/>
        </w:rPr>
      </w:pPr>
      <w:r>
        <w:rPr>
          <w:bCs/>
          <w:color w:val="000000" w:themeColor="text1"/>
        </w:rPr>
        <w:t>云南环绿环境检测技术有限公司</w:t>
      </w:r>
      <w:r>
        <w:rPr>
          <w:color w:val="000000" w:themeColor="text1"/>
        </w:rPr>
        <w:t>于2019年11月17日~19日对地表水（芒市大河、水塘、排鲁水库）环境质量现状进行了监测，根据监测结果，芒市大河、水塘、排鲁水库水质现状监测均满足GB3838-2002《地表水环境质量标准》中Ⅲ类水质标准要求</w:t>
      </w:r>
      <w:r>
        <w:rPr>
          <w:bCs/>
          <w:color w:val="000000" w:themeColor="text1"/>
          <w:szCs w:val="24"/>
        </w:rPr>
        <w:t>。</w:t>
      </w:r>
    </w:p>
    <w:p w14:paraId="51DAAD27">
      <w:pPr>
        <w:pStyle w:val="57"/>
        <w:ind w:firstLine="480" w:firstLineChars="200"/>
        <w:rPr>
          <w:b/>
          <w:bCs/>
          <w:color w:val="000000" w:themeColor="text1"/>
        </w:rPr>
      </w:pPr>
      <w:r>
        <w:rPr>
          <w:b/>
          <w:bCs/>
          <w:color w:val="000000" w:themeColor="text1"/>
        </w:rPr>
        <w:t>3、声环境</w:t>
      </w:r>
    </w:p>
    <w:p w14:paraId="0301672D">
      <w:pPr>
        <w:pStyle w:val="57"/>
        <w:ind w:firstLine="480" w:firstLineChars="200"/>
        <w:rPr>
          <w:bCs/>
          <w:color w:val="000000" w:themeColor="text1"/>
        </w:rPr>
      </w:pPr>
      <w:r>
        <w:rPr>
          <w:color w:val="000000" w:themeColor="text1"/>
        </w:rPr>
        <w:t>根据</w:t>
      </w:r>
      <w:r>
        <w:rPr>
          <w:bCs/>
          <w:color w:val="000000" w:themeColor="text1"/>
        </w:rPr>
        <w:t>云南环绿环境检测技术有限公司</w:t>
      </w:r>
      <w:r>
        <w:rPr>
          <w:bCs/>
          <w:color w:val="000000" w:themeColor="text1"/>
          <w:szCs w:val="24"/>
        </w:rPr>
        <w:t>2019年11月18日~19日</w:t>
      </w:r>
      <w:r>
        <w:rPr>
          <w:color w:val="000000" w:themeColor="text1"/>
        </w:rPr>
        <w:t>对项目厂界进行的噪声监测结果，</w:t>
      </w:r>
      <w:r>
        <w:rPr>
          <w:bCs/>
          <w:color w:val="000000" w:themeColor="text1"/>
        </w:rPr>
        <w:t>项目厂界4个噪声监测点的昼间噪声、夜间噪声监测值均达到了GB3096-2008《声环境质量标准》2类区标准即</w:t>
      </w:r>
      <w:bookmarkStart w:id="513" w:name="_GoBack"/>
      <w:bookmarkEnd w:id="513"/>
      <w:r>
        <w:rPr>
          <w:bCs/>
          <w:color w:val="000000" w:themeColor="text1"/>
        </w:rPr>
        <w:t>昼间≤60dB(A), 夜间≤50dB(A)，声环境质量良好。</w:t>
      </w:r>
    </w:p>
    <w:p w14:paraId="36169092">
      <w:pPr>
        <w:pStyle w:val="57"/>
        <w:ind w:firstLine="480" w:firstLineChars="200"/>
        <w:rPr>
          <w:b/>
          <w:bCs/>
          <w:color w:val="000000" w:themeColor="text1"/>
        </w:rPr>
      </w:pPr>
      <w:r>
        <w:rPr>
          <w:b/>
          <w:bCs/>
          <w:color w:val="000000" w:themeColor="text1"/>
        </w:rPr>
        <w:t>4、地下水</w:t>
      </w:r>
    </w:p>
    <w:p w14:paraId="1CB59BC9">
      <w:pPr>
        <w:pStyle w:val="57"/>
        <w:ind w:firstLine="480"/>
        <w:rPr>
          <w:bCs/>
          <w:color w:val="000000" w:themeColor="text1"/>
        </w:rPr>
      </w:pPr>
      <w:r>
        <w:rPr>
          <w:bCs/>
          <w:color w:val="000000" w:themeColor="text1"/>
        </w:rPr>
        <w:t>本次评价共设3个监测点，1#~2#点位均为村庄附近的泉点，1、2#已废弃，3#主要功能为补充地表水（原作为硅厂生产、生活用水），不涉及饮用灌溉等特殊功能。</w:t>
      </w:r>
    </w:p>
    <w:p w14:paraId="1100A2A4">
      <w:pPr>
        <w:pStyle w:val="57"/>
        <w:ind w:firstLine="480"/>
        <w:rPr>
          <w:bCs/>
          <w:color w:val="000000" w:themeColor="text1"/>
        </w:rPr>
      </w:pPr>
      <w:r>
        <w:rPr>
          <w:color w:val="000000" w:themeColor="text1"/>
        </w:rPr>
        <w:t>根据</w:t>
      </w:r>
      <w:r>
        <w:rPr>
          <w:bCs/>
          <w:color w:val="000000" w:themeColor="text1"/>
        </w:rPr>
        <w:t>云南环绿环境检测技术有限公司</w:t>
      </w:r>
      <w:r>
        <w:rPr>
          <w:color w:val="000000" w:themeColor="text1"/>
        </w:rPr>
        <w:t>2018年12月21日至22日对排鲁村、户焕、芒捧进行的地下水监测结果，</w:t>
      </w:r>
      <w:r>
        <w:rPr>
          <w:bCs/>
          <w:color w:val="000000" w:themeColor="text1"/>
        </w:rPr>
        <w:t>3个监测点pH 值、溶解性总固体、耗氧量、氨氮、挥发性酚、氟化物、氯化物、硫酸盐、铁、锰、锌、大肠菌群、细菌总数，共13 项指标均满足《地下水质量标准》（GB/T14848-93）Ⅲ类标准。</w:t>
      </w:r>
    </w:p>
    <w:p w14:paraId="0DAD69EE">
      <w:pPr>
        <w:pStyle w:val="133"/>
        <w:widowControl w:val="0"/>
        <w:rPr>
          <w:color w:val="000000" w:themeColor="text1"/>
        </w:rPr>
      </w:pPr>
      <w:bookmarkStart w:id="508" w:name="_Toc28117746"/>
      <w:r>
        <w:rPr>
          <w:color w:val="000000" w:themeColor="text1"/>
        </w:rPr>
        <w:t>11.4环境影响预测结论</w:t>
      </w:r>
      <w:bookmarkEnd w:id="508"/>
    </w:p>
    <w:p w14:paraId="3E097154">
      <w:pPr>
        <w:pStyle w:val="116"/>
        <w:adjustRightInd w:val="0"/>
        <w:snapToGrid w:val="0"/>
        <w:ind w:firstLine="482"/>
        <w:rPr>
          <w:b/>
          <w:color w:val="000000" w:themeColor="text1"/>
        </w:rPr>
      </w:pPr>
      <w:r>
        <w:rPr>
          <w:b/>
          <w:color w:val="000000" w:themeColor="text1"/>
        </w:rPr>
        <w:t>1、施工期</w:t>
      </w:r>
    </w:p>
    <w:p w14:paraId="48F79F96">
      <w:pPr>
        <w:pStyle w:val="116"/>
        <w:ind w:firstLine="480"/>
        <w:rPr>
          <w:color w:val="000000" w:themeColor="text1"/>
        </w:rPr>
      </w:pPr>
      <w:r>
        <w:rPr>
          <w:color w:val="000000" w:themeColor="text1"/>
        </w:rPr>
        <w:t>施工期废气来自施工建设、运输等活动产生的粉尘及施工机械、运输工具产生，通过采取合理有效的洒水抑尘等环保措施，可防止和最大限度地减缓扬尘等大气污染物对环境空气质量的污染影响，做到环境可接受。</w:t>
      </w:r>
    </w:p>
    <w:p w14:paraId="1C88D834">
      <w:pPr>
        <w:pStyle w:val="116"/>
        <w:ind w:firstLine="480"/>
        <w:rPr>
          <w:color w:val="000000" w:themeColor="text1"/>
        </w:rPr>
      </w:pPr>
      <w:r>
        <w:rPr>
          <w:color w:val="000000" w:themeColor="text1"/>
        </w:rPr>
        <w:t>施工废水主要是工具、施工过程时产生，经沉淀池（1个，3m</w:t>
      </w:r>
      <w:r>
        <w:rPr>
          <w:color w:val="000000" w:themeColor="text1"/>
          <w:vertAlign w:val="superscript"/>
        </w:rPr>
        <w:t>3</w:t>
      </w:r>
      <w:r>
        <w:rPr>
          <w:color w:val="000000" w:themeColor="text1"/>
        </w:rPr>
        <w:t>）处理后，经过沉淀处理后的施工废水全部回用于建筑材料的冲洗和施工场地喷水降尘。</w:t>
      </w:r>
    </w:p>
    <w:p w14:paraId="2D644CB6">
      <w:pPr>
        <w:pStyle w:val="116"/>
        <w:ind w:firstLine="480"/>
        <w:rPr>
          <w:color w:val="000000" w:themeColor="text1"/>
        </w:rPr>
      </w:pPr>
      <w:r>
        <w:rPr>
          <w:color w:val="000000" w:themeColor="text1"/>
        </w:rPr>
        <w:t>对声环境的噪声影响主要包括施工期的基础开挖、主体结构、装修工程过程中的施工噪声，声环境保护目标距离项目较远，施工期的噪声影响对周围环境影响小。施工期产生的固废主要为建筑垃圾、生活垃圾，项目建设方应该严格对建筑垃圾进行处置，应根据住建局要求，送至指定位置；生活垃圾委托环卫部门清运。采取以上措施后施工期固废对周围环境影响小。</w:t>
      </w:r>
    </w:p>
    <w:p w14:paraId="26947DD5">
      <w:pPr>
        <w:pStyle w:val="116"/>
        <w:ind w:firstLine="480"/>
        <w:rPr>
          <w:color w:val="000000" w:themeColor="text1"/>
        </w:rPr>
      </w:pPr>
      <w:r>
        <w:rPr>
          <w:color w:val="000000" w:themeColor="text1"/>
        </w:rPr>
        <w:t>综上分析，施工期环境影响在可接受范围内。</w:t>
      </w:r>
    </w:p>
    <w:p w14:paraId="06478029">
      <w:pPr>
        <w:pStyle w:val="116"/>
        <w:ind w:firstLine="482"/>
        <w:rPr>
          <w:b/>
          <w:color w:val="000000" w:themeColor="text1"/>
        </w:rPr>
      </w:pPr>
      <w:r>
        <w:rPr>
          <w:b/>
          <w:color w:val="000000" w:themeColor="text1"/>
        </w:rPr>
        <w:t>2、运营期</w:t>
      </w:r>
    </w:p>
    <w:p w14:paraId="0F5262F1">
      <w:pPr>
        <w:pStyle w:val="116"/>
        <w:ind w:firstLine="482"/>
        <w:rPr>
          <w:b/>
          <w:color w:val="000000" w:themeColor="text1"/>
        </w:rPr>
      </w:pPr>
      <w:r>
        <w:rPr>
          <w:b/>
          <w:color w:val="000000" w:themeColor="text1"/>
        </w:rPr>
        <w:t>（1）大气污染物影响结论</w:t>
      </w:r>
    </w:p>
    <w:p w14:paraId="1BEC5634">
      <w:pPr>
        <w:spacing w:line="360" w:lineRule="auto"/>
        <w:ind w:left="105" w:leftChars="50" w:right="105" w:rightChars="50" w:firstLine="480" w:firstLineChars="200"/>
        <w:jc w:val="left"/>
        <w:rPr>
          <w:rFonts w:eastAsiaTheme="minorEastAsia"/>
          <w:bCs/>
          <w:color w:val="000000" w:themeColor="text1"/>
          <w:sz w:val="24"/>
        </w:rPr>
      </w:pPr>
      <w:r>
        <w:rPr>
          <w:color w:val="000000" w:themeColor="text1"/>
          <w:sz w:val="24"/>
        </w:rPr>
        <w:t>根据本项目污染物排放特性，对周围环境有可能产生影响的主要是造粒过程产生的颗粒物及非甲烷总烃，而项目设计及建设中已考虑废气主要为造粒工序热熔挤出废气（颗粒物、非甲烷总烃），</w:t>
      </w:r>
      <w:r>
        <w:rPr>
          <w:rFonts w:eastAsiaTheme="minorEastAsia"/>
          <w:bCs/>
          <w:color w:val="000000" w:themeColor="text1"/>
          <w:sz w:val="24"/>
        </w:rPr>
        <w:t>拟在两台塑料挤出机上方设置集气罩（风量为8000m</w:t>
      </w:r>
      <w:r>
        <w:rPr>
          <w:rFonts w:eastAsiaTheme="minorEastAsia"/>
          <w:bCs/>
          <w:color w:val="000000" w:themeColor="text1"/>
          <w:sz w:val="24"/>
          <w:vertAlign w:val="superscript"/>
        </w:rPr>
        <w:t>3</w:t>
      </w:r>
      <w:r>
        <w:rPr>
          <w:rFonts w:eastAsiaTheme="minorEastAsia"/>
          <w:bCs/>
          <w:color w:val="000000" w:themeColor="text1"/>
          <w:sz w:val="24"/>
        </w:rPr>
        <w:t>/h，集气效率90%），将颗粒物及非甲烷总烃引至过滤棉+UV光解装置处理达标后（颗粒物处置效率95%，非甲烷总烃处置效率85%），通过管道引至15m的排气筒排放。</w:t>
      </w:r>
    </w:p>
    <w:p w14:paraId="1A5246ED">
      <w:pPr>
        <w:spacing w:line="360" w:lineRule="auto"/>
        <w:ind w:left="105" w:leftChars="50" w:right="105" w:rightChars="50" w:firstLine="480" w:firstLineChars="200"/>
        <w:jc w:val="left"/>
        <w:rPr>
          <w:rFonts w:eastAsiaTheme="minorEastAsia"/>
          <w:bCs/>
          <w:color w:val="000000" w:themeColor="text1"/>
          <w:sz w:val="24"/>
        </w:rPr>
      </w:pPr>
      <w:r>
        <w:rPr>
          <w:rFonts w:eastAsiaTheme="minorEastAsia"/>
          <w:bCs/>
          <w:color w:val="000000" w:themeColor="text1"/>
          <w:sz w:val="24"/>
        </w:rPr>
        <w:t>编织袋生产设置1套集气罩对废气进行收集，然后经”过滤棉+UV光催化净化装置”处理后（收集效率90%，非甲烷总烃处理效率85%，颗粒物处理效率95%），通过15m高排气筒排放。</w:t>
      </w:r>
    </w:p>
    <w:p w14:paraId="09718E0F">
      <w:pPr>
        <w:spacing w:line="360" w:lineRule="auto"/>
        <w:ind w:firstLine="480" w:firstLineChars="200"/>
        <w:jc w:val="left"/>
        <w:rPr>
          <w:bCs/>
          <w:color w:val="000000" w:themeColor="text1"/>
          <w:sz w:val="24"/>
        </w:rPr>
      </w:pPr>
      <w:r>
        <w:rPr>
          <w:color w:val="000000" w:themeColor="text1"/>
          <w:sz w:val="24"/>
        </w:rPr>
        <w:t>从项目位置和预测结果分析对保护目标影响很小，叠加现状背景值后，颗粒物满足GB3095－2012《环境空气质量标准》二级标准，非甲烷总烃污染物预测值能满足《大气污染物综合排放标准详解》中2mg/m</w:t>
      </w:r>
      <w:r>
        <w:rPr>
          <w:color w:val="000000" w:themeColor="text1"/>
          <w:sz w:val="24"/>
          <w:vertAlign w:val="superscript"/>
        </w:rPr>
        <w:t>3</w:t>
      </w:r>
      <w:r>
        <w:rPr>
          <w:color w:val="000000" w:themeColor="text1"/>
          <w:sz w:val="24"/>
        </w:rPr>
        <w:t>要求，从估算结果可以看出废气对保护目标的影响可接受</w:t>
      </w:r>
      <w:r>
        <w:rPr>
          <w:bCs/>
          <w:color w:val="000000" w:themeColor="text1"/>
          <w:sz w:val="24"/>
        </w:rPr>
        <w:t>。</w:t>
      </w:r>
    </w:p>
    <w:p w14:paraId="3B2E6135">
      <w:pPr>
        <w:pStyle w:val="116"/>
        <w:ind w:firstLine="482"/>
        <w:rPr>
          <w:b/>
          <w:color w:val="000000" w:themeColor="text1"/>
        </w:rPr>
      </w:pPr>
      <w:r>
        <w:rPr>
          <w:b/>
          <w:color w:val="000000" w:themeColor="text1"/>
        </w:rPr>
        <w:t>2、地表水环境影响结论</w:t>
      </w:r>
    </w:p>
    <w:p w14:paraId="478D1E7F">
      <w:pPr>
        <w:spacing w:line="360" w:lineRule="auto"/>
        <w:ind w:firstLine="480" w:firstLineChars="200"/>
        <w:rPr>
          <w:color w:val="000000" w:themeColor="text1"/>
          <w:sz w:val="24"/>
        </w:rPr>
      </w:pPr>
      <w:r>
        <w:rPr>
          <w:snapToGrid w:val="0"/>
          <w:color w:val="000000" w:themeColor="text1"/>
          <w:kern w:val="0"/>
          <w:sz w:val="24"/>
          <w:szCs w:val="20"/>
        </w:rPr>
        <w:t>本项目排水方案为雨污分流，</w:t>
      </w:r>
      <w:r>
        <w:rPr>
          <w:color w:val="000000" w:themeColor="text1"/>
          <w:sz w:val="24"/>
        </w:rPr>
        <w:t>本项目厂区设置雨水沟，收集前1h的雨水进入本项目雨水收集池（3m</w:t>
      </w:r>
      <w:r>
        <w:rPr>
          <w:color w:val="000000" w:themeColor="text1"/>
          <w:sz w:val="24"/>
          <w:vertAlign w:val="superscript"/>
        </w:rPr>
        <w:t>3</w:t>
      </w:r>
      <w:r>
        <w:rPr>
          <w:color w:val="000000" w:themeColor="text1"/>
          <w:sz w:val="24"/>
        </w:rPr>
        <w:t>）处理，回用于生产，其余经沉淀后外排。</w:t>
      </w:r>
      <w:r>
        <w:rPr>
          <w:rFonts w:eastAsia="??"/>
          <w:color w:val="000000" w:themeColor="text1"/>
          <w:sz w:val="24"/>
        </w:rPr>
        <w:t xml:space="preserve"> </w:t>
      </w:r>
    </w:p>
    <w:p w14:paraId="654EEA05">
      <w:pPr>
        <w:spacing w:line="360" w:lineRule="auto"/>
        <w:ind w:firstLine="480" w:firstLineChars="200"/>
        <w:rPr>
          <w:bCs/>
          <w:color w:val="000000" w:themeColor="text1"/>
          <w:sz w:val="24"/>
        </w:rPr>
      </w:pPr>
      <w:r>
        <w:rPr>
          <w:snapToGrid w:val="0"/>
          <w:color w:val="000000" w:themeColor="text1"/>
          <w:kern w:val="0"/>
          <w:sz w:val="24"/>
          <w:szCs w:val="20"/>
        </w:rPr>
        <w:t>生活污水中</w:t>
      </w:r>
      <w:r>
        <w:rPr>
          <w:bCs/>
          <w:color w:val="000000" w:themeColor="text1"/>
          <w:sz w:val="24"/>
        </w:rPr>
        <w:t>厨房废水经1个隔油池（0.2m</w:t>
      </w:r>
      <w:r>
        <w:rPr>
          <w:bCs/>
          <w:color w:val="000000" w:themeColor="text1"/>
          <w:sz w:val="24"/>
          <w:vertAlign w:val="superscript"/>
        </w:rPr>
        <w:t>3</w:t>
      </w:r>
      <w:r>
        <w:rPr>
          <w:bCs/>
          <w:color w:val="000000" w:themeColor="text1"/>
          <w:sz w:val="24"/>
        </w:rPr>
        <w:t>）处理后，与其它生活废水排入化粪池（25m</w:t>
      </w:r>
      <w:r>
        <w:rPr>
          <w:bCs/>
          <w:color w:val="000000" w:themeColor="text1"/>
          <w:sz w:val="24"/>
          <w:vertAlign w:val="superscript"/>
        </w:rPr>
        <w:t>3</w:t>
      </w:r>
      <w:r>
        <w:rPr>
          <w:bCs/>
          <w:color w:val="000000" w:themeColor="text1"/>
          <w:sz w:val="24"/>
        </w:rPr>
        <w:t>）处理，定期委托周边村民清运，用于农作物施肥。</w:t>
      </w:r>
    </w:p>
    <w:p w14:paraId="3C2DD0DF">
      <w:pPr>
        <w:spacing w:line="360" w:lineRule="auto"/>
        <w:ind w:firstLine="480" w:firstLineChars="200"/>
        <w:rPr>
          <w:bCs/>
          <w:color w:val="000000" w:themeColor="text1"/>
          <w:sz w:val="24"/>
          <w:szCs w:val="32"/>
        </w:rPr>
      </w:pPr>
      <w:r>
        <w:rPr>
          <w:bCs/>
          <w:color w:val="000000" w:themeColor="text1"/>
          <w:sz w:val="24"/>
          <w:szCs w:val="32"/>
        </w:rPr>
        <w:t>生产废水中清洗、破碎废水通过</w:t>
      </w:r>
      <w:r>
        <w:rPr>
          <w:color w:val="000000" w:themeColor="text1"/>
          <w:sz w:val="24"/>
        </w:rPr>
        <w:t>污水处理设施（</w:t>
      </w:r>
      <w:r>
        <w:rPr>
          <w:bCs/>
          <w:color w:val="000000" w:themeColor="text1"/>
          <w:sz w:val="24"/>
        </w:rPr>
        <w:t>1个2m</w:t>
      </w:r>
      <w:r>
        <w:rPr>
          <w:bCs/>
          <w:color w:val="000000" w:themeColor="text1"/>
          <w:sz w:val="24"/>
          <w:vertAlign w:val="superscript"/>
        </w:rPr>
        <w:t>3</w:t>
      </w:r>
      <w:r>
        <w:rPr>
          <w:bCs/>
          <w:color w:val="000000" w:themeColor="text1"/>
          <w:sz w:val="24"/>
        </w:rPr>
        <w:t>隔油池+1000m</w:t>
      </w:r>
      <w:r>
        <w:rPr>
          <w:bCs/>
          <w:color w:val="000000" w:themeColor="text1"/>
          <w:sz w:val="24"/>
          <w:vertAlign w:val="superscript"/>
        </w:rPr>
        <w:t>3</w:t>
      </w:r>
      <w:r>
        <w:rPr>
          <w:bCs/>
          <w:color w:val="000000" w:themeColor="text1"/>
          <w:sz w:val="24"/>
        </w:rPr>
        <w:t>沉淀池</w:t>
      </w:r>
      <w:r>
        <w:rPr>
          <w:color w:val="000000" w:themeColor="text1"/>
          <w:sz w:val="24"/>
        </w:rPr>
        <w:t>）处理</w:t>
      </w:r>
      <w:r>
        <w:rPr>
          <w:bCs/>
          <w:color w:val="000000" w:themeColor="text1"/>
          <w:sz w:val="24"/>
          <w:szCs w:val="32"/>
        </w:rPr>
        <w:t>后，储存于沉淀池回用于生产，不外排；</w:t>
      </w:r>
      <w:r>
        <w:rPr>
          <w:bCs/>
          <w:color w:val="000000" w:themeColor="text1"/>
          <w:sz w:val="24"/>
        </w:rPr>
        <w:t>造粒工序设置两台造粒机，各配套一个冷却水槽，共用一个冷却水循环系统（循环冷却水池1m</w:t>
      </w:r>
      <w:r>
        <w:rPr>
          <w:bCs/>
          <w:color w:val="000000" w:themeColor="text1"/>
          <w:sz w:val="24"/>
          <w:vertAlign w:val="superscript"/>
        </w:rPr>
        <w:t>3</w:t>
      </w:r>
      <w:r>
        <w:rPr>
          <w:bCs/>
          <w:color w:val="000000" w:themeColor="text1"/>
          <w:sz w:val="24"/>
        </w:rPr>
        <w:t>），本项目编织袋生产配套一个冷却水循环系统（循环冷却水池0.5m</w:t>
      </w:r>
      <w:r>
        <w:rPr>
          <w:bCs/>
          <w:color w:val="000000" w:themeColor="text1"/>
          <w:sz w:val="24"/>
          <w:vertAlign w:val="superscript"/>
        </w:rPr>
        <w:t>3</w:t>
      </w:r>
      <w:r>
        <w:rPr>
          <w:bCs/>
          <w:color w:val="000000" w:themeColor="text1"/>
          <w:sz w:val="24"/>
        </w:rPr>
        <w:t>），</w:t>
      </w:r>
      <w:r>
        <w:rPr>
          <w:rFonts w:eastAsiaTheme="minorEastAsia"/>
          <w:bCs/>
          <w:color w:val="000000" w:themeColor="text1"/>
          <w:sz w:val="24"/>
          <w:szCs w:val="28"/>
        </w:rPr>
        <w:t>此部分废水经冷却循环池冷却及沉淀后，回用于生产中。</w:t>
      </w:r>
    </w:p>
    <w:p w14:paraId="3C2A01AA">
      <w:pPr>
        <w:adjustRightInd w:val="0"/>
        <w:snapToGrid w:val="0"/>
        <w:spacing w:line="360" w:lineRule="auto"/>
        <w:ind w:firstLine="480" w:firstLineChars="200"/>
        <w:jc w:val="left"/>
        <w:rPr>
          <w:color w:val="000000" w:themeColor="text1"/>
          <w:sz w:val="24"/>
        </w:rPr>
      </w:pPr>
      <w:r>
        <w:rPr>
          <w:color w:val="000000" w:themeColor="text1"/>
          <w:sz w:val="24"/>
        </w:rPr>
        <w:t>综上本项目废水不外排，对地表水（</w:t>
      </w:r>
      <w:r>
        <w:rPr>
          <w:snapToGrid w:val="0"/>
          <w:color w:val="000000" w:themeColor="text1"/>
          <w:kern w:val="0"/>
          <w:sz w:val="24"/>
          <w:szCs w:val="20"/>
        </w:rPr>
        <w:t>西侧2.1km的芒市大河</w:t>
      </w:r>
      <w:r>
        <w:rPr>
          <w:color w:val="000000" w:themeColor="text1"/>
          <w:sz w:val="24"/>
        </w:rPr>
        <w:t>）影响较小。</w:t>
      </w:r>
    </w:p>
    <w:p w14:paraId="3B236C62">
      <w:pPr>
        <w:spacing w:line="360" w:lineRule="auto"/>
        <w:ind w:firstLine="480" w:firstLineChars="200"/>
        <w:jc w:val="left"/>
        <w:rPr>
          <w:b/>
          <w:color w:val="000000" w:themeColor="text1"/>
          <w:sz w:val="24"/>
        </w:rPr>
      </w:pPr>
      <w:r>
        <w:rPr>
          <w:b/>
          <w:color w:val="000000" w:themeColor="text1"/>
          <w:sz w:val="24"/>
        </w:rPr>
        <w:t>3、固废环境影响分析</w:t>
      </w:r>
    </w:p>
    <w:p w14:paraId="38B0F408">
      <w:pPr>
        <w:spacing w:line="360" w:lineRule="auto"/>
        <w:ind w:firstLine="480" w:firstLineChars="200"/>
        <w:rPr>
          <w:color w:val="000000" w:themeColor="text1"/>
          <w:sz w:val="24"/>
          <w:szCs w:val="22"/>
        </w:rPr>
      </w:pPr>
      <w:r>
        <w:rPr>
          <w:color w:val="000000" w:themeColor="text1"/>
          <w:sz w:val="24"/>
          <w:szCs w:val="22"/>
        </w:rPr>
        <w:t>本项目固废分为两类，生产固废（一般生产固废和危险废物）和生活固废。本环评要求项目区设置生活垃圾收集桶，一般生产固废收集间15m</w:t>
      </w:r>
      <w:r>
        <w:rPr>
          <w:color w:val="000000" w:themeColor="text1"/>
          <w:sz w:val="24"/>
          <w:szCs w:val="22"/>
          <w:vertAlign w:val="superscript"/>
        </w:rPr>
        <w:t>2</w:t>
      </w:r>
      <w:r>
        <w:rPr>
          <w:color w:val="000000" w:themeColor="text1"/>
          <w:sz w:val="24"/>
          <w:szCs w:val="22"/>
        </w:rPr>
        <w:t>、危废废物收集间5m</w:t>
      </w:r>
      <w:r>
        <w:rPr>
          <w:color w:val="000000" w:themeColor="text1"/>
          <w:sz w:val="24"/>
          <w:szCs w:val="22"/>
          <w:vertAlign w:val="superscript"/>
        </w:rPr>
        <w:t>2</w:t>
      </w:r>
      <w:r>
        <w:rPr>
          <w:color w:val="000000" w:themeColor="text1"/>
          <w:sz w:val="24"/>
          <w:szCs w:val="22"/>
        </w:rPr>
        <w:t>。</w:t>
      </w:r>
    </w:p>
    <w:p w14:paraId="35CCD878">
      <w:pPr>
        <w:spacing w:line="360" w:lineRule="auto"/>
        <w:ind w:firstLine="480" w:firstLineChars="200"/>
        <w:rPr>
          <w:color w:val="000000" w:themeColor="text1"/>
          <w:sz w:val="24"/>
        </w:rPr>
      </w:pPr>
      <w:r>
        <w:rPr>
          <w:color w:val="000000" w:themeColor="text1"/>
          <w:sz w:val="24"/>
          <w:szCs w:val="22"/>
        </w:rPr>
        <w:t>生活固废：主要为</w:t>
      </w:r>
      <w:r>
        <w:rPr>
          <w:color w:val="000000" w:themeColor="text1"/>
          <w:sz w:val="24"/>
        </w:rPr>
        <w:t>生活垃圾（3t/a）、化粪池污泥（1t/a）及食堂泔水（0.116t/a），外运至最近村庄垃圾收集点处理。</w:t>
      </w:r>
    </w:p>
    <w:p w14:paraId="0A91A25F">
      <w:pPr>
        <w:adjustRightInd w:val="0"/>
        <w:spacing w:line="360" w:lineRule="auto"/>
        <w:ind w:firstLine="480" w:firstLineChars="200"/>
        <w:rPr>
          <w:color w:val="000000" w:themeColor="text1"/>
          <w:kern w:val="0"/>
          <w:sz w:val="24"/>
        </w:rPr>
      </w:pPr>
      <w:r>
        <w:rPr>
          <w:snapToGrid w:val="0"/>
          <w:color w:val="000000" w:themeColor="text1"/>
          <w:kern w:val="0"/>
          <w:sz w:val="24"/>
          <w:szCs w:val="20"/>
        </w:rPr>
        <w:t>一般工业固废：主要为拆包、人工分选杂物（S1）、剥离废标签纸（S2）、</w:t>
      </w:r>
      <w:r>
        <w:rPr>
          <w:color w:val="000000" w:themeColor="text1"/>
          <w:sz w:val="24"/>
        </w:rPr>
        <w:t>污水处理设施（隔油池+沉淀池）</w:t>
      </w:r>
      <w:r>
        <w:rPr>
          <w:snapToGrid w:val="0"/>
          <w:color w:val="000000" w:themeColor="text1"/>
          <w:kern w:val="0"/>
          <w:sz w:val="24"/>
          <w:szCs w:val="20"/>
        </w:rPr>
        <w:t>污泥；</w:t>
      </w:r>
      <w:r>
        <w:rPr>
          <w:color w:val="000000" w:themeColor="text1"/>
          <w:kern w:val="0"/>
          <w:sz w:val="24"/>
        </w:rPr>
        <w:t>拆包、人工分选杂物分类收集后，一部分外卖，其余外运至最近村庄垃圾收集点处理，禁止随意丢弃；剥离废标签纸</w:t>
      </w:r>
      <w:r>
        <w:rPr>
          <w:snapToGrid w:val="0"/>
          <w:color w:val="000000" w:themeColor="text1"/>
          <w:kern w:val="0"/>
          <w:sz w:val="24"/>
          <w:szCs w:val="20"/>
        </w:rPr>
        <w:t>、废过滤网</w:t>
      </w:r>
      <w:r>
        <w:rPr>
          <w:color w:val="000000" w:themeColor="text1"/>
          <w:sz w:val="24"/>
        </w:rPr>
        <w:t>外卖处理；污水处理设施（隔油池+沉淀池）</w:t>
      </w:r>
      <w:r>
        <w:rPr>
          <w:snapToGrid w:val="0"/>
          <w:color w:val="000000" w:themeColor="text1"/>
          <w:kern w:val="0"/>
          <w:sz w:val="24"/>
          <w:szCs w:val="20"/>
        </w:rPr>
        <w:t>污泥</w:t>
      </w:r>
      <w:r>
        <w:rPr>
          <w:color w:val="000000" w:themeColor="text1"/>
          <w:sz w:val="24"/>
        </w:rPr>
        <w:t>外运至最近村庄垃圾收集点处理</w:t>
      </w:r>
      <w:r>
        <w:rPr>
          <w:color w:val="000000" w:themeColor="text1"/>
          <w:kern w:val="0"/>
          <w:sz w:val="24"/>
        </w:rPr>
        <w:t>。</w:t>
      </w:r>
    </w:p>
    <w:p w14:paraId="627E6080">
      <w:pPr>
        <w:pStyle w:val="15"/>
        <w:adjustRightInd w:val="0"/>
        <w:snapToGrid w:val="0"/>
        <w:spacing w:line="360" w:lineRule="auto"/>
        <w:ind w:firstLine="480" w:firstLineChars="200"/>
        <w:rPr>
          <w:b/>
          <w:color w:val="000000" w:themeColor="text1"/>
          <w:sz w:val="24"/>
        </w:rPr>
      </w:pPr>
      <w:r>
        <w:rPr>
          <w:color w:val="000000" w:themeColor="text1"/>
          <w:sz w:val="24"/>
        </w:rPr>
        <w:t>危险废物：（废过滤棉、光解废气处理灯、</w:t>
      </w:r>
      <w:r>
        <w:rPr>
          <w:snapToGrid w:val="0"/>
          <w:color w:val="000000" w:themeColor="text1"/>
          <w:kern w:val="0"/>
          <w:sz w:val="24"/>
          <w:szCs w:val="20"/>
        </w:rPr>
        <w:t>废过滤网</w:t>
      </w:r>
      <w:r>
        <w:rPr>
          <w:color w:val="000000" w:themeColor="text1"/>
          <w:sz w:val="24"/>
        </w:rPr>
        <w:t>）暂存于危废收集间，委托有资质的单位进行处置。</w:t>
      </w:r>
    </w:p>
    <w:p w14:paraId="02FEE200">
      <w:pPr>
        <w:spacing w:line="360" w:lineRule="auto"/>
        <w:ind w:firstLine="480" w:firstLineChars="200"/>
        <w:rPr>
          <w:color w:val="000000" w:themeColor="text1"/>
          <w:sz w:val="24"/>
          <w:szCs w:val="22"/>
        </w:rPr>
      </w:pPr>
      <w:r>
        <w:rPr>
          <w:color w:val="000000" w:themeColor="text1"/>
          <w:sz w:val="24"/>
          <w:szCs w:val="22"/>
        </w:rPr>
        <w:t>固废得到有效的处置。</w:t>
      </w:r>
    </w:p>
    <w:p w14:paraId="3F179232">
      <w:pPr>
        <w:spacing w:line="360" w:lineRule="auto"/>
        <w:ind w:firstLine="480" w:firstLineChars="200"/>
        <w:rPr>
          <w:b/>
          <w:color w:val="000000" w:themeColor="text1"/>
          <w:sz w:val="24"/>
        </w:rPr>
      </w:pPr>
      <w:r>
        <w:rPr>
          <w:b/>
          <w:color w:val="000000" w:themeColor="text1"/>
          <w:sz w:val="24"/>
        </w:rPr>
        <w:t>4、噪声环境影响分析</w:t>
      </w:r>
    </w:p>
    <w:p w14:paraId="6D467885">
      <w:pPr>
        <w:widowControl/>
        <w:spacing w:line="360" w:lineRule="auto"/>
        <w:ind w:firstLine="480" w:firstLineChars="200"/>
        <w:jc w:val="left"/>
        <w:rPr>
          <w:color w:val="000000" w:themeColor="text1"/>
          <w:sz w:val="24"/>
        </w:rPr>
      </w:pPr>
      <w:r>
        <w:rPr>
          <w:color w:val="000000" w:themeColor="text1"/>
          <w:sz w:val="24"/>
        </w:rPr>
        <w:t>根据预测分析，项目运营期间厂界噪声昼间（夜间不生产）可满足GB12348-2008《工业企业厂界环境噪声排放标准》2类标准。</w:t>
      </w:r>
    </w:p>
    <w:p w14:paraId="3EF85730">
      <w:pPr>
        <w:widowControl/>
        <w:spacing w:line="360" w:lineRule="auto"/>
        <w:ind w:firstLine="480" w:firstLineChars="200"/>
        <w:jc w:val="left"/>
        <w:rPr>
          <w:color w:val="000000" w:themeColor="text1"/>
          <w:sz w:val="24"/>
        </w:rPr>
      </w:pPr>
      <w:r>
        <w:rPr>
          <w:color w:val="000000" w:themeColor="text1"/>
          <w:sz w:val="24"/>
        </w:rPr>
        <w:t>项目区周边200m范围内无声环境保护目标，项目噪声对周围环境影响较小。</w:t>
      </w:r>
    </w:p>
    <w:p w14:paraId="5C4F51CD">
      <w:pPr>
        <w:widowControl/>
        <w:spacing w:line="360" w:lineRule="auto"/>
        <w:ind w:firstLine="480" w:firstLineChars="200"/>
        <w:jc w:val="left"/>
        <w:rPr>
          <w:b/>
          <w:color w:val="000000" w:themeColor="text1"/>
          <w:sz w:val="24"/>
        </w:rPr>
      </w:pPr>
      <w:r>
        <w:rPr>
          <w:b/>
          <w:color w:val="000000" w:themeColor="text1"/>
          <w:sz w:val="24"/>
        </w:rPr>
        <w:t>5、地下水环境影响分析</w:t>
      </w:r>
    </w:p>
    <w:p w14:paraId="58BD7A14">
      <w:pPr>
        <w:pStyle w:val="296"/>
        <w:ind w:firstLine="480"/>
        <w:rPr>
          <w:rFonts w:cs="Times New Roman"/>
          <w:color w:val="000000" w:themeColor="text1"/>
        </w:rPr>
      </w:pPr>
      <w:r>
        <w:rPr>
          <w:rFonts w:cs="Times New Roman"/>
          <w:color w:val="000000" w:themeColor="text1"/>
        </w:rPr>
        <w:t>项目危险废物设置危废间暂存，避免了淋滤水产生。危废间采用6m厚压实粘土防渗、污水处理设施、原料仓库、破碎清洗生产区、造粒生产区、编织袋生产区等采用1.5m厚压实粘土防渗。</w:t>
      </w:r>
    </w:p>
    <w:p w14:paraId="030EDAD0">
      <w:pPr>
        <w:pStyle w:val="296"/>
        <w:ind w:firstLine="480"/>
        <w:rPr>
          <w:rFonts w:cs="Times New Roman"/>
          <w:color w:val="000000" w:themeColor="text1"/>
        </w:rPr>
      </w:pPr>
      <w:r>
        <w:rPr>
          <w:rFonts w:cs="Times New Roman"/>
          <w:color w:val="000000" w:themeColor="text1"/>
        </w:rPr>
        <w:t>项目生产废水经污水处理设施（隔油池+沉淀池）处理后回用于生产，不外排，生活污水经隔油池、化粪池处理后，委托村民清运，作为农肥使用。</w:t>
      </w:r>
    </w:p>
    <w:p w14:paraId="75FB792F">
      <w:pPr>
        <w:pStyle w:val="297"/>
        <w:ind w:firstLine="480"/>
        <w:rPr>
          <w:color w:val="000000" w:themeColor="text1"/>
        </w:rPr>
      </w:pPr>
      <w:r>
        <w:rPr>
          <w:color w:val="000000" w:themeColor="text1"/>
        </w:rPr>
        <w:t>在做好工业场地的硬化工作，加强”三废”排放管理，格按照设计做好废水处理设施及各污水池的混凝土防渗，对污水管道进行定期检修维护，防止污废水跑冒滴漏的情况下，项目对地下水水质影响较小。</w:t>
      </w:r>
    </w:p>
    <w:p w14:paraId="14643794">
      <w:pPr>
        <w:widowControl/>
        <w:spacing w:line="360" w:lineRule="auto"/>
        <w:ind w:firstLine="480" w:firstLineChars="200"/>
        <w:jc w:val="left"/>
        <w:rPr>
          <w:color w:val="000000" w:themeColor="text1"/>
          <w:sz w:val="24"/>
        </w:rPr>
      </w:pPr>
    </w:p>
    <w:p w14:paraId="5A71D2CC">
      <w:pPr>
        <w:pStyle w:val="4"/>
        <w:rPr>
          <w:rFonts w:ascii="Times New Roman" w:hAnsi="Times New Roman"/>
          <w:color w:val="000000" w:themeColor="text1"/>
        </w:rPr>
      </w:pPr>
      <w:bookmarkStart w:id="509" w:name="_Toc28117747"/>
      <w:r>
        <w:rPr>
          <w:rFonts w:ascii="Times New Roman" w:hAnsi="Times New Roman"/>
          <w:color w:val="000000" w:themeColor="text1"/>
        </w:rPr>
        <w:t>11.5风险分析结论</w:t>
      </w:r>
      <w:bookmarkEnd w:id="509"/>
    </w:p>
    <w:p w14:paraId="10821365">
      <w:pPr>
        <w:adjustRightInd w:val="0"/>
        <w:snapToGrid w:val="0"/>
        <w:spacing w:line="360" w:lineRule="auto"/>
        <w:ind w:firstLine="480" w:firstLineChars="200"/>
        <w:rPr>
          <w:color w:val="000000" w:themeColor="text1"/>
          <w:sz w:val="24"/>
        </w:rPr>
      </w:pPr>
      <w:r>
        <w:rPr>
          <w:color w:val="000000" w:themeColor="text1"/>
          <w:sz w:val="24"/>
        </w:rPr>
        <w:t>本项目环境风险因素主要为塑料火灾风险及火灾次生环境风险等。从风险控制的角度来评价，建设单位在严格各项规章制度管理和工序操作外，制定详细的环境风险防范措施和应急预案，能大大减小事故发生概率。事故发生后能及时采取有利措施，减小对环境污染。本工程在严格实施各项规章制度，确保环境风险防范措施落实的基础上，其潜在的环境风险是可控的。</w:t>
      </w:r>
    </w:p>
    <w:p w14:paraId="6E8C7081">
      <w:pPr>
        <w:pStyle w:val="4"/>
        <w:rPr>
          <w:rFonts w:ascii="Times New Roman" w:hAnsi="Times New Roman"/>
          <w:color w:val="000000" w:themeColor="text1"/>
        </w:rPr>
      </w:pPr>
      <w:bookmarkStart w:id="510" w:name="_Toc28117748"/>
      <w:r>
        <w:rPr>
          <w:rFonts w:ascii="Times New Roman" w:hAnsi="Times New Roman"/>
          <w:color w:val="000000" w:themeColor="text1"/>
        </w:rPr>
        <w:t>11.6公众参与分析结论</w:t>
      </w:r>
      <w:bookmarkEnd w:id="510"/>
    </w:p>
    <w:p w14:paraId="2AA67756">
      <w:pPr>
        <w:spacing w:line="360" w:lineRule="auto"/>
        <w:ind w:firstLine="480" w:firstLineChars="200"/>
        <w:jc w:val="left"/>
        <w:rPr>
          <w:color w:val="000000" w:themeColor="text1"/>
          <w:sz w:val="24"/>
        </w:rPr>
      </w:pPr>
      <w:r>
        <w:rPr>
          <w:color w:val="000000" w:themeColor="text1"/>
          <w:sz w:val="24"/>
        </w:rPr>
        <w:t>第一次环评公示（2019年10月23日至11月5日），建设方根据生态环境部第4号令《环境影响评价公众参与办法》的要求，项目首次公示采用张贴公告的方式和网站公示进行，网址：</w:t>
      </w:r>
      <w:r>
        <w:fldChar w:fldCharType="begin"/>
      </w:r>
      <w:r>
        <w:instrText xml:space="preserve"> HYPERLINK "http://www.huanpingbao.cn/jcb-portal/publicity/publicity_detail?id=5855" </w:instrText>
      </w:r>
      <w:r>
        <w:fldChar w:fldCharType="separate"/>
      </w:r>
      <w:r>
        <w:rPr>
          <w:rStyle w:val="47"/>
          <w:color w:val="000000" w:themeColor="text1"/>
          <w:sz w:val="24"/>
        </w:rPr>
        <w:t>http://www.huanpingbao.cn/jcb-portal/publicity/publicity_detail?id=5855</w:t>
      </w:r>
      <w:r>
        <w:rPr>
          <w:rStyle w:val="47"/>
          <w:color w:val="000000" w:themeColor="text1"/>
          <w:sz w:val="24"/>
        </w:rPr>
        <w:fldChar w:fldCharType="end"/>
      </w:r>
      <w:r>
        <w:rPr>
          <w:color w:val="000000" w:themeColor="text1"/>
          <w:sz w:val="24"/>
        </w:rPr>
        <w:t>，现场张贴公示于户拉村居委会公示栏；</w:t>
      </w:r>
    </w:p>
    <w:p w14:paraId="05AB45D4">
      <w:pPr>
        <w:spacing w:line="360" w:lineRule="auto"/>
        <w:ind w:firstLine="480" w:firstLineChars="200"/>
        <w:jc w:val="left"/>
        <w:rPr>
          <w:color w:val="000000" w:themeColor="text1"/>
          <w:sz w:val="24"/>
        </w:rPr>
      </w:pPr>
      <w:r>
        <w:rPr>
          <w:color w:val="000000" w:themeColor="text1"/>
          <w:sz w:val="24"/>
        </w:rPr>
        <w:t>第二次公示，项目环境影响报告书征求意见稿采用网络、报纸及张贴告示进行了公示。网络公示时间为12月2日～2019年12月13日，网络公示网址：http://www.huanpingbao.cn/jcb-portal/publicity/publicity_detail?id=6056，期间未收到任何有关意见；报纸公示为环球日报，公示时间为2019年12月23日和2019年12月24日；张贴公示于遮放镇人民政府公示栏，公示期间未收到</w:t>
      </w:r>
      <w:r>
        <w:rPr>
          <w:color w:val="000000" w:themeColor="text1"/>
          <w:sz w:val="24"/>
          <w:szCs w:val="20"/>
        </w:rPr>
        <w:t>有关意</w:t>
      </w:r>
      <w:r>
        <w:rPr>
          <w:color w:val="000000" w:themeColor="text1"/>
          <w:sz w:val="24"/>
        </w:rPr>
        <w:t>见。项目环评报告书征求意见稿放置于芒市遮放镇鑫广塑料制品加工厂。</w:t>
      </w:r>
    </w:p>
    <w:p w14:paraId="0CA6E97F">
      <w:pPr>
        <w:pStyle w:val="106"/>
        <w:adjustRightInd w:val="0"/>
        <w:snapToGrid w:val="0"/>
        <w:spacing w:line="360" w:lineRule="auto"/>
        <w:ind w:firstLine="480" w:firstLineChars="200"/>
        <w:rPr>
          <w:color w:val="000000" w:themeColor="text1"/>
          <w:sz w:val="24"/>
          <w:szCs w:val="24"/>
        </w:rPr>
      </w:pPr>
      <w:r>
        <w:rPr>
          <w:color w:val="000000" w:themeColor="text1"/>
          <w:sz w:val="24"/>
          <w:szCs w:val="24"/>
        </w:rPr>
        <w:t>本次公众参与程序严格按照</w:t>
      </w:r>
      <w:r>
        <w:rPr>
          <w:snapToGrid w:val="0"/>
          <w:color w:val="000000" w:themeColor="text1"/>
          <w:kern w:val="0"/>
          <w:sz w:val="24"/>
        </w:rPr>
        <w:t>《环境影响评价公众参与办法》</w:t>
      </w:r>
      <w:r>
        <w:rPr>
          <w:color w:val="000000" w:themeColor="text1"/>
          <w:sz w:val="24"/>
          <w:szCs w:val="24"/>
        </w:rPr>
        <w:t>，调查的问题贯穿项目的始终，具有较强针对性，收集的意见也较为客观，能够代表走访地点大多数公众的意见，从总体上看，公众对此项目的建设表示支持和理解，本项目施工建设及运营过程中应通过采取各项措施来减轻环境污染。在工程建设期间接受公众的监督，对公众</w:t>
      </w:r>
      <w:r>
        <w:rPr>
          <w:rFonts w:hint="eastAsia"/>
          <w:color w:val="000000" w:themeColor="text1"/>
          <w:sz w:val="24"/>
          <w:szCs w:val="24"/>
          <w:lang w:eastAsia="zh-CN"/>
        </w:rPr>
        <w:t>反映强烈的问题</w:t>
      </w:r>
      <w:r>
        <w:rPr>
          <w:color w:val="000000" w:themeColor="text1"/>
          <w:sz w:val="24"/>
          <w:szCs w:val="24"/>
        </w:rPr>
        <w:t>及时整改。</w:t>
      </w:r>
    </w:p>
    <w:p w14:paraId="7D7A0ED2">
      <w:pPr>
        <w:pStyle w:val="4"/>
        <w:rPr>
          <w:rFonts w:ascii="Times New Roman" w:hAnsi="Times New Roman"/>
          <w:color w:val="000000" w:themeColor="text1"/>
        </w:rPr>
      </w:pPr>
      <w:bookmarkStart w:id="511" w:name="_Toc28117749"/>
      <w:r>
        <w:rPr>
          <w:rFonts w:ascii="Times New Roman" w:hAnsi="Times New Roman"/>
          <w:color w:val="000000" w:themeColor="text1"/>
        </w:rPr>
        <w:t>11.7总量控制结论</w:t>
      </w:r>
      <w:bookmarkEnd w:id="511"/>
    </w:p>
    <w:p w14:paraId="2C7BF0D1">
      <w:pPr>
        <w:pStyle w:val="106"/>
        <w:adjustRightInd w:val="0"/>
        <w:snapToGrid w:val="0"/>
        <w:spacing w:line="360" w:lineRule="auto"/>
        <w:ind w:firstLine="480" w:firstLineChars="200"/>
        <w:rPr>
          <w:color w:val="000000" w:themeColor="text1"/>
          <w:sz w:val="24"/>
          <w:szCs w:val="24"/>
        </w:rPr>
      </w:pPr>
      <w:r>
        <w:rPr>
          <w:color w:val="000000" w:themeColor="text1"/>
          <w:sz w:val="24"/>
          <w:szCs w:val="24"/>
        </w:rPr>
        <w:t>根据国家规定的“十三五“期间污染排放总量控制指标有： 大气环境污染物：二氧化硫，氮氧化物、挥发性有机物；水环境污染物：化学需氧量，氨氮。</w:t>
      </w:r>
    </w:p>
    <w:p w14:paraId="5CC16BE8">
      <w:pPr>
        <w:pStyle w:val="115"/>
        <w:rPr>
          <w:color w:val="000000" w:themeColor="text1"/>
        </w:rPr>
      </w:pPr>
      <w:r>
        <w:rPr>
          <w:color w:val="000000" w:themeColor="text1"/>
        </w:rPr>
        <w:t>（1）废气总量控制</w:t>
      </w:r>
    </w:p>
    <w:p w14:paraId="124FFBA2">
      <w:pPr>
        <w:pStyle w:val="114"/>
        <w:rPr>
          <w:color w:val="000000" w:themeColor="text1"/>
        </w:rPr>
      </w:pPr>
      <w:r>
        <w:rPr>
          <w:color w:val="000000" w:themeColor="text1"/>
        </w:rPr>
        <w:t>本项目排入大气的废气总量控制指标如下：</w:t>
      </w:r>
    </w:p>
    <w:p w14:paraId="442D1028">
      <w:pPr>
        <w:pStyle w:val="114"/>
        <w:rPr>
          <w:color w:val="000000" w:themeColor="text1"/>
        </w:rPr>
      </w:pPr>
      <w:r>
        <w:rPr>
          <w:color w:val="000000" w:themeColor="text1"/>
        </w:rPr>
        <w:t>废气量：3120万Nm</w:t>
      </w:r>
      <w:r>
        <w:rPr>
          <w:color w:val="000000" w:themeColor="text1"/>
          <w:vertAlign w:val="superscript"/>
        </w:rPr>
        <w:t>3</w:t>
      </w:r>
      <w:r>
        <w:rPr>
          <w:color w:val="000000" w:themeColor="text1"/>
        </w:rPr>
        <w:t>/a；非甲烷总烃：0.154</w:t>
      </w:r>
      <w:r>
        <w:rPr>
          <w:color w:val="000000" w:themeColor="text1"/>
          <w:szCs w:val="21"/>
        </w:rPr>
        <w:t xml:space="preserve"> t</w:t>
      </w:r>
      <w:r>
        <w:rPr>
          <w:color w:val="000000" w:themeColor="text1"/>
        </w:rPr>
        <w:t>/a。</w:t>
      </w:r>
    </w:p>
    <w:p w14:paraId="28009EAC">
      <w:pPr>
        <w:spacing w:line="360" w:lineRule="auto"/>
        <w:ind w:firstLine="480" w:firstLineChars="200"/>
        <w:rPr>
          <w:b/>
          <w:color w:val="000000" w:themeColor="text1"/>
          <w:sz w:val="24"/>
        </w:rPr>
      </w:pPr>
      <w:r>
        <w:rPr>
          <w:b/>
          <w:color w:val="000000" w:themeColor="text1"/>
          <w:sz w:val="24"/>
        </w:rPr>
        <w:t>（2）废水总量控制</w:t>
      </w:r>
    </w:p>
    <w:p w14:paraId="23621E0A">
      <w:pPr>
        <w:adjustRightInd w:val="0"/>
        <w:snapToGrid w:val="0"/>
        <w:spacing w:line="360" w:lineRule="auto"/>
        <w:ind w:firstLine="480"/>
        <w:jc w:val="left"/>
        <w:rPr>
          <w:color w:val="000000" w:themeColor="text1"/>
          <w:sz w:val="24"/>
        </w:rPr>
      </w:pPr>
      <w:r>
        <w:rPr>
          <w:b/>
          <w:color w:val="000000" w:themeColor="text1"/>
          <w:sz w:val="24"/>
        </w:rPr>
        <w:t>生活废水：</w:t>
      </w:r>
      <w:r>
        <w:rPr>
          <w:color w:val="000000" w:themeColor="text1"/>
          <w:sz w:val="24"/>
        </w:rPr>
        <w:t>废水主要为员工生活废水，厨房废水经1个隔油池处理后，与其它生活废水排入化粪池处理，定期委托周边村民清运，用于农作物施肥，不外排。</w:t>
      </w:r>
    </w:p>
    <w:p w14:paraId="5A8BE0D0">
      <w:pPr>
        <w:adjustRightInd w:val="0"/>
        <w:snapToGrid w:val="0"/>
        <w:spacing w:line="360" w:lineRule="auto"/>
        <w:ind w:firstLine="480"/>
        <w:jc w:val="left"/>
        <w:rPr>
          <w:color w:val="000000" w:themeColor="text1"/>
          <w:sz w:val="24"/>
        </w:rPr>
      </w:pPr>
      <w:r>
        <w:rPr>
          <w:b/>
          <w:color w:val="000000" w:themeColor="text1"/>
          <w:sz w:val="24"/>
        </w:rPr>
        <w:t>生产废水：</w:t>
      </w:r>
      <w:r>
        <w:rPr>
          <w:color w:val="000000" w:themeColor="text1"/>
          <w:sz w:val="24"/>
        </w:rPr>
        <w:t>本项目生产清洗废水通过自建的污水处理设施处理后，回用于生产；造粒冷却水循环使用（主要污染物为SS），不外排。</w:t>
      </w:r>
    </w:p>
    <w:p w14:paraId="0A19DDA9">
      <w:pPr>
        <w:spacing w:line="360" w:lineRule="auto"/>
        <w:ind w:firstLine="480" w:firstLineChars="200"/>
        <w:rPr>
          <w:color w:val="000000" w:themeColor="text1"/>
          <w:sz w:val="24"/>
        </w:rPr>
      </w:pPr>
      <w:r>
        <w:rPr>
          <w:color w:val="000000" w:themeColor="text1"/>
          <w:sz w:val="24"/>
        </w:rPr>
        <w:t>综上，本项目废水排放量为0万m</w:t>
      </w:r>
      <w:r>
        <w:rPr>
          <w:color w:val="000000" w:themeColor="text1"/>
          <w:sz w:val="24"/>
          <w:vertAlign w:val="superscript"/>
        </w:rPr>
        <w:t>3</w:t>
      </w:r>
      <w:r>
        <w:rPr>
          <w:color w:val="000000" w:themeColor="text1"/>
          <w:sz w:val="24"/>
        </w:rPr>
        <w:t>/a。</w:t>
      </w:r>
    </w:p>
    <w:p w14:paraId="1D27791F">
      <w:pPr>
        <w:spacing w:line="360" w:lineRule="auto"/>
        <w:ind w:firstLine="480" w:firstLineChars="200"/>
        <w:rPr>
          <w:b/>
          <w:color w:val="000000" w:themeColor="text1"/>
          <w:sz w:val="24"/>
        </w:rPr>
      </w:pPr>
      <w:r>
        <w:rPr>
          <w:b/>
          <w:color w:val="000000" w:themeColor="text1"/>
          <w:sz w:val="24"/>
        </w:rPr>
        <w:t>（3）固体废弃物</w:t>
      </w:r>
    </w:p>
    <w:p w14:paraId="511DC1CE">
      <w:pPr>
        <w:spacing w:line="360" w:lineRule="auto"/>
        <w:ind w:firstLine="480" w:firstLineChars="200"/>
        <w:rPr>
          <w:color w:val="000000" w:themeColor="text1"/>
          <w:sz w:val="24"/>
        </w:rPr>
      </w:pPr>
      <w:r>
        <w:rPr>
          <w:color w:val="000000" w:themeColor="text1"/>
          <w:sz w:val="24"/>
        </w:rPr>
        <w:t>固体废物均得到合理有效的处置，处置率为100℅。</w:t>
      </w:r>
    </w:p>
    <w:p w14:paraId="5C16AC02">
      <w:pPr>
        <w:pStyle w:val="4"/>
        <w:rPr>
          <w:rFonts w:ascii="Times New Roman" w:hAnsi="Times New Roman"/>
          <w:color w:val="000000" w:themeColor="text1"/>
        </w:rPr>
      </w:pPr>
      <w:bookmarkStart w:id="512" w:name="_Toc28117750"/>
      <w:r>
        <w:rPr>
          <w:rFonts w:ascii="Times New Roman" w:hAnsi="Times New Roman"/>
          <w:color w:val="000000" w:themeColor="text1"/>
        </w:rPr>
        <w:t>11.8评价总结论</w:t>
      </w:r>
      <w:bookmarkEnd w:id="512"/>
    </w:p>
    <w:p w14:paraId="6A851924">
      <w:pPr>
        <w:spacing w:line="360" w:lineRule="auto"/>
        <w:ind w:firstLine="480" w:firstLineChars="200"/>
        <w:rPr>
          <w:color w:val="000000" w:themeColor="text1"/>
          <w:sz w:val="24"/>
        </w:rPr>
      </w:pPr>
      <w:r>
        <w:rPr>
          <w:color w:val="000000" w:themeColor="text1"/>
          <w:sz w:val="24"/>
        </w:rPr>
        <w:t>项目的建设符合国家和云南省的产业政策，选址符合当地的总体规划，厂址所在区域无国家、省、县划定的自然保护区、风景名胜区、饮用水保护区等环境敏感目标，项目生产过程中排放的污染物采取设计和本报告提出的防治措施后，能够实现达标排放，不会改变现有环境的使用功能。</w:t>
      </w:r>
    </w:p>
    <w:p w14:paraId="1D136BAA">
      <w:pPr>
        <w:pStyle w:val="116"/>
        <w:ind w:firstLine="456"/>
        <w:rPr>
          <w:color w:val="000000" w:themeColor="text1"/>
          <w:spacing w:val="-6"/>
        </w:rPr>
      </w:pPr>
      <w:r>
        <w:rPr>
          <w:color w:val="000000" w:themeColor="text1"/>
          <w:spacing w:val="-6"/>
        </w:rPr>
        <w:t>在项目建设过程中，强化环保意识，严格进行环保管理，保证雨污分流及相应的环保措施的正常运行。本项目的实施可以做到社会效益、经济效益和环境效益三者的和谐统一、协调发展。从环境保护角度评价，本项目的建设可行。</w:t>
      </w:r>
    </w:p>
    <w:p w14:paraId="785A68F9">
      <w:pPr>
        <w:rPr>
          <w:color w:val="000000" w:themeColor="text1"/>
        </w:rPr>
      </w:pPr>
    </w:p>
    <w:p w14:paraId="37DEFA33">
      <w:pPr>
        <w:rPr>
          <w:color w:val="000000" w:themeColor="text1"/>
        </w:rPr>
      </w:pPr>
    </w:p>
    <w:p w14:paraId="2FCF2DD5">
      <w:pPr>
        <w:rPr>
          <w:color w:val="000000" w:themeColor="text1"/>
        </w:rPr>
      </w:pPr>
    </w:p>
    <w:sectPr>
      <w:footerReference r:id="rId15" w:type="default"/>
      <w:pgSz w:w="11906" w:h="16838"/>
      <w:pgMar w:top="1440" w:right="1800" w:bottom="1440" w:left="180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lotter">
    <w:altName w:val="Lucida Console"/>
    <w:panose1 w:val="00000000000000000000"/>
    <w:charset w:val="00"/>
    <w:family w:val="moder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
    <w:altName w:val="Times New Roman"/>
    <w:panose1 w:val="00000000000000000000"/>
    <w:charset w:val="00"/>
    <w:family w:val="roman"/>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Segoe UI Emoji">
    <w:panose1 w:val="020B0502040204020203"/>
    <w:charset w:val="00"/>
    <w:family w:val="swiss"/>
    <w:pitch w:val="default"/>
    <w:sig w:usb0="00000001" w:usb1="02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 w:name="GulimChe">
    <w:altName w:val="Malgun Gothic"/>
    <w:panose1 w:val="020B0609000101010101"/>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0702A">
    <w:pPr>
      <w:pStyle w:val="26"/>
      <w:jc w:val="center"/>
    </w:pPr>
    <w:r>
      <w:rPr>
        <w:rFonts w:ascii="华文楷体" w:hAnsi="华文楷体" w:eastAsia="华文楷体"/>
        <w:b/>
        <w:sz w:val="21"/>
        <w:szCs w:val="21"/>
      </w:rPr>
      <w:fldChar w:fldCharType="begin"/>
    </w:r>
    <w:r>
      <w:instrText xml:space="preserve"> PAGE   \* MERGEFORMAT </w:instrText>
    </w:r>
    <w:r>
      <w:fldChar w:fldCharType="separate"/>
    </w:r>
    <w:r>
      <w:rPr>
        <w:lang w:val="zh-CN"/>
      </w:rPr>
      <w:t>IV</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5382312"/>
      <w:docPartObj>
        <w:docPartGallery w:val="autotext"/>
      </w:docPartObj>
    </w:sdtPr>
    <w:sdtContent>
      <w:p w14:paraId="3E943FB8">
        <w:pPr>
          <w:pStyle w:val="26"/>
          <w:jc w:val="center"/>
        </w:pPr>
        <w:r>
          <w:fldChar w:fldCharType="begin"/>
        </w:r>
        <w:r>
          <w:instrText xml:space="preserve">PAGE   \* MERGEFORMAT</w:instrText>
        </w:r>
        <w:r>
          <w:fldChar w:fldCharType="separate"/>
        </w:r>
        <w:r>
          <w:rPr>
            <w:lang w:val="zh-CN"/>
          </w:rPr>
          <w:t>8</w:t>
        </w:r>
        <w:r>
          <w:fldChar w:fldCharType="end"/>
        </w:r>
      </w:p>
    </w:sdtContent>
  </w:sdt>
  <w:p w14:paraId="599DE3AF">
    <w:pPr>
      <w:pStyle w:val="17"/>
      <w:kinsoku w:val="0"/>
      <w:overflowPunct w:val="0"/>
      <w:spacing w:line="14" w:lineRule="auto"/>
      <w:rPr>
        <w:rFonts w:eastAsiaTheme="minorEastAsia"/>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58F8F">
    <w:pPr>
      <w:pStyle w:val="26"/>
      <w:jc w:val="center"/>
    </w:pPr>
    <w:r>
      <w:rPr>
        <w:rFonts w:ascii="华文楷体" w:hAnsi="华文楷体" w:eastAsia="华文楷体"/>
      </w:rPr>
      <w:fldChar w:fldCharType="begin"/>
    </w:r>
    <w:r>
      <w:instrText xml:space="preserve"> PAGE   \* MERGEFORMAT </w:instrText>
    </w:r>
    <w:r>
      <w:fldChar w:fldCharType="separate"/>
    </w:r>
    <w:r>
      <w:rPr>
        <w:lang w:val="zh-CN"/>
      </w:rPr>
      <w:t>24</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D33BE">
    <w:pPr>
      <w:pStyle w:val="26"/>
      <w:ind w:left="-134"/>
      <w:jc w:val="center"/>
      <w:rPr>
        <w:sz w:val="20"/>
        <w:szCs w:val="20"/>
      </w:rPr>
    </w:pPr>
    <w:r>
      <w:rPr>
        <w:b/>
      </w:rPr>
      <w:fldChar w:fldCharType="begin"/>
    </w:r>
    <w:r>
      <w:rPr>
        <w:b/>
      </w:rPr>
      <w:instrText xml:space="preserve">PAGE   \* MERGEFORMAT</w:instrText>
    </w:r>
    <w:r>
      <w:rPr>
        <w:b/>
      </w:rPr>
      <w:fldChar w:fldCharType="separate"/>
    </w:r>
    <w:r>
      <w:rPr>
        <w:b/>
        <w:lang w:val="zh-CN"/>
      </w:rPr>
      <w:t>57</w:t>
    </w:r>
    <w:r>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2C284">
    <w:pPr>
      <w:pStyle w:val="17"/>
      <w:spacing w:line="14" w:lineRule="auto"/>
      <w:ind w:firstLine="240"/>
      <w:rPr>
        <w:sz w:val="20"/>
      </w:rPr>
    </w:pPr>
    <w:r>
      <w:rPr>
        <w:sz w:val="24"/>
        <w:lang w:eastAsia="en-US"/>
      </w:rPr>
      <w:pict>
        <v:shape id="_x0000_s2049" o:spid="_x0000_s2049" o:spt="202" type="#_x0000_t202" style="position:absolute;left:0pt;margin-left:288.75pt;margin-top:776.85pt;height:11pt;width:17.7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14:paraId="38A50A05">
                <w:pPr>
                  <w:spacing w:line="203" w:lineRule="exact"/>
                  <w:ind w:left="40"/>
                  <w:rPr>
                    <w:sz w:val="18"/>
                    <w:szCs w:val="18"/>
                  </w:rPr>
                </w:pPr>
                <w:r>
                  <w:rPr>
                    <w:sz w:val="18"/>
                    <w:szCs w:val="18"/>
                  </w:rPr>
                  <w:fldChar w:fldCharType="begin"/>
                </w:r>
                <w:r>
                  <w:rPr>
                    <w:sz w:val="18"/>
                    <w:szCs w:val="18"/>
                  </w:rPr>
                  <w:instrText xml:space="preserve"> PAGE </w:instrText>
                </w:r>
                <w:r>
                  <w:rPr>
                    <w:sz w:val="18"/>
                    <w:szCs w:val="18"/>
                  </w:rPr>
                  <w:fldChar w:fldCharType="separate"/>
                </w:r>
                <w:r>
                  <w:rPr>
                    <w:sz w:val="18"/>
                    <w:szCs w:val="18"/>
                  </w:rPr>
                  <w:t>146</w:t>
                </w:r>
                <w:r>
                  <w:rPr>
                    <w:sz w:val="18"/>
                    <w:szCs w:val="1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77735">
    <w:pPr>
      <w:pStyle w:val="17"/>
      <w:spacing w:line="14" w:lineRule="auto"/>
      <w:rPr>
        <w:sz w:val="20"/>
      </w:rPr>
    </w:pPr>
    <w:r>
      <w:rPr>
        <w:sz w:val="24"/>
        <w:lang w:eastAsia="en-US"/>
      </w:rPr>
      <w:pict>
        <v:shape id="_x0000_s2050" o:spid="_x0000_s2050" o:spt="202" type="#_x0000_t202" style="position:absolute;left:0pt;margin-left:288.75pt;margin-top:776.85pt;height:11pt;width:17.7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14:paraId="551352B6">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sz w:val="18"/>
                  </w:rPr>
                  <w:t>160</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84E08">
    <w:pPr>
      <w:pStyle w:val="17"/>
      <w:spacing w:line="14" w:lineRule="auto"/>
      <w:ind w:firstLine="240"/>
      <w:rPr>
        <w:sz w:val="14"/>
      </w:rPr>
    </w:pPr>
    <w:r>
      <w:rPr>
        <w:sz w:val="24"/>
        <w:lang w:eastAsia="en-US"/>
      </w:rPr>
      <w:pict>
        <v:shape id="_x0000_s2052" o:spid="_x0000_s2052" o:spt="202" type="#_x0000_t202" style="position:absolute;left:0pt;margin-left:288.75pt;margin-top:776.85pt;height:11pt;width:17.7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14:paraId="673C2A1B">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sz w:val="18"/>
                  </w:rPr>
                  <w:t>168</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6956680"/>
      <w:docPartObj>
        <w:docPartGallery w:val="autotext"/>
      </w:docPartObj>
    </w:sdtPr>
    <w:sdtContent>
      <w:p w14:paraId="5A1C05BB">
        <w:pPr>
          <w:pStyle w:val="26"/>
          <w:jc w:val="center"/>
        </w:pPr>
        <w:r>
          <w:fldChar w:fldCharType="begin"/>
        </w:r>
        <w:r>
          <w:instrText xml:space="preserve">PAGE   \* MERGEFORMAT</w:instrText>
        </w:r>
        <w:r>
          <w:fldChar w:fldCharType="separate"/>
        </w:r>
        <w:r>
          <w:rPr>
            <w:lang w:val="zh-CN"/>
          </w:rPr>
          <w:t>170</w:t>
        </w:r>
        <w:r>
          <w:rPr>
            <w:lang w:val="zh-CN"/>
          </w:rPr>
          <w:fldChar w:fldCharType="end"/>
        </w:r>
      </w:p>
    </w:sdtContent>
  </w:sdt>
  <w:p w14:paraId="5B9AA9B0">
    <w:pPr>
      <w:pStyle w:val="17"/>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9D84C">
    <w:pPr>
      <w:pStyle w:val="27"/>
    </w:pPr>
  </w:p>
  <w:p w14:paraId="5962BF42">
    <w:pPr>
      <w:pStyle w:val="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15D49">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9A719">
    <w:pPr>
      <w:pStyle w:val="2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DC5D2">
    <w:pPr>
      <w:pStyle w:val="27"/>
    </w:pPr>
  </w:p>
  <w:p w14:paraId="5F8F178A">
    <w:pPr>
      <w:pStyle w:val="2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6406E">
    <w:pPr>
      <w:pStyle w:val="27"/>
    </w:pPr>
  </w:p>
  <w:p w14:paraId="0584D010">
    <w:pPr>
      <w:pStyle w:val="27"/>
    </w:pPr>
  </w:p>
  <w:p w14:paraId="17808133">
    <w:pPr>
      <w:pStyle w:val="2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D44E1E"/>
    <w:rsid w:val="00001FE4"/>
    <w:rsid w:val="00002AE4"/>
    <w:rsid w:val="00003D4A"/>
    <w:rsid w:val="00004377"/>
    <w:rsid w:val="000064B4"/>
    <w:rsid w:val="000112ED"/>
    <w:rsid w:val="0001276A"/>
    <w:rsid w:val="00012D6C"/>
    <w:rsid w:val="00014D8B"/>
    <w:rsid w:val="00015086"/>
    <w:rsid w:val="000154E1"/>
    <w:rsid w:val="00016CFC"/>
    <w:rsid w:val="00020ADB"/>
    <w:rsid w:val="0002196F"/>
    <w:rsid w:val="000230B8"/>
    <w:rsid w:val="000231E0"/>
    <w:rsid w:val="0002415F"/>
    <w:rsid w:val="0003279F"/>
    <w:rsid w:val="00034999"/>
    <w:rsid w:val="0003542D"/>
    <w:rsid w:val="00036BD2"/>
    <w:rsid w:val="00050BF9"/>
    <w:rsid w:val="000525E3"/>
    <w:rsid w:val="00053088"/>
    <w:rsid w:val="00053884"/>
    <w:rsid w:val="000539A3"/>
    <w:rsid w:val="000544BE"/>
    <w:rsid w:val="000574E6"/>
    <w:rsid w:val="0006022A"/>
    <w:rsid w:val="00060EC4"/>
    <w:rsid w:val="00063F06"/>
    <w:rsid w:val="00063F83"/>
    <w:rsid w:val="00064AE0"/>
    <w:rsid w:val="000655DC"/>
    <w:rsid w:val="000674CE"/>
    <w:rsid w:val="000710C9"/>
    <w:rsid w:val="0007274D"/>
    <w:rsid w:val="00072828"/>
    <w:rsid w:val="000753D7"/>
    <w:rsid w:val="00075A0B"/>
    <w:rsid w:val="00077049"/>
    <w:rsid w:val="00077E9C"/>
    <w:rsid w:val="00080490"/>
    <w:rsid w:val="00081579"/>
    <w:rsid w:val="0008630B"/>
    <w:rsid w:val="00086551"/>
    <w:rsid w:val="000865ED"/>
    <w:rsid w:val="000871B5"/>
    <w:rsid w:val="000904FC"/>
    <w:rsid w:val="00090686"/>
    <w:rsid w:val="000924B5"/>
    <w:rsid w:val="000924E4"/>
    <w:rsid w:val="00092F0C"/>
    <w:rsid w:val="000973A8"/>
    <w:rsid w:val="000979B4"/>
    <w:rsid w:val="00097AA4"/>
    <w:rsid w:val="000A052E"/>
    <w:rsid w:val="000A12D5"/>
    <w:rsid w:val="000A1E84"/>
    <w:rsid w:val="000A2B04"/>
    <w:rsid w:val="000A37F1"/>
    <w:rsid w:val="000A3E96"/>
    <w:rsid w:val="000A4199"/>
    <w:rsid w:val="000A6885"/>
    <w:rsid w:val="000A756A"/>
    <w:rsid w:val="000A7F81"/>
    <w:rsid w:val="000B09A4"/>
    <w:rsid w:val="000B0ECF"/>
    <w:rsid w:val="000B217F"/>
    <w:rsid w:val="000B37D1"/>
    <w:rsid w:val="000B5A75"/>
    <w:rsid w:val="000B6C1E"/>
    <w:rsid w:val="000C12B0"/>
    <w:rsid w:val="000C248D"/>
    <w:rsid w:val="000C41B7"/>
    <w:rsid w:val="000C4B78"/>
    <w:rsid w:val="000C4DBA"/>
    <w:rsid w:val="000C5CE6"/>
    <w:rsid w:val="000C6F4D"/>
    <w:rsid w:val="000C71FA"/>
    <w:rsid w:val="000C7C58"/>
    <w:rsid w:val="000D0387"/>
    <w:rsid w:val="000D064C"/>
    <w:rsid w:val="000D0987"/>
    <w:rsid w:val="000D09BF"/>
    <w:rsid w:val="000D29A5"/>
    <w:rsid w:val="000D4349"/>
    <w:rsid w:val="000D472D"/>
    <w:rsid w:val="000D5B45"/>
    <w:rsid w:val="000E1653"/>
    <w:rsid w:val="000E4A8A"/>
    <w:rsid w:val="000E6D2A"/>
    <w:rsid w:val="000F0DE2"/>
    <w:rsid w:val="000F0EC9"/>
    <w:rsid w:val="000F360A"/>
    <w:rsid w:val="000F5C58"/>
    <w:rsid w:val="000F6728"/>
    <w:rsid w:val="00100D86"/>
    <w:rsid w:val="00103178"/>
    <w:rsid w:val="00103A7D"/>
    <w:rsid w:val="0010516A"/>
    <w:rsid w:val="0010620E"/>
    <w:rsid w:val="00107272"/>
    <w:rsid w:val="001103C2"/>
    <w:rsid w:val="0011288C"/>
    <w:rsid w:val="00112958"/>
    <w:rsid w:val="00114E0C"/>
    <w:rsid w:val="0011605B"/>
    <w:rsid w:val="00120C77"/>
    <w:rsid w:val="00120E05"/>
    <w:rsid w:val="0012145D"/>
    <w:rsid w:val="00121753"/>
    <w:rsid w:val="001224F4"/>
    <w:rsid w:val="00130C2E"/>
    <w:rsid w:val="00136242"/>
    <w:rsid w:val="0014088C"/>
    <w:rsid w:val="00140A6D"/>
    <w:rsid w:val="00140D4F"/>
    <w:rsid w:val="0014154C"/>
    <w:rsid w:val="00142B7B"/>
    <w:rsid w:val="001444E7"/>
    <w:rsid w:val="00144C5B"/>
    <w:rsid w:val="001451EA"/>
    <w:rsid w:val="001466EF"/>
    <w:rsid w:val="00150EC8"/>
    <w:rsid w:val="00151567"/>
    <w:rsid w:val="00152366"/>
    <w:rsid w:val="001527C6"/>
    <w:rsid w:val="00154D58"/>
    <w:rsid w:val="001563DB"/>
    <w:rsid w:val="00157DFA"/>
    <w:rsid w:val="001605D6"/>
    <w:rsid w:val="001605FF"/>
    <w:rsid w:val="00161320"/>
    <w:rsid w:val="001633D5"/>
    <w:rsid w:val="00166E1B"/>
    <w:rsid w:val="00167584"/>
    <w:rsid w:val="001715F9"/>
    <w:rsid w:val="00171BDA"/>
    <w:rsid w:val="0017516D"/>
    <w:rsid w:val="00175A52"/>
    <w:rsid w:val="00175B80"/>
    <w:rsid w:val="00180CDE"/>
    <w:rsid w:val="00181B88"/>
    <w:rsid w:val="00181FA7"/>
    <w:rsid w:val="001821FA"/>
    <w:rsid w:val="001842DF"/>
    <w:rsid w:val="00184989"/>
    <w:rsid w:val="001853C5"/>
    <w:rsid w:val="001864BA"/>
    <w:rsid w:val="0018765B"/>
    <w:rsid w:val="00187DB5"/>
    <w:rsid w:val="00191638"/>
    <w:rsid w:val="00191645"/>
    <w:rsid w:val="001926B9"/>
    <w:rsid w:val="00192AA5"/>
    <w:rsid w:val="001931D3"/>
    <w:rsid w:val="0019363D"/>
    <w:rsid w:val="00194D67"/>
    <w:rsid w:val="001969CF"/>
    <w:rsid w:val="001A0F69"/>
    <w:rsid w:val="001A1705"/>
    <w:rsid w:val="001A3973"/>
    <w:rsid w:val="001A6502"/>
    <w:rsid w:val="001B2E42"/>
    <w:rsid w:val="001B4270"/>
    <w:rsid w:val="001B7315"/>
    <w:rsid w:val="001C0311"/>
    <w:rsid w:val="001C1F8C"/>
    <w:rsid w:val="001C4128"/>
    <w:rsid w:val="001C5218"/>
    <w:rsid w:val="001D33CE"/>
    <w:rsid w:val="001D43E7"/>
    <w:rsid w:val="001D4B90"/>
    <w:rsid w:val="001D53A4"/>
    <w:rsid w:val="001D5624"/>
    <w:rsid w:val="001D7C12"/>
    <w:rsid w:val="001D7EA1"/>
    <w:rsid w:val="001E4D1C"/>
    <w:rsid w:val="001E4D47"/>
    <w:rsid w:val="001E506B"/>
    <w:rsid w:val="001F09D8"/>
    <w:rsid w:val="001F15BE"/>
    <w:rsid w:val="001F1A0B"/>
    <w:rsid w:val="001F1FAE"/>
    <w:rsid w:val="001F3301"/>
    <w:rsid w:val="001F382F"/>
    <w:rsid w:val="001F52AD"/>
    <w:rsid w:val="001F6107"/>
    <w:rsid w:val="001F6422"/>
    <w:rsid w:val="001F6C46"/>
    <w:rsid w:val="001F6CE2"/>
    <w:rsid w:val="001F737D"/>
    <w:rsid w:val="001F7E69"/>
    <w:rsid w:val="00201562"/>
    <w:rsid w:val="00202236"/>
    <w:rsid w:val="002023C9"/>
    <w:rsid w:val="0020248A"/>
    <w:rsid w:val="00206451"/>
    <w:rsid w:val="00206A24"/>
    <w:rsid w:val="00210904"/>
    <w:rsid w:val="002127EF"/>
    <w:rsid w:val="0021297D"/>
    <w:rsid w:val="00213AA9"/>
    <w:rsid w:val="002147B1"/>
    <w:rsid w:val="0021619F"/>
    <w:rsid w:val="002206B1"/>
    <w:rsid w:val="002206EA"/>
    <w:rsid w:val="00221723"/>
    <w:rsid w:val="002225CF"/>
    <w:rsid w:val="00225F31"/>
    <w:rsid w:val="002267B9"/>
    <w:rsid w:val="00226FA5"/>
    <w:rsid w:val="0023350C"/>
    <w:rsid w:val="00234245"/>
    <w:rsid w:val="002344B4"/>
    <w:rsid w:val="002355F0"/>
    <w:rsid w:val="00236081"/>
    <w:rsid w:val="002374BF"/>
    <w:rsid w:val="0023794F"/>
    <w:rsid w:val="002415B5"/>
    <w:rsid w:val="00241C8C"/>
    <w:rsid w:val="0024423E"/>
    <w:rsid w:val="00244685"/>
    <w:rsid w:val="0025152C"/>
    <w:rsid w:val="00252757"/>
    <w:rsid w:val="00252F42"/>
    <w:rsid w:val="0025349C"/>
    <w:rsid w:val="002535B0"/>
    <w:rsid w:val="002549C6"/>
    <w:rsid w:val="00255690"/>
    <w:rsid w:val="002609A3"/>
    <w:rsid w:val="00263E0D"/>
    <w:rsid w:val="0026475E"/>
    <w:rsid w:val="00266056"/>
    <w:rsid w:val="00266ACA"/>
    <w:rsid w:val="0027026A"/>
    <w:rsid w:val="002707F4"/>
    <w:rsid w:val="0027132C"/>
    <w:rsid w:val="00271664"/>
    <w:rsid w:val="002767F5"/>
    <w:rsid w:val="00280717"/>
    <w:rsid w:val="002814DC"/>
    <w:rsid w:val="00281C29"/>
    <w:rsid w:val="00281F43"/>
    <w:rsid w:val="00284947"/>
    <w:rsid w:val="00284C07"/>
    <w:rsid w:val="0028618C"/>
    <w:rsid w:val="0028705E"/>
    <w:rsid w:val="00287D3A"/>
    <w:rsid w:val="00292182"/>
    <w:rsid w:val="0029407D"/>
    <w:rsid w:val="00294EB2"/>
    <w:rsid w:val="00296908"/>
    <w:rsid w:val="00296B50"/>
    <w:rsid w:val="00297344"/>
    <w:rsid w:val="0029797A"/>
    <w:rsid w:val="002A2AFF"/>
    <w:rsid w:val="002A758D"/>
    <w:rsid w:val="002B0AD9"/>
    <w:rsid w:val="002B1672"/>
    <w:rsid w:val="002B225F"/>
    <w:rsid w:val="002B3AA9"/>
    <w:rsid w:val="002B622F"/>
    <w:rsid w:val="002B6314"/>
    <w:rsid w:val="002B7C99"/>
    <w:rsid w:val="002C2AE6"/>
    <w:rsid w:val="002C610F"/>
    <w:rsid w:val="002C6D94"/>
    <w:rsid w:val="002D0AA0"/>
    <w:rsid w:val="002D33BC"/>
    <w:rsid w:val="002D503E"/>
    <w:rsid w:val="002D6976"/>
    <w:rsid w:val="002D6F0B"/>
    <w:rsid w:val="002E0334"/>
    <w:rsid w:val="002E30B9"/>
    <w:rsid w:val="002E41AA"/>
    <w:rsid w:val="002E67CC"/>
    <w:rsid w:val="002E7556"/>
    <w:rsid w:val="002E7820"/>
    <w:rsid w:val="002F1B21"/>
    <w:rsid w:val="002F2B25"/>
    <w:rsid w:val="002F3A92"/>
    <w:rsid w:val="002F4611"/>
    <w:rsid w:val="002F5019"/>
    <w:rsid w:val="002F56F9"/>
    <w:rsid w:val="00301BC9"/>
    <w:rsid w:val="003027F4"/>
    <w:rsid w:val="00314785"/>
    <w:rsid w:val="00315219"/>
    <w:rsid w:val="003153F7"/>
    <w:rsid w:val="00316C98"/>
    <w:rsid w:val="00317A67"/>
    <w:rsid w:val="00320352"/>
    <w:rsid w:val="003239B4"/>
    <w:rsid w:val="0032488E"/>
    <w:rsid w:val="0032608B"/>
    <w:rsid w:val="00326573"/>
    <w:rsid w:val="00326BE1"/>
    <w:rsid w:val="00327891"/>
    <w:rsid w:val="003322C7"/>
    <w:rsid w:val="00332652"/>
    <w:rsid w:val="0033791F"/>
    <w:rsid w:val="00337C79"/>
    <w:rsid w:val="003400A4"/>
    <w:rsid w:val="00340A71"/>
    <w:rsid w:val="0034109E"/>
    <w:rsid w:val="003418A0"/>
    <w:rsid w:val="00341CEC"/>
    <w:rsid w:val="00343AF6"/>
    <w:rsid w:val="00344117"/>
    <w:rsid w:val="00344B53"/>
    <w:rsid w:val="003459D3"/>
    <w:rsid w:val="00347080"/>
    <w:rsid w:val="00351448"/>
    <w:rsid w:val="003514CD"/>
    <w:rsid w:val="00351ACA"/>
    <w:rsid w:val="00354F63"/>
    <w:rsid w:val="00356767"/>
    <w:rsid w:val="003576FA"/>
    <w:rsid w:val="00361114"/>
    <w:rsid w:val="00361987"/>
    <w:rsid w:val="00361BAF"/>
    <w:rsid w:val="00361C0F"/>
    <w:rsid w:val="00364FBB"/>
    <w:rsid w:val="00365C1B"/>
    <w:rsid w:val="00366652"/>
    <w:rsid w:val="00367D19"/>
    <w:rsid w:val="00370C51"/>
    <w:rsid w:val="00370C63"/>
    <w:rsid w:val="00370E32"/>
    <w:rsid w:val="003716A4"/>
    <w:rsid w:val="00372D13"/>
    <w:rsid w:val="003742C6"/>
    <w:rsid w:val="00375110"/>
    <w:rsid w:val="003779D5"/>
    <w:rsid w:val="00380035"/>
    <w:rsid w:val="00380296"/>
    <w:rsid w:val="00384AA6"/>
    <w:rsid w:val="00384DA2"/>
    <w:rsid w:val="003900EB"/>
    <w:rsid w:val="003904CA"/>
    <w:rsid w:val="003912AC"/>
    <w:rsid w:val="00391639"/>
    <w:rsid w:val="0039250D"/>
    <w:rsid w:val="00394331"/>
    <w:rsid w:val="003953DB"/>
    <w:rsid w:val="00396E0A"/>
    <w:rsid w:val="003A0ACA"/>
    <w:rsid w:val="003A214C"/>
    <w:rsid w:val="003A383E"/>
    <w:rsid w:val="003A6AA7"/>
    <w:rsid w:val="003B1394"/>
    <w:rsid w:val="003B3617"/>
    <w:rsid w:val="003B4979"/>
    <w:rsid w:val="003B6985"/>
    <w:rsid w:val="003B6A34"/>
    <w:rsid w:val="003B70D8"/>
    <w:rsid w:val="003C0A85"/>
    <w:rsid w:val="003C1944"/>
    <w:rsid w:val="003C47FA"/>
    <w:rsid w:val="003C4FFC"/>
    <w:rsid w:val="003C5FFD"/>
    <w:rsid w:val="003C7ADA"/>
    <w:rsid w:val="003D1F8E"/>
    <w:rsid w:val="003D3789"/>
    <w:rsid w:val="003D56F2"/>
    <w:rsid w:val="003D574A"/>
    <w:rsid w:val="003D7C3E"/>
    <w:rsid w:val="003D7E92"/>
    <w:rsid w:val="003E4519"/>
    <w:rsid w:val="003E6C1B"/>
    <w:rsid w:val="003F0432"/>
    <w:rsid w:val="003F1309"/>
    <w:rsid w:val="003F4841"/>
    <w:rsid w:val="003F4AC6"/>
    <w:rsid w:val="004005DA"/>
    <w:rsid w:val="004008EA"/>
    <w:rsid w:val="00401942"/>
    <w:rsid w:val="00402F60"/>
    <w:rsid w:val="00405D49"/>
    <w:rsid w:val="00407070"/>
    <w:rsid w:val="004103FC"/>
    <w:rsid w:val="00411550"/>
    <w:rsid w:val="00412CE4"/>
    <w:rsid w:val="00413ED4"/>
    <w:rsid w:val="00413F91"/>
    <w:rsid w:val="00414046"/>
    <w:rsid w:val="00414419"/>
    <w:rsid w:val="00416F8E"/>
    <w:rsid w:val="00417858"/>
    <w:rsid w:val="00417A2E"/>
    <w:rsid w:val="00420DE9"/>
    <w:rsid w:val="004225F2"/>
    <w:rsid w:val="00423406"/>
    <w:rsid w:val="004256DF"/>
    <w:rsid w:val="00426382"/>
    <w:rsid w:val="0042662E"/>
    <w:rsid w:val="00432FD0"/>
    <w:rsid w:val="00433AD1"/>
    <w:rsid w:val="00435CA5"/>
    <w:rsid w:val="00437255"/>
    <w:rsid w:val="00441236"/>
    <w:rsid w:val="00441B3B"/>
    <w:rsid w:val="00442D60"/>
    <w:rsid w:val="004455F6"/>
    <w:rsid w:val="0044735F"/>
    <w:rsid w:val="0045187C"/>
    <w:rsid w:val="00453E7E"/>
    <w:rsid w:val="00455024"/>
    <w:rsid w:val="0046425E"/>
    <w:rsid w:val="0046433D"/>
    <w:rsid w:val="0046690F"/>
    <w:rsid w:val="00466ADA"/>
    <w:rsid w:val="00470745"/>
    <w:rsid w:val="00470801"/>
    <w:rsid w:val="00470F82"/>
    <w:rsid w:val="004740CC"/>
    <w:rsid w:val="0047524C"/>
    <w:rsid w:val="004771F5"/>
    <w:rsid w:val="00482562"/>
    <w:rsid w:val="00484356"/>
    <w:rsid w:val="00485839"/>
    <w:rsid w:val="00485EC7"/>
    <w:rsid w:val="00486CD9"/>
    <w:rsid w:val="004877FC"/>
    <w:rsid w:val="00490245"/>
    <w:rsid w:val="00490F7D"/>
    <w:rsid w:val="004910F5"/>
    <w:rsid w:val="0049161D"/>
    <w:rsid w:val="00492D39"/>
    <w:rsid w:val="00496B9A"/>
    <w:rsid w:val="004A4270"/>
    <w:rsid w:val="004A49C7"/>
    <w:rsid w:val="004A56A9"/>
    <w:rsid w:val="004A65EB"/>
    <w:rsid w:val="004A7CE5"/>
    <w:rsid w:val="004B0516"/>
    <w:rsid w:val="004B1A98"/>
    <w:rsid w:val="004B1BA8"/>
    <w:rsid w:val="004B2916"/>
    <w:rsid w:val="004B2BCE"/>
    <w:rsid w:val="004B3559"/>
    <w:rsid w:val="004B7D50"/>
    <w:rsid w:val="004C00E3"/>
    <w:rsid w:val="004C0253"/>
    <w:rsid w:val="004C0D85"/>
    <w:rsid w:val="004C5F5E"/>
    <w:rsid w:val="004C6E77"/>
    <w:rsid w:val="004D40F2"/>
    <w:rsid w:val="004D4B15"/>
    <w:rsid w:val="004E0F74"/>
    <w:rsid w:val="004E2F16"/>
    <w:rsid w:val="004E2F3B"/>
    <w:rsid w:val="004E341C"/>
    <w:rsid w:val="004E404C"/>
    <w:rsid w:val="004E632E"/>
    <w:rsid w:val="004E677D"/>
    <w:rsid w:val="004F0F1B"/>
    <w:rsid w:val="004F1BFB"/>
    <w:rsid w:val="004F2187"/>
    <w:rsid w:val="004F2C7B"/>
    <w:rsid w:val="004F52B7"/>
    <w:rsid w:val="004F6397"/>
    <w:rsid w:val="004F7D33"/>
    <w:rsid w:val="0050422E"/>
    <w:rsid w:val="0050459E"/>
    <w:rsid w:val="0050486C"/>
    <w:rsid w:val="00504CDE"/>
    <w:rsid w:val="005112FA"/>
    <w:rsid w:val="00511DBE"/>
    <w:rsid w:val="00512AB8"/>
    <w:rsid w:val="00513413"/>
    <w:rsid w:val="00514167"/>
    <w:rsid w:val="005156E3"/>
    <w:rsid w:val="0051629C"/>
    <w:rsid w:val="005213D1"/>
    <w:rsid w:val="0052381C"/>
    <w:rsid w:val="00523C9A"/>
    <w:rsid w:val="00524E2B"/>
    <w:rsid w:val="00525438"/>
    <w:rsid w:val="00525A00"/>
    <w:rsid w:val="00526B4D"/>
    <w:rsid w:val="005303D6"/>
    <w:rsid w:val="005324EE"/>
    <w:rsid w:val="00533D45"/>
    <w:rsid w:val="005357DB"/>
    <w:rsid w:val="00535FC1"/>
    <w:rsid w:val="005419A4"/>
    <w:rsid w:val="005433B9"/>
    <w:rsid w:val="005439AB"/>
    <w:rsid w:val="00545678"/>
    <w:rsid w:val="00547433"/>
    <w:rsid w:val="0055048F"/>
    <w:rsid w:val="00550561"/>
    <w:rsid w:val="0055095F"/>
    <w:rsid w:val="0055181C"/>
    <w:rsid w:val="00554ADF"/>
    <w:rsid w:val="0055505B"/>
    <w:rsid w:val="00557172"/>
    <w:rsid w:val="0056034D"/>
    <w:rsid w:val="0056166D"/>
    <w:rsid w:val="0056347A"/>
    <w:rsid w:val="00566145"/>
    <w:rsid w:val="005705AA"/>
    <w:rsid w:val="005710E3"/>
    <w:rsid w:val="0057160F"/>
    <w:rsid w:val="00571D02"/>
    <w:rsid w:val="005735C4"/>
    <w:rsid w:val="00574A27"/>
    <w:rsid w:val="00574B0F"/>
    <w:rsid w:val="00575E35"/>
    <w:rsid w:val="00577998"/>
    <w:rsid w:val="00577EA6"/>
    <w:rsid w:val="005804B5"/>
    <w:rsid w:val="0058074F"/>
    <w:rsid w:val="00583CC0"/>
    <w:rsid w:val="00590163"/>
    <w:rsid w:val="00591201"/>
    <w:rsid w:val="0059175D"/>
    <w:rsid w:val="005938C5"/>
    <w:rsid w:val="00595131"/>
    <w:rsid w:val="00596783"/>
    <w:rsid w:val="00596D40"/>
    <w:rsid w:val="005974F7"/>
    <w:rsid w:val="005A1D51"/>
    <w:rsid w:val="005A20BE"/>
    <w:rsid w:val="005A4C45"/>
    <w:rsid w:val="005A5A77"/>
    <w:rsid w:val="005A5AF7"/>
    <w:rsid w:val="005A5DFD"/>
    <w:rsid w:val="005A6914"/>
    <w:rsid w:val="005A7B2F"/>
    <w:rsid w:val="005B0143"/>
    <w:rsid w:val="005B1B56"/>
    <w:rsid w:val="005B41EB"/>
    <w:rsid w:val="005B4C09"/>
    <w:rsid w:val="005B5CBD"/>
    <w:rsid w:val="005B7060"/>
    <w:rsid w:val="005B75E2"/>
    <w:rsid w:val="005C2104"/>
    <w:rsid w:val="005C3313"/>
    <w:rsid w:val="005C47DF"/>
    <w:rsid w:val="005C48FA"/>
    <w:rsid w:val="005C62FE"/>
    <w:rsid w:val="005C73A5"/>
    <w:rsid w:val="005D086E"/>
    <w:rsid w:val="005D0A77"/>
    <w:rsid w:val="005D164C"/>
    <w:rsid w:val="005D19C0"/>
    <w:rsid w:val="005D7563"/>
    <w:rsid w:val="005D761F"/>
    <w:rsid w:val="005E1105"/>
    <w:rsid w:val="005E1D9B"/>
    <w:rsid w:val="005E23FD"/>
    <w:rsid w:val="005E2943"/>
    <w:rsid w:val="005E4358"/>
    <w:rsid w:val="005E4C07"/>
    <w:rsid w:val="005E4C88"/>
    <w:rsid w:val="005E6DCB"/>
    <w:rsid w:val="005E6EE5"/>
    <w:rsid w:val="005F01A7"/>
    <w:rsid w:val="005F3D13"/>
    <w:rsid w:val="005F3DAE"/>
    <w:rsid w:val="005F42F3"/>
    <w:rsid w:val="005F4A14"/>
    <w:rsid w:val="005F5F48"/>
    <w:rsid w:val="005F6806"/>
    <w:rsid w:val="0060122D"/>
    <w:rsid w:val="006023F0"/>
    <w:rsid w:val="00605A93"/>
    <w:rsid w:val="006109DC"/>
    <w:rsid w:val="0061188C"/>
    <w:rsid w:val="00617206"/>
    <w:rsid w:val="00620754"/>
    <w:rsid w:val="00622CE1"/>
    <w:rsid w:val="00626DC7"/>
    <w:rsid w:val="00630279"/>
    <w:rsid w:val="006313C4"/>
    <w:rsid w:val="006328B9"/>
    <w:rsid w:val="00632CEC"/>
    <w:rsid w:val="0063336A"/>
    <w:rsid w:val="00633877"/>
    <w:rsid w:val="00634B66"/>
    <w:rsid w:val="00634DC3"/>
    <w:rsid w:val="00636A42"/>
    <w:rsid w:val="00637CBB"/>
    <w:rsid w:val="00641D36"/>
    <w:rsid w:val="00646234"/>
    <w:rsid w:val="006462CF"/>
    <w:rsid w:val="00646750"/>
    <w:rsid w:val="006471E2"/>
    <w:rsid w:val="00650BDC"/>
    <w:rsid w:val="00653D9F"/>
    <w:rsid w:val="00653F11"/>
    <w:rsid w:val="00655B37"/>
    <w:rsid w:val="00655DB4"/>
    <w:rsid w:val="006605E9"/>
    <w:rsid w:val="00662BD3"/>
    <w:rsid w:val="00664C37"/>
    <w:rsid w:val="006664E6"/>
    <w:rsid w:val="00666E8C"/>
    <w:rsid w:val="00667436"/>
    <w:rsid w:val="0066797C"/>
    <w:rsid w:val="0067048F"/>
    <w:rsid w:val="0067437E"/>
    <w:rsid w:val="0067561E"/>
    <w:rsid w:val="00681973"/>
    <w:rsid w:val="00681A26"/>
    <w:rsid w:val="006821D4"/>
    <w:rsid w:val="00682C6C"/>
    <w:rsid w:val="00687902"/>
    <w:rsid w:val="00690B31"/>
    <w:rsid w:val="00690B4C"/>
    <w:rsid w:val="006911E8"/>
    <w:rsid w:val="006917DB"/>
    <w:rsid w:val="0069344C"/>
    <w:rsid w:val="00694861"/>
    <w:rsid w:val="006A1CF0"/>
    <w:rsid w:val="006A3C31"/>
    <w:rsid w:val="006A5FED"/>
    <w:rsid w:val="006B0339"/>
    <w:rsid w:val="006B195D"/>
    <w:rsid w:val="006B3C24"/>
    <w:rsid w:val="006B3DFD"/>
    <w:rsid w:val="006B4B4D"/>
    <w:rsid w:val="006B4CFE"/>
    <w:rsid w:val="006B514F"/>
    <w:rsid w:val="006C1D8E"/>
    <w:rsid w:val="006C3E30"/>
    <w:rsid w:val="006C417A"/>
    <w:rsid w:val="006C665E"/>
    <w:rsid w:val="006C7513"/>
    <w:rsid w:val="006D0B09"/>
    <w:rsid w:val="006E07E6"/>
    <w:rsid w:val="006E0906"/>
    <w:rsid w:val="006E0AB7"/>
    <w:rsid w:val="006E17B9"/>
    <w:rsid w:val="006E31E2"/>
    <w:rsid w:val="006E3BEC"/>
    <w:rsid w:val="006E4078"/>
    <w:rsid w:val="006E70DE"/>
    <w:rsid w:val="006E77A2"/>
    <w:rsid w:val="006F0EAA"/>
    <w:rsid w:val="006F44E5"/>
    <w:rsid w:val="006F521F"/>
    <w:rsid w:val="006F6BFF"/>
    <w:rsid w:val="00700AB4"/>
    <w:rsid w:val="00700C9B"/>
    <w:rsid w:val="00700EB4"/>
    <w:rsid w:val="00701844"/>
    <w:rsid w:val="00702E57"/>
    <w:rsid w:val="00703E47"/>
    <w:rsid w:val="00704B26"/>
    <w:rsid w:val="00706E4C"/>
    <w:rsid w:val="007114BA"/>
    <w:rsid w:val="00716322"/>
    <w:rsid w:val="00716761"/>
    <w:rsid w:val="00716D95"/>
    <w:rsid w:val="007177DE"/>
    <w:rsid w:val="00721432"/>
    <w:rsid w:val="00721A1E"/>
    <w:rsid w:val="00723196"/>
    <w:rsid w:val="00733FBD"/>
    <w:rsid w:val="00735AFD"/>
    <w:rsid w:val="00736268"/>
    <w:rsid w:val="0073641F"/>
    <w:rsid w:val="00736EC2"/>
    <w:rsid w:val="00737490"/>
    <w:rsid w:val="007418E3"/>
    <w:rsid w:val="007427A7"/>
    <w:rsid w:val="0074682C"/>
    <w:rsid w:val="00746CF4"/>
    <w:rsid w:val="00747ADC"/>
    <w:rsid w:val="00751CF7"/>
    <w:rsid w:val="00751F61"/>
    <w:rsid w:val="007521C2"/>
    <w:rsid w:val="0075368B"/>
    <w:rsid w:val="00753D25"/>
    <w:rsid w:val="00755167"/>
    <w:rsid w:val="00757F97"/>
    <w:rsid w:val="00760D40"/>
    <w:rsid w:val="00763C3E"/>
    <w:rsid w:val="0076434C"/>
    <w:rsid w:val="00764DD3"/>
    <w:rsid w:val="00764E07"/>
    <w:rsid w:val="007671CD"/>
    <w:rsid w:val="007769BA"/>
    <w:rsid w:val="00782105"/>
    <w:rsid w:val="007825C5"/>
    <w:rsid w:val="007831C7"/>
    <w:rsid w:val="00783D6B"/>
    <w:rsid w:val="007842C6"/>
    <w:rsid w:val="00786F6E"/>
    <w:rsid w:val="00790579"/>
    <w:rsid w:val="00792AC0"/>
    <w:rsid w:val="007948DD"/>
    <w:rsid w:val="00795132"/>
    <w:rsid w:val="00796A7F"/>
    <w:rsid w:val="00796D64"/>
    <w:rsid w:val="007A4142"/>
    <w:rsid w:val="007A41C9"/>
    <w:rsid w:val="007A4913"/>
    <w:rsid w:val="007A5EF1"/>
    <w:rsid w:val="007A6B4D"/>
    <w:rsid w:val="007B02CA"/>
    <w:rsid w:val="007B2DF5"/>
    <w:rsid w:val="007B4C83"/>
    <w:rsid w:val="007B7B38"/>
    <w:rsid w:val="007B7EDE"/>
    <w:rsid w:val="007B7F35"/>
    <w:rsid w:val="007C4E79"/>
    <w:rsid w:val="007C6D34"/>
    <w:rsid w:val="007C7877"/>
    <w:rsid w:val="007D4186"/>
    <w:rsid w:val="007D5560"/>
    <w:rsid w:val="007D62BE"/>
    <w:rsid w:val="007D6FE5"/>
    <w:rsid w:val="007E06BD"/>
    <w:rsid w:val="007E2315"/>
    <w:rsid w:val="007E36AD"/>
    <w:rsid w:val="007E49AA"/>
    <w:rsid w:val="007E5931"/>
    <w:rsid w:val="007E7C06"/>
    <w:rsid w:val="007F01F2"/>
    <w:rsid w:val="007F1006"/>
    <w:rsid w:val="007F1B72"/>
    <w:rsid w:val="007F233B"/>
    <w:rsid w:val="007F2BBA"/>
    <w:rsid w:val="007F2CDE"/>
    <w:rsid w:val="007F2E6A"/>
    <w:rsid w:val="007F5661"/>
    <w:rsid w:val="00802EA0"/>
    <w:rsid w:val="00802F1F"/>
    <w:rsid w:val="00802FB5"/>
    <w:rsid w:val="00803168"/>
    <w:rsid w:val="008113EF"/>
    <w:rsid w:val="008222FB"/>
    <w:rsid w:val="00822A41"/>
    <w:rsid w:val="008236FC"/>
    <w:rsid w:val="00825032"/>
    <w:rsid w:val="00827B00"/>
    <w:rsid w:val="00831BAD"/>
    <w:rsid w:val="0083489F"/>
    <w:rsid w:val="00840DBE"/>
    <w:rsid w:val="00840EB8"/>
    <w:rsid w:val="00840FD8"/>
    <w:rsid w:val="0084147A"/>
    <w:rsid w:val="00841E48"/>
    <w:rsid w:val="00844555"/>
    <w:rsid w:val="008458B0"/>
    <w:rsid w:val="00846288"/>
    <w:rsid w:val="0085066A"/>
    <w:rsid w:val="008530D4"/>
    <w:rsid w:val="008537DF"/>
    <w:rsid w:val="00854723"/>
    <w:rsid w:val="00854A78"/>
    <w:rsid w:val="00856844"/>
    <w:rsid w:val="0086161F"/>
    <w:rsid w:val="00861BAD"/>
    <w:rsid w:val="00866C4D"/>
    <w:rsid w:val="00867975"/>
    <w:rsid w:val="00867C3D"/>
    <w:rsid w:val="00867DD3"/>
    <w:rsid w:val="00872130"/>
    <w:rsid w:val="00872417"/>
    <w:rsid w:val="00872433"/>
    <w:rsid w:val="0087277C"/>
    <w:rsid w:val="00873608"/>
    <w:rsid w:val="00874CC0"/>
    <w:rsid w:val="0087584F"/>
    <w:rsid w:val="00875B30"/>
    <w:rsid w:val="008771D6"/>
    <w:rsid w:val="00877DCE"/>
    <w:rsid w:val="00877DD1"/>
    <w:rsid w:val="00880B02"/>
    <w:rsid w:val="00882E79"/>
    <w:rsid w:val="00883DB5"/>
    <w:rsid w:val="00885B10"/>
    <w:rsid w:val="0089003C"/>
    <w:rsid w:val="00894EA1"/>
    <w:rsid w:val="00895E90"/>
    <w:rsid w:val="00896A7C"/>
    <w:rsid w:val="00896CBB"/>
    <w:rsid w:val="008970F5"/>
    <w:rsid w:val="008A01AD"/>
    <w:rsid w:val="008A10A2"/>
    <w:rsid w:val="008A1DC1"/>
    <w:rsid w:val="008A4CE2"/>
    <w:rsid w:val="008A5201"/>
    <w:rsid w:val="008A5BE2"/>
    <w:rsid w:val="008B1498"/>
    <w:rsid w:val="008B18CC"/>
    <w:rsid w:val="008B617D"/>
    <w:rsid w:val="008B6AF5"/>
    <w:rsid w:val="008B7DBD"/>
    <w:rsid w:val="008C1327"/>
    <w:rsid w:val="008C373B"/>
    <w:rsid w:val="008C3AFD"/>
    <w:rsid w:val="008C5B63"/>
    <w:rsid w:val="008C6CDB"/>
    <w:rsid w:val="008C7BE2"/>
    <w:rsid w:val="008D374F"/>
    <w:rsid w:val="008D6268"/>
    <w:rsid w:val="008D6899"/>
    <w:rsid w:val="008D75A9"/>
    <w:rsid w:val="008E13C3"/>
    <w:rsid w:val="008E1A28"/>
    <w:rsid w:val="008E2928"/>
    <w:rsid w:val="008E2DBC"/>
    <w:rsid w:val="008E35EB"/>
    <w:rsid w:val="008E3E22"/>
    <w:rsid w:val="008E409C"/>
    <w:rsid w:val="008E64C3"/>
    <w:rsid w:val="008F1222"/>
    <w:rsid w:val="008F2516"/>
    <w:rsid w:val="008F4715"/>
    <w:rsid w:val="008F5D95"/>
    <w:rsid w:val="008F7C2D"/>
    <w:rsid w:val="00900F23"/>
    <w:rsid w:val="0090412C"/>
    <w:rsid w:val="009053BF"/>
    <w:rsid w:val="0090745E"/>
    <w:rsid w:val="00907D5B"/>
    <w:rsid w:val="00910652"/>
    <w:rsid w:val="0091095D"/>
    <w:rsid w:val="00910C2B"/>
    <w:rsid w:val="0091469A"/>
    <w:rsid w:val="00914A7A"/>
    <w:rsid w:val="00917BEA"/>
    <w:rsid w:val="009227F0"/>
    <w:rsid w:val="00923275"/>
    <w:rsid w:val="00925C26"/>
    <w:rsid w:val="0092635D"/>
    <w:rsid w:val="009307B0"/>
    <w:rsid w:val="00931812"/>
    <w:rsid w:val="00931B1C"/>
    <w:rsid w:val="00931F9B"/>
    <w:rsid w:val="00932165"/>
    <w:rsid w:val="00933146"/>
    <w:rsid w:val="00935F02"/>
    <w:rsid w:val="00936865"/>
    <w:rsid w:val="00937E8E"/>
    <w:rsid w:val="00940794"/>
    <w:rsid w:val="00941E59"/>
    <w:rsid w:val="009438D4"/>
    <w:rsid w:val="00952162"/>
    <w:rsid w:val="00954E0B"/>
    <w:rsid w:val="00956ACB"/>
    <w:rsid w:val="009570E9"/>
    <w:rsid w:val="00957287"/>
    <w:rsid w:val="00957DD3"/>
    <w:rsid w:val="0096050D"/>
    <w:rsid w:val="00961FC2"/>
    <w:rsid w:val="00962013"/>
    <w:rsid w:val="00964E4F"/>
    <w:rsid w:val="00965166"/>
    <w:rsid w:val="00967765"/>
    <w:rsid w:val="009703F2"/>
    <w:rsid w:val="0097167A"/>
    <w:rsid w:val="0097291D"/>
    <w:rsid w:val="00972CAA"/>
    <w:rsid w:val="009738D0"/>
    <w:rsid w:val="00975BF0"/>
    <w:rsid w:val="00983240"/>
    <w:rsid w:val="009847DE"/>
    <w:rsid w:val="00984949"/>
    <w:rsid w:val="00985C04"/>
    <w:rsid w:val="009867CF"/>
    <w:rsid w:val="009868BC"/>
    <w:rsid w:val="00991AAD"/>
    <w:rsid w:val="00992DD0"/>
    <w:rsid w:val="0099328E"/>
    <w:rsid w:val="009934F1"/>
    <w:rsid w:val="0099431A"/>
    <w:rsid w:val="009950E0"/>
    <w:rsid w:val="00995A9A"/>
    <w:rsid w:val="009A14CE"/>
    <w:rsid w:val="009A1A2D"/>
    <w:rsid w:val="009A1E6C"/>
    <w:rsid w:val="009A2ADF"/>
    <w:rsid w:val="009A3B00"/>
    <w:rsid w:val="009A44D1"/>
    <w:rsid w:val="009A4E76"/>
    <w:rsid w:val="009A515B"/>
    <w:rsid w:val="009A5201"/>
    <w:rsid w:val="009A6E34"/>
    <w:rsid w:val="009A7751"/>
    <w:rsid w:val="009B0052"/>
    <w:rsid w:val="009B2C2F"/>
    <w:rsid w:val="009C4482"/>
    <w:rsid w:val="009C7C03"/>
    <w:rsid w:val="009D1F99"/>
    <w:rsid w:val="009D274F"/>
    <w:rsid w:val="009D2A0C"/>
    <w:rsid w:val="009D3355"/>
    <w:rsid w:val="009D37F6"/>
    <w:rsid w:val="009D4479"/>
    <w:rsid w:val="009D6488"/>
    <w:rsid w:val="009D6670"/>
    <w:rsid w:val="009E0352"/>
    <w:rsid w:val="009E0837"/>
    <w:rsid w:val="009E3D39"/>
    <w:rsid w:val="009E4213"/>
    <w:rsid w:val="009E486E"/>
    <w:rsid w:val="009E52E1"/>
    <w:rsid w:val="009E5788"/>
    <w:rsid w:val="009E59B5"/>
    <w:rsid w:val="009E5D13"/>
    <w:rsid w:val="009F2EFF"/>
    <w:rsid w:val="009F7B63"/>
    <w:rsid w:val="00A00BBC"/>
    <w:rsid w:val="00A0182C"/>
    <w:rsid w:val="00A024FE"/>
    <w:rsid w:val="00A029C3"/>
    <w:rsid w:val="00A04510"/>
    <w:rsid w:val="00A05658"/>
    <w:rsid w:val="00A06178"/>
    <w:rsid w:val="00A10AA4"/>
    <w:rsid w:val="00A11FF2"/>
    <w:rsid w:val="00A14FBD"/>
    <w:rsid w:val="00A24483"/>
    <w:rsid w:val="00A244C6"/>
    <w:rsid w:val="00A247CA"/>
    <w:rsid w:val="00A31F1F"/>
    <w:rsid w:val="00A33E6F"/>
    <w:rsid w:val="00A34258"/>
    <w:rsid w:val="00A34567"/>
    <w:rsid w:val="00A347FE"/>
    <w:rsid w:val="00A3601B"/>
    <w:rsid w:val="00A36E6F"/>
    <w:rsid w:val="00A41CA0"/>
    <w:rsid w:val="00A41E81"/>
    <w:rsid w:val="00A4272A"/>
    <w:rsid w:val="00A42DCC"/>
    <w:rsid w:val="00A435A1"/>
    <w:rsid w:val="00A46F22"/>
    <w:rsid w:val="00A47938"/>
    <w:rsid w:val="00A536F4"/>
    <w:rsid w:val="00A5464D"/>
    <w:rsid w:val="00A54EED"/>
    <w:rsid w:val="00A5640C"/>
    <w:rsid w:val="00A56959"/>
    <w:rsid w:val="00A57300"/>
    <w:rsid w:val="00A57986"/>
    <w:rsid w:val="00A61485"/>
    <w:rsid w:val="00A61703"/>
    <w:rsid w:val="00A62A34"/>
    <w:rsid w:val="00A63E44"/>
    <w:rsid w:val="00A67159"/>
    <w:rsid w:val="00A6771F"/>
    <w:rsid w:val="00A73B9A"/>
    <w:rsid w:val="00A74B55"/>
    <w:rsid w:val="00A76309"/>
    <w:rsid w:val="00A76B99"/>
    <w:rsid w:val="00A81DDE"/>
    <w:rsid w:val="00A83272"/>
    <w:rsid w:val="00A84935"/>
    <w:rsid w:val="00A84951"/>
    <w:rsid w:val="00A84AED"/>
    <w:rsid w:val="00A866E8"/>
    <w:rsid w:val="00A87EF2"/>
    <w:rsid w:val="00A90805"/>
    <w:rsid w:val="00A90CD7"/>
    <w:rsid w:val="00A936AC"/>
    <w:rsid w:val="00A936B5"/>
    <w:rsid w:val="00A95511"/>
    <w:rsid w:val="00A96AB6"/>
    <w:rsid w:val="00AA1482"/>
    <w:rsid w:val="00AA2687"/>
    <w:rsid w:val="00AA53D2"/>
    <w:rsid w:val="00AA552C"/>
    <w:rsid w:val="00AA738F"/>
    <w:rsid w:val="00AB0BCF"/>
    <w:rsid w:val="00AB105B"/>
    <w:rsid w:val="00AB1831"/>
    <w:rsid w:val="00AB2FE5"/>
    <w:rsid w:val="00AB3F5E"/>
    <w:rsid w:val="00AB4BA1"/>
    <w:rsid w:val="00AB578B"/>
    <w:rsid w:val="00AC06B7"/>
    <w:rsid w:val="00AC1173"/>
    <w:rsid w:val="00AC35F5"/>
    <w:rsid w:val="00AC40F5"/>
    <w:rsid w:val="00AC6D1E"/>
    <w:rsid w:val="00AC7FC9"/>
    <w:rsid w:val="00AD0D41"/>
    <w:rsid w:val="00AD1900"/>
    <w:rsid w:val="00AD3CC9"/>
    <w:rsid w:val="00AD6228"/>
    <w:rsid w:val="00AD6938"/>
    <w:rsid w:val="00AD69C3"/>
    <w:rsid w:val="00AD7867"/>
    <w:rsid w:val="00AE061D"/>
    <w:rsid w:val="00AE1532"/>
    <w:rsid w:val="00AE38E8"/>
    <w:rsid w:val="00AE48A6"/>
    <w:rsid w:val="00AE5A98"/>
    <w:rsid w:val="00AE5CAD"/>
    <w:rsid w:val="00AE6675"/>
    <w:rsid w:val="00AF0B08"/>
    <w:rsid w:val="00AF0BF7"/>
    <w:rsid w:val="00AF11FE"/>
    <w:rsid w:val="00AF1AEA"/>
    <w:rsid w:val="00AF6835"/>
    <w:rsid w:val="00AF7E8F"/>
    <w:rsid w:val="00B001E2"/>
    <w:rsid w:val="00B01C83"/>
    <w:rsid w:val="00B03E1B"/>
    <w:rsid w:val="00B05E83"/>
    <w:rsid w:val="00B0630E"/>
    <w:rsid w:val="00B0713A"/>
    <w:rsid w:val="00B0756D"/>
    <w:rsid w:val="00B078C0"/>
    <w:rsid w:val="00B1288D"/>
    <w:rsid w:val="00B12983"/>
    <w:rsid w:val="00B12C56"/>
    <w:rsid w:val="00B137E0"/>
    <w:rsid w:val="00B13DFF"/>
    <w:rsid w:val="00B15C5F"/>
    <w:rsid w:val="00B17FF3"/>
    <w:rsid w:val="00B20275"/>
    <w:rsid w:val="00B21AB7"/>
    <w:rsid w:val="00B228D9"/>
    <w:rsid w:val="00B24515"/>
    <w:rsid w:val="00B26D9D"/>
    <w:rsid w:val="00B26E1C"/>
    <w:rsid w:val="00B30833"/>
    <w:rsid w:val="00B3084A"/>
    <w:rsid w:val="00B322FC"/>
    <w:rsid w:val="00B33AD7"/>
    <w:rsid w:val="00B35042"/>
    <w:rsid w:val="00B35902"/>
    <w:rsid w:val="00B35DA8"/>
    <w:rsid w:val="00B371D1"/>
    <w:rsid w:val="00B418A5"/>
    <w:rsid w:val="00B41D6D"/>
    <w:rsid w:val="00B44910"/>
    <w:rsid w:val="00B44BD6"/>
    <w:rsid w:val="00B45EC5"/>
    <w:rsid w:val="00B460A3"/>
    <w:rsid w:val="00B46470"/>
    <w:rsid w:val="00B512D4"/>
    <w:rsid w:val="00B51B45"/>
    <w:rsid w:val="00B52617"/>
    <w:rsid w:val="00B53195"/>
    <w:rsid w:val="00B574F8"/>
    <w:rsid w:val="00B57E1C"/>
    <w:rsid w:val="00B60F3B"/>
    <w:rsid w:val="00B6117E"/>
    <w:rsid w:val="00B665FE"/>
    <w:rsid w:val="00B6694E"/>
    <w:rsid w:val="00B66B35"/>
    <w:rsid w:val="00B67566"/>
    <w:rsid w:val="00B70E27"/>
    <w:rsid w:val="00B732C7"/>
    <w:rsid w:val="00B746BD"/>
    <w:rsid w:val="00B74881"/>
    <w:rsid w:val="00B74A8B"/>
    <w:rsid w:val="00B77328"/>
    <w:rsid w:val="00B774EB"/>
    <w:rsid w:val="00B80699"/>
    <w:rsid w:val="00B821AE"/>
    <w:rsid w:val="00B841FB"/>
    <w:rsid w:val="00B8492B"/>
    <w:rsid w:val="00B868E7"/>
    <w:rsid w:val="00B90B54"/>
    <w:rsid w:val="00B917E2"/>
    <w:rsid w:val="00B91A7B"/>
    <w:rsid w:val="00B93C6D"/>
    <w:rsid w:val="00B94890"/>
    <w:rsid w:val="00B961A2"/>
    <w:rsid w:val="00BA0821"/>
    <w:rsid w:val="00BA1612"/>
    <w:rsid w:val="00BA4646"/>
    <w:rsid w:val="00BA46B5"/>
    <w:rsid w:val="00BA4F29"/>
    <w:rsid w:val="00BA561E"/>
    <w:rsid w:val="00BA6196"/>
    <w:rsid w:val="00BB0202"/>
    <w:rsid w:val="00BB1086"/>
    <w:rsid w:val="00BB1A5C"/>
    <w:rsid w:val="00BB54AA"/>
    <w:rsid w:val="00BB676D"/>
    <w:rsid w:val="00BB7F0B"/>
    <w:rsid w:val="00BC060A"/>
    <w:rsid w:val="00BC18D9"/>
    <w:rsid w:val="00BC191B"/>
    <w:rsid w:val="00BC2C7B"/>
    <w:rsid w:val="00BC460C"/>
    <w:rsid w:val="00BC518A"/>
    <w:rsid w:val="00BC7081"/>
    <w:rsid w:val="00BC748B"/>
    <w:rsid w:val="00BC7DC6"/>
    <w:rsid w:val="00BD043A"/>
    <w:rsid w:val="00BD0739"/>
    <w:rsid w:val="00BD3323"/>
    <w:rsid w:val="00BD3538"/>
    <w:rsid w:val="00BD42F2"/>
    <w:rsid w:val="00BD728E"/>
    <w:rsid w:val="00BD7498"/>
    <w:rsid w:val="00BE0E3C"/>
    <w:rsid w:val="00BE1F37"/>
    <w:rsid w:val="00BE2419"/>
    <w:rsid w:val="00BE2671"/>
    <w:rsid w:val="00BE2E76"/>
    <w:rsid w:val="00BE3428"/>
    <w:rsid w:val="00BE3AA0"/>
    <w:rsid w:val="00BE5446"/>
    <w:rsid w:val="00BE5D63"/>
    <w:rsid w:val="00BE5FB2"/>
    <w:rsid w:val="00BE6895"/>
    <w:rsid w:val="00BE6A91"/>
    <w:rsid w:val="00BE6D06"/>
    <w:rsid w:val="00BE7CDE"/>
    <w:rsid w:val="00BF0615"/>
    <w:rsid w:val="00BF16FC"/>
    <w:rsid w:val="00BF1B69"/>
    <w:rsid w:val="00BF2B4D"/>
    <w:rsid w:val="00BF33DB"/>
    <w:rsid w:val="00BF5E04"/>
    <w:rsid w:val="00BF739D"/>
    <w:rsid w:val="00C001EF"/>
    <w:rsid w:val="00C00553"/>
    <w:rsid w:val="00C1047B"/>
    <w:rsid w:val="00C12BCD"/>
    <w:rsid w:val="00C13579"/>
    <w:rsid w:val="00C140E5"/>
    <w:rsid w:val="00C144F9"/>
    <w:rsid w:val="00C16111"/>
    <w:rsid w:val="00C1744B"/>
    <w:rsid w:val="00C22E6C"/>
    <w:rsid w:val="00C2403A"/>
    <w:rsid w:val="00C2444D"/>
    <w:rsid w:val="00C2563D"/>
    <w:rsid w:val="00C25F3A"/>
    <w:rsid w:val="00C26AF7"/>
    <w:rsid w:val="00C27B19"/>
    <w:rsid w:val="00C32D23"/>
    <w:rsid w:val="00C35563"/>
    <w:rsid w:val="00C35EC6"/>
    <w:rsid w:val="00C400F2"/>
    <w:rsid w:val="00C42279"/>
    <w:rsid w:val="00C429A5"/>
    <w:rsid w:val="00C43845"/>
    <w:rsid w:val="00C463C8"/>
    <w:rsid w:val="00C500A3"/>
    <w:rsid w:val="00C50B47"/>
    <w:rsid w:val="00C51886"/>
    <w:rsid w:val="00C52037"/>
    <w:rsid w:val="00C52058"/>
    <w:rsid w:val="00C54B34"/>
    <w:rsid w:val="00C554FA"/>
    <w:rsid w:val="00C55D0C"/>
    <w:rsid w:val="00C56AC3"/>
    <w:rsid w:val="00C57363"/>
    <w:rsid w:val="00C57817"/>
    <w:rsid w:val="00C60792"/>
    <w:rsid w:val="00C655A0"/>
    <w:rsid w:val="00C670F3"/>
    <w:rsid w:val="00C67FA6"/>
    <w:rsid w:val="00C703E8"/>
    <w:rsid w:val="00C71334"/>
    <w:rsid w:val="00C713C1"/>
    <w:rsid w:val="00C73258"/>
    <w:rsid w:val="00C74896"/>
    <w:rsid w:val="00C75768"/>
    <w:rsid w:val="00C77411"/>
    <w:rsid w:val="00C803DC"/>
    <w:rsid w:val="00C80542"/>
    <w:rsid w:val="00C806E2"/>
    <w:rsid w:val="00C84CEE"/>
    <w:rsid w:val="00C84FC5"/>
    <w:rsid w:val="00C877AB"/>
    <w:rsid w:val="00C90489"/>
    <w:rsid w:val="00C909AC"/>
    <w:rsid w:val="00C91D91"/>
    <w:rsid w:val="00C949A2"/>
    <w:rsid w:val="00C961D9"/>
    <w:rsid w:val="00C97FF5"/>
    <w:rsid w:val="00CA0D38"/>
    <w:rsid w:val="00CA3BAC"/>
    <w:rsid w:val="00CA3C5F"/>
    <w:rsid w:val="00CA40A7"/>
    <w:rsid w:val="00CA7BDC"/>
    <w:rsid w:val="00CB146B"/>
    <w:rsid w:val="00CB5ABE"/>
    <w:rsid w:val="00CB6A09"/>
    <w:rsid w:val="00CB7E4F"/>
    <w:rsid w:val="00CB7FCE"/>
    <w:rsid w:val="00CC18C9"/>
    <w:rsid w:val="00CC3A01"/>
    <w:rsid w:val="00CC3D34"/>
    <w:rsid w:val="00CC3F86"/>
    <w:rsid w:val="00CC6C58"/>
    <w:rsid w:val="00CD08A9"/>
    <w:rsid w:val="00CD3F72"/>
    <w:rsid w:val="00CD496C"/>
    <w:rsid w:val="00CD4A7A"/>
    <w:rsid w:val="00CD4CDA"/>
    <w:rsid w:val="00CD4D98"/>
    <w:rsid w:val="00CD5E46"/>
    <w:rsid w:val="00CE119C"/>
    <w:rsid w:val="00CE2302"/>
    <w:rsid w:val="00CE2B61"/>
    <w:rsid w:val="00CE4136"/>
    <w:rsid w:val="00CE445B"/>
    <w:rsid w:val="00CE4C3B"/>
    <w:rsid w:val="00CE6039"/>
    <w:rsid w:val="00CF2B4D"/>
    <w:rsid w:val="00CF5660"/>
    <w:rsid w:val="00CF5831"/>
    <w:rsid w:val="00CF5AF2"/>
    <w:rsid w:val="00CF72F1"/>
    <w:rsid w:val="00CF7DE9"/>
    <w:rsid w:val="00D04B7E"/>
    <w:rsid w:val="00D1119C"/>
    <w:rsid w:val="00D11A4A"/>
    <w:rsid w:val="00D120E3"/>
    <w:rsid w:val="00D13230"/>
    <w:rsid w:val="00D140B0"/>
    <w:rsid w:val="00D143D4"/>
    <w:rsid w:val="00D177BE"/>
    <w:rsid w:val="00D1786B"/>
    <w:rsid w:val="00D20A7E"/>
    <w:rsid w:val="00D2293A"/>
    <w:rsid w:val="00D23789"/>
    <w:rsid w:val="00D30466"/>
    <w:rsid w:val="00D30486"/>
    <w:rsid w:val="00D333C6"/>
    <w:rsid w:val="00D33936"/>
    <w:rsid w:val="00D3433E"/>
    <w:rsid w:val="00D365A4"/>
    <w:rsid w:val="00D424B1"/>
    <w:rsid w:val="00D442D8"/>
    <w:rsid w:val="00D44951"/>
    <w:rsid w:val="00D44E1E"/>
    <w:rsid w:val="00D45467"/>
    <w:rsid w:val="00D459F4"/>
    <w:rsid w:val="00D47969"/>
    <w:rsid w:val="00D528A4"/>
    <w:rsid w:val="00D53F62"/>
    <w:rsid w:val="00D552A5"/>
    <w:rsid w:val="00D5533D"/>
    <w:rsid w:val="00D55490"/>
    <w:rsid w:val="00D568D6"/>
    <w:rsid w:val="00D569A7"/>
    <w:rsid w:val="00D57E69"/>
    <w:rsid w:val="00D61D77"/>
    <w:rsid w:val="00D6254A"/>
    <w:rsid w:val="00D6417E"/>
    <w:rsid w:val="00D667AE"/>
    <w:rsid w:val="00D67042"/>
    <w:rsid w:val="00D70A8C"/>
    <w:rsid w:val="00D7233A"/>
    <w:rsid w:val="00D72FAA"/>
    <w:rsid w:val="00D749D9"/>
    <w:rsid w:val="00D75B40"/>
    <w:rsid w:val="00D76452"/>
    <w:rsid w:val="00D76DB6"/>
    <w:rsid w:val="00D77D7B"/>
    <w:rsid w:val="00D801A1"/>
    <w:rsid w:val="00D81771"/>
    <w:rsid w:val="00D81C5B"/>
    <w:rsid w:val="00D81E27"/>
    <w:rsid w:val="00D833EC"/>
    <w:rsid w:val="00D85851"/>
    <w:rsid w:val="00D867CA"/>
    <w:rsid w:val="00D870A9"/>
    <w:rsid w:val="00D9236E"/>
    <w:rsid w:val="00D9446A"/>
    <w:rsid w:val="00D95F2F"/>
    <w:rsid w:val="00D963D1"/>
    <w:rsid w:val="00D965D3"/>
    <w:rsid w:val="00DA1606"/>
    <w:rsid w:val="00DA18F9"/>
    <w:rsid w:val="00DA3070"/>
    <w:rsid w:val="00DA456F"/>
    <w:rsid w:val="00DA4AF3"/>
    <w:rsid w:val="00DA5D29"/>
    <w:rsid w:val="00DA6E4A"/>
    <w:rsid w:val="00DA71F7"/>
    <w:rsid w:val="00DA7472"/>
    <w:rsid w:val="00DB16AD"/>
    <w:rsid w:val="00DB170E"/>
    <w:rsid w:val="00DB18B9"/>
    <w:rsid w:val="00DB2716"/>
    <w:rsid w:val="00DB2A26"/>
    <w:rsid w:val="00DB40A2"/>
    <w:rsid w:val="00DB712C"/>
    <w:rsid w:val="00DC0430"/>
    <w:rsid w:val="00DC100A"/>
    <w:rsid w:val="00DC1458"/>
    <w:rsid w:val="00DC4755"/>
    <w:rsid w:val="00DC5CB4"/>
    <w:rsid w:val="00DC755C"/>
    <w:rsid w:val="00DD1983"/>
    <w:rsid w:val="00DD1C62"/>
    <w:rsid w:val="00DD3179"/>
    <w:rsid w:val="00DD32EA"/>
    <w:rsid w:val="00DD470A"/>
    <w:rsid w:val="00DD693B"/>
    <w:rsid w:val="00DD7798"/>
    <w:rsid w:val="00DE04F4"/>
    <w:rsid w:val="00DE1ACA"/>
    <w:rsid w:val="00DE3FD8"/>
    <w:rsid w:val="00DE5029"/>
    <w:rsid w:val="00DE7533"/>
    <w:rsid w:val="00DF07CF"/>
    <w:rsid w:val="00DF0FDF"/>
    <w:rsid w:val="00DF1E85"/>
    <w:rsid w:val="00DF2D5D"/>
    <w:rsid w:val="00DF4908"/>
    <w:rsid w:val="00DF7363"/>
    <w:rsid w:val="00E02098"/>
    <w:rsid w:val="00E0319D"/>
    <w:rsid w:val="00E03931"/>
    <w:rsid w:val="00E0408F"/>
    <w:rsid w:val="00E047F7"/>
    <w:rsid w:val="00E070EC"/>
    <w:rsid w:val="00E071EF"/>
    <w:rsid w:val="00E07CD3"/>
    <w:rsid w:val="00E137E7"/>
    <w:rsid w:val="00E14057"/>
    <w:rsid w:val="00E15A19"/>
    <w:rsid w:val="00E15F9B"/>
    <w:rsid w:val="00E23CCE"/>
    <w:rsid w:val="00E27AC0"/>
    <w:rsid w:val="00E27E3E"/>
    <w:rsid w:val="00E30267"/>
    <w:rsid w:val="00E307EB"/>
    <w:rsid w:val="00E309F0"/>
    <w:rsid w:val="00E30DE3"/>
    <w:rsid w:val="00E3134B"/>
    <w:rsid w:val="00E318EF"/>
    <w:rsid w:val="00E31D60"/>
    <w:rsid w:val="00E33116"/>
    <w:rsid w:val="00E3361C"/>
    <w:rsid w:val="00E33AE2"/>
    <w:rsid w:val="00E36A95"/>
    <w:rsid w:val="00E37636"/>
    <w:rsid w:val="00E37824"/>
    <w:rsid w:val="00E37F9D"/>
    <w:rsid w:val="00E432EB"/>
    <w:rsid w:val="00E4555F"/>
    <w:rsid w:val="00E45F17"/>
    <w:rsid w:val="00E463B5"/>
    <w:rsid w:val="00E46D5A"/>
    <w:rsid w:val="00E476CA"/>
    <w:rsid w:val="00E47EFA"/>
    <w:rsid w:val="00E5078C"/>
    <w:rsid w:val="00E51EAC"/>
    <w:rsid w:val="00E5285F"/>
    <w:rsid w:val="00E53444"/>
    <w:rsid w:val="00E53EFD"/>
    <w:rsid w:val="00E55DD8"/>
    <w:rsid w:val="00E57596"/>
    <w:rsid w:val="00E6121F"/>
    <w:rsid w:val="00E61448"/>
    <w:rsid w:val="00E73E24"/>
    <w:rsid w:val="00E75530"/>
    <w:rsid w:val="00E75900"/>
    <w:rsid w:val="00E768B6"/>
    <w:rsid w:val="00E77DC8"/>
    <w:rsid w:val="00E81E9F"/>
    <w:rsid w:val="00E8218C"/>
    <w:rsid w:val="00E831C5"/>
    <w:rsid w:val="00E85B73"/>
    <w:rsid w:val="00E90533"/>
    <w:rsid w:val="00E91488"/>
    <w:rsid w:val="00E92DF4"/>
    <w:rsid w:val="00E930B5"/>
    <w:rsid w:val="00E937C3"/>
    <w:rsid w:val="00E939F4"/>
    <w:rsid w:val="00E95717"/>
    <w:rsid w:val="00E95C8E"/>
    <w:rsid w:val="00E96086"/>
    <w:rsid w:val="00EA0E80"/>
    <w:rsid w:val="00EA26DD"/>
    <w:rsid w:val="00EA29C0"/>
    <w:rsid w:val="00EA3D7F"/>
    <w:rsid w:val="00EA4AA0"/>
    <w:rsid w:val="00EA50E8"/>
    <w:rsid w:val="00EA736A"/>
    <w:rsid w:val="00EA73EE"/>
    <w:rsid w:val="00EB0312"/>
    <w:rsid w:val="00EB08C6"/>
    <w:rsid w:val="00EB5144"/>
    <w:rsid w:val="00EB63F1"/>
    <w:rsid w:val="00EB7016"/>
    <w:rsid w:val="00EC5D73"/>
    <w:rsid w:val="00ED5AB1"/>
    <w:rsid w:val="00ED6F34"/>
    <w:rsid w:val="00EE1961"/>
    <w:rsid w:val="00EE2F86"/>
    <w:rsid w:val="00EE5BEA"/>
    <w:rsid w:val="00EE63AA"/>
    <w:rsid w:val="00EF064D"/>
    <w:rsid w:val="00EF1EE2"/>
    <w:rsid w:val="00EF2CD5"/>
    <w:rsid w:val="00EF34C7"/>
    <w:rsid w:val="00EF3A53"/>
    <w:rsid w:val="00EF3A83"/>
    <w:rsid w:val="00EF4659"/>
    <w:rsid w:val="00EF4D06"/>
    <w:rsid w:val="00EF4DF2"/>
    <w:rsid w:val="00EF571F"/>
    <w:rsid w:val="00EF58C3"/>
    <w:rsid w:val="00EF59E8"/>
    <w:rsid w:val="00F01391"/>
    <w:rsid w:val="00F02CF0"/>
    <w:rsid w:val="00F11237"/>
    <w:rsid w:val="00F11846"/>
    <w:rsid w:val="00F124D3"/>
    <w:rsid w:val="00F14D90"/>
    <w:rsid w:val="00F159B1"/>
    <w:rsid w:val="00F17CD9"/>
    <w:rsid w:val="00F2049B"/>
    <w:rsid w:val="00F20DBB"/>
    <w:rsid w:val="00F21614"/>
    <w:rsid w:val="00F22313"/>
    <w:rsid w:val="00F224D4"/>
    <w:rsid w:val="00F23407"/>
    <w:rsid w:val="00F23C1D"/>
    <w:rsid w:val="00F247A2"/>
    <w:rsid w:val="00F25E8D"/>
    <w:rsid w:val="00F26A9D"/>
    <w:rsid w:val="00F279E6"/>
    <w:rsid w:val="00F30874"/>
    <w:rsid w:val="00F30FE6"/>
    <w:rsid w:val="00F317F9"/>
    <w:rsid w:val="00F31FCD"/>
    <w:rsid w:val="00F324D8"/>
    <w:rsid w:val="00F32551"/>
    <w:rsid w:val="00F34076"/>
    <w:rsid w:val="00F343A9"/>
    <w:rsid w:val="00F35415"/>
    <w:rsid w:val="00F40079"/>
    <w:rsid w:val="00F4020D"/>
    <w:rsid w:val="00F41D2F"/>
    <w:rsid w:val="00F43A02"/>
    <w:rsid w:val="00F4427D"/>
    <w:rsid w:val="00F4593B"/>
    <w:rsid w:val="00F469AF"/>
    <w:rsid w:val="00F46E85"/>
    <w:rsid w:val="00F472AA"/>
    <w:rsid w:val="00F50294"/>
    <w:rsid w:val="00F51586"/>
    <w:rsid w:val="00F52EBA"/>
    <w:rsid w:val="00F5533A"/>
    <w:rsid w:val="00F56356"/>
    <w:rsid w:val="00F60BB0"/>
    <w:rsid w:val="00F612D1"/>
    <w:rsid w:val="00F636D9"/>
    <w:rsid w:val="00F63B3F"/>
    <w:rsid w:val="00F65C44"/>
    <w:rsid w:val="00F6615D"/>
    <w:rsid w:val="00F66B22"/>
    <w:rsid w:val="00F67B12"/>
    <w:rsid w:val="00F70A79"/>
    <w:rsid w:val="00F718E9"/>
    <w:rsid w:val="00F725F4"/>
    <w:rsid w:val="00F72601"/>
    <w:rsid w:val="00F72CBA"/>
    <w:rsid w:val="00F7324C"/>
    <w:rsid w:val="00F749BB"/>
    <w:rsid w:val="00F76231"/>
    <w:rsid w:val="00F762E3"/>
    <w:rsid w:val="00F76B3C"/>
    <w:rsid w:val="00F773D2"/>
    <w:rsid w:val="00F8058B"/>
    <w:rsid w:val="00F81015"/>
    <w:rsid w:val="00F81161"/>
    <w:rsid w:val="00F828BA"/>
    <w:rsid w:val="00F83380"/>
    <w:rsid w:val="00F8344A"/>
    <w:rsid w:val="00F83703"/>
    <w:rsid w:val="00F83ABC"/>
    <w:rsid w:val="00F83C1B"/>
    <w:rsid w:val="00F84A6E"/>
    <w:rsid w:val="00F86392"/>
    <w:rsid w:val="00F87FA1"/>
    <w:rsid w:val="00F93FB9"/>
    <w:rsid w:val="00F97919"/>
    <w:rsid w:val="00FA037F"/>
    <w:rsid w:val="00FA4629"/>
    <w:rsid w:val="00FA712A"/>
    <w:rsid w:val="00FA7C51"/>
    <w:rsid w:val="00FB0D99"/>
    <w:rsid w:val="00FB17B0"/>
    <w:rsid w:val="00FB29D0"/>
    <w:rsid w:val="00FB497A"/>
    <w:rsid w:val="00FC0000"/>
    <w:rsid w:val="00FC508A"/>
    <w:rsid w:val="00FC5697"/>
    <w:rsid w:val="00FC772B"/>
    <w:rsid w:val="00FC7D11"/>
    <w:rsid w:val="00FD073B"/>
    <w:rsid w:val="00FD09E4"/>
    <w:rsid w:val="00FD49D1"/>
    <w:rsid w:val="00FD594D"/>
    <w:rsid w:val="00FE011F"/>
    <w:rsid w:val="00FE046B"/>
    <w:rsid w:val="00FE133C"/>
    <w:rsid w:val="00FE3DE8"/>
    <w:rsid w:val="00FE4547"/>
    <w:rsid w:val="00FE4F70"/>
    <w:rsid w:val="00FE5585"/>
    <w:rsid w:val="00FE57CF"/>
    <w:rsid w:val="00FE6F6A"/>
    <w:rsid w:val="00FE714C"/>
    <w:rsid w:val="00FE7A58"/>
    <w:rsid w:val="00FE7E10"/>
    <w:rsid w:val="00FF1617"/>
    <w:rsid w:val="0F8C0B84"/>
    <w:rsid w:val="21714E28"/>
    <w:rsid w:val="274F2744"/>
    <w:rsid w:val="4D0E1143"/>
    <w:rsid w:val="511C5F7D"/>
    <w:rsid w:val="561C2342"/>
    <w:rsid w:val="5BDB7228"/>
    <w:rsid w:val="679813DE"/>
    <w:rsid w:val="72162FB1"/>
    <w:rsid w:val="7A4F5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qFormat="1" w:unhideWhenUsed="0" w:uiPriority="0" w:name="macro"/>
    <w:lsdException w:uiPriority="0" w:name="toa heading"/>
    <w:lsdException w:qFormat="1" w:unhideWhenUsed="0" w:uiPriority="0" w:semiHidden="0" w:name="List"/>
    <w:lsdException w:qFormat="1" w:unhideWhenUsed="0" w:uiPriority="0" w:semiHidden="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81"/>
    <w:qFormat/>
    <w:uiPriority w:val="1"/>
    <w:pPr>
      <w:keepNext/>
      <w:keepLines/>
      <w:spacing w:line="360" w:lineRule="auto"/>
      <w:jc w:val="center"/>
      <w:outlineLvl w:val="0"/>
    </w:pPr>
    <w:rPr>
      <w:rFonts w:eastAsia="黑体"/>
      <w:b/>
      <w:bCs/>
      <w:kern w:val="44"/>
      <w:sz w:val="36"/>
      <w:szCs w:val="36"/>
    </w:rPr>
  </w:style>
  <w:style w:type="paragraph" w:styleId="4">
    <w:name w:val="heading 2"/>
    <w:basedOn w:val="1"/>
    <w:next w:val="1"/>
    <w:link w:val="182"/>
    <w:qFormat/>
    <w:uiPriority w:val="1"/>
    <w:pPr>
      <w:keepNext/>
      <w:keepLines/>
      <w:spacing w:line="360" w:lineRule="auto"/>
      <w:outlineLvl w:val="1"/>
    </w:pPr>
    <w:rPr>
      <w:rFonts w:ascii="Arial" w:hAnsi="Arial" w:eastAsia="黑体"/>
      <w:b/>
      <w:bCs/>
      <w:sz w:val="30"/>
      <w:szCs w:val="32"/>
    </w:rPr>
  </w:style>
  <w:style w:type="paragraph" w:styleId="5">
    <w:name w:val="heading 3"/>
    <w:basedOn w:val="1"/>
    <w:next w:val="1"/>
    <w:link w:val="183"/>
    <w:qFormat/>
    <w:uiPriority w:val="1"/>
    <w:pPr>
      <w:keepNext/>
      <w:keepLines/>
      <w:spacing w:before="260" w:after="260" w:line="416" w:lineRule="auto"/>
      <w:outlineLvl w:val="2"/>
    </w:pPr>
    <w:rPr>
      <w:b/>
      <w:bCs/>
      <w:sz w:val="32"/>
      <w:szCs w:val="32"/>
    </w:rPr>
  </w:style>
  <w:style w:type="paragraph" w:styleId="6">
    <w:name w:val="heading 4"/>
    <w:basedOn w:val="1"/>
    <w:next w:val="1"/>
    <w:link w:val="262"/>
    <w:qFormat/>
    <w:uiPriority w:val="1"/>
    <w:pPr>
      <w:keepNext/>
      <w:keepLines/>
      <w:spacing w:line="377" w:lineRule="auto"/>
      <w:outlineLvl w:val="3"/>
    </w:pPr>
    <w:rPr>
      <w:rFonts w:ascii="Plotter" w:hAnsi="Plotter" w:eastAsia="黑体"/>
      <w:b/>
      <w:bCs/>
      <w:spacing w:val="20"/>
      <w:sz w:val="32"/>
      <w:szCs w:val="20"/>
    </w:rPr>
  </w:style>
  <w:style w:type="paragraph" w:styleId="7">
    <w:name w:val="heading 5"/>
    <w:basedOn w:val="1"/>
    <w:next w:val="1"/>
    <w:link w:val="263"/>
    <w:qFormat/>
    <w:uiPriority w:val="1"/>
    <w:pPr>
      <w:keepNext/>
      <w:keepLines/>
      <w:spacing w:before="280" w:after="290" w:line="376" w:lineRule="auto"/>
      <w:outlineLvl w:val="4"/>
    </w:pPr>
    <w:rPr>
      <w:b/>
      <w:bCs/>
      <w:sz w:val="28"/>
      <w:szCs w:val="28"/>
    </w:rPr>
  </w:style>
  <w:style w:type="paragraph" w:styleId="8">
    <w:name w:val="heading 8"/>
    <w:basedOn w:val="1"/>
    <w:next w:val="1"/>
    <w:link w:val="292"/>
    <w:unhideWhenUsed/>
    <w:qFormat/>
    <w:uiPriority w:val="0"/>
    <w:pPr>
      <w:keepNext/>
      <w:keepLines/>
      <w:spacing w:before="240" w:after="64" w:line="320" w:lineRule="auto"/>
      <w:outlineLvl w:val="7"/>
    </w:pPr>
    <w:rPr>
      <w:rFonts w:asciiTheme="majorHAnsi" w:hAnsiTheme="majorHAnsi" w:eastAsiaTheme="majorEastAsia" w:cstheme="majorBidi"/>
      <w:sz w:val="24"/>
    </w:rPr>
  </w:style>
  <w:style w:type="paragraph" w:styleId="9">
    <w:name w:val="heading 9"/>
    <w:basedOn w:val="1"/>
    <w:next w:val="1"/>
    <w:link w:val="184"/>
    <w:qFormat/>
    <w:uiPriority w:val="0"/>
    <w:pPr>
      <w:keepNext/>
      <w:keepLines/>
      <w:spacing w:before="240" w:after="64" w:line="320" w:lineRule="auto"/>
      <w:outlineLvl w:val="8"/>
    </w:pPr>
    <w:rPr>
      <w:rFonts w:ascii="Arial" w:hAnsi="Arial" w:eastAsia="黑体"/>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macro"/>
    <w:link w:val="268"/>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0">
    <w:name w:val="toc 7"/>
    <w:basedOn w:val="1"/>
    <w:next w:val="1"/>
    <w:unhideWhenUsed/>
    <w:qFormat/>
    <w:uiPriority w:val="39"/>
    <w:pPr>
      <w:ind w:left="1260"/>
      <w:jc w:val="left"/>
    </w:pPr>
    <w:rPr>
      <w:rFonts w:ascii="Calibri" w:hAnsi="Calibri"/>
      <w:sz w:val="18"/>
      <w:szCs w:val="18"/>
    </w:rPr>
  </w:style>
  <w:style w:type="paragraph" w:styleId="11">
    <w:name w:val="Normal Indent"/>
    <w:basedOn w:val="1"/>
    <w:link w:val="192"/>
    <w:qFormat/>
    <w:uiPriority w:val="0"/>
    <w:pPr>
      <w:ind w:firstLine="420" w:firstLineChars="200"/>
    </w:pPr>
  </w:style>
  <w:style w:type="paragraph" w:styleId="12">
    <w:name w:val="caption"/>
    <w:basedOn w:val="1"/>
    <w:next w:val="1"/>
    <w:link w:val="282"/>
    <w:qFormat/>
    <w:uiPriority w:val="0"/>
    <w:rPr>
      <w:rFonts w:ascii="Cambria" w:hAnsi="Cambria" w:eastAsia="黑体"/>
      <w:sz w:val="20"/>
      <w:szCs w:val="20"/>
    </w:rPr>
  </w:style>
  <w:style w:type="paragraph" w:styleId="13">
    <w:name w:val="List Bullet"/>
    <w:basedOn w:val="1"/>
    <w:qFormat/>
    <w:uiPriority w:val="0"/>
    <w:pPr>
      <w:tabs>
        <w:tab w:val="left" w:pos="360"/>
      </w:tabs>
      <w:ind w:left="360" w:hanging="360" w:hangingChars="200"/>
    </w:pPr>
  </w:style>
  <w:style w:type="paragraph" w:styleId="14">
    <w:name w:val="Document Map"/>
    <w:basedOn w:val="1"/>
    <w:link w:val="185"/>
    <w:qFormat/>
    <w:uiPriority w:val="0"/>
    <w:pPr>
      <w:shd w:val="clear" w:color="auto" w:fill="000080"/>
    </w:pPr>
  </w:style>
  <w:style w:type="paragraph" w:styleId="15">
    <w:name w:val="annotation text"/>
    <w:basedOn w:val="1"/>
    <w:link w:val="218"/>
    <w:qFormat/>
    <w:uiPriority w:val="0"/>
    <w:pPr>
      <w:jc w:val="left"/>
    </w:pPr>
  </w:style>
  <w:style w:type="paragraph" w:styleId="16">
    <w:name w:val="Salutation"/>
    <w:basedOn w:val="1"/>
    <w:next w:val="1"/>
    <w:link w:val="266"/>
    <w:qFormat/>
    <w:uiPriority w:val="0"/>
    <w:pPr>
      <w:widowControl/>
      <w:jc w:val="left"/>
    </w:pPr>
    <w:rPr>
      <w:kern w:val="0"/>
      <w:sz w:val="24"/>
      <w:szCs w:val="20"/>
    </w:rPr>
  </w:style>
  <w:style w:type="paragraph" w:styleId="17">
    <w:name w:val="Body Text"/>
    <w:basedOn w:val="1"/>
    <w:link w:val="233"/>
    <w:qFormat/>
    <w:uiPriority w:val="1"/>
    <w:pPr>
      <w:spacing w:after="120"/>
    </w:pPr>
  </w:style>
  <w:style w:type="paragraph" w:styleId="18">
    <w:name w:val="Body Text Indent"/>
    <w:basedOn w:val="1"/>
    <w:link w:val="219"/>
    <w:qFormat/>
    <w:uiPriority w:val="0"/>
    <w:pPr>
      <w:spacing w:after="120"/>
      <w:ind w:left="420" w:leftChars="200"/>
    </w:pPr>
  </w:style>
  <w:style w:type="paragraph" w:styleId="19">
    <w:name w:val="toc 5"/>
    <w:basedOn w:val="1"/>
    <w:next w:val="1"/>
    <w:unhideWhenUsed/>
    <w:qFormat/>
    <w:uiPriority w:val="39"/>
    <w:pPr>
      <w:ind w:left="840"/>
      <w:jc w:val="left"/>
    </w:pPr>
    <w:rPr>
      <w:rFonts w:ascii="Calibri" w:hAnsi="Calibri"/>
      <w:sz w:val="18"/>
      <w:szCs w:val="18"/>
    </w:rPr>
  </w:style>
  <w:style w:type="paragraph" w:styleId="20">
    <w:name w:val="toc 3"/>
    <w:basedOn w:val="1"/>
    <w:next w:val="1"/>
    <w:qFormat/>
    <w:uiPriority w:val="39"/>
    <w:pPr>
      <w:ind w:left="420"/>
      <w:jc w:val="left"/>
    </w:pPr>
    <w:rPr>
      <w:rFonts w:ascii="Calibri" w:hAnsi="Calibri"/>
      <w:i/>
      <w:iCs/>
      <w:sz w:val="20"/>
      <w:szCs w:val="20"/>
    </w:rPr>
  </w:style>
  <w:style w:type="paragraph" w:styleId="21">
    <w:name w:val="Plain Text"/>
    <w:basedOn w:val="1"/>
    <w:link w:val="193"/>
    <w:qFormat/>
    <w:uiPriority w:val="0"/>
    <w:rPr>
      <w:rFonts w:ascii="宋体" w:hAnsi="Courier New" w:cs="Courier New"/>
      <w:szCs w:val="21"/>
    </w:rPr>
  </w:style>
  <w:style w:type="paragraph" w:styleId="22">
    <w:name w:val="toc 8"/>
    <w:basedOn w:val="1"/>
    <w:next w:val="1"/>
    <w:unhideWhenUsed/>
    <w:qFormat/>
    <w:uiPriority w:val="39"/>
    <w:pPr>
      <w:ind w:left="1470"/>
      <w:jc w:val="left"/>
    </w:pPr>
    <w:rPr>
      <w:rFonts w:ascii="Calibri" w:hAnsi="Calibri"/>
      <w:sz w:val="18"/>
      <w:szCs w:val="18"/>
    </w:rPr>
  </w:style>
  <w:style w:type="paragraph" w:styleId="23">
    <w:name w:val="Date"/>
    <w:basedOn w:val="1"/>
    <w:next w:val="1"/>
    <w:link w:val="265"/>
    <w:qFormat/>
    <w:uiPriority w:val="0"/>
    <w:pPr>
      <w:ind w:left="100" w:leftChars="2500"/>
    </w:pPr>
  </w:style>
  <w:style w:type="paragraph" w:styleId="24">
    <w:name w:val="Body Text Indent 2"/>
    <w:basedOn w:val="1"/>
    <w:link w:val="211"/>
    <w:qFormat/>
    <w:uiPriority w:val="0"/>
    <w:pPr>
      <w:spacing w:after="120" w:line="480" w:lineRule="auto"/>
      <w:ind w:left="420" w:leftChars="200"/>
    </w:pPr>
  </w:style>
  <w:style w:type="paragraph" w:styleId="25">
    <w:name w:val="Balloon Text"/>
    <w:basedOn w:val="1"/>
    <w:link w:val="239"/>
    <w:qFormat/>
    <w:uiPriority w:val="0"/>
    <w:rPr>
      <w:sz w:val="18"/>
      <w:szCs w:val="18"/>
    </w:rPr>
  </w:style>
  <w:style w:type="paragraph" w:styleId="26">
    <w:name w:val="footer"/>
    <w:basedOn w:val="1"/>
    <w:link w:val="189"/>
    <w:qFormat/>
    <w:uiPriority w:val="99"/>
    <w:pPr>
      <w:tabs>
        <w:tab w:val="center" w:pos="4153"/>
        <w:tab w:val="right" w:pos="8306"/>
      </w:tabs>
      <w:snapToGrid w:val="0"/>
      <w:jc w:val="left"/>
    </w:pPr>
    <w:rPr>
      <w:sz w:val="18"/>
      <w:szCs w:val="18"/>
    </w:rPr>
  </w:style>
  <w:style w:type="paragraph" w:styleId="27">
    <w:name w:val="header"/>
    <w:basedOn w:val="1"/>
    <w:link w:val="190"/>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before="120" w:after="120"/>
      <w:jc w:val="left"/>
    </w:pPr>
    <w:rPr>
      <w:rFonts w:ascii="Calibri" w:hAnsi="Calibri"/>
      <w:b/>
      <w:bCs/>
      <w:caps/>
      <w:sz w:val="20"/>
      <w:szCs w:val="20"/>
    </w:rPr>
  </w:style>
  <w:style w:type="paragraph" w:styleId="29">
    <w:name w:val="toc 4"/>
    <w:basedOn w:val="1"/>
    <w:next w:val="1"/>
    <w:unhideWhenUsed/>
    <w:qFormat/>
    <w:uiPriority w:val="39"/>
    <w:pPr>
      <w:ind w:left="630"/>
      <w:jc w:val="left"/>
    </w:pPr>
    <w:rPr>
      <w:rFonts w:ascii="Calibri" w:hAnsi="Calibri"/>
      <w:sz w:val="18"/>
      <w:szCs w:val="18"/>
    </w:rPr>
  </w:style>
  <w:style w:type="paragraph" w:styleId="30">
    <w:name w:val="Subtitle"/>
    <w:basedOn w:val="1"/>
    <w:next w:val="1"/>
    <w:link w:val="257"/>
    <w:qFormat/>
    <w:uiPriority w:val="0"/>
    <w:pPr>
      <w:spacing w:before="240" w:after="60" w:line="312" w:lineRule="auto"/>
      <w:ind w:firstLine="200" w:firstLineChars="200"/>
      <w:jc w:val="center"/>
      <w:outlineLvl w:val="1"/>
    </w:pPr>
    <w:rPr>
      <w:rFonts w:ascii="Cambria" w:hAnsi="Cambria"/>
      <w:b/>
      <w:bCs/>
      <w:kern w:val="28"/>
      <w:sz w:val="32"/>
      <w:szCs w:val="32"/>
    </w:rPr>
  </w:style>
  <w:style w:type="paragraph" w:styleId="31">
    <w:name w:val="List"/>
    <w:basedOn w:val="1"/>
    <w:qFormat/>
    <w:uiPriority w:val="0"/>
    <w:pPr>
      <w:ind w:left="200" w:hanging="200" w:hangingChars="200"/>
    </w:pPr>
  </w:style>
  <w:style w:type="paragraph" w:styleId="32">
    <w:name w:val="toc 6"/>
    <w:basedOn w:val="1"/>
    <w:next w:val="1"/>
    <w:unhideWhenUsed/>
    <w:qFormat/>
    <w:uiPriority w:val="39"/>
    <w:pPr>
      <w:ind w:left="1050"/>
      <w:jc w:val="left"/>
    </w:pPr>
    <w:rPr>
      <w:rFonts w:ascii="Calibri" w:hAnsi="Calibri"/>
      <w:sz w:val="18"/>
      <w:szCs w:val="18"/>
    </w:rPr>
  </w:style>
  <w:style w:type="paragraph" w:styleId="33">
    <w:name w:val="Body Text Indent 3"/>
    <w:basedOn w:val="1"/>
    <w:link w:val="264"/>
    <w:qFormat/>
    <w:uiPriority w:val="0"/>
    <w:pPr>
      <w:spacing w:after="120"/>
      <w:ind w:left="420" w:leftChars="200"/>
    </w:pPr>
    <w:rPr>
      <w:sz w:val="16"/>
      <w:szCs w:val="16"/>
    </w:rPr>
  </w:style>
  <w:style w:type="paragraph" w:styleId="34">
    <w:name w:val="toc 2"/>
    <w:basedOn w:val="1"/>
    <w:next w:val="1"/>
    <w:qFormat/>
    <w:uiPriority w:val="39"/>
    <w:pPr>
      <w:ind w:left="210"/>
      <w:jc w:val="left"/>
    </w:pPr>
    <w:rPr>
      <w:rFonts w:ascii="Calibri" w:hAnsi="Calibri"/>
      <w:smallCaps/>
      <w:sz w:val="20"/>
      <w:szCs w:val="20"/>
    </w:rPr>
  </w:style>
  <w:style w:type="paragraph" w:styleId="35">
    <w:name w:val="toc 9"/>
    <w:basedOn w:val="1"/>
    <w:next w:val="1"/>
    <w:unhideWhenUsed/>
    <w:qFormat/>
    <w:uiPriority w:val="39"/>
    <w:pPr>
      <w:ind w:left="1680"/>
      <w:jc w:val="left"/>
    </w:pPr>
    <w:rPr>
      <w:rFonts w:ascii="Calibri" w:hAnsi="Calibri"/>
      <w:sz w:val="18"/>
      <w:szCs w:val="18"/>
    </w:rPr>
  </w:style>
  <w:style w:type="paragraph" w:styleId="36">
    <w:name w:val="Body Text 2"/>
    <w:basedOn w:val="1"/>
    <w:link w:val="197"/>
    <w:qFormat/>
    <w:uiPriority w:val="0"/>
    <w:pPr>
      <w:spacing w:after="120" w:line="480" w:lineRule="auto"/>
    </w:pPr>
  </w:style>
  <w:style w:type="paragraph" w:styleId="3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8">
    <w:name w:val="Title"/>
    <w:basedOn w:val="1"/>
    <w:next w:val="1"/>
    <w:link w:val="217"/>
    <w:qFormat/>
    <w:uiPriority w:val="0"/>
    <w:pPr>
      <w:spacing w:line="360" w:lineRule="auto"/>
      <w:jc w:val="left"/>
      <w:outlineLvl w:val="0"/>
    </w:pPr>
    <w:rPr>
      <w:rFonts w:ascii="Cambria" w:hAnsi="Cambria" w:eastAsia="黑体"/>
      <w:b/>
      <w:bCs/>
      <w:sz w:val="36"/>
      <w:szCs w:val="32"/>
    </w:rPr>
  </w:style>
  <w:style w:type="paragraph" w:styleId="39">
    <w:name w:val="annotation subject"/>
    <w:basedOn w:val="15"/>
    <w:next w:val="15"/>
    <w:link w:val="235"/>
    <w:uiPriority w:val="0"/>
    <w:rPr>
      <w:b/>
      <w:bCs/>
    </w:rPr>
  </w:style>
  <w:style w:type="paragraph" w:styleId="40">
    <w:name w:val="Body Text First Indent"/>
    <w:basedOn w:val="17"/>
    <w:link w:val="267"/>
    <w:qFormat/>
    <w:uiPriority w:val="0"/>
    <w:pPr>
      <w:ind w:firstLine="420" w:firstLineChars="100"/>
    </w:pPr>
  </w:style>
  <w:style w:type="paragraph" w:styleId="41">
    <w:name w:val="Body Text First Indent 2"/>
    <w:basedOn w:val="18"/>
    <w:link w:val="220"/>
    <w:qFormat/>
    <w:uiPriority w:val="0"/>
    <w:pPr>
      <w:ind w:firstLine="420" w:firstLineChars="200"/>
    </w:pPr>
  </w:style>
  <w:style w:type="table" w:styleId="43">
    <w:name w:val="Table Grid"/>
    <w:basedOn w:val="42"/>
    <w:unhideWhenUsed/>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45">
    <w:name w:val="Strong"/>
    <w:qFormat/>
    <w:uiPriority w:val="0"/>
    <w:rPr>
      <w:b/>
      <w:bCs/>
    </w:rPr>
  </w:style>
  <w:style w:type="character" w:styleId="46">
    <w:name w:val="page number"/>
    <w:basedOn w:val="44"/>
    <w:qFormat/>
    <w:uiPriority w:val="0"/>
  </w:style>
  <w:style w:type="character" w:styleId="47">
    <w:name w:val="Hyperlink"/>
    <w:qFormat/>
    <w:uiPriority w:val="99"/>
    <w:rPr>
      <w:color w:val="0000FF"/>
      <w:u w:val="single"/>
    </w:rPr>
  </w:style>
  <w:style w:type="character" w:styleId="48">
    <w:name w:val="annotation reference"/>
    <w:qFormat/>
    <w:uiPriority w:val="99"/>
    <w:rPr>
      <w:sz w:val="21"/>
      <w:szCs w:val="21"/>
    </w:rPr>
  </w:style>
  <w:style w:type="paragraph" w:customStyle="1" w:styleId="49">
    <w:name w:val="Char Char7"/>
    <w:basedOn w:val="1"/>
    <w:qFormat/>
    <w:uiPriority w:val="0"/>
    <w:pPr>
      <w:widowControl/>
      <w:jc w:val="left"/>
    </w:pPr>
    <w:rPr>
      <w:rFonts w:ascii="宋体" w:hAnsi="宋体" w:cs="宋体"/>
      <w:kern w:val="0"/>
      <w:sz w:val="24"/>
    </w:rPr>
  </w:style>
  <w:style w:type="paragraph" w:customStyle="1" w:styleId="50">
    <w:name w:val="正文＿首行缩进 Char"/>
    <w:basedOn w:val="1"/>
    <w:link w:val="187"/>
    <w:qFormat/>
    <w:uiPriority w:val="0"/>
    <w:pPr>
      <w:ind w:firstLine="560" w:firstLineChars="200"/>
    </w:pPr>
    <w:rPr>
      <w:rFonts w:cs="宋体"/>
      <w:kern w:val="0"/>
      <w:sz w:val="28"/>
      <w:szCs w:val="20"/>
    </w:rPr>
  </w:style>
  <w:style w:type="paragraph" w:customStyle="1" w:styleId="51">
    <w:name w:val="表格+六号"/>
    <w:basedOn w:val="1"/>
    <w:next w:val="1"/>
    <w:qFormat/>
    <w:uiPriority w:val="0"/>
    <w:pPr>
      <w:spacing w:line="260" w:lineRule="exact"/>
      <w:jc w:val="center"/>
    </w:pPr>
    <w:rPr>
      <w:snapToGrid w:val="0"/>
      <w:kern w:val="0"/>
      <w:sz w:val="15"/>
      <w:szCs w:val="15"/>
    </w:rPr>
  </w:style>
  <w:style w:type="paragraph" w:customStyle="1" w:styleId="52">
    <w:name w:val="表格标题"/>
    <w:basedOn w:val="1"/>
    <w:next w:val="1"/>
    <w:link w:val="191"/>
    <w:qFormat/>
    <w:uiPriority w:val="0"/>
    <w:pPr>
      <w:spacing w:line="360" w:lineRule="auto"/>
      <w:jc w:val="center"/>
    </w:pPr>
    <w:rPr>
      <w:color w:val="000000"/>
      <w:kern w:val="0"/>
      <w:sz w:val="24"/>
    </w:rPr>
  </w:style>
  <w:style w:type="paragraph" w:customStyle="1" w:styleId="53">
    <w:name w:val="表格+五号"/>
    <w:basedOn w:val="1"/>
    <w:next w:val="1"/>
    <w:qFormat/>
    <w:uiPriority w:val="0"/>
    <w:pPr>
      <w:spacing w:line="300" w:lineRule="exact"/>
      <w:jc w:val="center"/>
    </w:pPr>
    <w:rPr>
      <w:snapToGrid w:val="0"/>
      <w:kern w:val="0"/>
      <w:szCs w:val="21"/>
    </w:rPr>
  </w:style>
  <w:style w:type="paragraph" w:customStyle="1" w:styleId="54">
    <w:name w:val="表格+小四"/>
    <w:basedOn w:val="1"/>
    <w:next w:val="1"/>
    <w:qFormat/>
    <w:uiPriority w:val="0"/>
    <w:pPr>
      <w:spacing w:line="320" w:lineRule="exact"/>
      <w:jc w:val="center"/>
    </w:pPr>
    <w:rPr>
      <w:color w:val="000000"/>
      <w:kern w:val="0"/>
      <w:sz w:val="24"/>
    </w:rPr>
  </w:style>
  <w:style w:type="paragraph" w:customStyle="1" w:styleId="55">
    <w:name w:val="表格"/>
    <w:basedOn w:val="21"/>
    <w:link w:val="223"/>
    <w:qFormat/>
    <w:uiPriority w:val="0"/>
    <w:pPr>
      <w:jc w:val="center"/>
      <w:textAlignment w:val="center"/>
    </w:pPr>
    <w:rPr>
      <w:rFonts w:ascii="Times New Roman" w:hAnsi="Times New Roman" w:cs="Times New Roman"/>
      <w:sz w:val="24"/>
    </w:rPr>
  </w:style>
  <w:style w:type="paragraph" w:customStyle="1" w:styleId="56">
    <w:name w:val="列出段落1"/>
    <w:basedOn w:val="1"/>
    <w:qFormat/>
    <w:uiPriority w:val="34"/>
    <w:pPr>
      <w:ind w:firstLine="420" w:firstLineChars="200"/>
    </w:pPr>
    <w:rPr>
      <w:rFonts w:ascii="Calibri" w:hAnsi="Calibri"/>
      <w:szCs w:val="22"/>
    </w:rPr>
  </w:style>
  <w:style w:type="paragraph" w:customStyle="1" w:styleId="57">
    <w:name w:val="正文1"/>
    <w:basedOn w:val="1"/>
    <w:link w:val="194"/>
    <w:qFormat/>
    <w:uiPriority w:val="0"/>
    <w:pPr>
      <w:spacing w:line="360" w:lineRule="auto"/>
    </w:pPr>
    <w:rPr>
      <w:snapToGrid w:val="0"/>
      <w:kern w:val="0"/>
      <w:sz w:val="24"/>
      <w:szCs w:val="28"/>
    </w:rPr>
  </w:style>
  <w:style w:type="paragraph" w:customStyle="1" w:styleId="58">
    <w:name w:val="表格2"/>
    <w:basedOn w:val="31"/>
    <w:next w:val="1"/>
    <w:link w:val="195"/>
    <w:uiPriority w:val="0"/>
    <w:pPr>
      <w:spacing w:line="320" w:lineRule="exact"/>
      <w:ind w:left="0" w:firstLine="0" w:firstLineChars="0"/>
      <w:jc w:val="center"/>
    </w:pPr>
  </w:style>
  <w:style w:type="paragraph" w:customStyle="1" w:styleId="59">
    <w:name w:val="表格文字"/>
    <w:basedOn w:val="1"/>
    <w:link w:val="228"/>
    <w:qFormat/>
    <w:uiPriority w:val="0"/>
    <w:pPr>
      <w:spacing w:line="320" w:lineRule="exact"/>
      <w:jc w:val="center"/>
    </w:pPr>
    <w:rPr>
      <w:sz w:val="24"/>
    </w:rPr>
  </w:style>
  <w:style w:type="paragraph" w:customStyle="1" w:styleId="60">
    <w:name w:val="表格+小五"/>
    <w:basedOn w:val="1"/>
    <w:next w:val="1"/>
    <w:qFormat/>
    <w:uiPriority w:val="0"/>
    <w:pPr>
      <w:spacing w:line="280" w:lineRule="exact"/>
      <w:jc w:val="center"/>
    </w:pPr>
    <w:rPr>
      <w:snapToGrid w:val="0"/>
      <w:kern w:val="0"/>
      <w:sz w:val="18"/>
      <w:szCs w:val="18"/>
    </w:rPr>
  </w:style>
  <w:style w:type="paragraph" w:customStyle="1" w:styleId="61">
    <w:name w:val="正文*"/>
    <w:basedOn w:val="1"/>
    <w:link w:val="198"/>
    <w:qFormat/>
    <w:uiPriority w:val="0"/>
    <w:pPr>
      <w:spacing w:line="500" w:lineRule="exact"/>
      <w:ind w:firstLine="588" w:firstLineChars="196"/>
    </w:pPr>
    <w:rPr>
      <w:rFonts w:eastAsia="楷体_GB2312"/>
      <w:sz w:val="30"/>
      <w:szCs w:val="30"/>
    </w:rPr>
  </w:style>
  <w:style w:type="paragraph" w:customStyle="1" w:styleId="62">
    <w:name w:val="样式 四号 行距: 固定值 30 磅"/>
    <w:basedOn w:val="1"/>
    <w:link w:val="199"/>
    <w:qFormat/>
    <w:uiPriority w:val="0"/>
    <w:pPr>
      <w:spacing w:line="500" w:lineRule="exact"/>
      <w:ind w:firstLine="480" w:firstLineChars="200"/>
    </w:pPr>
    <w:rPr>
      <w:rFonts w:ascii="宋体" w:hAnsi="宋体" w:cs="宋体"/>
      <w:sz w:val="24"/>
    </w:rPr>
  </w:style>
  <w:style w:type="paragraph" w:customStyle="1" w:styleId="63">
    <w:name w:val="表标题"/>
    <w:basedOn w:val="1"/>
    <w:next w:val="1"/>
    <w:link w:val="200"/>
    <w:qFormat/>
    <w:uiPriority w:val="0"/>
    <w:pPr>
      <w:adjustRightInd w:val="0"/>
      <w:snapToGrid w:val="0"/>
      <w:spacing w:beforeLines="50" w:afterLines="50"/>
      <w:ind w:right="238"/>
      <w:jc w:val="center"/>
      <w:textAlignment w:val="baseline"/>
    </w:pPr>
    <w:rPr>
      <w:b/>
      <w:sz w:val="24"/>
    </w:rPr>
  </w:style>
  <w:style w:type="paragraph" w:customStyle="1" w:styleId="64">
    <w:name w:val="样式 样式 样式 正文1 + 首行缩进:  2 字符 + (符号) 宋体 首行缩进:  2 字符 + 首行缩进:  2 字符"/>
    <w:basedOn w:val="1"/>
    <w:qFormat/>
    <w:uiPriority w:val="0"/>
    <w:pPr>
      <w:spacing w:line="360" w:lineRule="auto"/>
      <w:ind w:firstLine="480" w:firstLineChars="200"/>
    </w:pPr>
    <w:rPr>
      <w:rFonts w:ascii="宋体" w:hAnsi="宋体"/>
      <w:snapToGrid w:val="0"/>
      <w:sz w:val="24"/>
      <w:szCs w:val="20"/>
    </w:rPr>
  </w:style>
  <w:style w:type="paragraph" w:customStyle="1" w:styleId="65">
    <w:name w:val="A4页面"/>
    <w:basedOn w:val="1"/>
    <w:qFormat/>
    <w:uiPriority w:val="0"/>
    <w:pPr>
      <w:spacing w:line="560" w:lineRule="exact"/>
      <w:ind w:firstLine="640" w:firstLineChars="200"/>
    </w:pPr>
    <w:rPr>
      <w:rFonts w:eastAsia="仿宋_GB2312"/>
      <w:sz w:val="32"/>
      <w:szCs w:val="20"/>
    </w:rPr>
  </w:style>
  <w:style w:type="paragraph" w:customStyle="1" w:styleId="66">
    <w:name w:val="样式 表格1 + (符号) 宋体 黑色"/>
    <w:basedOn w:val="1"/>
    <w:link w:val="202"/>
    <w:qFormat/>
    <w:uiPriority w:val="0"/>
    <w:pPr>
      <w:tabs>
        <w:tab w:val="left" w:pos="1440"/>
        <w:tab w:val="left" w:pos="1680"/>
      </w:tabs>
      <w:adjustRightInd w:val="0"/>
      <w:jc w:val="center"/>
    </w:pPr>
    <w:rPr>
      <w:rFonts w:ascii="宋体" w:hAnsi="宋体"/>
      <w:color w:val="000000"/>
      <w:spacing w:val="-8"/>
      <w:szCs w:val="20"/>
    </w:rPr>
  </w:style>
  <w:style w:type="paragraph" w:customStyle="1" w:styleId="67">
    <w:name w:val="表格3"/>
    <w:basedOn w:val="1"/>
    <w:qFormat/>
    <w:uiPriority w:val="0"/>
    <w:pPr>
      <w:spacing w:line="320" w:lineRule="exact"/>
      <w:jc w:val="center"/>
    </w:pPr>
    <w:rPr>
      <w:rFonts w:cs="宋体"/>
      <w:sz w:val="18"/>
      <w:szCs w:val="20"/>
    </w:rPr>
  </w:style>
  <w:style w:type="paragraph" w:customStyle="1" w:styleId="68">
    <w:name w:val="样式 样式 表格1 + (符号) 宋体 黑色 + (西文) 仿宋_GB2312"/>
    <w:basedOn w:val="1"/>
    <w:qFormat/>
    <w:uiPriority w:val="0"/>
    <w:pPr>
      <w:tabs>
        <w:tab w:val="left" w:pos="1440"/>
        <w:tab w:val="left" w:pos="1680"/>
      </w:tabs>
      <w:adjustRightInd w:val="0"/>
      <w:jc w:val="center"/>
    </w:pPr>
    <w:rPr>
      <w:color w:val="000000"/>
      <w:spacing w:val="-8"/>
      <w:kern w:val="0"/>
      <w:szCs w:val="21"/>
    </w:rPr>
  </w:style>
  <w:style w:type="paragraph" w:customStyle="1" w:styleId="69">
    <w:name w:val="正文01"/>
    <w:basedOn w:val="1"/>
    <w:qFormat/>
    <w:uiPriority w:val="0"/>
    <w:pPr>
      <w:spacing w:before="60" w:line="460" w:lineRule="exact"/>
      <w:ind w:firstLine="200" w:firstLineChars="200"/>
    </w:pPr>
    <w:rPr>
      <w:rFonts w:ascii="Arial" w:hAnsi="Arial"/>
      <w:bCs/>
      <w:sz w:val="24"/>
      <w:szCs w:val="28"/>
    </w:rPr>
  </w:style>
  <w:style w:type="paragraph" w:customStyle="1" w:styleId="70">
    <w:name w:val="表格正文"/>
    <w:basedOn w:val="1"/>
    <w:qFormat/>
    <w:uiPriority w:val="0"/>
    <w:pPr>
      <w:spacing w:line="360" w:lineRule="exact"/>
      <w:jc w:val="center"/>
    </w:pPr>
    <w:rPr>
      <w:rFonts w:ascii="Arial" w:hAnsi="Arial"/>
      <w:bCs/>
      <w:szCs w:val="28"/>
    </w:rPr>
  </w:style>
  <w:style w:type="paragraph" w:customStyle="1" w:styleId="71">
    <w:name w:val="样式 正文1 + 首行缩进:  2 字符"/>
    <w:basedOn w:val="1"/>
    <w:link w:val="206"/>
    <w:qFormat/>
    <w:uiPriority w:val="0"/>
    <w:pPr>
      <w:spacing w:line="360" w:lineRule="auto"/>
      <w:ind w:firstLine="200" w:firstLineChars="200"/>
    </w:pPr>
    <w:rPr>
      <w:rFonts w:ascii="宋体"/>
      <w:sz w:val="24"/>
      <w:szCs w:val="20"/>
    </w:rPr>
  </w:style>
  <w:style w:type="paragraph" w:customStyle="1" w:styleId="72">
    <w:name w:val="表格1"/>
    <w:basedOn w:val="1"/>
    <w:qFormat/>
    <w:uiPriority w:val="0"/>
    <w:pPr>
      <w:tabs>
        <w:tab w:val="left" w:pos="1440"/>
        <w:tab w:val="left" w:pos="1680"/>
      </w:tabs>
      <w:adjustRightInd w:val="0"/>
      <w:snapToGrid w:val="0"/>
      <w:jc w:val="center"/>
    </w:pPr>
    <w:rPr>
      <w:rFonts w:ascii="宋体"/>
      <w:w w:val="95"/>
      <w:kern w:val="0"/>
      <w:szCs w:val="20"/>
    </w:rPr>
  </w:style>
  <w:style w:type="paragraph" w:customStyle="1" w:styleId="73">
    <w:name w:val="表目录"/>
    <w:basedOn w:val="1"/>
    <w:qFormat/>
    <w:uiPriority w:val="0"/>
    <w:pPr>
      <w:adjustRightInd w:val="0"/>
      <w:snapToGrid w:val="0"/>
      <w:spacing w:line="360" w:lineRule="auto"/>
    </w:pPr>
    <w:rPr>
      <w:rFonts w:ascii="黑体" w:eastAsia="黑体"/>
      <w:szCs w:val="21"/>
    </w:rPr>
  </w:style>
  <w:style w:type="paragraph" w:customStyle="1" w:styleId="74">
    <w:name w:val="图题"/>
    <w:basedOn w:val="1"/>
    <w:link w:val="207"/>
    <w:qFormat/>
    <w:uiPriority w:val="0"/>
    <w:pPr>
      <w:spacing w:afterLines="50"/>
      <w:jc w:val="center"/>
    </w:pPr>
    <w:rPr>
      <w:rFonts w:ascii="Arial" w:hAnsi="Arial"/>
      <w:b/>
      <w:sz w:val="24"/>
    </w:rPr>
  </w:style>
  <w:style w:type="paragraph" w:customStyle="1" w:styleId="75">
    <w:name w:val="Char"/>
    <w:basedOn w:val="1"/>
    <w:qFormat/>
    <w:uiPriority w:val="0"/>
    <w:pPr>
      <w:spacing w:line="360" w:lineRule="auto"/>
      <w:ind w:firstLine="200" w:firstLineChars="200"/>
    </w:pPr>
    <w:rPr>
      <w:b/>
      <w:kern w:val="0"/>
      <w:sz w:val="32"/>
      <w:szCs w:val="32"/>
    </w:rPr>
  </w:style>
  <w:style w:type="paragraph" w:customStyle="1" w:styleId="76">
    <w:name w:val="无悬挂正文5号"/>
    <w:basedOn w:val="1"/>
    <w:qFormat/>
    <w:uiPriority w:val="0"/>
    <w:pPr>
      <w:jc w:val="center"/>
    </w:pPr>
  </w:style>
  <w:style w:type="paragraph" w:customStyle="1" w:styleId="77">
    <w:name w:val="style7"/>
    <w:basedOn w:val="1"/>
    <w:qFormat/>
    <w:uiPriority w:val="0"/>
    <w:pPr>
      <w:widowControl/>
      <w:spacing w:before="100" w:beforeAutospacing="1" w:after="100" w:afterAutospacing="1"/>
      <w:jc w:val="left"/>
    </w:pPr>
    <w:rPr>
      <w:rFonts w:ascii="宋体" w:hAnsi="宋体" w:cs="宋体"/>
      <w:kern w:val="0"/>
      <w:sz w:val="23"/>
      <w:szCs w:val="23"/>
    </w:rPr>
  </w:style>
  <w:style w:type="paragraph" w:customStyle="1" w:styleId="78">
    <w:name w:val="Char Char Char Char"/>
    <w:basedOn w:val="1"/>
    <w:qFormat/>
    <w:uiPriority w:val="0"/>
  </w:style>
  <w:style w:type="paragraph" w:customStyle="1" w:styleId="79">
    <w:name w:val="Char Char Char1 Char Char Char Char Char Char Char"/>
    <w:basedOn w:val="1"/>
    <w:qFormat/>
    <w:uiPriority w:val="0"/>
  </w:style>
  <w:style w:type="paragraph" w:customStyle="1" w:styleId="80">
    <w:name w:val="表格文字1"/>
    <w:basedOn w:val="1"/>
    <w:qFormat/>
    <w:uiPriority w:val="0"/>
    <w:pPr>
      <w:snapToGrid w:val="0"/>
      <w:spacing w:line="360" w:lineRule="atLeast"/>
      <w:ind w:left="-133" w:leftChars="-64"/>
      <w:jc w:val="center"/>
    </w:pPr>
    <w:rPr>
      <w:caps/>
      <w:sz w:val="24"/>
      <w:szCs w:val="20"/>
    </w:rPr>
  </w:style>
  <w:style w:type="paragraph" w:customStyle="1" w:styleId="81">
    <w:name w:val="Char Char Char Char Char Char Char"/>
    <w:basedOn w:val="1"/>
    <w:qFormat/>
    <w:uiPriority w:val="0"/>
  </w:style>
  <w:style w:type="paragraph" w:customStyle="1" w:styleId="82">
    <w:name w:val="报告正文"/>
    <w:basedOn w:val="1"/>
    <w:link w:val="246"/>
    <w:qFormat/>
    <w:uiPriority w:val="0"/>
    <w:pPr>
      <w:adjustRightInd w:val="0"/>
      <w:snapToGrid w:val="0"/>
      <w:spacing w:line="480" w:lineRule="exact"/>
      <w:ind w:firstLine="560" w:firstLineChars="200"/>
    </w:pPr>
    <w:rPr>
      <w:sz w:val="28"/>
    </w:rPr>
  </w:style>
  <w:style w:type="paragraph" w:customStyle="1" w:styleId="83">
    <w:name w:val="WPS Plain"/>
    <w:qFormat/>
    <w:uiPriority w:val="0"/>
    <w:rPr>
      <w:rFonts w:ascii="Times New Roman" w:hAnsi="Times New Roman" w:eastAsia="宋体" w:cs="Times New Roman"/>
      <w:lang w:val="en-US" w:eastAsia="zh-CN" w:bidi="ar-SA"/>
    </w:rPr>
  </w:style>
  <w:style w:type="paragraph" w:customStyle="1" w:styleId="84">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8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6">
    <w:name w:val="样式 表格 32 + 首行缩进:  2 字符"/>
    <w:basedOn w:val="1"/>
    <w:qFormat/>
    <w:uiPriority w:val="0"/>
    <w:pPr>
      <w:autoSpaceDE w:val="0"/>
      <w:autoSpaceDN w:val="0"/>
      <w:adjustRightInd w:val="0"/>
      <w:spacing w:line="240" w:lineRule="atLeast"/>
      <w:jc w:val="center"/>
      <w:textAlignment w:val="baseline"/>
    </w:pPr>
    <w:rPr>
      <w:kern w:val="0"/>
      <w:szCs w:val="21"/>
    </w:rPr>
  </w:style>
  <w:style w:type="paragraph" w:customStyle="1" w:styleId="87">
    <w:name w:val="表"/>
    <w:basedOn w:val="1"/>
    <w:qFormat/>
    <w:uiPriority w:val="0"/>
    <w:pPr>
      <w:tabs>
        <w:tab w:val="left" w:pos="1080"/>
      </w:tabs>
      <w:adjustRightInd w:val="0"/>
      <w:spacing w:line="360" w:lineRule="auto"/>
      <w:ind w:left="1080" w:firstLine="510"/>
      <w:jc w:val="center"/>
      <w:textAlignment w:val="baseline"/>
    </w:pPr>
    <w:rPr>
      <w:rFonts w:ascii="Century Gothic" w:hAnsi="Century Gothic"/>
      <w:kern w:val="0"/>
      <w:sz w:val="20"/>
      <w:szCs w:val="20"/>
    </w:rPr>
  </w:style>
  <w:style w:type="paragraph" w:customStyle="1" w:styleId="88">
    <w:name w:val="Char Char1 Char Char Char Char"/>
    <w:basedOn w:val="1"/>
    <w:qFormat/>
    <w:uiPriority w:val="0"/>
  </w:style>
  <w:style w:type="paragraph" w:customStyle="1" w:styleId="89">
    <w:name w:val="font9"/>
    <w:basedOn w:val="1"/>
    <w:qFormat/>
    <w:uiPriority w:val="0"/>
    <w:pPr>
      <w:widowControl/>
      <w:spacing w:before="100" w:beforeAutospacing="1" w:after="100" w:afterAutospacing="1"/>
      <w:jc w:val="left"/>
    </w:pPr>
    <w:rPr>
      <w:rFonts w:hint="eastAsia" w:ascii="宋体" w:hAnsi="宋体"/>
      <w:color w:val="FF0000"/>
      <w:kern w:val="0"/>
      <w:sz w:val="22"/>
      <w:szCs w:val="22"/>
    </w:rPr>
  </w:style>
  <w:style w:type="paragraph" w:customStyle="1" w:styleId="90">
    <w:name w:val="Char Char1 Char Char Char Char Char Char Char Char Char Char"/>
    <w:basedOn w:val="1"/>
    <w:qFormat/>
    <w:uiPriority w:val="0"/>
  </w:style>
  <w:style w:type="paragraph" w:customStyle="1" w:styleId="91">
    <w:name w:val="标题5"/>
    <w:basedOn w:val="1"/>
    <w:qFormat/>
    <w:uiPriority w:val="0"/>
    <w:pPr>
      <w:adjustRightInd w:val="0"/>
      <w:snapToGrid w:val="0"/>
      <w:spacing w:line="520" w:lineRule="atLeast"/>
      <w:ind w:firstLine="567"/>
    </w:pPr>
    <w:rPr>
      <w:b/>
      <w:i/>
      <w:color w:val="000000"/>
      <w:sz w:val="24"/>
    </w:rPr>
  </w:style>
  <w:style w:type="paragraph" w:customStyle="1" w:styleId="92">
    <w:name w:val="默认段落字体 Para Char Char Char Char"/>
    <w:basedOn w:val="1"/>
    <w:qFormat/>
    <w:uiPriority w:val="0"/>
    <w:rPr>
      <w:sz w:val="24"/>
    </w:rPr>
  </w:style>
  <w:style w:type="paragraph" w:customStyle="1" w:styleId="93">
    <w:name w:val="p0"/>
    <w:basedOn w:val="1"/>
    <w:qFormat/>
    <w:uiPriority w:val="0"/>
    <w:pPr>
      <w:widowControl/>
    </w:pPr>
    <w:rPr>
      <w:rFonts w:ascii="宋体" w:hAnsi="宋体"/>
      <w:color w:val="000000"/>
      <w:kern w:val="0"/>
      <w:szCs w:val="20"/>
    </w:rPr>
  </w:style>
  <w:style w:type="paragraph" w:customStyle="1" w:styleId="94">
    <w:name w:val="Char Char Char4 Char Char Char Char Char Char1 Char Char Char Char Char Char1 Char Char Char Char Char Char Char Char Char Char"/>
    <w:basedOn w:val="1"/>
    <w:qFormat/>
    <w:uiPriority w:val="0"/>
    <w:rPr>
      <w:rFonts w:eastAsia="黑体"/>
      <w:sz w:val="24"/>
    </w:rPr>
  </w:style>
  <w:style w:type="paragraph" w:customStyle="1" w:styleId="95">
    <w:name w:val="Char Char Char Char Char Char Char Char Char Char Char Char Char"/>
    <w:basedOn w:val="1"/>
    <w:qFormat/>
    <w:uiPriority w:val="0"/>
    <w:rPr>
      <w:sz w:val="28"/>
    </w:rPr>
  </w:style>
  <w:style w:type="paragraph" w:customStyle="1" w:styleId="96">
    <w:name w:val="Char Char Char Char1"/>
    <w:basedOn w:val="1"/>
    <w:qFormat/>
    <w:uiPriority w:val="0"/>
  </w:style>
  <w:style w:type="paragraph" w:customStyle="1" w:styleId="97">
    <w:name w:val="样式 样式 小四 段前: 7.8 磅 段后: 7.8 磅 行距: 1.5 倍行距 + 首行缩进:  2 字符"/>
    <w:basedOn w:val="1"/>
    <w:link w:val="259"/>
    <w:qFormat/>
    <w:uiPriority w:val="0"/>
    <w:pPr>
      <w:spacing w:line="360" w:lineRule="auto"/>
      <w:ind w:firstLine="482" w:firstLineChars="200"/>
      <w:jc w:val="center"/>
    </w:pPr>
    <w:rPr>
      <w:rFonts w:hAnsi="宋体"/>
      <w:b/>
      <w:sz w:val="24"/>
    </w:rPr>
  </w:style>
  <w:style w:type="paragraph" w:customStyle="1" w:styleId="98">
    <w:name w:val="表题1"/>
    <w:basedOn w:val="1"/>
    <w:qFormat/>
    <w:uiPriority w:val="0"/>
    <w:pPr>
      <w:spacing w:beforeLines="50"/>
      <w:jc w:val="center"/>
    </w:pPr>
    <w:rPr>
      <w:b/>
      <w:sz w:val="24"/>
    </w:rPr>
  </w:style>
  <w:style w:type="paragraph" w:customStyle="1" w:styleId="99">
    <w:name w:val="Char Char Char Char Char Char"/>
    <w:basedOn w:val="1"/>
    <w:next w:val="2"/>
    <w:qFormat/>
    <w:uiPriority w:val="0"/>
    <w:rPr>
      <w:sz w:val="28"/>
      <w:szCs w:val="28"/>
    </w:rPr>
  </w:style>
  <w:style w:type="paragraph" w:customStyle="1" w:styleId="100">
    <w:name w:val="_Style 33"/>
    <w:basedOn w:val="1"/>
    <w:qFormat/>
    <w:uiPriority w:val="0"/>
    <w:pPr>
      <w:keepNext/>
      <w:widowControl/>
      <w:tabs>
        <w:tab w:val="left" w:pos="3780"/>
        <w:tab w:val="left" w:pos="4500"/>
      </w:tabs>
      <w:autoSpaceDE w:val="0"/>
      <w:autoSpaceDN w:val="0"/>
      <w:adjustRightInd w:val="0"/>
      <w:spacing w:before="80" w:after="80"/>
      <w:ind w:left="3780" w:hanging="420"/>
    </w:pPr>
    <w:rPr>
      <w:color w:val="000000"/>
      <w:kern w:val="0"/>
      <w:szCs w:val="20"/>
    </w:rPr>
  </w:style>
  <w:style w:type="paragraph" w:customStyle="1" w:styleId="101">
    <w:name w:val="TOC 标题1"/>
    <w:basedOn w:val="3"/>
    <w:next w:val="1"/>
    <w:qFormat/>
    <w:uiPriority w:val="0"/>
    <w:pPr>
      <w:widowControl/>
      <w:spacing w:before="480" w:line="276" w:lineRule="auto"/>
      <w:jc w:val="left"/>
      <w:outlineLvl w:val="9"/>
    </w:pPr>
    <w:rPr>
      <w:rFonts w:ascii="Cambria" w:hAnsi="Cambria"/>
      <w:color w:val="365F91"/>
      <w:kern w:val="0"/>
      <w:sz w:val="28"/>
      <w:szCs w:val="28"/>
    </w:rPr>
  </w:style>
  <w:style w:type="paragraph" w:customStyle="1" w:styleId="102">
    <w:name w:val="1级标题"/>
    <w:basedOn w:val="3"/>
    <w:qFormat/>
    <w:uiPriority w:val="0"/>
    <w:pPr>
      <w:snapToGrid w:val="0"/>
      <w:spacing w:line="460" w:lineRule="exact"/>
    </w:pPr>
    <w:rPr>
      <w:rFonts w:cs="宋体"/>
      <w:sz w:val="32"/>
      <w:szCs w:val="20"/>
    </w:rPr>
  </w:style>
  <w:style w:type="paragraph" w:customStyle="1" w:styleId="103">
    <w:name w:val="2级标题"/>
    <w:basedOn w:val="4"/>
    <w:qFormat/>
    <w:uiPriority w:val="0"/>
    <w:pPr>
      <w:snapToGrid w:val="0"/>
      <w:spacing w:before="100" w:beforeAutospacing="1" w:after="100" w:afterAutospacing="1" w:line="240" w:lineRule="auto"/>
    </w:pPr>
    <w:rPr>
      <w:rFonts w:ascii="Cambria" w:hAnsi="Cambria" w:eastAsia="宋体" w:cs="宋体"/>
      <w:szCs w:val="20"/>
    </w:rPr>
  </w:style>
  <w:style w:type="paragraph" w:customStyle="1" w:styleId="104">
    <w:name w:val="标题4"/>
    <w:basedOn w:val="1"/>
    <w:qFormat/>
    <w:uiPriority w:val="0"/>
    <w:pPr>
      <w:adjustRightInd w:val="0"/>
      <w:snapToGrid w:val="0"/>
      <w:spacing w:line="560" w:lineRule="exact"/>
      <w:ind w:firstLine="482" w:firstLineChars="200"/>
      <w:jc w:val="left"/>
      <w:outlineLvl w:val="3"/>
    </w:pPr>
    <w:rPr>
      <w:rFonts w:ascii="宋体" w:hAnsi="宋体"/>
      <w:b/>
      <w:bCs/>
      <w:sz w:val="24"/>
      <w:szCs w:val="20"/>
    </w:rPr>
  </w:style>
  <w:style w:type="paragraph" w:customStyle="1" w:styleId="105">
    <w:name w:val="3级标题"/>
    <w:basedOn w:val="5"/>
    <w:qFormat/>
    <w:uiPriority w:val="0"/>
    <w:pPr>
      <w:spacing w:before="0" w:after="0" w:line="360" w:lineRule="auto"/>
      <w:jc w:val="left"/>
    </w:pPr>
    <w:rPr>
      <w:rFonts w:cs="宋体"/>
      <w:bCs w:val="0"/>
      <w:sz w:val="28"/>
      <w:szCs w:val="20"/>
    </w:rPr>
  </w:style>
  <w:style w:type="paragraph" w:customStyle="1" w:styleId="106">
    <w:name w:val="无间隔1"/>
    <w:link w:val="2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7">
    <w:name w:val="样式 无间隔 + (西文) 宋体 小四"/>
    <w:basedOn w:val="106"/>
    <w:link w:val="222"/>
    <w:qFormat/>
    <w:uiPriority w:val="0"/>
    <w:rPr>
      <w:rFonts w:ascii="宋体" w:hAnsi="宋体"/>
      <w:sz w:val="24"/>
    </w:rPr>
  </w:style>
  <w:style w:type="paragraph" w:customStyle="1" w:styleId="108">
    <w:name w:val="环报告正文"/>
    <w:basedOn w:val="1"/>
    <w:link w:val="225"/>
    <w:qFormat/>
    <w:uiPriority w:val="0"/>
    <w:pPr>
      <w:spacing w:line="360" w:lineRule="auto"/>
      <w:ind w:firstLine="480" w:firstLineChars="200"/>
      <w:jc w:val="left"/>
    </w:pPr>
    <w:rPr>
      <w:rFonts w:hAnsi="Calibri"/>
      <w:sz w:val="24"/>
      <w:szCs w:val="20"/>
    </w:rPr>
  </w:style>
  <w:style w:type="paragraph" w:customStyle="1" w:styleId="109">
    <w:name w:val="样式17"/>
    <w:basedOn w:val="1"/>
    <w:link w:val="226"/>
    <w:qFormat/>
    <w:uiPriority w:val="0"/>
    <w:pPr>
      <w:spacing w:line="400" w:lineRule="exact"/>
      <w:ind w:firstLine="200" w:firstLineChars="200"/>
    </w:pPr>
    <w:rPr>
      <w:spacing w:val="20"/>
      <w:sz w:val="24"/>
      <w:szCs w:val="20"/>
    </w:rPr>
  </w:style>
  <w:style w:type="paragraph" w:customStyle="1" w:styleId="110">
    <w:name w:val="哈电正文"/>
    <w:basedOn w:val="1"/>
    <w:link w:val="227"/>
    <w:qFormat/>
    <w:uiPriority w:val="0"/>
    <w:pPr>
      <w:adjustRightInd w:val="0"/>
      <w:snapToGrid w:val="0"/>
      <w:spacing w:line="360" w:lineRule="auto"/>
      <w:ind w:firstLine="480" w:firstLineChars="200"/>
    </w:pPr>
    <w:rPr>
      <w:rFonts w:ascii="宋体"/>
      <w:sz w:val="24"/>
    </w:rPr>
  </w:style>
  <w:style w:type="paragraph" w:customStyle="1" w:styleId="111">
    <w:name w:val="正文样式1"/>
    <w:basedOn w:val="1"/>
    <w:qFormat/>
    <w:uiPriority w:val="0"/>
    <w:pPr>
      <w:adjustRightInd w:val="0"/>
      <w:spacing w:line="288" w:lineRule="auto"/>
      <w:ind w:firstLine="360" w:firstLineChars="150"/>
      <w:textAlignment w:val="baseline"/>
    </w:pPr>
    <w:rPr>
      <w:kern w:val="0"/>
      <w:sz w:val="24"/>
      <w:szCs w:val="20"/>
    </w:rPr>
  </w:style>
  <w:style w:type="paragraph" w:customStyle="1" w:styleId="112">
    <w:name w:val="样式 标题 4 + 段前: 0.5 行 段后: 0.5 行"/>
    <w:basedOn w:val="6"/>
    <w:qFormat/>
    <w:uiPriority w:val="0"/>
    <w:pPr>
      <w:spacing w:line="240" w:lineRule="auto"/>
    </w:pPr>
    <w:rPr>
      <w:rFonts w:ascii="黑体" w:hAnsi="Courier New"/>
      <w:b w:val="0"/>
      <w:bCs w:val="0"/>
      <w:spacing w:val="0"/>
      <w:kern w:val="44"/>
      <w:sz w:val="24"/>
    </w:rPr>
  </w:style>
  <w:style w:type="paragraph" w:customStyle="1" w:styleId="113">
    <w:name w:val="CJ 文本111"/>
    <w:basedOn w:val="18"/>
    <w:link w:val="230"/>
    <w:qFormat/>
    <w:uiPriority w:val="0"/>
    <w:pPr>
      <w:spacing w:after="0" w:line="360" w:lineRule="auto"/>
      <w:ind w:left="0" w:leftChars="0" w:firstLine="200" w:firstLineChars="200"/>
      <w:jc w:val="left"/>
    </w:pPr>
    <w:rPr>
      <w:sz w:val="24"/>
    </w:rPr>
  </w:style>
  <w:style w:type="paragraph" w:customStyle="1" w:styleId="114">
    <w:name w:val="F正文"/>
    <w:basedOn w:val="1"/>
    <w:link w:val="231"/>
    <w:qFormat/>
    <w:uiPriority w:val="0"/>
    <w:pPr>
      <w:spacing w:line="360" w:lineRule="auto"/>
      <w:ind w:firstLine="480" w:firstLineChars="200"/>
      <w:jc w:val="left"/>
    </w:pPr>
    <w:rPr>
      <w:kern w:val="0"/>
      <w:sz w:val="24"/>
    </w:rPr>
  </w:style>
  <w:style w:type="paragraph" w:customStyle="1" w:styleId="115">
    <w:name w:val="四号小标题"/>
    <w:basedOn w:val="114"/>
    <w:qFormat/>
    <w:uiPriority w:val="0"/>
    <w:pPr>
      <w:ind w:firstLine="482"/>
    </w:pPr>
    <w:rPr>
      <w:b/>
      <w:color w:val="000000"/>
    </w:rPr>
  </w:style>
  <w:style w:type="paragraph" w:customStyle="1" w:styleId="116">
    <w:name w:val="正文▲"/>
    <w:link w:val="232"/>
    <w:qFormat/>
    <w:uiPriority w:val="0"/>
    <w:pPr>
      <w:spacing w:line="360" w:lineRule="auto"/>
      <w:ind w:firstLine="200" w:firstLineChars="200"/>
    </w:pPr>
    <w:rPr>
      <w:rFonts w:ascii="Times New Roman" w:hAnsi="Times New Roman" w:eastAsia="宋体" w:cs="Times New Roman"/>
      <w:color w:val="000000"/>
      <w:kern w:val="2"/>
      <w:sz w:val="24"/>
      <w:szCs w:val="24"/>
      <w:lang w:val="en-US" w:eastAsia="zh-CN" w:bidi="ar-SA"/>
    </w:rPr>
  </w:style>
  <w:style w:type="paragraph" w:customStyle="1" w:styleId="117">
    <w:name w:val="样式1"/>
    <w:basedOn w:val="28"/>
    <w:link w:val="236"/>
    <w:qFormat/>
    <w:uiPriority w:val="0"/>
    <w:pPr>
      <w:spacing w:before="0" w:after="0" w:line="400" w:lineRule="exact"/>
      <w:ind w:firstLine="480"/>
      <w:jc w:val="both"/>
    </w:pPr>
    <w:rPr>
      <w:rFonts w:ascii="Times New Roman" w:hAnsi="Times New Roman"/>
      <w:b w:val="0"/>
      <w:caps w:val="0"/>
      <w:spacing w:val="20"/>
      <w:kern w:val="0"/>
      <w:sz w:val="28"/>
      <w:szCs w:val="28"/>
    </w:rPr>
  </w:style>
  <w:style w:type="paragraph" w:customStyle="1" w:styleId="118">
    <w:name w:val="样式 正文（首行缩进两字） + 宋体"/>
    <w:basedOn w:val="11"/>
    <w:qFormat/>
    <w:uiPriority w:val="0"/>
    <w:pPr>
      <w:adjustRightInd w:val="0"/>
      <w:spacing w:line="440" w:lineRule="exact"/>
      <w:ind w:firstLine="0" w:firstLineChars="0"/>
      <w:jc w:val="center"/>
    </w:pPr>
    <w:rPr>
      <w:rFonts w:ascii="宋体" w:hAnsi="宋体"/>
      <w:spacing w:val="20"/>
      <w:sz w:val="24"/>
    </w:rPr>
  </w:style>
  <w:style w:type="paragraph" w:customStyle="1" w:styleId="119">
    <w:name w:val="样式6"/>
    <w:basedOn w:val="21"/>
    <w:qFormat/>
    <w:uiPriority w:val="0"/>
    <w:pPr>
      <w:tabs>
        <w:tab w:val="left" w:pos="-280"/>
        <w:tab w:val="left" w:pos="-220"/>
      </w:tabs>
    </w:pPr>
    <w:rPr>
      <w:rFonts w:ascii="Times New Roman" w:hAnsi="Times New Roman" w:cs="Times New Roman"/>
      <w:sz w:val="24"/>
      <w:szCs w:val="20"/>
    </w:rPr>
  </w:style>
  <w:style w:type="paragraph" w:customStyle="1" w:styleId="120">
    <w:name w:val="样式2"/>
    <w:basedOn w:val="1"/>
    <w:link w:val="249"/>
    <w:qFormat/>
    <w:uiPriority w:val="0"/>
    <w:pPr>
      <w:tabs>
        <w:tab w:val="left" w:pos="1407"/>
      </w:tabs>
      <w:autoSpaceDE w:val="0"/>
      <w:adjustRightInd w:val="0"/>
      <w:snapToGrid w:val="0"/>
      <w:spacing w:before="60" w:line="300" w:lineRule="auto"/>
    </w:pPr>
    <w:rPr>
      <w:spacing w:val="20"/>
      <w:sz w:val="24"/>
    </w:rPr>
  </w:style>
  <w:style w:type="paragraph" w:customStyle="1" w:styleId="121">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22">
    <w:name w:val="报告表格"/>
    <w:basedOn w:val="1"/>
    <w:link w:val="237"/>
    <w:qFormat/>
    <w:uiPriority w:val="0"/>
    <w:pPr>
      <w:autoSpaceDE w:val="0"/>
      <w:autoSpaceDN w:val="0"/>
      <w:adjustRightInd w:val="0"/>
      <w:spacing w:before="40" w:after="40"/>
      <w:jc w:val="center"/>
    </w:pPr>
    <w:rPr>
      <w:kern w:val="0"/>
      <w:szCs w:val="20"/>
    </w:rPr>
  </w:style>
  <w:style w:type="paragraph" w:customStyle="1" w:styleId="123">
    <w:name w:val="小标题"/>
    <w:basedOn w:val="1"/>
    <w:qFormat/>
    <w:uiPriority w:val="0"/>
    <w:pPr>
      <w:spacing w:line="360" w:lineRule="auto"/>
    </w:pPr>
    <w:rPr>
      <w:rFonts w:ascii="黑体" w:hAnsi="宋体"/>
      <w:b/>
      <w:bCs/>
      <w:sz w:val="24"/>
      <w:szCs w:val="20"/>
    </w:rPr>
  </w:style>
  <w:style w:type="paragraph" w:customStyle="1" w:styleId="124">
    <w:name w:val="论文小标题"/>
    <w:basedOn w:val="1"/>
    <w:qFormat/>
    <w:uiPriority w:val="0"/>
    <w:pPr>
      <w:adjustRightInd w:val="0"/>
      <w:snapToGrid w:val="0"/>
      <w:spacing w:line="360" w:lineRule="auto"/>
      <w:ind w:firstLine="482" w:firstLineChars="200"/>
    </w:pPr>
    <w:rPr>
      <w:rFonts w:ascii="宋体" w:hAnsi="宋体"/>
      <w:b/>
      <w:bCs/>
      <w:color w:val="000000"/>
      <w:sz w:val="24"/>
      <w:szCs w:val="36"/>
    </w:rPr>
  </w:style>
  <w:style w:type="paragraph" w:customStyle="1" w:styleId="125">
    <w:name w:val="论文正文"/>
    <w:basedOn w:val="1"/>
    <w:qFormat/>
    <w:uiPriority w:val="0"/>
    <w:pPr>
      <w:adjustRightInd w:val="0"/>
      <w:snapToGrid w:val="0"/>
      <w:jc w:val="center"/>
    </w:pPr>
    <w:rPr>
      <w:bCs/>
      <w:snapToGrid w:val="0"/>
      <w:color w:val="000000"/>
      <w:szCs w:val="21"/>
      <w:lang w:val="zh-CN"/>
    </w:rPr>
  </w:style>
  <w:style w:type="paragraph" w:customStyle="1" w:styleId="126">
    <w:name w:val="样式 要点 + 宋体 小四 加粗"/>
    <w:basedOn w:val="1"/>
    <w:qFormat/>
    <w:uiPriority w:val="0"/>
    <w:pPr>
      <w:spacing w:beforeLines="50" w:afterLines="50" w:line="360" w:lineRule="auto"/>
      <w:ind w:firstLine="200" w:firstLineChars="200"/>
    </w:pPr>
    <w:rPr>
      <w:rFonts w:ascii="宋体" w:hAnsi="宋体"/>
      <w:b/>
      <w:bCs/>
      <w:sz w:val="24"/>
      <w:szCs w:val="20"/>
    </w:rPr>
  </w:style>
  <w:style w:type="paragraph" w:customStyle="1" w:styleId="127">
    <w:name w:val="样式 样式2 + 宋体"/>
    <w:basedOn w:val="99"/>
    <w:qFormat/>
    <w:uiPriority w:val="0"/>
  </w:style>
  <w:style w:type="paragraph" w:customStyle="1" w:styleId="128">
    <w:name w:val="报告书标题3"/>
    <w:basedOn w:val="1"/>
    <w:qFormat/>
    <w:uiPriority w:val="0"/>
    <w:pPr>
      <w:adjustRightInd w:val="0"/>
      <w:snapToGrid w:val="0"/>
      <w:spacing w:line="360" w:lineRule="auto"/>
      <w:outlineLvl w:val="2"/>
    </w:pPr>
    <w:rPr>
      <w:b/>
      <w:bCs/>
      <w:kern w:val="0"/>
      <w:sz w:val="28"/>
      <w:szCs w:val="28"/>
    </w:rPr>
  </w:style>
  <w:style w:type="paragraph" w:customStyle="1" w:styleId="129">
    <w:name w:val="加粗小标题"/>
    <w:basedOn w:val="1"/>
    <w:qFormat/>
    <w:uiPriority w:val="0"/>
    <w:pPr>
      <w:adjustRightInd w:val="0"/>
      <w:snapToGrid w:val="0"/>
      <w:spacing w:line="360" w:lineRule="auto"/>
      <w:ind w:firstLine="353" w:firstLineChars="147"/>
    </w:pPr>
    <w:rPr>
      <w:rFonts w:ascii="Calibri" w:hAnsi="Calibri"/>
      <w:kern w:val="0"/>
      <w:sz w:val="24"/>
      <w:szCs w:val="22"/>
    </w:rPr>
  </w:style>
  <w:style w:type="paragraph" w:customStyle="1" w:styleId="130">
    <w:name w:val="样式 表格 + 宋体"/>
    <w:basedOn w:val="1"/>
    <w:link w:val="240"/>
    <w:qFormat/>
    <w:uiPriority w:val="0"/>
    <w:pPr>
      <w:spacing w:line="312" w:lineRule="auto"/>
    </w:pPr>
    <w:rPr>
      <w:rFonts w:ascii="宋体" w:hAnsi="宋体"/>
      <w:color w:val="FF0000"/>
      <w:szCs w:val="21"/>
    </w:rPr>
  </w:style>
  <w:style w:type="paragraph" w:customStyle="1" w:styleId="131">
    <w:name w:val="样式4   1"/>
    <w:basedOn w:val="1"/>
    <w:link w:val="241"/>
    <w:qFormat/>
    <w:uiPriority w:val="0"/>
    <w:pPr>
      <w:spacing w:line="360" w:lineRule="auto"/>
      <w:outlineLvl w:val="0"/>
    </w:pPr>
    <w:rPr>
      <w:rFonts w:ascii="Calibri" w:hAnsi="Calibri"/>
      <w:b/>
      <w:sz w:val="32"/>
      <w:szCs w:val="32"/>
    </w:rPr>
  </w:style>
  <w:style w:type="paragraph" w:customStyle="1" w:styleId="132">
    <w:name w:val="王勇"/>
    <w:basedOn w:val="1"/>
    <w:link w:val="242"/>
    <w:qFormat/>
    <w:uiPriority w:val="0"/>
    <w:pPr>
      <w:spacing w:line="360" w:lineRule="auto"/>
      <w:ind w:firstLine="200" w:firstLineChars="200"/>
    </w:pPr>
    <w:rPr>
      <w:sz w:val="24"/>
    </w:rPr>
  </w:style>
  <w:style w:type="paragraph" w:customStyle="1" w:styleId="133">
    <w:name w:val="报告标题2"/>
    <w:basedOn w:val="1"/>
    <w:qFormat/>
    <w:uiPriority w:val="0"/>
    <w:pPr>
      <w:widowControl/>
      <w:adjustRightInd w:val="0"/>
      <w:snapToGrid w:val="0"/>
      <w:spacing w:line="360" w:lineRule="auto"/>
      <w:outlineLvl w:val="1"/>
    </w:pPr>
    <w:rPr>
      <w:b/>
      <w:sz w:val="30"/>
      <w:szCs w:val="30"/>
    </w:rPr>
  </w:style>
  <w:style w:type="paragraph" w:customStyle="1" w:styleId="134">
    <w:name w:val="样式3"/>
    <w:basedOn w:val="1"/>
    <w:link w:val="243"/>
    <w:qFormat/>
    <w:uiPriority w:val="0"/>
    <w:pPr>
      <w:widowControl/>
      <w:spacing w:line="360" w:lineRule="auto"/>
      <w:jc w:val="left"/>
      <w:outlineLvl w:val="2"/>
    </w:pPr>
    <w:rPr>
      <w:b/>
      <w:kern w:val="0"/>
      <w:sz w:val="28"/>
    </w:rPr>
  </w:style>
  <w:style w:type="paragraph" w:customStyle="1" w:styleId="135">
    <w:name w:val="gyy正文文字"/>
    <w:basedOn w:val="1"/>
    <w:qFormat/>
    <w:uiPriority w:val="0"/>
    <w:pPr>
      <w:spacing w:line="360" w:lineRule="auto"/>
      <w:ind w:firstLine="471"/>
    </w:pPr>
    <w:rPr>
      <w:rFonts w:cs="宋体"/>
      <w:color w:val="000000"/>
      <w:spacing w:val="14"/>
      <w:sz w:val="24"/>
    </w:rPr>
  </w:style>
  <w:style w:type="paragraph" w:customStyle="1" w:styleId="136">
    <w:name w:val="样式 加粗小标题 + 首行缩进:  2 字符"/>
    <w:basedOn w:val="1"/>
    <w:qFormat/>
    <w:uiPriority w:val="0"/>
    <w:pPr>
      <w:adjustRightInd w:val="0"/>
      <w:snapToGrid w:val="0"/>
      <w:spacing w:line="360" w:lineRule="auto"/>
    </w:pPr>
    <w:rPr>
      <w:rFonts w:ascii="宋体" w:hAnsi="宋体" w:cs="宋体"/>
      <w:b/>
      <w:bCs/>
      <w:color w:val="000000"/>
      <w:kern w:val="0"/>
      <w:sz w:val="18"/>
      <w:szCs w:val="18"/>
    </w:rPr>
  </w:style>
  <w:style w:type="paragraph" w:customStyle="1" w:styleId="137">
    <w:name w:val="HZZH正文"/>
    <w:basedOn w:val="1"/>
    <w:link w:val="244"/>
    <w:qFormat/>
    <w:uiPriority w:val="0"/>
    <w:pPr>
      <w:widowControl/>
      <w:spacing w:line="360" w:lineRule="auto"/>
      <w:ind w:firstLine="560" w:firstLineChars="200"/>
      <w:jc w:val="left"/>
    </w:pPr>
    <w:rPr>
      <w:rFonts w:hAnsi="宋体"/>
      <w:kern w:val="0"/>
      <w:sz w:val="28"/>
      <w:szCs w:val="28"/>
    </w:rPr>
  </w:style>
  <w:style w:type="paragraph" w:customStyle="1" w:styleId="138">
    <w:name w:val="方案正文样式"/>
    <w:basedOn w:val="1"/>
    <w:link w:val="245"/>
    <w:qFormat/>
    <w:uiPriority w:val="0"/>
    <w:pPr>
      <w:adjustRightInd w:val="0"/>
      <w:snapToGrid w:val="0"/>
      <w:spacing w:line="360" w:lineRule="auto"/>
      <w:ind w:firstLine="454"/>
      <w:textAlignment w:val="baseline"/>
    </w:pPr>
    <w:rPr>
      <w:snapToGrid w:val="0"/>
      <w:kern w:val="0"/>
      <w:sz w:val="24"/>
    </w:rPr>
  </w:style>
  <w:style w:type="paragraph" w:customStyle="1" w:styleId="139">
    <w:name w:val="样式4"/>
    <w:basedOn w:val="1"/>
    <w:link w:val="247"/>
    <w:qFormat/>
    <w:uiPriority w:val="0"/>
    <w:pPr>
      <w:outlineLvl w:val="2"/>
    </w:pPr>
    <w:rPr>
      <w:szCs w:val="28"/>
    </w:rPr>
  </w:style>
  <w:style w:type="paragraph" w:customStyle="1" w:styleId="140">
    <w:name w:val="样式 表标题 + 段前: 0.5 行 段后: 0.5 行"/>
    <w:basedOn w:val="63"/>
    <w:qFormat/>
    <w:uiPriority w:val="0"/>
    <w:pPr>
      <w:spacing w:beforeLines="0" w:line="360" w:lineRule="auto"/>
      <w:ind w:right="0"/>
      <w:textAlignment w:val="auto"/>
    </w:pPr>
    <w:rPr>
      <w:rFonts w:ascii="宋体" w:hAnsi="宋体" w:cs="宋体"/>
      <w:bCs/>
      <w:snapToGrid w:val="0"/>
      <w:kern w:val="24"/>
      <w:szCs w:val="20"/>
    </w:rPr>
  </w:style>
  <w:style w:type="paragraph" w:customStyle="1" w:styleId="141">
    <w:name w:val="样式 标题 2 + 自动设置"/>
    <w:basedOn w:val="4"/>
    <w:qFormat/>
    <w:uiPriority w:val="0"/>
    <w:pPr>
      <w:adjustRightInd w:val="0"/>
      <w:snapToGrid w:val="0"/>
      <w:spacing w:before="100" w:beforeAutospacing="1" w:after="100" w:afterAutospacing="1"/>
      <w:jc w:val="left"/>
    </w:pPr>
    <w:rPr>
      <w:rFonts w:ascii="Calibri" w:hAnsi="Calibri" w:eastAsia="宋体"/>
      <w:sz w:val="28"/>
      <w:szCs w:val="22"/>
    </w:rPr>
  </w:style>
  <w:style w:type="paragraph" w:customStyle="1" w:styleId="142">
    <w:name w:val="_Style 11"/>
    <w:basedOn w:val="1"/>
    <w:next w:val="17"/>
    <w:qFormat/>
    <w:uiPriority w:val="0"/>
    <w:pPr>
      <w:jc w:val="center"/>
    </w:pPr>
    <w:rPr>
      <w:szCs w:val="20"/>
    </w:rPr>
  </w:style>
  <w:style w:type="paragraph" w:customStyle="1" w:styleId="143">
    <w:name w:val="表中值"/>
    <w:basedOn w:val="1"/>
    <w:qFormat/>
    <w:uiPriority w:val="0"/>
    <w:pPr>
      <w:keepLines/>
      <w:widowControl/>
      <w:spacing w:line="360" w:lineRule="exact"/>
      <w:jc w:val="center"/>
    </w:pPr>
    <w:rPr>
      <w:spacing w:val="4"/>
      <w:szCs w:val="20"/>
    </w:rPr>
  </w:style>
  <w:style w:type="paragraph" w:customStyle="1" w:styleId="144">
    <w:name w:val="标题五"/>
    <w:basedOn w:val="1"/>
    <w:qFormat/>
    <w:uiPriority w:val="0"/>
    <w:pPr>
      <w:spacing w:line="500" w:lineRule="atLeast"/>
      <w:jc w:val="center"/>
    </w:pPr>
    <w:rPr>
      <w:rFonts w:ascii="宋体" w:hAnsi="宋体"/>
      <w:sz w:val="24"/>
    </w:rPr>
  </w:style>
  <w:style w:type="paragraph" w:customStyle="1" w:styleId="145">
    <w:name w:val="框图文字"/>
    <w:basedOn w:val="1"/>
    <w:link w:val="250"/>
    <w:qFormat/>
    <w:uiPriority w:val="0"/>
    <w:pPr>
      <w:snapToGrid w:val="0"/>
      <w:spacing w:line="160" w:lineRule="atLeast"/>
      <w:jc w:val="center"/>
    </w:pPr>
    <w:rPr>
      <w:spacing w:val="-20"/>
      <w:kern w:val="0"/>
      <w:szCs w:val="18"/>
    </w:rPr>
  </w:style>
  <w:style w:type="paragraph" w:customStyle="1" w:styleId="146">
    <w:name w:val="框图标题"/>
    <w:basedOn w:val="1"/>
    <w:qFormat/>
    <w:uiPriority w:val="0"/>
    <w:pPr>
      <w:jc w:val="center"/>
    </w:pPr>
    <w:rPr>
      <w:rFonts w:ascii="宋体" w:hAnsi="宋体"/>
      <w:b/>
      <w:sz w:val="24"/>
    </w:rPr>
  </w:style>
  <w:style w:type="paragraph" w:customStyle="1" w:styleId="147">
    <w:name w:val="缩进正文"/>
    <w:basedOn w:val="1"/>
    <w:qFormat/>
    <w:uiPriority w:val="0"/>
    <w:pPr>
      <w:snapToGrid w:val="0"/>
      <w:spacing w:line="480" w:lineRule="atLeast"/>
      <w:ind w:firstLine="567"/>
    </w:pPr>
    <w:rPr>
      <w:sz w:val="24"/>
      <w:szCs w:val="20"/>
    </w:rPr>
  </w:style>
  <w:style w:type="paragraph" w:customStyle="1" w:styleId="148">
    <w:name w:val="样式5"/>
    <w:basedOn w:val="4"/>
    <w:link w:val="253"/>
    <w:qFormat/>
    <w:uiPriority w:val="0"/>
    <w:pPr>
      <w:tabs>
        <w:tab w:val="left" w:pos="3960"/>
      </w:tabs>
      <w:adjustRightInd w:val="0"/>
      <w:snapToGrid w:val="0"/>
      <w:spacing w:before="120" w:after="120"/>
    </w:pPr>
    <w:rPr>
      <w:rFonts w:ascii="宋体" w:hAnsi="宋体" w:eastAsia="宋体"/>
      <w:bCs w:val="0"/>
      <w:color w:val="000000"/>
      <w:sz w:val="28"/>
      <w:szCs w:val="20"/>
    </w:rPr>
  </w:style>
  <w:style w:type="paragraph" w:customStyle="1" w:styleId="149">
    <w:name w:val="Char Char Char Char Char Char1"/>
    <w:basedOn w:val="1"/>
    <w:next w:val="2"/>
    <w:qFormat/>
    <w:uiPriority w:val="0"/>
    <w:rPr>
      <w:sz w:val="28"/>
      <w:szCs w:val="28"/>
    </w:rPr>
  </w:style>
  <w:style w:type="paragraph" w:customStyle="1" w:styleId="150">
    <w:name w:val="1表格"/>
    <w:basedOn w:val="1"/>
    <w:qFormat/>
    <w:uiPriority w:val="0"/>
    <w:pPr>
      <w:snapToGrid w:val="0"/>
      <w:spacing w:line="160" w:lineRule="atLeast"/>
      <w:jc w:val="center"/>
    </w:pPr>
    <w:rPr>
      <w:rFonts w:eastAsia="仿宋_GB2312"/>
      <w:szCs w:val="20"/>
    </w:rPr>
  </w:style>
  <w:style w:type="paragraph" w:customStyle="1" w:styleId="151">
    <w:name w:val="SB正文"/>
    <w:basedOn w:val="1"/>
    <w:link w:val="256"/>
    <w:qFormat/>
    <w:uiPriority w:val="0"/>
    <w:pPr>
      <w:spacing w:before="62" w:after="62" w:line="360" w:lineRule="auto"/>
      <w:ind w:firstLine="480" w:firstLineChars="200"/>
    </w:pPr>
    <w:rPr>
      <w:sz w:val="24"/>
      <w:szCs w:val="20"/>
    </w:rPr>
  </w:style>
  <w:style w:type="paragraph" w:customStyle="1" w:styleId="152">
    <w:name w:val="样式 三级三级三级三级三级三级三级 + 加粗"/>
    <w:basedOn w:val="1"/>
    <w:qFormat/>
    <w:uiPriority w:val="0"/>
    <w:pPr>
      <w:keepNext/>
      <w:keepLines/>
      <w:tabs>
        <w:tab w:val="left" w:pos="1740"/>
      </w:tabs>
      <w:spacing w:before="100" w:after="120"/>
      <w:ind w:left="1740" w:hanging="420"/>
      <w:outlineLvl w:val="2"/>
    </w:pPr>
    <w:rPr>
      <w:rFonts w:cs="宋体"/>
      <w:b/>
      <w:bCs/>
      <w:color w:val="0000FF"/>
      <w:sz w:val="28"/>
      <w:szCs w:val="20"/>
    </w:rPr>
  </w:style>
  <w:style w:type="paragraph" w:customStyle="1" w:styleId="153">
    <w:name w:val="标题 1===="/>
    <w:basedOn w:val="3"/>
    <w:qFormat/>
    <w:uiPriority w:val="0"/>
    <w:pPr>
      <w:tabs>
        <w:tab w:val="left" w:pos="1200"/>
      </w:tabs>
      <w:spacing w:before="312" w:after="312"/>
      <w:ind w:left="1200" w:hanging="720"/>
    </w:pPr>
    <w:rPr>
      <w:rFonts w:hAnsi="宋体" w:cs="宋体"/>
      <w:sz w:val="32"/>
      <w:szCs w:val="20"/>
    </w:rPr>
  </w:style>
  <w:style w:type="paragraph" w:customStyle="1" w:styleId="154">
    <w:name w:val="无间隔11"/>
    <w:qFormat/>
    <w:uiPriority w:val="0"/>
    <w:pPr>
      <w:widowControl w:val="0"/>
      <w:jc w:val="center"/>
    </w:pPr>
    <w:rPr>
      <w:rFonts w:ascii="Times New Roman" w:hAnsi="Times New Roman" w:eastAsia="宋体" w:cs="黑体"/>
      <w:kern w:val="2"/>
      <w:sz w:val="21"/>
      <w:szCs w:val="22"/>
      <w:lang w:val="en-US" w:eastAsia="zh-CN" w:bidi="ar-SA"/>
    </w:rPr>
  </w:style>
  <w:style w:type="paragraph" w:customStyle="1" w:styleId="155">
    <w:name w:val="正文首行缩进＋湿地"/>
    <w:basedOn w:val="1"/>
    <w:qFormat/>
    <w:uiPriority w:val="0"/>
    <w:pPr>
      <w:widowControl/>
      <w:spacing w:line="440" w:lineRule="exact"/>
      <w:ind w:firstLine="540" w:firstLineChars="225"/>
      <w:jc w:val="left"/>
    </w:pPr>
    <w:rPr>
      <w:rFonts w:ascii="仿宋_GB2312" w:hAnsi="宋体" w:eastAsia="仿宋_GB2312"/>
      <w:kern w:val="0"/>
      <w:sz w:val="28"/>
      <w:szCs w:val="20"/>
      <w:lang w:eastAsia="en-US" w:bidi="en-US"/>
    </w:rPr>
  </w:style>
  <w:style w:type="paragraph" w:customStyle="1" w:styleId="156">
    <w:name w:val="标题 31"/>
    <w:basedOn w:val="1"/>
    <w:next w:val="1"/>
    <w:qFormat/>
    <w:uiPriority w:val="0"/>
    <w:pPr>
      <w:keepNext/>
      <w:keepLines/>
      <w:spacing w:line="360" w:lineRule="auto"/>
      <w:outlineLvl w:val="2"/>
    </w:pPr>
    <w:rPr>
      <w:rFonts w:eastAsia="Times New Roman"/>
      <w:b/>
      <w:bCs/>
      <w:sz w:val="28"/>
      <w:szCs w:val="32"/>
    </w:rPr>
  </w:style>
  <w:style w:type="paragraph" w:customStyle="1" w:styleId="157">
    <w:name w:val="Char4 Char Char Char Char Char Char Char Char Char Char Char Char"/>
    <w:basedOn w:val="1"/>
    <w:semiHidden/>
    <w:qFormat/>
    <w:uiPriority w:val="0"/>
  </w:style>
  <w:style w:type="paragraph" w:customStyle="1" w:styleId="158">
    <w:name w:val="样式 样式 样式 金林标题2 + 首行缩进:  1.07 厘米 + 首行缩进:  1.06 厘米 + 首行缩进:  1.06 厘米"/>
    <w:basedOn w:val="1"/>
    <w:qFormat/>
    <w:uiPriority w:val="0"/>
    <w:pPr>
      <w:adjustRightInd w:val="0"/>
      <w:snapToGrid w:val="0"/>
      <w:jc w:val="center"/>
      <w:outlineLvl w:val="1"/>
    </w:pPr>
    <w:rPr>
      <w:rFonts w:ascii="宋体" w:hAnsi="宋体" w:cs="宋体"/>
      <w:bCs/>
      <w:szCs w:val="21"/>
      <w:lang w:val="zh-CN"/>
    </w:rPr>
  </w:style>
  <w:style w:type="paragraph" w:customStyle="1" w:styleId="159">
    <w:name w:val="1jw正文"/>
    <w:link w:val="260"/>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160">
    <w:name w:val="公路表标题"/>
    <w:basedOn w:val="40"/>
    <w:qFormat/>
    <w:uiPriority w:val="0"/>
    <w:pPr>
      <w:adjustRightInd w:val="0"/>
      <w:snapToGrid w:val="0"/>
      <w:spacing w:beforeLines="50" w:afterLines="50" w:line="360" w:lineRule="auto"/>
      <w:ind w:firstLine="0" w:firstLineChars="0"/>
      <w:jc w:val="center"/>
    </w:pPr>
    <w:rPr>
      <w:b/>
      <w:bCs/>
      <w:snapToGrid w:val="0"/>
      <w:spacing w:val="14"/>
      <w:kern w:val="0"/>
      <w:sz w:val="24"/>
    </w:rPr>
  </w:style>
  <w:style w:type="paragraph" w:customStyle="1" w:styleId="161">
    <w:name w:val="ypy标格"/>
    <w:basedOn w:val="1"/>
    <w:qFormat/>
    <w:uiPriority w:val="0"/>
    <w:pPr>
      <w:jc w:val="center"/>
    </w:pPr>
    <w:rPr>
      <w:rFonts w:cs="宋体"/>
      <w:bCs/>
      <w:spacing w:val="14"/>
      <w:szCs w:val="20"/>
    </w:rPr>
  </w:style>
  <w:style w:type="paragraph" w:customStyle="1" w:styleId="162">
    <w:name w:val="表格数据"/>
    <w:qFormat/>
    <w:uiPriority w:val="0"/>
    <w:pPr>
      <w:widowControl w:val="0"/>
      <w:tabs>
        <w:tab w:val="left" w:pos="3138"/>
      </w:tabs>
      <w:adjustRightInd w:val="0"/>
      <w:snapToGrid w:val="0"/>
      <w:jc w:val="center"/>
    </w:pPr>
    <w:rPr>
      <w:rFonts w:ascii="宋体" w:hAnsi="宋体" w:eastAsia="宋体" w:cs="Times New Roman"/>
      <w:bCs/>
      <w:sz w:val="21"/>
      <w:szCs w:val="21"/>
      <w:lang w:val="en-US" w:eastAsia="zh-CN" w:bidi="ar-SA"/>
    </w:rPr>
  </w:style>
  <w:style w:type="paragraph" w:customStyle="1" w:styleId="163">
    <w:name w:val="公路标题3"/>
    <w:basedOn w:val="5"/>
    <w:qFormat/>
    <w:uiPriority w:val="0"/>
    <w:pPr>
      <w:spacing w:before="120" w:after="120" w:line="360" w:lineRule="auto"/>
      <w:jc w:val="left"/>
    </w:pPr>
    <w:rPr>
      <w:rFonts w:ascii="仿宋_GB2312" w:eastAsia="仿宋_GB2312" w:cs="宋体"/>
      <w:sz w:val="28"/>
      <w:szCs w:val="20"/>
    </w:rPr>
  </w:style>
  <w:style w:type="paragraph" w:customStyle="1" w:styleId="164">
    <w:name w:val="样式 标题 2标题 2XW标题 2 Char标题 2XW Char节1.1 标题 2h2l22nd level...1"/>
    <w:basedOn w:val="4"/>
    <w:qFormat/>
    <w:uiPriority w:val="0"/>
    <w:pPr>
      <w:spacing w:before="120" w:after="120"/>
      <w:jc w:val="left"/>
    </w:pPr>
    <w:rPr>
      <w:rFonts w:cs="宋体"/>
      <w:szCs w:val="20"/>
    </w:rPr>
  </w:style>
  <w:style w:type="paragraph" w:customStyle="1" w:styleId="165">
    <w:name w:val="wj样式 表标题"/>
    <w:basedOn w:val="1"/>
    <w:qFormat/>
    <w:uiPriority w:val="0"/>
    <w:pPr>
      <w:spacing w:line="480" w:lineRule="auto"/>
      <w:jc w:val="center"/>
    </w:pPr>
    <w:rPr>
      <w:rFonts w:cs="宋体"/>
      <w:b/>
      <w:bCs/>
      <w:sz w:val="24"/>
      <w:szCs w:val="20"/>
    </w:rPr>
  </w:style>
  <w:style w:type="paragraph" w:customStyle="1" w:styleId="166">
    <w:name w:val="正文级别▲"/>
    <w:basedOn w:val="1"/>
    <w:link w:val="269"/>
    <w:qFormat/>
    <w:uiPriority w:val="0"/>
    <w:pPr>
      <w:spacing w:line="360" w:lineRule="auto"/>
      <w:ind w:firstLine="200" w:firstLineChars="200"/>
    </w:pPr>
    <w:rPr>
      <w:sz w:val="24"/>
    </w:rPr>
  </w:style>
  <w:style w:type="paragraph" w:customStyle="1" w:styleId="167">
    <w:name w:val="无间隔2"/>
    <w:basedOn w:val="1"/>
    <w:link w:val="229"/>
    <w:qFormat/>
    <w:uiPriority w:val="0"/>
    <w:pPr>
      <w:widowControl/>
      <w:jc w:val="left"/>
    </w:pPr>
    <w:rPr>
      <w:szCs w:val="22"/>
    </w:rPr>
  </w:style>
  <w:style w:type="paragraph" w:customStyle="1" w:styleId="168">
    <w:name w:val="样式 样式 样式 标题 3 + 自动设置 首行缩进:  0.99 厘米 + 首行缩进:  0.99 厘米 + 首行缩进:  0...."/>
    <w:basedOn w:val="1"/>
    <w:qFormat/>
    <w:uiPriority w:val="0"/>
    <w:pPr>
      <w:keepNext/>
      <w:keepLines/>
      <w:spacing w:before="80" w:after="80" w:line="360" w:lineRule="auto"/>
      <w:outlineLvl w:val="2"/>
    </w:pPr>
    <w:rPr>
      <w:rFonts w:ascii="宋体" w:hAnsi="宋体" w:cs="宋体"/>
      <w:b/>
      <w:bCs/>
      <w:sz w:val="28"/>
      <w:szCs w:val="20"/>
    </w:rPr>
  </w:style>
  <w:style w:type="paragraph" w:customStyle="1" w:styleId="169">
    <w:name w:val="wj样式"/>
    <w:basedOn w:val="1"/>
    <w:next w:val="1"/>
    <w:link w:val="272"/>
    <w:qFormat/>
    <w:uiPriority w:val="0"/>
    <w:pPr>
      <w:spacing w:line="360" w:lineRule="auto"/>
      <w:ind w:firstLine="200" w:firstLineChars="200"/>
    </w:pPr>
    <w:rPr>
      <w:spacing w:val="14"/>
      <w:sz w:val="24"/>
    </w:rPr>
  </w:style>
  <w:style w:type="paragraph" w:customStyle="1" w:styleId="170">
    <w:name w:val="样式 样式 首行缩进:  2 字符 + 首行缩进:  2 字符"/>
    <w:basedOn w:val="1"/>
    <w:qFormat/>
    <w:uiPriority w:val="0"/>
    <w:pPr>
      <w:spacing w:line="360" w:lineRule="auto"/>
      <w:ind w:firstLine="560" w:firstLineChars="200"/>
    </w:pPr>
    <w:rPr>
      <w:rFonts w:cs="宋体"/>
      <w:sz w:val="28"/>
      <w:szCs w:val="20"/>
    </w:rPr>
  </w:style>
  <w:style w:type="paragraph" w:customStyle="1" w:styleId="171">
    <w:name w:val="正文（行首缩进2字）"/>
    <w:basedOn w:val="1"/>
    <w:link w:val="273"/>
    <w:qFormat/>
    <w:uiPriority w:val="0"/>
    <w:pPr>
      <w:spacing w:line="360" w:lineRule="auto"/>
      <w:ind w:firstLine="200" w:firstLineChars="200"/>
    </w:pPr>
    <w:rPr>
      <w:sz w:val="28"/>
    </w:rPr>
  </w:style>
  <w:style w:type="paragraph" w:customStyle="1" w:styleId="172">
    <w:name w:val="正文11"/>
    <w:basedOn w:val="1"/>
    <w:link w:val="274"/>
    <w:qFormat/>
    <w:uiPriority w:val="0"/>
    <w:pPr>
      <w:spacing w:line="360" w:lineRule="auto"/>
      <w:ind w:firstLine="560" w:firstLineChars="200"/>
    </w:pPr>
    <w:rPr>
      <w:rFonts w:hAnsi="宋体"/>
      <w:sz w:val="28"/>
    </w:rPr>
  </w:style>
  <w:style w:type="paragraph" w:customStyle="1" w:styleId="173">
    <w:name w:val="444"/>
    <w:basedOn w:val="6"/>
    <w:qFormat/>
    <w:uiPriority w:val="0"/>
    <w:pPr>
      <w:spacing w:line="360" w:lineRule="auto"/>
    </w:pPr>
    <w:rPr>
      <w:rFonts w:ascii="Times New Roman" w:hAnsi="Times New Roman" w:eastAsia="宋体"/>
      <w:spacing w:val="0"/>
      <w:sz w:val="24"/>
      <w:szCs w:val="28"/>
    </w:rPr>
  </w:style>
  <w:style w:type="paragraph" w:customStyle="1" w:styleId="174">
    <w:name w:val="样式 (西文) 宋体 小四 左侧:  0.85 厘米 行距: 1.5 倍行距"/>
    <w:basedOn w:val="1"/>
    <w:qFormat/>
    <w:uiPriority w:val="0"/>
    <w:pPr>
      <w:spacing w:line="360" w:lineRule="auto"/>
      <w:ind w:left="482"/>
    </w:pPr>
    <w:rPr>
      <w:rFonts w:ascii="宋体" w:hAnsi="宋体" w:cs="宋体"/>
      <w:sz w:val="24"/>
      <w:szCs w:val="20"/>
    </w:rPr>
  </w:style>
  <w:style w:type="paragraph" w:customStyle="1" w:styleId="175">
    <w:name w:val="金林表格"/>
    <w:basedOn w:val="1"/>
    <w:qFormat/>
    <w:uiPriority w:val="0"/>
    <w:pPr>
      <w:spacing w:line="300" w:lineRule="exact"/>
      <w:jc w:val="center"/>
    </w:pPr>
    <w:rPr>
      <w:rFonts w:hAnsi="宋体" w:cs="宋体"/>
      <w:szCs w:val="20"/>
    </w:rPr>
  </w:style>
  <w:style w:type="paragraph" w:customStyle="1" w:styleId="176">
    <w:name w:val="金林表标题"/>
    <w:basedOn w:val="1"/>
    <w:link w:val="275"/>
    <w:qFormat/>
    <w:uiPriority w:val="0"/>
    <w:pPr>
      <w:spacing w:line="360" w:lineRule="auto"/>
      <w:jc w:val="center"/>
    </w:pPr>
    <w:rPr>
      <w:b/>
      <w:sz w:val="24"/>
      <w:szCs w:val="28"/>
    </w:rPr>
  </w:style>
  <w:style w:type="paragraph" w:customStyle="1" w:styleId="177">
    <w:name w:val="Char Char Char1 Char Char Char Char"/>
    <w:basedOn w:val="1"/>
    <w:semiHidden/>
    <w:qFormat/>
    <w:uiPriority w:val="0"/>
    <w:rPr>
      <w:sz w:val="20"/>
      <w:szCs w:val="30"/>
    </w:rPr>
  </w:style>
  <w:style w:type="paragraph" w:customStyle="1" w:styleId="178">
    <w:name w:val="Char Char Char1 Char Char Char Char1"/>
    <w:basedOn w:val="1"/>
    <w:semiHidden/>
    <w:qFormat/>
    <w:uiPriority w:val="0"/>
    <w:rPr>
      <w:sz w:val="20"/>
      <w:szCs w:val="30"/>
    </w:rPr>
  </w:style>
  <w:style w:type="paragraph" w:customStyle="1" w:styleId="179">
    <w:name w:val="无间隔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0">
    <w:name w:val="Char Char Char1 Char Char Char Char2"/>
    <w:basedOn w:val="1"/>
    <w:semiHidden/>
    <w:qFormat/>
    <w:uiPriority w:val="0"/>
    <w:rPr>
      <w:sz w:val="20"/>
      <w:szCs w:val="30"/>
    </w:rPr>
  </w:style>
  <w:style w:type="character" w:customStyle="1" w:styleId="181">
    <w:name w:val="标题 1 字符"/>
    <w:link w:val="3"/>
    <w:qFormat/>
    <w:uiPriority w:val="0"/>
    <w:rPr>
      <w:rFonts w:eastAsia="黑体"/>
      <w:b/>
      <w:bCs/>
      <w:kern w:val="44"/>
      <w:sz w:val="36"/>
      <w:szCs w:val="36"/>
    </w:rPr>
  </w:style>
  <w:style w:type="character" w:customStyle="1" w:styleId="182">
    <w:name w:val="标题 2 字符"/>
    <w:link w:val="4"/>
    <w:qFormat/>
    <w:uiPriority w:val="0"/>
    <w:rPr>
      <w:rFonts w:ascii="Arial" w:hAnsi="Arial" w:eastAsia="黑体"/>
      <w:b/>
      <w:bCs/>
      <w:kern w:val="2"/>
      <w:sz w:val="30"/>
      <w:szCs w:val="32"/>
    </w:rPr>
  </w:style>
  <w:style w:type="character" w:customStyle="1" w:styleId="183">
    <w:name w:val="标题 3 字符"/>
    <w:link w:val="5"/>
    <w:qFormat/>
    <w:uiPriority w:val="0"/>
    <w:rPr>
      <w:rFonts w:eastAsia="宋体"/>
      <w:b/>
      <w:bCs/>
      <w:kern w:val="2"/>
      <w:sz w:val="32"/>
      <w:szCs w:val="32"/>
      <w:lang w:val="en-US" w:eastAsia="zh-CN" w:bidi="ar-SA"/>
    </w:rPr>
  </w:style>
  <w:style w:type="character" w:customStyle="1" w:styleId="184">
    <w:name w:val="标题 9 字符"/>
    <w:link w:val="9"/>
    <w:qFormat/>
    <w:uiPriority w:val="0"/>
    <w:rPr>
      <w:rFonts w:ascii="Arial" w:hAnsi="Arial" w:eastAsia="黑体"/>
      <w:kern w:val="2"/>
      <w:sz w:val="21"/>
      <w:szCs w:val="21"/>
      <w:lang w:val="en-US" w:eastAsia="zh-CN" w:bidi="ar-SA"/>
    </w:rPr>
  </w:style>
  <w:style w:type="character" w:customStyle="1" w:styleId="185">
    <w:name w:val="文档结构图 字符"/>
    <w:link w:val="14"/>
    <w:qFormat/>
    <w:uiPriority w:val="0"/>
    <w:rPr>
      <w:rFonts w:eastAsia="宋体"/>
      <w:kern w:val="2"/>
      <w:sz w:val="21"/>
      <w:szCs w:val="24"/>
      <w:lang w:val="en-US" w:eastAsia="zh-CN" w:bidi="ar-SA"/>
    </w:rPr>
  </w:style>
  <w:style w:type="character" w:customStyle="1" w:styleId="186">
    <w:name w:val="网格型-1 Char"/>
    <w:qFormat/>
    <w:uiPriority w:val="0"/>
    <w:rPr>
      <w:rFonts w:eastAsia="宋体"/>
      <w:kern w:val="2"/>
      <w:sz w:val="21"/>
      <w:szCs w:val="21"/>
      <w:lang w:val="en-US" w:eastAsia="zh-CN" w:bidi="ar-SA"/>
    </w:rPr>
  </w:style>
  <w:style w:type="character" w:customStyle="1" w:styleId="187">
    <w:name w:val="正文＿首行缩进 Char Char"/>
    <w:link w:val="50"/>
    <w:qFormat/>
    <w:uiPriority w:val="0"/>
    <w:rPr>
      <w:rFonts w:eastAsia="宋体" w:cs="宋体"/>
      <w:sz w:val="28"/>
      <w:lang w:val="en-US" w:eastAsia="zh-CN" w:bidi="ar-SA"/>
    </w:rPr>
  </w:style>
  <w:style w:type="character" w:customStyle="1" w:styleId="188">
    <w:name w:val="Char Char1"/>
    <w:qFormat/>
    <w:uiPriority w:val="0"/>
    <w:rPr>
      <w:rFonts w:ascii="Arial" w:hAnsi="Arial" w:eastAsia="黑体"/>
      <w:b/>
      <w:bCs/>
      <w:kern w:val="2"/>
      <w:sz w:val="32"/>
      <w:szCs w:val="32"/>
      <w:lang w:val="en-US" w:eastAsia="zh-CN" w:bidi="ar-SA"/>
    </w:rPr>
  </w:style>
  <w:style w:type="character" w:customStyle="1" w:styleId="189">
    <w:name w:val="页脚 字符"/>
    <w:link w:val="26"/>
    <w:qFormat/>
    <w:uiPriority w:val="99"/>
    <w:rPr>
      <w:rFonts w:eastAsia="宋体"/>
      <w:kern w:val="2"/>
      <w:sz w:val="18"/>
      <w:szCs w:val="18"/>
      <w:lang w:val="en-US" w:eastAsia="zh-CN" w:bidi="ar-SA"/>
    </w:rPr>
  </w:style>
  <w:style w:type="character" w:customStyle="1" w:styleId="190">
    <w:name w:val="页眉 字符"/>
    <w:link w:val="27"/>
    <w:qFormat/>
    <w:uiPriority w:val="99"/>
    <w:rPr>
      <w:rFonts w:eastAsia="宋体"/>
      <w:kern w:val="2"/>
      <w:sz w:val="18"/>
      <w:szCs w:val="18"/>
      <w:lang w:val="en-US" w:eastAsia="zh-CN" w:bidi="ar-SA"/>
    </w:rPr>
  </w:style>
  <w:style w:type="character" w:customStyle="1" w:styleId="191">
    <w:name w:val="表格标题 Char"/>
    <w:link w:val="52"/>
    <w:qFormat/>
    <w:uiPriority w:val="0"/>
    <w:rPr>
      <w:rFonts w:eastAsia="宋体"/>
      <w:color w:val="000000"/>
      <w:sz w:val="24"/>
      <w:szCs w:val="24"/>
      <w:lang w:val="en-US" w:eastAsia="zh-CN" w:bidi="ar-SA"/>
    </w:rPr>
  </w:style>
  <w:style w:type="character" w:customStyle="1" w:styleId="192">
    <w:name w:val="正文缩进 字符"/>
    <w:link w:val="11"/>
    <w:qFormat/>
    <w:uiPriority w:val="0"/>
    <w:rPr>
      <w:rFonts w:eastAsia="宋体"/>
      <w:kern w:val="2"/>
      <w:sz w:val="21"/>
      <w:szCs w:val="24"/>
      <w:lang w:val="en-US" w:eastAsia="zh-CN" w:bidi="ar-SA"/>
    </w:rPr>
  </w:style>
  <w:style w:type="character" w:customStyle="1" w:styleId="193">
    <w:name w:val="纯文本 字符"/>
    <w:link w:val="21"/>
    <w:qFormat/>
    <w:uiPriority w:val="0"/>
    <w:rPr>
      <w:rFonts w:ascii="宋体" w:hAnsi="Courier New" w:eastAsia="宋体" w:cs="Courier New"/>
      <w:kern w:val="2"/>
      <w:sz w:val="21"/>
      <w:szCs w:val="21"/>
      <w:lang w:val="en-US" w:eastAsia="zh-CN" w:bidi="ar-SA"/>
    </w:rPr>
  </w:style>
  <w:style w:type="character" w:customStyle="1" w:styleId="194">
    <w:name w:val="正文1 Char"/>
    <w:link w:val="57"/>
    <w:qFormat/>
    <w:uiPriority w:val="0"/>
    <w:rPr>
      <w:rFonts w:eastAsia="宋体"/>
      <w:snapToGrid w:val="0"/>
      <w:sz w:val="24"/>
      <w:szCs w:val="28"/>
      <w:lang w:val="en-US" w:eastAsia="zh-CN" w:bidi="ar-SA"/>
    </w:rPr>
  </w:style>
  <w:style w:type="character" w:customStyle="1" w:styleId="195">
    <w:name w:val="表格2 Char"/>
    <w:link w:val="58"/>
    <w:qFormat/>
    <w:uiPriority w:val="0"/>
    <w:rPr>
      <w:rFonts w:eastAsia="宋体"/>
      <w:kern w:val="2"/>
      <w:sz w:val="21"/>
      <w:szCs w:val="24"/>
      <w:lang w:val="en-US" w:eastAsia="zh-CN" w:bidi="ar-SA"/>
    </w:rPr>
  </w:style>
  <w:style w:type="character" w:customStyle="1" w:styleId="196">
    <w:name w:val="Char Char Char2"/>
    <w:qFormat/>
    <w:uiPriority w:val="0"/>
    <w:rPr>
      <w:rFonts w:eastAsia="宋体"/>
      <w:b/>
      <w:bCs/>
      <w:kern w:val="2"/>
      <w:sz w:val="32"/>
      <w:szCs w:val="32"/>
      <w:lang w:val="en-US" w:eastAsia="zh-CN" w:bidi="ar-SA"/>
    </w:rPr>
  </w:style>
  <w:style w:type="character" w:customStyle="1" w:styleId="197">
    <w:name w:val="正文文本 2 字符"/>
    <w:link w:val="36"/>
    <w:qFormat/>
    <w:uiPriority w:val="0"/>
    <w:rPr>
      <w:rFonts w:eastAsia="宋体"/>
      <w:kern w:val="2"/>
      <w:sz w:val="21"/>
      <w:szCs w:val="24"/>
      <w:lang w:val="en-US" w:eastAsia="zh-CN" w:bidi="ar-SA"/>
    </w:rPr>
  </w:style>
  <w:style w:type="character" w:customStyle="1" w:styleId="198">
    <w:name w:val="正文* Char"/>
    <w:link w:val="61"/>
    <w:qFormat/>
    <w:uiPriority w:val="0"/>
    <w:rPr>
      <w:rFonts w:eastAsia="楷体_GB2312"/>
      <w:kern w:val="2"/>
      <w:sz w:val="30"/>
      <w:szCs w:val="30"/>
      <w:lang w:val="en-US" w:eastAsia="zh-CN" w:bidi="ar-SA"/>
    </w:rPr>
  </w:style>
  <w:style w:type="character" w:customStyle="1" w:styleId="199">
    <w:name w:val="样式 四号 行距: 固定值 30 磅 Char"/>
    <w:link w:val="62"/>
    <w:qFormat/>
    <w:uiPriority w:val="0"/>
    <w:rPr>
      <w:rFonts w:ascii="宋体" w:hAnsi="宋体" w:eastAsia="宋体" w:cs="宋体"/>
      <w:kern w:val="2"/>
      <w:sz w:val="24"/>
      <w:szCs w:val="24"/>
      <w:lang w:val="en-US" w:eastAsia="zh-CN" w:bidi="ar-SA"/>
    </w:rPr>
  </w:style>
  <w:style w:type="character" w:customStyle="1" w:styleId="200">
    <w:name w:val="表标题 Char"/>
    <w:link w:val="63"/>
    <w:qFormat/>
    <w:uiPriority w:val="0"/>
    <w:rPr>
      <w:b/>
      <w:kern w:val="2"/>
      <w:sz w:val="24"/>
      <w:szCs w:val="24"/>
    </w:rPr>
  </w:style>
  <w:style w:type="character" w:customStyle="1" w:styleId="201">
    <w:name w:val="样式 黑色"/>
    <w:qFormat/>
    <w:uiPriority w:val="0"/>
    <w:rPr>
      <w:rFonts w:eastAsia="宋体"/>
      <w:color w:val="auto"/>
      <w:sz w:val="28"/>
      <w:szCs w:val="28"/>
    </w:rPr>
  </w:style>
  <w:style w:type="character" w:customStyle="1" w:styleId="202">
    <w:name w:val="样式 表格1 + (符号) 宋体 黑色 Char"/>
    <w:link w:val="66"/>
    <w:qFormat/>
    <w:uiPriority w:val="0"/>
    <w:rPr>
      <w:rFonts w:ascii="宋体" w:hAnsi="宋体" w:eastAsia="宋体"/>
      <w:color w:val="000000"/>
      <w:spacing w:val="-8"/>
      <w:kern w:val="2"/>
      <w:sz w:val="21"/>
      <w:lang w:val="en-US" w:eastAsia="zh-CN" w:bidi="ar-SA"/>
    </w:rPr>
  </w:style>
  <w:style w:type="character" w:customStyle="1" w:styleId="203">
    <w:name w:val="表标题 Char1"/>
    <w:qFormat/>
    <w:uiPriority w:val="0"/>
    <w:rPr>
      <w:rFonts w:eastAsia="宋体"/>
      <w:b/>
      <w:color w:val="000000"/>
      <w:sz w:val="24"/>
      <w:lang w:val="en-US" w:eastAsia="zh-CN" w:bidi="ar-SA"/>
    </w:rPr>
  </w:style>
  <w:style w:type="character" w:customStyle="1" w:styleId="204">
    <w:name w:val="样式 加粗 下划线"/>
    <w:qFormat/>
    <w:uiPriority w:val="0"/>
    <w:rPr>
      <w:rFonts w:ascii="Times New Roman" w:hAnsi="Times New Roman" w:eastAsia="宋体"/>
      <w:b/>
      <w:bCs/>
      <w:color w:val="auto"/>
      <w:sz w:val="24"/>
      <w:u w:val="none"/>
    </w:rPr>
  </w:style>
  <w:style w:type="character" w:customStyle="1" w:styleId="205">
    <w:name w:val="Char Char2"/>
    <w:qFormat/>
    <w:uiPriority w:val="0"/>
    <w:rPr>
      <w:rFonts w:eastAsia="宋体"/>
      <w:kern w:val="2"/>
      <w:sz w:val="21"/>
      <w:szCs w:val="21"/>
      <w:lang w:val="en-US" w:eastAsia="zh-CN" w:bidi="ar-SA"/>
    </w:rPr>
  </w:style>
  <w:style w:type="character" w:customStyle="1" w:styleId="206">
    <w:name w:val="样式 正文1 + 首行缩进:  2 字符 Char3"/>
    <w:link w:val="71"/>
    <w:qFormat/>
    <w:uiPriority w:val="0"/>
    <w:rPr>
      <w:rFonts w:ascii="宋体" w:eastAsia="宋体"/>
      <w:kern w:val="2"/>
      <w:sz w:val="24"/>
      <w:lang w:val="en-US" w:eastAsia="zh-CN" w:bidi="ar-SA"/>
    </w:rPr>
  </w:style>
  <w:style w:type="character" w:customStyle="1" w:styleId="207">
    <w:name w:val="图题 Char1"/>
    <w:link w:val="74"/>
    <w:qFormat/>
    <w:uiPriority w:val="0"/>
    <w:rPr>
      <w:rFonts w:ascii="Arial" w:hAnsi="Arial" w:eastAsia="宋体"/>
      <w:b/>
      <w:kern w:val="2"/>
      <w:sz w:val="24"/>
      <w:szCs w:val="24"/>
      <w:lang w:val="en-US" w:eastAsia="zh-CN" w:bidi="ar-SA"/>
    </w:rPr>
  </w:style>
  <w:style w:type="character" w:customStyle="1" w:styleId="208">
    <w:name w:val="公文正文"/>
    <w:qFormat/>
    <w:uiPriority w:val="0"/>
    <w:rPr>
      <w:rFonts w:eastAsia="仿宋_GB2312"/>
      <w:sz w:val="32"/>
    </w:rPr>
  </w:style>
  <w:style w:type="character" w:customStyle="1" w:styleId="209">
    <w:name w:val="纯文本 Char"/>
    <w:qFormat/>
    <w:uiPriority w:val="0"/>
    <w:rPr>
      <w:rFonts w:ascii="宋体" w:hAnsi="Courier New" w:eastAsia="宋体"/>
      <w:snapToGrid w:val="0"/>
      <w:kern w:val="24"/>
      <w:sz w:val="28"/>
      <w:szCs w:val="21"/>
      <w:lang w:val="en-US" w:eastAsia="zh-CN" w:bidi="ar-SA"/>
    </w:rPr>
  </w:style>
  <w:style w:type="character" w:customStyle="1" w:styleId="210">
    <w:name w:val="节标题 1.1 Char Char Char Char"/>
    <w:qFormat/>
    <w:uiPriority w:val="0"/>
    <w:rPr>
      <w:rFonts w:ascii="Arial" w:hAnsi="Arial" w:eastAsia="黑体"/>
      <w:b/>
      <w:bCs/>
      <w:kern w:val="2"/>
      <w:sz w:val="32"/>
      <w:szCs w:val="32"/>
      <w:lang w:val="en-US" w:eastAsia="zh-CN" w:bidi="ar-SA"/>
    </w:rPr>
  </w:style>
  <w:style w:type="character" w:customStyle="1" w:styleId="211">
    <w:name w:val="正文文本缩进 2 字符"/>
    <w:link w:val="24"/>
    <w:qFormat/>
    <w:uiPriority w:val="0"/>
    <w:rPr>
      <w:rFonts w:eastAsia="宋体"/>
      <w:kern w:val="2"/>
      <w:sz w:val="21"/>
      <w:szCs w:val="24"/>
      <w:lang w:val="en-US" w:eastAsia="zh-CN" w:bidi="ar-SA"/>
    </w:rPr>
  </w:style>
  <w:style w:type="character" w:customStyle="1" w:styleId="212">
    <w:name w:val="普通文字 Char2"/>
    <w:qFormat/>
    <w:uiPriority w:val="0"/>
    <w:rPr>
      <w:rFonts w:ascii="宋体" w:hAnsi="Courier New" w:eastAsia="宋体"/>
      <w:kern w:val="2"/>
      <w:sz w:val="28"/>
      <w:szCs w:val="21"/>
      <w:lang w:val="en-US" w:eastAsia="zh-CN" w:bidi="ar-SA"/>
    </w:rPr>
  </w:style>
  <w:style w:type="character" w:customStyle="1" w:styleId="213">
    <w:name w:val="style111"/>
    <w:qFormat/>
    <w:uiPriority w:val="0"/>
    <w:rPr>
      <w:b/>
      <w:bCs/>
      <w:color w:val="E36B39"/>
      <w:sz w:val="30"/>
      <w:szCs w:val="30"/>
    </w:rPr>
  </w:style>
  <w:style w:type="character" w:customStyle="1" w:styleId="214">
    <w:name w:val="px141"/>
    <w:qFormat/>
    <w:uiPriority w:val="0"/>
    <w:rPr>
      <w:rFonts w:hint="default" w:ascii="ˎ̥" w:hAnsi="ˎ̥"/>
      <w:sz w:val="21"/>
      <w:szCs w:val="21"/>
    </w:rPr>
  </w:style>
  <w:style w:type="character" w:customStyle="1" w:styleId="215">
    <w:name w:val="正文（首行缩进两字） Char2"/>
    <w:qFormat/>
    <w:uiPriority w:val="0"/>
    <w:rPr>
      <w:rFonts w:eastAsia="宋体"/>
      <w:kern w:val="2"/>
      <w:sz w:val="24"/>
      <w:lang w:val="en-US" w:eastAsia="zh-CN" w:bidi="ar-SA"/>
    </w:rPr>
  </w:style>
  <w:style w:type="character" w:customStyle="1" w:styleId="216">
    <w:name w:val="标题 3 Char Char1"/>
    <w:semiHidden/>
    <w:qFormat/>
    <w:uiPriority w:val="0"/>
    <w:rPr>
      <w:rFonts w:eastAsia="宋体"/>
      <w:b/>
      <w:bCs/>
      <w:kern w:val="2"/>
      <w:sz w:val="32"/>
      <w:szCs w:val="32"/>
      <w:lang w:val="en-US" w:eastAsia="zh-CN" w:bidi="ar-SA"/>
    </w:rPr>
  </w:style>
  <w:style w:type="character" w:customStyle="1" w:styleId="217">
    <w:name w:val="标题 字符"/>
    <w:link w:val="38"/>
    <w:qFormat/>
    <w:uiPriority w:val="0"/>
    <w:rPr>
      <w:rFonts w:ascii="Cambria" w:hAnsi="Cambria" w:eastAsia="黑体"/>
      <w:b/>
      <w:bCs/>
      <w:kern w:val="2"/>
      <w:sz w:val="36"/>
      <w:szCs w:val="32"/>
    </w:rPr>
  </w:style>
  <w:style w:type="character" w:customStyle="1" w:styleId="218">
    <w:name w:val="批注文字 字符"/>
    <w:link w:val="15"/>
    <w:qFormat/>
    <w:uiPriority w:val="0"/>
    <w:rPr>
      <w:kern w:val="2"/>
      <w:sz w:val="21"/>
      <w:szCs w:val="24"/>
    </w:rPr>
  </w:style>
  <w:style w:type="character" w:customStyle="1" w:styleId="219">
    <w:name w:val="正文文本缩进 字符"/>
    <w:link w:val="18"/>
    <w:qFormat/>
    <w:uiPriority w:val="0"/>
    <w:rPr>
      <w:kern w:val="2"/>
      <w:sz w:val="21"/>
      <w:szCs w:val="24"/>
    </w:rPr>
  </w:style>
  <w:style w:type="character" w:customStyle="1" w:styleId="220">
    <w:name w:val="正文首行缩进 2 字符"/>
    <w:basedOn w:val="219"/>
    <w:link w:val="41"/>
    <w:qFormat/>
    <w:uiPriority w:val="0"/>
    <w:rPr>
      <w:kern w:val="2"/>
      <w:sz w:val="21"/>
      <w:szCs w:val="24"/>
    </w:rPr>
  </w:style>
  <w:style w:type="character" w:customStyle="1" w:styleId="221">
    <w:name w:val="无间隔 Char1"/>
    <w:link w:val="106"/>
    <w:qFormat/>
    <w:uiPriority w:val="0"/>
    <w:rPr>
      <w:kern w:val="2"/>
      <w:sz w:val="21"/>
      <w:szCs w:val="22"/>
      <w:lang w:val="en-US" w:eastAsia="zh-CN" w:bidi="ar-SA"/>
    </w:rPr>
  </w:style>
  <w:style w:type="character" w:customStyle="1" w:styleId="222">
    <w:name w:val="样式 无间隔 + (西文) 宋体 小四 Char"/>
    <w:link w:val="107"/>
    <w:qFormat/>
    <w:uiPriority w:val="0"/>
    <w:rPr>
      <w:rFonts w:ascii="宋体" w:hAnsi="宋体"/>
      <w:kern w:val="2"/>
      <w:sz w:val="24"/>
      <w:szCs w:val="22"/>
    </w:rPr>
  </w:style>
  <w:style w:type="character" w:customStyle="1" w:styleId="223">
    <w:name w:val="表格 Char"/>
    <w:link w:val="55"/>
    <w:qFormat/>
    <w:uiPriority w:val="0"/>
    <w:rPr>
      <w:kern w:val="2"/>
      <w:sz w:val="24"/>
      <w:szCs w:val="21"/>
    </w:rPr>
  </w:style>
  <w:style w:type="character" w:customStyle="1" w:styleId="224">
    <w:name w:val="表标题 Char Char"/>
    <w:qFormat/>
    <w:uiPriority w:val="0"/>
    <w:rPr>
      <w:rFonts w:eastAsia="宋体"/>
      <w:b/>
      <w:kern w:val="24"/>
      <w:sz w:val="24"/>
      <w:szCs w:val="22"/>
      <w:lang w:val="en-US" w:eastAsia="zh-CN" w:bidi="ar-SA"/>
    </w:rPr>
  </w:style>
  <w:style w:type="character" w:customStyle="1" w:styleId="225">
    <w:name w:val="环报告正文 Char"/>
    <w:link w:val="108"/>
    <w:qFormat/>
    <w:uiPriority w:val="0"/>
    <w:rPr>
      <w:rFonts w:hAnsi="Calibri"/>
      <w:kern w:val="2"/>
      <w:sz w:val="24"/>
    </w:rPr>
  </w:style>
  <w:style w:type="character" w:customStyle="1" w:styleId="226">
    <w:name w:val="样式17 Char"/>
    <w:link w:val="109"/>
    <w:qFormat/>
    <w:uiPriority w:val="0"/>
    <w:rPr>
      <w:spacing w:val="20"/>
      <w:kern w:val="2"/>
      <w:sz w:val="24"/>
    </w:rPr>
  </w:style>
  <w:style w:type="character" w:customStyle="1" w:styleId="227">
    <w:name w:val="哈电正文 Char"/>
    <w:link w:val="110"/>
    <w:qFormat/>
    <w:uiPriority w:val="0"/>
    <w:rPr>
      <w:rFonts w:ascii="宋体" w:cs="宋体"/>
      <w:kern w:val="2"/>
      <w:sz w:val="24"/>
      <w:szCs w:val="24"/>
    </w:rPr>
  </w:style>
  <w:style w:type="character" w:customStyle="1" w:styleId="228">
    <w:name w:val="表格文字 Char"/>
    <w:link w:val="59"/>
    <w:qFormat/>
    <w:uiPriority w:val="0"/>
    <w:rPr>
      <w:kern w:val="2"/>
      <w:sz w:val="24"/>
      <w:szCs w:val="24"/>
    </w:rPr>
  </w:style>
  <w:style w:type="character" w:customStyle="1" w:styleId="229">
    <w:name w:val="无间隔 Char"/>
    <w:link w:val="167"/>
    <w:qFormat/>
    <w:uiPriority w:val="0"/>
    <w:rPr>
      <w:kern w:val="2"/>
      <w:sz w:val="21"/>
      <w:szCs w:val="22"/>
      <w:lang w:val="en-US" w:eastAsia="zh-CN" w:bidi="ar-SA"/>
    </w:rPr>
  </w:style>
  <w:style w:type="character" w:customStyle="1" w:styleId="230">
    <w:name w:val="CJ 文本111 Char"/>
    <w:link w:val="113"/>
    <w:qFormat/>
    <w:uiPriority w:val="0"/>
    <w:rPr>
      <w:rFonts w:cs="Arial"/>
      <w:kern w:val="2"/>
      <w:sz w:val="24"/>
      <w:szCs w:val="24"/>
    </w:rPr>
  </w:style>
  <w:style w:type="character" w:customStyle="1" w:styleId="231">
    <w:name w:val="F正文 Char"/>
    <w:link w:val="114"/>
    <w:qFormat/>
    <w:uiPriority w:val="0"/>
    <w:rPr>
      <w:sz w:val="24"/>
      <w:szCs w:val="24"/>
    </w:rPr>
  </w:style>
  <w:style w:type="character" w:customStyle="1" w:styleId="232">
    <w:name w:val="正文▲ Char"/>
    <w:link w:val="116"/>
    <w:qFormat/>
    <w:uiPriority w:val="0"/>
    <w:rPr>
      <w:color w:val="000000"/>
      <w:kern w:val="2"/>
      <w:sz w:val="24"/>
      <w:szCs w:val="24"/>
      <w:lang w:val="en-US" w:eastAsia="zh-CN" w:bidi="ar-SA"/>
    </w:rPr>
  </w:style>
  <w:style w:type="character" w:customStyle="1" w:styleId="233">
    <w:name w:val="正文文本 字符"/>
    <w:link w:val="17"/>
    <w:qFormat/>
    <w:uiPriority w:val="0"/>
    <w:rPr>
      <w:kern w:val="2"/>
      <w:sz w:val="21"/>
      <w:szCs w:val="24"/>
    </w:rPr>
  </w:style>
  <w:style w:type="character" w:customStyle="1" w:styleId="234">
    <w:name w:val="样式17 Char Char"/>
    <w:qFormat/>
    <w:uiPriority w:val="0"/>
    <w:rPr>
      <w:rFonts w:eastAsia="宋体"/>
      <w:spacing w:val="20"/>
      <w:kern w:val="2"/>
      <w:sz w:val="24"/>
      <w:lang w:val="en-US" w:eastAsia="zh-CN" w:bidi="ar-SA"/>
    </w:rPr>
  </w:style>
  <w:style w:type="character" w:customStyle="1" w:styleId="235">
    <w:name w:val="批注主题 字符"/>
    <w:link w:val="39"/>
    <w:qFormat/>
    <w:uiPriority w:val="0"/>
    <w:rPr>
      <w:b/>
      <w:bCs/>
      <w:kern w:val="2"/>
      <w:sz w:val="21"/>
      <w:szCs w:val="24"/>
    </w:rPr>
  </w:style>
  <w:style w:type="character" w:customStyle="1" w:styleId="236">
    <w:name w:val="样式1 Char1"/>
    <w:link w:val="117"/>
    <w:qFormat/>
    <w:uiPriority w:val="0"/>
    <w:rPr>
      <w:bCs/>
      <w:spacing w:val="20"/>
      <w:sz w:val="28"/>
      <w:szCs w:val="28"/>
    </w:rPr>
  </w:style>
  <w:style w:type="character" w:customStyle="1" w:styleId="237">
    <w:name w:val="报告表格 Char"/>
    <w:link w:val="122"/>
    <w:qFormat/>
    <w:uiPriority w:val="0"/>
    <w:rPr>
      <w:sz w:val="21"/>
    </w:rPr>
  </w:style>
  <w:style w:type="character" w:customStyle="1" w:styleId="238">
    <w:name w:val="样式1 Char Char"/>
    <w:qFormat/>
    <w:uiPriority w:val="0"/>
    <w:rPr>
      <w:rFonts w:ascii="宋体" w:hAnsi="宋体" w:eastAsia="宋体"/>
      <w:b/>
      <w:kern w:val="2"/>
      <w:sz w:val="30"/>
      <w:szCs w:val="30"/>
      <w:lang w:val="en-US" w:eastAsia="zh-CN" w:bidi="ar-SA"/>
    </w:rPr>
  </w:style>
  <w:style w:type="character" w:customStyle="1" w:styleId="239">
    <w:name w:val="批注框文本 字符"/>
    <w:link w:val="25"/>
    <w:qFormat/>
    <w:uiPriority w:val="0"/>
    <w:rPr>
      <w:kern w:val="2"/>
      <w:sz w:val="18"/>
      <w:szCs w:val="18"/>
    </w:rPr>
  </w:style>
  <w:style w:type="character" w:customStyle="1" w:styleId="240">
    <w:name w:val="样式 表格 + 宋体 Char"/>
    <w:link w:val="130"/>
    <w:qFormat/>
    <w:uiPriority w:val="0"/>
    <w:rPr>
      <w:rFonts w:ascii="宋体" w:hAnsi="宋体"/>
      <w:color w:val="FF0000"/>
      <w:kern w:val="2"/>
      <w:sz w:val="21"/>
      <w:szCs w:val="21"/>
    </w:rPr>
  </w:style>
  <w:style w:type="character" w:customStyle="1" w:styleId="241">
    <w:name w:val="样式4   1 Char Char"/>
    <w:link w:val="131"/>
    <w:qFormat/>
    <w:uiPriority w:val="0"/>
    <w:rPr>
      <w:rFonts w:ascii="Calibri" w:hAnsi="Calibri"/>
      <w:b/>
      <w:kern w:val="2"/>
      <w:sz w:val="32"/>
      <w:szCs w:val="32"/>
    </w:rPr>
  </w:style>
  <w:style w:type="character" w:customStyle="1" w:styleId="242">
    <w:name w:val="王勇 Char Char"/>
    <w:link w:val="132"/>
    <w:qFormat/>
    <w:uiPriority w:val="0"/>
    <w:rPr>
      <w:kern w:val="2"/>
      <w:sz w:val="24"/>
      <w:szCs w:val="24"/>
    </w:rPr>
  </w:style>
  <w:style w:type="character" w:customStyle="1" w:styleId="243">
    <w:name w:val="样式3 Char Char"/>
    <w:link w:val="134"/>
    <w:qFormat/>
    <w:uiPriority w:val="0"/>
    <w:rPr>
      <w:b/>
      <w:sz w:val="28"/>
      <w:szCs w:val="24"/>
    </w:rPr>
  </w:style>
  <w:style w:type="character" w:customStyle="1" w:styleId="244">
    <w:name w:val="HZZH正文 Char Char"/>
    <w:link w:val="137"/>
    <w:qFormat/>
    <w:uiPriority w:val="0"/>
    <w:rPr>
      <w:rFonts w:hAnsi="宋体" w:cs="宋体"/>
      <w:sz w:val="28"/>
      <w:szCs w:val="28"/>
    </w:rPr>
  </w:style>
  <w:style w:type="character" w:customStyle="1" w:styleId="245">
    <w:name w:val="方案正文样式 Char"/>
    <w:link w:val="138"/>
    <w:qFormat/>
    <w:uiPriority w:val="0"/>
    <w:rPr>
      <w:snapToGrid w:val="0"/>
      <w:sz w:val="24"/>
      <w:szCs w:val="24"/>
    </w:rPr>
  </w:style>
  <w:style w:type="character" w:customStyle="1" w:styleId="246">
    <w:name w:val="报告正文 Char1"/>
    <w:link w:val="82"/>
    <w:qFormat/>
    <w:uiPriority w:val="0"/>
    <w:rPr>
      <w:kern w:val="2"/>
      <w:sz w:val="28"/>
      <w:szCs w:val="24"/>
    </w:rPr>
  </w:style>
  <w:style w:type="character" w:customStyle="1" w:styleId="247">
    <w:name w:val="样式4 Char"/>
    <w:link w:val="139"/>
    <w:qFormat/>
    <w:uiPriority w:val="0"/>
    <w:rPr>
      <w:kern w:val="2"/>
      <w:sz w:val="21"/>
      <w:szCs w:val="28"/>
    </w:rPr>
  </w:style>
  <w:style w:type="character" w:customStyle="1" w:styleId="248">
    <w:name w:val="样式3 Char"/>
    <w:qFormat/>
    <w:uiPriority w:val="0"/>
    <w:rPr>
      <w:rFonts w:eastAsia="宋体"/>
      <w:b/>
      <w:kern w:val="2"/>
      <w:sz w:val="30"/>
      <w:szCs w:val="30"/>
      <w:lang w:val="en-US" w:eastAsia="zh-CN" w:bidi="ar-SA"/>
    </w:rPr>
  </w:style>
  <w:style w:type="character" w:customStyle="1" w:styleId="249">
    <w:name w:val="样式2 Char Char"/>
    <w:link w:val="120"/>
    <w:qFormat/>
    <w:uiPriority w:val="0"/>
    <w:rPr>
      <w:spacing w:val="20"/>
      <w:kern w:val="2"/>
      <w:sz w:val="24"/>
      <w:szCs w:val="24"/>
      <w:lang w:val="en-US" w:eastAsia="zh-CN" w:bidi="ar-SA"/>
    </w:rPr>
  </w:style>
  <w:style w:type="character" w:customStyle="1" w:styleId="250">
    <w:name w:val="框图文字 Char"/>
    <w:link w:val="145"/>
    <w:qFormat/>
    <w:uiPriority w:val="0"/>
    <w:rPr>
      <w:rFonts w:cs="宋体"/>
      <w:spacing w:val="-20"/>
      <w:sz w:val="21"/>
      <w:szCs w:val="18"/>
    </w:rPr>
  </w:style>
  <w:style w:type="character" w:customStyle="1" w:styleId="251">
    <w:name w:val="apple-style-span"/>
    <w:basedOn w:val="44"/>
    <w:qFormat/>
    <w:uiPriority w:val="0"/>
  </w:style>
  <w:style w:type="character" w:customStyle="1" w:styleId="252">
    <w:name w:val="样式2 Char"/>
    <w:qFormat/>
    <w:uiPriority w:val="0"/>
    <w:rPr>
      <w:rFonts w:eastAsia="宋体"/>
      <w:b/>
      <w:kern w:val="2"/>
      <w:sz w:val="32"/>
      <w:szCs w:val="32"/>
      <w:lang w:val="en-US" w:eastAsia="zh-CN" w:bidi="ar-SA"/>
    </w:rPr>
  </w:style>
  <w:style w:type="character" w:customStyle="1" w:styleId="253">
    <w:name w:val="样式5 Char"/>
    <w:link w:val="148"/>
    <w:qFormat/>
    <w:uiPriority w:val="0"/>
    <w:rPr>
      <w:rFonts w:ascii="宋体" w:hAnsi="宋体"/>
      <w:b/>
      <w:color w:val="000000"/>
      <w:kern w:val="2"/>
      <w:sz w:val="28"/>
    </w:rPr>
  </w:style>
  <w:style w:type="character" w:customStyle="1" w:styleId="254">
    <w:name w:val="Char Char6"/>
    <w:qFormat/>
    <w:uiPriority w:val="0"/>
    <w:rPr>
      <w:rFonts w:ascii="宋体" w:hAnsi="Courier New" w:eastAsia="宋体" w:cs="Courier New"/>
      <w:kern w:val="2"/>
      <w:sz w:val="24"/>
      <w:szCs w:val="21"/>
      <w:lang w:val="en-US" w:eastAsia="zh-CN" w:bidi="ar-SA"/>
    </w:rPr>
  </w:style>
  <w:style w:type="character" w:customStyle="1" w:styleId="255">
    <w:name w:val="无间隔 Char Char"/>
    <w:qFormat/>
    <w:uiPriority w:val="0"/>
    <w:rPr>
      <w:rFonts w:ascii="Calibri" w:hAnsi="Calibri" w:eastAsia="宋体"/>
      <w:kern w:val="2"/>
      <w:sz w:val="21"/>
      <w:szCs w:val="22"/>
      <w:lang w:val="en-US" w:eastAsia="zh-CN" w:bidi="ar-SA"/>
    </w:rPr>
  </w:style>
  <w:style w:type="character" w:customStyle="1" w:styleId="256">
    <w:name w:val="SB正文 Char"/>
    <w:link w:val="151"/>
    <w:qFormat/>
    <w:uiPriority w:val="0"/>
    <w:rPr>
      <w:kern w:val="2"/>
      <w:sz w:val="24"/>
    </w:rPr>
  </w:style>
  <w:style w:type="character" w:customStyle="1" w:styleId="257">
    <w:name w:val="副标题 字符"/>
    <w:link w:val="30"/>
    <w:qFormat/>
    <w:uiPriority w:val="0"/>
    <w:rPr>
      <w:rFonts w:ascii="Cambria" w:hAnsi="Cambria"/>
      <w:b/>
      <w:bCs/>
      <w:kern w:val="28"/>
      <w:sz w:val="32"/>
      <w:szCs w:val="32"/>
    </w:rPr>
  </w:style>
  <w:style w:type="character" w:customStyle="1" w:styleId="258">
    <w:name w:val="正文▲ Char Char"/>
    <w:qFormat/>
    <w:uiPriority w:val="0"/>
    <w:rPr>
      <w:color w:val="000000"/>
      <w:kern w:val="2"/>
      <w:sz w:val="24"/>
      <w:szCs w:val="24"/>
      <w:lang w:val="en-US" w:eastAsia="zh-CN" w:bidi="ar-SA"/>
    </w:rPr>
  </w:style>
  <w:style w:type="character" w:customStyle="1" w:styleId="259">
    <w:name w:val="样式 样式 小四 段前: 7.8 磅 段后: 7.8 磅 行距: 1.5 倍行距 + 首行缩进:  2 字符 Char"/>
    <w:link w:val="97"/>
    <w:qFormat/>
    <w:uiPriority w:val="0"/>
    <w:rPr>
      <w:rFonts w:hAnsi="宋体"/>
      <w:b/>
      <w:kern w:val="2"/>
      <w:sz w:val="24"/>
      <w:szCs w:val="24"/>
    </w:rPr>
  </w:style>
  <w:style w:type="character" w:customStyle="1" w:styleId="260">
    <w:name w:val="1jw正文 Char"/>
    <w:link w:val="159"/>
    <w:qFormat/>
    <w:uiPriority w:val="0"/>
    <w:rPr>
      <w:rFonts w:cs="宋体"/>
      <w:sz w:val="24"/>
      <w:szCs w:val="24"/>
      <w:lang w:val="en-US" w:eastAsia="zh-CN" w:bidi="ar-SA"/>
    </w:rPr>
  </w:style>
  <w:style w:type="character" w:customStyle="1" w:styleId="261">
    <w:name w:val="王勇 Char"/>
    <w:qFormat/>
    <w:uiPriority w:val="0"/>
    <w:rPr>
      <w:kern w:val="2"/>
      <w:sz w:val="24"/>
      <w:szCs w:val="24"/>
    </w:rPr>
  </w:style>
  <w:style w:type="character" w:customStyle="1" w:styleId="262">
    <w:name w:val="标题 4 字符"/>
    <w:link w:val="6"/>
    <w:qFormat/>
    <w:uiPriority w:val="0"/>
    <w:rPr>
      <w:rFonts w:ascii="Plotter" w:hAnsi="Plotter" w:eastAsia="黑体"/>
      <w:b/>
      <w:bCs/>
      <w:spacing w:val="20"/>
      <w:kern w:val="2"/>
      <w:sz w:val="32"/>
    </w:rPr>
  </w:style>
  <w:style w:type="character" w:customStyle="1" w:styleId="263">
    <w:name w:val="标题 5 字符"/>
    <w:link w:val="7"/>
    <w:qFormat/>
    <w:uiPriority w:val="0"/>
    <w:rPr>
      <w:b/>
      <w:bCs/>
      <w:kern w:val="2"/>
      <w:sz w:val="28"/>
      <w:szCs w:val="28"/>
    </w:rPr>
  </w:style>
  <w:style w:type="character" w:customStyle="1" w:styleId="264">
    <w:name w:val="正文文本缩进 3 字符"/>
    <w:link w:val="33"/>
    <w:qFormat/>
    <w:uiPriority w:val="0"/>
    <w:rPr>
      <w:kern w:val="2"/>
      <w:sz w:val="16"/>
      <w:szCs w:val="16"/>
    </w:rPr>
  </w:style>
  <w:style w:type="character" w:customStyle="1" w:styleId="265">
    <w:name w:val="日期 字符"/>
    <w:link w:val="23"/>
    <w:qFormat/>
    <w:uiPriority w:val="0"/>
    <w:rPr>
      <w:kern w:val="2"/>
      <w:sz w:val="21"/>
      <w:szCs w:val="24"/>
    </w:rPr>
  </w:style>
  <w:style w:type="character" w:customStyle="1" w:styleId="266">
    <w:name w:val="称呼 字符"/>
    <w:link w:val="16"/>
    <w:qFormat/>
    <w:uiPriority w:val="0"/>
    <w:rPr>
      <w:sz w:val="24"/>
    </w:rPr>
  </w:style>
  <w:style w:type="character" w:customStyle="1" w:styleId="267">
    <w:name w:val="正文首行缩进 字符"/>
    <w:basedOn w:val="233"/>
    <w:link w:val="40"/>
    <w:qFormat/>
    <w:uiPriority w:val="0"/>
    <w:rPr>
      <w:kern w:val="2"/>
      <w:sz w:val="21"/>
      <w:szCs w:val="24"/>
    </w:rPr>
  </w:style>
  <w:style w:type="character" w:customStyle="1" w:styleId="268">
    <w:name w:val="宏文本 字符"/>
    <w:link w:val="2"/>
    <w:semiHidden/>
    <w:qFormat/>
    <w:uiPriority w:val="0"/>
    <w:rPr>
      <w:rFonts w:ascii="Courier New" w:hAnsi="Courier New" w:cs="Courier New"/>
      <w:kern w:val="2"/>
      <w:sz w:val="24"/>
      <w:szCs w:val="24"/>
      <w:lang w:val="en-US" w:eastAsia="zh-CN" w:bidi="ar-SA"/>
    </w:rPr>
  </w:style>
  <w:style w:type="character" w:customStyle="1" w:styleId="269">
    <w:name w:val="正文级别▲ Char"/>
    <w:link w:val="166"/>
    <w:qFormat/>
    <w:uiPriority w:val="0"/>
    <w:rPr>
      <w:kern w:val="2"/>
      <w:sz w:val="24"/>
      <w:szCs w:val="24"/>
    </w:rPr>
  </w:style>
  <w:style w:type="character" w:customStyle="1" w:styleId="270">
    <w:name w:val="CJ 文本111 Char Char"/>
    <w:qFormat/>
    <w:uiPriority w:val="0"/>
    <w:rPr>
      <w:rFonts w:eastAsia="宋体" w:cs="Arial"/>
      <w:kern w:val="2"/>
      <w:sz w:val="24"/>
      <w:szCs w:val="24"/>
      <w:lang w:val="en-US" w:eastAsia="zh-CN" w:bidi="ar-SA"/>
    </w:rPr>
  </w:style>
  <w:style w:type="character" w:customStyle="1" w:styleId="271">
    <w:name w:val="F正文 Char Char"/>
    <w:qFormat/>
    <w:uiPriority w:val="0"/>
    <w:rPr>
      <w:rFonts w:ascii="宋体" w:hAnsi="宋体" w:eastAsia="宋体"/>
      <w:color w:val="FF0000"/>
      <w:sz w:val="24"/>
      <w:szCs w:val="24"/>
      <w:lang w:eastAsia="zh-CN" w:bidi="ar-SA"/>
    </w:rPr>
  </w:style>
  <w:style w:type="character" w:customStyle="1" w:styleId="272">
    <w:name w:val="wj样式 Char"/>
    <w:link w:val="169"/>
    <w:qFormat/>
    <w:uiPriority w:val="0"/>
    <w:rPr>
      <w:spacing w:val="14"/>
      <w:kern w:val="2"/>
      <w:sz w:val="24"/>
      <w:szCs w:val="24"/>
    </w:rPr>
  </w:style>
  <w:style w:type="character" w:customStyle="1" w:styleId="273">
    <w:name w:val="正文（行首缩进2字） Char"/>
    <w:link w:val="171"/>
    <w:qFormat/>
    <w:uiPriority w:val="0"/>
    <w:rPr>
      <w:kern w:val="2"/>
      <w:sz w:val="28"/>
      <w:szCs w:val="24"/>
    </w:rPr>
  </w:style>
  <w:style w:type="character" w:customStyle="1" w:styleId="274">
    <w:name w:val="正文11 Char"/>
    <w:link w:val="172"/>
    <w:qFormat/>
    <w:uiPriority w:val="0"/>
    <w:rPr>
      <w:rFonts w:hAnsi="宋体"/>
      <w:kern w:val="2"/>
      <w:sz w:val="28"/>
      <w:szCs w:val="24"/>
    </w:rPr>
  </w:style>
  <w:style w:type="character" w:customStyle="1" w:styleId="275">
    <w:name w:val="金林表标题 Char"/>
    <w:link w:val="176"/>
    <w:qFormat/>
    <w:uiPriority w:val="0"/>
    <w:rPr>
      <w:b/>
      <w:kern w:val="2"/>
      <w:sz w:val="24"/>
      <w:szCs w:val="28"/>
    </w:rPr>
  </w:style>
  <w:style w:type="character" w:customStyle="1" w:styleId="276">
    <w:name w:val="表格样式 Char Char"/>
    <w:qFormat/>
    <w:uiPriority w:val="0"/>
    <w:rPr>
      <w:rFonts w:eastAsia="宋体"/>
      <w:kern w:val="2"/>
      <w:sz w:val="21"/>
      <w:szCs w:val="21"/>
      <w:lang w:val="en-US" w:eastAsia="zh-CN" w:bidi="ar-SA"/>
    </w:rPr>
  </w:style>
  <w:style w:type="character" w:customStyle="1" w:styleId="277">
    <w:name w:val="正文缩进 Char2"/>
    <w:basedOn w:val="44"/>
    <w:qFormat/>
    <w:uiPriority w:val="0"/>
    <w:rPr>
      <w:rFonts w:eastAsia="宋体"/>
      <w:kern w:val="2"/>
      <w:sz w:val="24"/>
      <w:lang w:val="en-US" w:eastAsia="zh-CN" w:bidi="ar-SA"/>
    </w:rPr>
  </w:style>
  <w:style w:type="paragraph" w:customStyle="1" w:styleId="278">
    <w:name w:val="Char Char4"/>
    <w:basedOn w:val="1"/>
    <w:qFormat/>
    <w:uiPriority w:val="0"/>
    <w:rPr>
      <w:szCs w:val="21"/>
    </w:rPr>
  </w:style>
  <w:style w:type="paragraph" w:customStyle="1" w:styleId="279">
    <w:name w:val="1"/>
    <w:basedOn w:val="1"/>
    <w:semiHidden/>
    <w:qFormat/>
    <w:uiPriority w:val="0"/>
  </w:style>
  <w:style w:type="table" w:customStyle="1" w:styleId="280">
    <w:name w:val="Table Normal"/>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81">
    <w:name w:val="Table Paragraph"/>
    <w:basedOn w:val="1"/>
    <w:qFormat/>
    <w:uiPriority w:val="1"/>
    <w:pPr>
      <w:jc w:val="left"/>
    </w:pPr>
    <w:rPr>
      <w:rFonts w:asciiTheme="minorHAnsi" w:hAnsiTheme="minorHAnsi" w:eastAsiaTheme="minorEastAsia" w:cstheme="minorBidi"/>
      <w:kern w:val="0"/>
      <w:sz w:val="22"/>
      <w:szCs w:val="22"/>
      <w:lang w:eastAsia="en-US"/>
    </w:rPr>
  </w:style>
  <w:style w:type="character" w:customStyle="1" w:styleId="282">
    <w:name w:val="题注 字符"/>
    <w:link w:val="12"/>
    <w:qFormat/>
    <w:uiPriority w:val="0"/>
    <w:rPr>
      <w:rFonts w:ascii="Cambria" w:hAnsi="Cambria" w:eastAsia="黑体"/>
      <w:kern w:val="2"/>
    </w:rPr>
  </w:style>
  <w:style w:type="paragraph" w:customStyle="1" w:styleId="283">
    <w:name w:val="表格字体"/>
    <w:basedOn w:val="1"/>
    <w:qFormat/>
    <w:uiPriority w:val="0"/>
    <w:pPr>
      <w:widowControl/>
      <w:jc w:val="center"/>
    </w:pPr>
  </w:style>
  <w:style w:type="table" w:customStyle="1" w:styleId="284">
    <w:name w:val="网格型（pxg）1"/>
    <w:basedOn w:val="42"/>
    <w:qFormat/>
    <w:uiPriority w:val="59"/>
    <w:pPr>
      <w:widowControl w:val="0"/>
    </w:pPr>
    <w:rPr>
      <w:rFonts w:ascii="Calibri" w:hAnsi="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
    <w:name w:val="Table Normal1"/>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286">
    <w:name w:val="sb-正文 Char Char"/>
    <w:link w:val="287"/>
    <w:qFormat/>
    <w:uiPriority w:val="0"/>
    <w:rPr>
      <w:rFonts w:ascii="宋体" w:hAnsi="宋体" w:cs="宋体"/>
      <w:color w:val="000000"/>
      <w:kern w:val="2"/>
      <w:sz w:val="24"/>
      <w:szCs w:val="21"/>
    </w:rPr>
  </w:style>
  <w:style w:type="paragraph" w:customStyle="1" w:styleId="287">
    <w:name w:val="sb-正文"/>
    <w:basedOn w:val="1"/>
    <w:link w:val="286"/>
    <w:qFormat/>
    <w:uiPriority w:val="0"/>
    <w:pPr>
      <w:tabs>
        <w:tab w:val="left" w:pos="3120"/>
        <w:tab w:val="left" w:pos="6376"/>
      </w:tabs>
      <w:spacing w:line="360" w:lineRule="auto"/>
      <w:ind w:firstLine="480" w:firstLineChars="200"/>
    </w:pPr>
    <w:rPr>
      <w:rFonts w:ascii="宋体" w:hAnsi="宋体" w:cs="宋体"/>
      <w:color w:val="000000"/>
      <w:sz w:val="24"/>
      <w:szCs w:val="21"/>
    </w:rPr>
  </w:style>
  <w:style w:type="paragraph" w:customStyle="1" w:styleId="288">
    <w:name w:val="报告表标题"/>
    <w:basedOn w:val="1"/>
    <w:qFormat/>
    <w:uiPriority w:val="0"/>
    <w:pPr>
      <w:jc w:val="center"/>
    </w:pPr>
    <w:rPr>
      <w:rFonts w:ascii="仿宋" w:hAnsi="仿宋" w:eastAsia="仿宋"/>
      <w:b/>
      <w:bCs/>
      <w:iCs/>
      <w:color w:val="FF0000"/>
      <w:sz w:val="24"/>
    </w:rPr>
  </w:style>
  <w:style w:type="paragraph" w:styleId="289">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90">
    <w:name w:val="List Paragraph"/>
    <w:basedOn w:val="1"/>
    <w:qFormat/>
    <w:uiPriority w:val="1"/>
    <w:pPr>
      <w:ind w:firstLine="420" w:firstLineChars="200"/>
    </w:pPr>
  </w:style>
  <w:style w:type="paragraph" w:customStyle="1" w:styleId="291">
    <w:name w:val="正文缩进1"/>
    <w:basedOn w:val="1"/>
    <w:qFormat/>
    <w:uiPriority w:val="0"/>
    <w:pPr>
      <w:spacing w:line="520" w:lineRule="exact"/>
      <w:ind w:firstLine="624"/>
    </w:pPr>
    <w:rPr>
      <w:sz w:val="28"/>
      <w:szCs w:val="20"/>
    </w:rPr>
  </w:style>
  <w:style w:type="character" w:customStyle="1" w:styleId="292">
    <w:name w:val="标题 8 字符"/>
    <w:basedOn w:val="44"/>
    <w:link w:val="8"/>
    <w:qFormat/>
    <w:uiPriority w:val="0"/>
    <w:rPr>
      <w:rFonts w:asciiTheme="majorHAnsi" w:hAnsiTheme="majorHAnsi" w:eastAsiaTheme="majorEastAsia" w:cstheme="majorBidi"/>
      <w:kern w:val="2"/>
      <w:sz w:val="24"/>
      <w:szCs w:val="24"/>
    </w:rPr>
  </w:style>
  <w:style w:type="paragraph" w:customStyle="1" w:styleId="293">
    <w:name w:val="表格内容"/>
    <w:basedOn w:val="1"/>
    <w:link w:val="294"/>
    <w:qFormat/>
    <w:uiPriority w:val="0"/>
    <w:pPr>
      <w:jc w:val="center"/>
    </w:pPr>
    <w:rPr>
      <w:szCs w:val="22"/>
    </w:rPr>
  </w:style>
  <w:style w:type="character" w:customStyle="1" w:styleId="294">
    <w:name w:val="表格内容 Char"/>
    <w:link w:val="293"/>
    <w:qFormat/>
    <w:uiPriority w:val="0"/>
    <w:rPr>
      <w:kern w:val="2"/>
      <w:sz w:val="21"/>
      <w:szCs w:val="22"/>
    </w:rPr>
  </w:style>
  <w:style w:type="paragraph" w:customStyle="1" w:styleId="295">
    <w:name w:val="环评正文"/>
    <w:basedOn w:val="1"/>
    <w:qFormat/>
    <w:uiPriority w:val="0"/>
    <w:pPr>
      <w:spacing w:line="360" w:lineRule="auto"/>
      <w:ind w:firstLine="200" w:firstLineChars="200"/>
    </w:pPr>
    <w:rPr>
      <w:sz w:val="24"/>
      <w:szCs w:val="22"/>
    </w:rPr>
  </w:style>
  <w:style w:type="paragraph" w:customStyle="1" w:styleId="296">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297">
    <w:name w:val="正文环评"/>
    <w:basedOn w:val="1"/>
    <w:qFormat/>
    <w:uiPriority w:val="0"/>
    <w:pPr>
      <w:spacing w:line="360" w:lineRule="auto"/>
      <w:ind w:firstLine="200" w:firstLineChars="200"/>
    </w:pPr>
    <w:rPr>
      <w:sz w:val="24"/>
      <w:szCs w:val="22"/>
    </w:rPr>
  </w:style>
  <w:style w:type="paragraph" w:customStyle="1" w:styleId="298">
    <w:name w:val="表内容"/>
    <w:basedOn w:val="1"/>
    <w:qFormat/>
    <w:uiPriority w:val="0"/>
    <w:pPr>
      <w:jc w:val="center"/>
    </w:pPr>
    <w:rPr>
      <w:color w:val="000000"/>
      <w:kern w:val="0"/>
      <w:szCs w:val="20"/>
    </w:rPr>
  </w:style>
  <w:style w:type="table" w:customStyle="1" w:styleId="299">
    <w:name w:val="Table Normal2"/>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300">
    <w:name w:val="Table Normal3"/>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301">
    <w:name w:val="Table Normal5"/>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302">
    <w:name w:val="网格型1"/>
    <w:basedOn w:val="42"/>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1.png"/><Relationship Id="rId37" Type="http://schemas.openxmlformats.org/officeDocument/2006/relationships/image" Target="media/image20.wmf"/><Relationship Id="rId36" Type="http://schemas.openxmlformats.org/officeDocument/2006/relationships/image" Target="media/image19.wmf"/><Relationship Id="rId35" Type="http://schemas.openxmlformats.org/officeDocument/2006/relationships/oleObject" Target="embeddings/oleObject1.bin"/><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png"/><Relationship Id="rId23" Type="http://schemas.openxmlformats.org/officeDocument/2006/relationships/image" Target="media/image7.emf"/><Relationship Id="rId22" Type="http://schemas.openxmlformats.org/officeDocument/2006/relationships/image" Target="media/image6.wmf"/><Relationship Id="rId21" Type="http://schemas.openxmlformats.org/officeDocument/2006/relationships/image" Target="media/image5.emf"/><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image" Target="media/image2.emf"/><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2"/>
    <customShpInfo spid="_x0000_s1196"/>
    <customShpInfo spid="_x0000_s11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149</Pages>
  <Words>9512</Words>
  <Characters>10503</Characters>
  <Lines>851</Lines>
  <Paragraphs>239</Paragraphs>
  <TotalTime>4571</TotalTime>
  <ScaleCrop>false</ScaleCrop>
  <LinksUpToDate>false</LinksUpToDate>
  <CharactersWithSpaces>10747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2019-03-04T02:12:00Z</dcterms:created>
  <dc:creator>User</dc:creator>
  <cp:lastModifiedBy>刘变香</cp:lastModifiedBy>
  <cp:lastPrinted>2018-02-01T01:34:00Z</cp:lastPrinted>
  <dcterms:modified xsi:type="dcterms:W3CDTF">2025-12-31T01:36:26Z</dcterms:modified>
  <dc:title>云药产业基地</dc:title>
  <cp:revision>317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8EF7F7800CE9495B807146BB6A2A6157</vt:lpwstr>
  </property>
</Properties>
</file>