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41616176">
      <w:pPr>
        <w:spacing w:line="240" w:lineRule="atLeast"/>
        <w:ind w:firstLine="1120"/>
        <w:jc w:val="center"/>
        <w:rPr>
          <w:rFonts w:hint="eastAsia" w:hAnsi="黑体" w:eastAsia="黑体"/>
          <w:sz w:val="56"/>
          <w:szCs w:val="72"/>
        </w:rPr>
      </w:pPr>
      <w:bookmarkStart w:id="0" w:name="_Toc444099626"/>
      <w:bookmarkStart w:id="1" w:name="_Toc443655581"/>
      <w:bookmarkStart w:id="2" w:name="_Toc446597216"/>
      <w:bookmarkStart w:id="3" w:name="_Toc446493487"/>
      <w:bookmarkStart w:id="4" w:name="_Toc454046450"/>
      <w:bookmarkStart w:id="5" w:name="_Toc443655351"/>
      <w:bookmarkStart w:id="6" w:name="_Toc445465396"/>
    </w:p>
    <w:p w14:paraId="32C75181">
      <w:pPr>
        <w:spacing w:line="240" w:lineRule="atLeast"/>
        <w:ind w:firstLine="0" w:firstLineChars="0"/>
        <w:jc w:val="center"/>
        <w:rPr>
          <w:b/>
          <w:szCs w:val="28"/>
        </w:rPr>
      </w:pPr>
      <w:r>
        <w:rPr>
          <w:rFonts w:hint="eastAsia" w:hAnsi="黑体" w:eastAsia="黑体"/>
          <w:sz w:val="56"/>
          <w:szCs w:val="72"/>
        </w:rPr>
        <w:t>云南省德宏州芒市团结水电站工程</w:t>
      </w:r>
    </w:p>
    <w:p w14:paraId="2B82F3BD">
      <w:pPr>
        <w:spacing w:line="240" w:lineRule="atLeast"/>
        <w:ind w:firstLine="562"/>
        <w:jc w:val="center"/>
        <w:rPr>
          <w:b/>
          <w:sz w:val="28"/>
          <w:szCs w:val="28"/>
        </w:rPr>
      </w:pPr>
    </w:p>
    <w:p w14:paraId="225461D4">
      <w:pPr>
        <w:spacing w:line="240" w:lineRule="atLeast"/>
        <w:ind w:firstLine="1446"/>
        <w:jc w:val="center"/>
        <w:rPr>
          <w:b/>
          <w:sz w:val="72"/>
          <w:szCs w:val="72"/>
        </w:rPr>
      </w:pPr>
      <w:r>
        <w:rPr>
          <w:b/>
          <w:sz w:val="72"/>
          <w:szCs w:val="72"/>
        </w:rPr>
        <w:t>环境影</w:t>
      </w:r>
      <w:r>
        <w:rPr>
          <w:rFonts w:hint="eastAsia"/>
          <w:b/>
          <w:sz w:val="72"/>
          <w:szCs w:val="72"/>
        </w:rPr>
        <w:t>响</w:t>
      </w:r>
      <w:r>
        <w:rPr>
          <w:b/>
          <w:sz w:val="72"/>
          <w:szCs w:val="72"/>
        </w:rPr>
        <w:t>报告</w:t>
      </w:r>
      <w:r>
        <w:rPr>
          <w:rFonts w:hint="eastAsia"/>
          <w:b/>
          <w:sz w:val="72"/>
          <w:szCs w:val="72"/>
        </w:rPr>
        <w:t>书</w:t>
      </w:r>
    </w:p>
    <w:p w14:paraId="50143C52">
      <w:pPr>
        <w:spacing w:before="624" w:beforeLines="200" w:line="240" w:lineRule="atLeast"/>
        <w:ind w:firstLine="803"/>
        <w:jc w:val="center"/>
        <w:outlineLvl w:val="0"/>
        <w:rPr>
          <w:b/>
          <w:color w:val="FF0000"/>
          <w:sz w:val="40"/>
          <w:szCs w:val="32"/>
        </w:rPr>
      </w:pPr>
      <w:bookmarkStart w:id="7" w:name="_Toc508642388"/>
      <w:bookmarkStart w:id="8" w:name="_Toc475043832"/>
      <w:bookmarkStart w:id="9" w:name="_Toc471415568"/>
      <w:bookmarkStart w:id="10" w:name="_Toc382508221"/>
      <w:bookmarkStart w:id="11" w:name="_Toc502914138"/>
      <w:bookmarkStart w:id="12" w:name="_Toc382507556"/>
      <w:bookmarkStart w:id="13" w:name="_Toc502938516"/>
      <w:bookmarkStart w:id="14" w:name="_Toc468129687"/>
      <w:bookmarkStart w:id="15" w:name="_Toc383420186"/>
      <w:bookmarkStart w:id="16" w:name="_Toc382507191"/>
      <w:bookmarkStart w:id="17" w:name="_Toc429990209"/>
      <w:bookmarkStart w:id="18" w:name="_Toc471737939"/>
      <w:r>
        <w:rPr>
          <w:b/>
          <w:color w:val="FF0000"/>
          <w:sz w:val="40"/>
          <w:szCs w:val="32"/>
        </w:rPr>
        <w:t>(</w:t>
      </w:r>
      <w:r>
        <w:rPr>
          <w:rFonts w:hint="eastAsia"/>
          <w:b/>
          <w:color w:val="FF0000"/>
          <w:sz w:val="40"/>
          <w:szCs w:val="32"/>
        </w:rPr>
        <w:t>报批</w:t>
      </w:r>
      <w:r>
        <w:rPr>
          <w:b/>
          <w:color w:val="FF0000"/>
          <w:sz w:val="40"/>
          <w:szCs w:val="32"/>
        </w:rPr>
        <w:t>稿)</w:t>
      </w:r>
      <w:bookmarkEnd w:id="7"/>
      <w:bookmarkEnd w:id="8"/>
      <w:bookmarkEnd w:id="9"/>
      <w:bookmarkEnd w:id="10"/>
      <w:bookmarkEnd w:id="11"/>
      <w:bookmarkEnd w:id="12"/>
      <w:bookmarkEnd w:id="13"/>
      <w:bookmarkEnd w:id="14"/>
      <w:bookmarkEnd w:id="15"/>
      <w:bookmarkEnd w:id="16"/>
      <w:bookmarkEnd w:id="17"/>
      <w:bookmarkEnd w:id="18"/>
    </w:p>
    <w:p w14:paraId="703C3404">
      <w:pPr>
        <w:spacing w:line="240" w:lineRule="atLeast"/>
        <w:ind w:firstLine="560"/>
        <w:jc w:val="center"/>
        <w:rPr>
          <w:sz w:val="28"/>
          <w:szCs w:val="21"/>
          <w:highlight w:val="green"/>
        </w:rPr>
      </w:pPr>
    </w:p>
    <w:p w14:paraId="5B3C248C">
      <w:pPr>
        <w:spacing w:line="240" w:lineRule="atLeast"/>
        <w:ind w:firstLine="560"/>
        <w:jc w:val="center"/>
        <w:rPr>
          <w:sz w:val="28"/>
          <w:szCs w:val="21"/>
          <w:highlight w:val="green"/>
        </w:rPr>
      </w:pPr>
    </w:p>
    <w:p w14:paraId="55BBF971">
      <w:pPr>
        <w:spacing w:line="240" w:lineRule="atLeast"/>
        <w:ind w:firstLine="560"/>
        <w:jc w:val="center"/>
        <w:rPr>
          <w:sz w:val="28"/>
          <w:szCs w:val="21"/>
          <w:highlight w:val="green"/>
        </w:rPr>
      </w:pPr>
    </w:p>
    <w:p w14:paraId="51B9F9A5">
      <w:pPr>
        <w:spacing w:line="240" w:lineRule="atLeast"/>
        <w:ind w:firstLine="560"/>
        <w:jc w:val="center"/>
        <w:rPr>
          <w:sz w:val="28"/>
          <w:szCs w:val="21"/>
          <w:highlight w:val="green"/>
        </w:rPr>
      </w:pPr>
    </w:p>
    <w:p w14:paraId="02AD6B6D">
      <w:pPr>
        <w:spacing w:line="240" w:lineRule="atLeast"/>
        <w:ind w:firstLine="560"/>
        <w:jc w:val="center"/>
        <w:rPr>
          <w:sz w:val="28"/>
          <w:szCs w:val="21"/>
          <w:highlight w:val="green"/>
        </w:rPr>
      </w:pPr>
    </w:p>
    <w:p w14:paraId="7CBC660E">
      <w:pPr>
        <w:spacing w:before="624" w:beforeLines="200" w:line="240" w:lineRule="atLeast"/>
        <w:ind w:firstLine="199" w:firstLineChars="62"/>
        <w:rPr>
          <w:sz w:val="32"/>
          <w:szCs w:val="30"/>
        </w:rPr>
      </w:pPr>
      <w:r>
        <w:rPr>
          <w:b/>
          <w:bCs/>
          <w:sz w:val="32"/>
          <w:szCs w:val="30"/>
        </w:rPr>
        <w:t>建设单位：</w:t>
      </w:r>
      <w:r>
        <w:rPr>
          <w:rFonts w:hint="eastAsia"/>
          <w:b/>
          <w:bCs/>
          <w:sz w:val="32"/>
          <w:szCs w:val="30"/>
        </w:rPr>
        <w:t>芒市宏睿水电有限公司</w:t>
      </w:r>
    </w:p>
    <w:p w14:paraId="550967F8">
      <w:pPr>
        <w:spacing w:before="624" w:beforeLines="200" w:line="240" w:lineRule="atLeast"/>
        <w:ind w:firstLine="161" w:firstLineChars="50"/>
        <w:rPr>
          <w:b/>
          <w:bCs/>
          <w:sz w:val="32"/>
          <w:szCs w:val="30"/>
        </w:rPr>
      </w:pPr>
      <w:r>
        <w:rPr>
          <w:rFonts w:hint="eastAsia"/>
          <w:b/>
          <w:bCs/>
          <w:sz w:val="32"/>
          <w:szCs w:val="30"/>
        </w:rPr>
        <w:t>评价单位</w:t>
      </w:r>
      <w:r>
        <w:rPr>
          <w:b/>
          <w:bCs/>
          <w:sz w:val="32"/>
          <w:szCs w:val="30"/>
        </w:rPr>
        <w:t>：</w:t>
      </w:r>
      <w:r>
        <w:rPr>
          <w:rFonts w:hint="eastAsia"/>
          <w:b/>
          <w:bCs/>
          <w:sz w:val="32"/>
          <w:szCs w:val="30"/>
        </w:rPr>
        <w:t>北京华恒基业野生动植物专用标识技术服务中心</w:t>
      </w:r>
    </w:p>
    <w:p w14:paraId="43D7F75D">
      <w:pPr>
        <w:spacing w:before="624" w:beforeLines="200" w:line="240" w:lineRule="atLeast"/>
        <w:ind w:firstLine="723"/>
        <w:jc w:val="center"/>
        <w:rPr>
          <w:b/>
          <w:sz w:val="36"/>
          <w:szCs w:val="30"/>
          <w:highlight w:val="green"/>
        </w:rPr>
      </w:pPr>
    </w:p>
    <w:p w14:paraId="58BDC6E2">
      <w:pPr>
        <w:spacing w:before="840"/>
        <w:ind w:firstLine="643"/>
        <w:jc w:val="center"/>
        <w:rPr>
          <w:b/>
          <w:bCs/>
          <w:color w:val="FF0000"/>
          <w:sz w:val="32"/>
          <w:szCs w:val="30"/>
        </w:rPr>
        <w:sectPr>
          <w:headerReference r:id="rId7" w:type="first"/>
          <w:footerReference r:id="rId10" w:type="first"/>
          <w:headerReference r:id="rId5" w:type="default"/>
          <w:footerReference r:id="rId8" w:type="default"/>
          <w:headerReference r:id="rId6" w:type="even"/>
          <w:footerReference r:id="rId9" w:type="even"/>
          <w:pgSz w:w="11906" w:h="16838"/>
          <w:pgMar w:top="1814" w:right="1588" w:bottom="1814" w:left="1588" w:header="851" w:footer="992" w:gutter="0"/>
          <w:pgNumType w:fmt="upperRoman" w:start="1"/>
          <w:cols w:space="425" w:num="1"/>
          <w:docGrid w:type="lines" w:linePitch="312" w:charSpace="0"/>
        </w:sectPr>
      </w:pPr>
      <w:r>
        <w:rPr>
          <w:rFonts w:hint="eastAsia"/>
          <w:b/>
          <w:bCs/>
          <w:color w:val="FF0000"/>
          <w:sz w:val="32"/>
          <w:szCs w:val="30"/>
        </w:rPr>
        <w:t>二〇一八年三月</w:t>
      </w:r>
    </w:p>
    <w:p w14:paraId="7D8A0292">
      <w:pPr>
        <w:pStyle w:val="52"/>
        <w:spacing w:line="312" w:lineRule="auto"/>
      </w:pPr>
      <w:bookmarkStart w:id="19" w:name="_Toc475043833"/>
      <w:bookmarkStart w:id="20" w:name="_Toc471737940"/>
      <w:bookmarkStart w:id="21" w:name="_Toc502938517"/>
      <w:bookmarkStart w:id="22" w:name="_Toc508642389"/>
      <w:bookmarkStart w:id="23" w:name="_Toc471415569"/>
      <w:bookmarkStart w:id="24" w:name="_Toc468129688"/>
      <w:bookmarkStart w:id="25" w:name="_Toc502914139"/>
      <w:r>
        <w:rPr>
          <w:rFonts w:hint="eastAsia"/>
        </w:rPr>
        <w:t>目  录</w:t>
      </w:r>
      <w:bookmarkEnd w:id="0"/>
      <w:bookmarkEnd w:id="1"/>
      <w:bookmarkEnd w:id="2"/>
      <w:bookmarkEnd w:id="3"/>
      <w:bookmarkEnd w:id="4"/>
      <w:bookmarkEnd w:id="5"/>
      <w:bookmarkEnd w:id="6"/>
      <w:bookmarkEnd w:id="19"/>
      <w:bookmarkEnd w:id="20"/>
      <w:bookmarkEnd w:id="21"/>
      <w:bookmarkEnd w:id="22"/>
      <w:bookmarkEnd w:id="23"/>
      <w:bookmarkEnd w:id="24"/>
      <w:bookmarkEnd w:id="25"/>
      <w:r>
        <w:rPr>
          <w:rFonts w:cs="Times New Roman" w:eastAsiaTheme="minorEastAsia"/>
        </w:rPr>
        <w:fldChar w:fldCharType="begin"/>
      </w:r>
      <w:r>
        <w:rPr>
          <w:rFonts w:cs="Times New Roman" w:eastAsiaTheme="minorEastAsia"/>
        </w:rPr>
        <w:instrText xml:space="preserve"> TOC \o "1-3" \h \z \u </w:instrText>
      </w:r>
      <w:r>
        <w:rPr>
          <w:rFonts w:cs="Times New Roman" w:eastAsiaTheme="minorEastAsia"/>
        </w:rPr>
        <w:fldChar w:fldCharType="separate"/>
      </w:r>
    </w:p>
    <w:p w14:paraId="47C3190F">
      <w:pPr>
        <w:pStyle w:val="38"/>
        <w:tabs>
          <w:tab w:val="right" w:leader="dot" w:pos="8720"/>
        </w:tabs>
        <w:spacing w:line="276" w:lineRule="auto"/>
        <w:ind w:firstLine="0" w:firstLineChars="0"/>
        <w:rPr>
          <w:rFonts w:ascii="Times New Roman" w:hAnsi="Times New Roman" w:eastAsiaTheme="minorEastAsia"/>
          <w:b w:val="0"/>
          <w:bCs w:val="0"/>
          <w:caps w:val="0"/>
          <w:sz w:val="24"/>
          <w:szCs w:val="24"/>
        </w:rPr>
      </w:pPr>
      <w:r>
        <w:fldChar w:fldCharType="begin"/>
      </w:r>
      <w:r>
        <w:instrText xml:space="preserve"> HYPERLINK \l "_Toc508642391" </w:instrText>
      </w:r>
      <w:r>
        <w:fldChar w:fldCharType="separate"/>
      </w:r>
      <w:r>
        <w:rPr>
          <w:rStyle w:val="64"/>
          <w:rFonts w:ascii="Times New Roman" w:hAnsi="Times New Roman"/>
          <w:sz w:val="24"/>
          <w:szCs w:val="24"/>
        </w:rPr>
        <w:t>前  言</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_Toc508642391 \h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sz w:val="24"/>
          <w:szCs w:val="24"/>
        </w:rPr>
        <w:fldChar w:fldCharType="end"/>
      </w:r>
    </w:p>
    <w:p w14:paraId="6287A7E9">
      <w:pPr>
        <w:pStyle w:val="38"/>
        <w:tabs>
          <w:tab w:val="right" w:leader="dot" w:pos="8720"/>
        </w:tabs>
        <w:spacing w:line="276" w:lineRule="auto"/>
        <w:ind w:firstLine="0" w:firstLineChars="0"/>
        <w:rPr>
          <w:rFonts w:ascii="Times New Roman" w:hAnsi="Times New Roman" w:eastAsiaTheme="minorEastAsia"/>
          <w:b w:val="0"/>
          <w:bCs w:val="0"/>
          <w:caps w:val="0"/>
          <w:sz w:val="24"/>
          <w:szCs w:val="24"/>
        </w:rPr>
      </w:pPr>
      <w:r>
        <w:fldChar w:fldCharType="begin"/>
      </w:r>
      <w:r>
        <w:instrText xml:space="preserve"> HYPERLINK \l "_Toc508642392" </w:instrText>
      </w:r>
      <w:r>
        <w:fldChar w:fldCharType="separate"/>
      </w:r>
      <w:r>
        <w:rPr>
          <w:rStyle w:val="64"/>
          <w:rFonts w:ascii="Times New Roman" w:hAnsi="Times New Roman"/>
          <w:sz w:val="24"/>
          <w:szCs w:val="24"/>
        </w:rPr>
        <w:t>1总则</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_Toc508642392 \h </w:instrText>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r>
        <w:rPr>
          <w:rFonts w:ascii="Times New Roman" w:hAnsi="Times New Roman"/>
          <w:sz w:val="24"/>
          <w:szCs w:val="24"/>
        </w:rPr>
        <w:fldChar w:fldCharType="end"/>
      </w:r>
    </w:p>
    <w:p w14:paraId="30AA0E7E">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"_Toc508642393" </w:instrText>
      </w:r>
      <w:r>
        <w:fldChar w:fldCharType="separate"/>
      </w:r>
      <w:r>
        <w:rPr>
          <w:rStyle w:val="64"/>
          <w:rFonts w:ascii="Times New Roman" w:hAnsi="Times New Roman"/>
          <w:sz w:val="24"/>
          <w:szCs w:val="24"/>
        </w:rPr>
        <w:t>1.1评价目的、评价原则</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_Toc508642393 \h </w:instrText>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r>
        <w:rPr>
          <w:rFonts w:ascii="Times New Roman" w:hAnsi="Times New Roman"/>
          <w:sz w:val="24"/>
          <w:szCs w:val="24"/>
        </w:rPr>
        <w:fldChar w:fldCharType="end"/>
      </w:r>
    </w:p>
    <w:p w14:paraId="22126291">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"_Toc508642394" </w:instrText>
      </w:r>
      <w:r>
        <w:fldChar w:fldCharType="separate"/>
      </w:r>
      <w:r>
        <w:rPr>
          <w:rStyle w:val="64"/>
          <w:rFonts w:ascii="Times New Roman" w:hAnsi="Times New Roman"/>
          <w:i w:val="0"/>
          <w:sz w:val="24"/>
          <w:szCs w:val="24"/>
          <w:lang w:bidi="en-US"/>
        </w:rPr>
        <w:t>1.1.1评价目的</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_Toc508642394 \h </w:instrText>
      </w:r>
      <w:r>
        <w:rPr>
          <w:rFonts w:ascii="Times New Roman" w:hAnsi="Times New Roman"/>
          <w:i w:val="0"/>
          <w:sz w:val="24"/>
          <w:szCs w:val="24"/>
        </w:rPr>
        <w:fldChar w:fldCharType="separate"/>
      </w:r>
      <w:r>
        <w:rPr>
          <w:rFonts w:ascii="Times New Roman" w:hAnsi="Times New Roman"/>
          <w:i w:val="0"/>
          <w:sz w:val="24"/>
          <w:szCs w:val="24"/>
        </w:rPr>
        <w:t>3</w:t>
      </w:r>
      <w:r>
        <w:rPr>
          <w:rFonts w:ascii="Times New Roman" w:hAnsi="Times New Roman"/>
          <w:i w:val="0"/>
          <w:sz w:val="24"/>
          <w:szCs w:val="24"/>
        </w:rPr>
        <w:fldChar w:fldCharType="end"/>
      </w:r>
      <w:r>
        <w:rPr>
          <w:rFonts w:ascii="Times New Roman" w:hAnsi="Times New Roman"/>
          <w:i w:val="0"/>
          <w:sz w:val="24"/>
          <w:szCs w:val="24"/>
        </w:rPr>
        <w:fldChar w:fldCharType="end"/>
      </w:r>
    </w:p>
    <w:p w14:paraId="4BEAD928">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"_Toc508642395" </w:instrText>
      </w:r>
      <w:r>
        <w:fldChar w:fldCharType="separate"/>
      </w:r>
      <w:r>
        <w:rPr>
          <w:rStyle w:val="64"/>
          <w:rFonts w:ascii="Times New Roman" w:hAnsi="Times New Roman"/>
          <w:i w:val="0"/>
          <w:sz w:val="24"/>
          <w:szCs w:val="24"/>
          <w:lang w:bidi="en-US"/>
        </w:rPr>
        <w:t>1.1.2评价原则</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_Toc508642395 \h </w:instrText>
      </w:r>
      <w:r>
        <w:rPr>
          <w:rFonts w:ascii="Times New Roman" w:hAnsi="Times New Roman"/>
          <w:i w:val="0"/>
          <w:sz w:val="24"/>
          <w:szCs w:val="24"/>
        </w:rPr>
        <w:fldChar w:fldCharType="separate"/>
      </w:r>
      <w:r>
        <w:rPr>
          <w:rFonts w:ascii="Times New Roman" w:hAnsi="Times New Roman"/>
          <w:i w:val="0"/>
          <w:sz w:val="24"/>
          <w:szCs w:val="24"/>
        </w:rPr>
        <w:t>3</w:t>
      </w:r>
      <w:r>
        <w:rPr>
          <w:rFonts w:ascii="Times New Roman" w:hAnsi="Times New Roman"/>
          <w:i w:val="0"/>
          <w:sz w:val="24"/>
          <w:szCs w:val="24"/>
        </w:rPr>
        <w:fldChar w:fldCharType="end"/>
      </w:r>
      <w:r>
        <w:rPr>
          <w:rFonts w:ascii="Times New Roman" w:hAnsi="Times New Roman"/>
          <w:i w:val="0"/>
          <w:sz w:val="24"/>
          <w:szCs w:val="24"/>
        </w:rPr>
        <w:fldChar w:fldCharType="end"/>
      </w:r>
    </w:p>
    <w:p w14:paraId="7EC644AB">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"_Toc508642396" </w:instrText>
      </w:r>
      <w:r>
        <w:fldChar w:fldCharType="separate"/>
      </w:r>
      <w:r>
        <w:rPr>
          <w:rStyle w:val="64"/>
          <w:rFonts w:ascii="Times New Roman" w:hAnsi="Times New Roman"/>
          <w:sz w:val="24"/>
          <w:szCs w:val="24"/>
        </w:rPr>
        <w:t>1.2评价依据</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_Toc508642396 \h </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r>
        <w:rPr>
          <w:rFonts w:ascii="Times New Roman" w:hAnsi="Times New Roman"/>
          <w:sz w:val="24"/>
          <w:szCs w:val="24"/>
        </w:rPr>
        <w:fldChar w:fldCharType="end"/>
      </w:r>
    </w:p>
    <w:p w14:paraId="0200A2D3">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"_Toc508642397" </w:instrText>
      </w:r>
      <w:r>
        <w:fldChar w:fldCharType="separate"/>
      </w:r>
      <w:r>
        <w:rPr>
          <w:rStyle w:val="64"/>
          <w:rFonts w:ascii="Times New Roman" w:hAnsi="Times New Roman"/>
          <w:i w:val="0"/>
          <w:sz w:val="24"/>
          <w:szCs w:val="24"/>
          <w:lang w:bidi="en-US"/>
        </w:rPr>
        <w:t>1.2.1国家法律、法规和部门规章</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_Toc508642397 \h </w:instrText>
      </w:r>
      <w:r>
        <w:rPr>
          <w:rFonts w:ascii="Times New Roman" w:hAnsi="Times New Roman"/>
          <w:i w:val="0"/>
          <w:sz w:val="24"/>
          <w:szCs w:val="24"/>
        </w:rPr>
        <w:fldChar w:fldCharType="separate"/>
      </w:r>
      <w:r>
        <w:rPr>
          <w:rFonts w:ascii="Times New Roman" w:hAnsi="Times New Roman"/>
          <w:i w:val="0"/>
          <w:sz w:val="24"/>
          <w:szCs w:val="24"/>
        </w:rPr>
        <w:t>4</w:t>
      </w:r>
      <w:r>
        <w:rPr>
          <w:rFonts w:ascii="Times New Roman" w:hAnsi="Times New Roman"/>
          <w:i w:val="0"/>
          <w:sz w:val="24"/>
          <w:szCs w:val="24"/>
        </w:rPr>
        <w:fldChar w:fldCharType="end"/>
      </w:r>
      <w:r>
        <w:rPr>
          <w:rFonts w:ascii="Times New Roman" w:hAnsi="Times New Roman"/>
          <w:i w:val="0"/>
          <w:sz w:val="24"/>
          <w:szCs w:val="24"/>
        </w:rPr>
        <w:fldChar w:fldCharType="end"/>
      </w:r>
    </w:p>
    <w:p w14:paraId="71BD93C0">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"_Toc508642398" </w:instrText>
      </w:r>
      <w:r>
        <w:fldChar w:fldCharType="separate"/>
      </w:r>
      <w:r>
        <w:rPr>
          <w:rStyle w:val="64"/>
          <w:rFonts w:ascii="Times New Roman" w:hAnsi="Times New Roman"/>
          <w:i w:val="0"/>
          <w:sz w:val="24"/>
          <w:szCs w:val="24"/>
          <w:lang w:bidi="en-US"/>
        </w:rPr>
        <w:t>1.2.2地方法规、规章</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_Toc508642398 \h </w:instrText>
      </w:r>
      <w:r>
        <w:rPr>
          <w:rFonts w:ascii="Times New Roman" w:hAnsi="Times New Roman"/>
          <w:i w:val="0"/>
          <w:sz w:val="24"/>
          <w:szCs w:val="24"/>
        </w:rPr>
        <w:fldChar w:fldCharType="separate"/>
      </w:r>
      <w:r>
        <w:rPr>
          <w:rFonts w:ascii="Times New Roman" w:hAnsi="Times New Roman"/>
          <w:i w:val="0"/>
          <w:sz w:val="24"/>
          <w:szCs w:val="24"/>
        </w:rPr>
        <w:t>5</w:t>
      </w:r>
      <w:r>
        <w:rPr>
          <w:rFonts w:ascii="Times New Roman" w:hAnsi="Times New Roman"/>
          <w:i w:val="0"/>
          <w:sz w:val="24"/>
          <w:szCs w:val="24"/>
        </w:rPr>
        <w:fldChar w:fldCharType="end"/>
      </w:r>
      <w:r>
        <w:rPr>
          <w:rFonts w:ascii="Times New Roman" w:hAnsi="Times New Roman"/>
          <w:i w:val="0"/>
          <w:sz w:val="24"/>
          <w:szCs w:val="24"/>
        </w:rPr>
        <w:fldChar w:fldCharType="end"/>
      </w:r>
    </w:p>
    <w:p w14:paraId="30F86FCD">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"_Toc508642399" </w:instrText>
      </w:r>
      <w:r>
        <w:fldChar w:fldCharType="separate"/>
      </w:r>
      <w:r>
        <w:rPr>
          <w:rStyle w:val="64"/>
          <w:rFonts w:ascii="Times New Roman" w:hAnsi="Times New Roman"/>
          <w:i w:val="0"/>
          <w:sz w:val="24"/>
          <w:szCs w:val="24"/>
          <w:lang w:bidi="en-US"/>
        </w:rPr>
        <w:t>1.2.3技术导则与规范</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_Toc508642399 \h </w:instrText>
      </w:r>
      <w:r>
        <w:rPr>
          <w:rFonts w:ascii="Times New Roman" w:hAnsi="Times New Roman"/>
          <w:i w:val="0"/>
          <w:sz w:val="24"/>
          <w:szCs w:val="24"/>
        </w:rPr>
        <w:fldChar w:fldCharType="separate"/>
      </w:r>
      <w:r>
        <w:rPr>
          <w:rFonts w:ascii="Times New Roman" w:hAnsi="Times New Roman"/>
          <w:i w:val="0"/>
          <w:sz w:val="24"/>
          <w:szCs w:val="24"/>
        </w:rPr>
        <w:t>6</w:t>
      </w:r>
      <w:r>
        <w:rPr>
          <w:rFonts w:ascii="Times New Roman" w:hAnsi="Times New Roman"/>
          <w:i w:val="0"/>
          <w:sz w:val="24"/>
          <w:szCs w:val="24"/>
        </w:rPr>
        <w:fldChar w:fldCharType="end"/>
      </w:r>
      <w:r>
        <w:rPr>
          <w:rFonts w:ascii="Times New Roman" w:hAnsi="Times New Roman"/>
          <w:i w:val="0"/>
          <w:sz w:val="24"/>
          <w:szCs w:val="24"/>
        </w:rPr>
        <w:fldChar w:fldCharType="end"/>
      </w:r>
    </w:p>
    <w:p w14:paraId="2812C1BF">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"_Toc508642400" </w:instrText>
      </w:r>
      <w:r>
        <w:fldChar w:fldCharType="separate"/>
      </w:r>
      <w:r>
        <w:rPr>
          <w:rStyle w:val="64"/>
          <w:rFonts w:ascii="Times New Roman" w:hAnsi="Times New Roman"/>
          <w:i w:val="0"/>
          <w:sz w:val="24"/>
          <w:szCs w:val="24"/>
          <w:lang w:bidi="en-US"/>
        </w:rPr>
        <w:t>1.2.4相关技术资料</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_Toc508642400 \h </w:instrText>
      </w:r>
      <w:r>
        <w:rPr>
          <w:rFonts w:ascii="Times New Roman" w:hAnsi="Times New Roman"/>
          <w:i w:val="0"/>
          <w:sz w:val="24"/>
          <w:szCs w:val="24"/>
        </w:rPr>
        <w:fldChar w:fldCharType="separate"/>
      </w:r>
      <w:r>
        <w:rPr>
          <w:rFonts w:ascii="Times New Roman" w:hAnsi="Times New Roman"/>
          <w:i w:val="0"/>
          <w:sz w:val="24"/>
          <w:szCs w:val="24"/>
        </w:rPr>
        <w:t>6</w:t>
      </w:r>
      <w:r>
        <w:rPr>
          <w:rFonts w:ascii="Times New Roman" w:hAnsi="Times New Roman"/>
          <w:i w:val="0"/>
          <w:sz w:val="24"/>
          <w:szCs w:val="24"/>
        </w:rPr>
        <w:fldChar w:fldCharType="end"/>
      </w:r>
      <w:r>
        <w:rPr>
          <w:rFonts w:ascii="Times New Roman" w:hAnsi="Times New Roman"/>
          <w:i w:val="0"/>
          <w:sz w:val="24"/>
          <w:szCs w:val="24"/>
        </w:rPr>
        <w:fldChar w:fldCharType="end"/>
      </w:r>
    </w:p>
    <w:p w14:paraId="25779634">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"_Toc508642401" </w:instrText>
      </w:r>
      <w:r>
        <w:fldChar w:fldCharType="separate"/>
      </w:r>
      <w:r>
        <w:rPr>
          <w:rStyle w:val="64"/>
          <w:rFonts w:ascii="Times New Roman" w:hAnsi="Times New Roman"/>
          <w:sz w:val="24"/>
          <w:szCs w:val="24"/>
        </w:rPr>
        <w:t>1.3评价标准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_Toc508642401 \h </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r>
        <w:rPr>
          <w:rFonts w:ascii="Times New Roman" w:hAnsi="Times New Roman"/>
          <w:sz w:val="24"/>
          <w:szCs w:val="24"/>
        </w:rPr>
        <w:fldChar w:fldCharType="end"/>
      </w:r>
    </w:p>
    <w:p w14:paraId="7D1C829F">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"_Toc508642402" </w:instrText>
      </w:r>
      <w:r>
        <w:fldChar w:fldCharType="separate"/>
      </w:r>
      <w:r>
        <w:rPr>
          <w:rStyle w:val="64"/>
          <w:rFonts w:ascii="Times New Roman" w:hAnsi="Times New Roman"/>
          <w:i w:val="0"/>
          <w:sz w:val="24"/>
          <w:szCs w:val="24"/>
          <w:lang w:bidi="en-US"/>
        </w:rPr>
        <w:t>1.3.1环境质量标准</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_Toc508642402 \h </w:instrText>
      </w:r>
      <w:r>
        <w:rPr>
          <w:rFonts w:ascii="Times New Roman" w:hAnsi="Times New Roman"/>
          <w:i w:val="0"/>
          <w:sz w:val="24"/>
          <w:szCs w:val="24"/>
        </w:rPr>
        <w:fldChar w:fldCharType="separate"/>
      </w:r>
      <w:r>
        <w:rPr>
          <w:rFonts w:ascii="Times New Roman" w:hAnsi="Times New Roman"/>
          <w:i w:val="0"/>
          <w:sz w:val="24"/>
          <w:szCs w:val="24"/>
        </w:rPr>
        <w:t>7</w:t>
      </w:r>
      <w:r>
        <w:rPr>
          <w:rFonts w:ascii="Times New Roman" w:hAnsi="Times New Roman"/>
          <w:i w:val="0"/>
          <w:sz w:val="24"/>
          <w:szCs w:val="24"/>
        </w:rPr>
        <w:fldChar w:fldCharType="end"/>
      </w:r>
      <w:r>
        <w:rPr>
          <w:rFonts w:ascii="Times New Roman" w:hAnsi="Times New Roman"/>
          <w:i w:val="0"/>
          <w:sz w:val="24"/>
          <w:szCs w:val="24"/>
        </w:rPr>
        <w:fldChar w:fldCharType="end"/>
      </w:r>
    </w:p>
    <w:p w14:paraId="349CE901">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"_Toc508642403" </w:instrText>
      </w:r>
      <w:r>
        <w:fldChar w:fldCharType="separate"/>
      </w:r>
      <w:r>
        <w:rPr>
          <w:rStyle w:val="64"/>
          <w:rFonts w:ascii="Times New Roman" w:hAnsi="Times New Roman"/>
          <w:i w:val="0"/>
          <w:sz w:val="24"/>
          <w:szCs w:val="24"/>
          <w:lang w:bidi="en-US"/>
        </w:rPr>
        <w:t>1.3.2污染排放标准</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_Toc508642403 \h </w:instrText>
      </w:r>
      <w:r>
        <w:rPr>
          <w:rFonts w:ascii="Times New Roman" w:hAnsi="Times New Roman"/>
          <w:i w:val="0"/>
          <w:sz w:val="24"/>
          <w:szCs w:val="24"/>
        </w:rPr>
        <w:fldChar w:fldCharType="separate"/>
      </w:r>
      <w:r>
        <w:rPr>
          <w:rFonts w:ascii="Times New Roman" w:hAnsi="Times New Roman"/>
          <w:i w:val="0"/>
          <w:sz w:val="24"/>
          <w:szCs w:val="24"/>
        </w:rPr>
        <w:t>8</w:t>
      </w:r>
      <w:r>
        <w:rPr>
          <w:rFonts w:ascii="Times New Roman" w:hAnsi="Times New Roman"/>
          <w:i w:val="0"/>
          <w:sz w:val="24"/>
          <w:szCs w:val="24"/>
        </w:rPr>
        <w:fldChar w:fldCharType="end"/>
      </w:r>
      <w:r>
        <w:rPr>
          <w:rFonts w:ascii="Times New Roman" w:hAnsi="Times New Roman"/>
          <w:i w:val="0"/>
          <w:sz w:val="24"/>
          <w:szCs w:val="24"/>
        </w:rPr>
        <w:fldChar w:fldCharType="end"/>
      </w:r>
    </w:p>
    <w:p w14:paraId="2542A0E5">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"_Toc508642404" </w:instrText>
      </w:r>
      <w:r>
        <w:fldChar w:fldCharType="separate"/>
      </w:r>
      <w:r>
        <w:rPr>
          <w:rStyle w:val="64"/>
          <w:rFonts w:ascii="Times New Roman" w:hAnsi="Times New Roman"/>
          <w:sz w:val="24"/>
          <w:szCs w:val="24"/>
        </w:rPr>
        <w:t>1.4环境影响要素识别与评价因子选择</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_Toc508642404 \h </w:instrText>
      </w:r>
      <w:r>
        <w:rPr>
          <w:rFonts w:ascii="Times New Roman" w:hAnsi="Times New Roman"/>
          <w:sz w:val="24"/>
          <w:szCs w:val="24"/>
        </w:rPr>
        <w:fldChar w:fldCharType="separate"/>
      </w:r>
      <w:r>
        <w:rPr>
          <w:rFonts w:ascii="Times New Roman" w:hAnsi="Times New Roman"/>
          <w:sz w:val="24"/>
          <w:szCs w:val="24"/>
        </w:rPr>
        <w:t>9</w:t>
      </w:r>
      <w:r>
        <w:rPr>
          <w:rFonts w:ascii="Times New Roman" w:hAnsi="Times New Roman"/>
          <w:sz w:val="24"/>
          <w:szCs w:val="24"/>
        </w:rPr>
        <w:fldChar w:fldCharType="end"/>
      </w:r>
      <w:r>
        <w:rPr>
          <w:rFonts w:ascii="Times New Roman" w:hAnsi="Times New Roman"/>
          <w:sz w:val="24"/>
          <w:szCs w:val="24"/>
        </w:rPr>
        <w:fldChar w:fldCharType="end"/>
      </w:r>
    </w:p>
    <w:p w14:paraId="7B9B4EEB">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"_Toc508642405" </w:instrText>
      </w:r>
      <w:r>
        <w:fldChar w:fldCharType="separate"/>
      </w:r>
      <w:r>
        <w:rPr>
          <w:rStyle w:val="64"/>
          <w:rFonts w:ascii="Times New Roman" w:hAnsi="Times New Roman"/>
          <w:i w:val="0"/>
          <w:sz w:val="24"/>
          <w:szCs w:val="24"/>
          <w:lang w:bidi="en-US"/>
        </w:rPr>
        <w:t>1.4.1环境影响要素识别</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_Toc508642405 \h </w:instrText>
      </w:r>
      <w:r>
        <w:rPr>
          <w:rFonts w:ascii="Times New Roman" w:hAnsi="Times New Roman"/>
          <w:i w:val="0"/>
          <w:sz w:val="24"/>
          <w:szCs w:val="24"/>
        </w:rPr>
        <w:fldChar w:fldCharType="separate"/>
      </w:r>
      <w:r>
        <w:rPr>
          <w:rFonts w:ascii="Times New Roman" w:hAnsi="Times New Roman"/>
          <w:i w:val="0"/>
          <w:sz w:val="24"/>
          <w:szCs w:val="24"/>
        </w:rPr>
        <w:t>9</w:t>
      </w:r>
      <w:r>
        <w:rPr>
          <w:rFonts w:ascii="Times New Roman" w:hAnsi="Times New Roman"/>
          <w:i w:val="0"/>
          <w:sz w:val="24"/>
          <w:szCs w:val="24"/>
        </w:rPr>
        <w:fldChar w:fldCharType="end"/>
      </w:r>
      <w:r>
        <w:rPr>
          <w:rFonts w:ascii="Times New Roman" w:hAnsi="Times New Roman"/>
          <w:i w:val="0"/>
          <w:sz w:val="24"/>
          <w:szCs w:val="24"/>
        </w:rPr>
        <w:fldChar w:fldCharType="end"/>
      </w:r>
    </w:p>
    <w:p w14:paraId="4C38F066">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"_Toc508642406" </w:instrText>
      </w:r>
      <w:r>
        <w:fldChar w:fldCharType="separate"/>
      </w:r>
      <w:r>
        <w:rPr>
          <w:rStyle w:val="64"/>
          <w:rFonts w:ascii="Times New Roman" w:hAnsi="Times New Roman"/>
          <w:i w:val="0"/>
          <w:sz w:val="24"/>
          <w:szCs w:val="24"/>
          <w:lang w:bidi="en-US"/>
        </w:rPr>
        <w:t>1.4.2评价因子的确定</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_Toc508642406 \h </w:instrText>
      </w:r>
      <w:r>
        <w:rPr>
          <w:rFonts w:ascii="Times New Roman" w:hAnsi="Times New Roman"/>
          <w:i w:val="0"/>
          <w:sz w:val="24"/>
          <w:szCs w:val="24"/>
        </w:rPr>
        <w:fldChar w:fldCharType="separate"/>
      </w:r>
      <w:r>
        <w:rPr>
          <w:rFonts w:ascii="Times New Roman" w:hAnsi="Times New Roman"/>
          <w:i w:val="0"/>
          <w:sz w:val="24"/>
          <w:szCs w:val="24"/>
        </w:rPr>
        <w:t>10</w:t>
      </w:r>
      <w:r>
        <w:rPr>
          <w:rFonts w:ascii="Times New Roman" w:hAnsi="Times New Roman"/>
          <w:i w:val="0"/>
          <w:sz w:val="24"/>
          <w:szCs w:val="24"/>
        </w:rPr>
        <w:fldChar w:fldCharType="end"/>
      </w:r>
      <w:r>
        <w:rPr>
          <w:rFonts w:ascii="Times New Roman" w:hAnsi="Times New Roman"/>
          <w:i w:val="0"/>
          <w:sz w:val="24"/>
          <w:szCs w:val="24"/>
        </w:rPr>
        <w:fldChar w:fldCharType="end"/>
      </w:r>
    </w:p>
    <w:p w14:paraId="3F5989E9">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"_Toc508642407" </w:instrText>
      </w:r>
      <w:r>
        <w:fldChar w:fldCharType="separate"/>
      </w:r>
      <w:r>
        <w:rPr>
          <w:rStyle w:val="64"/>
          <w:rFonts w:ascii="Times New Roman" w:hAnsi="Times New Roman"/>
          <w:sz w:val="24"/>
          <w:szCs w:val="24"/>
        </w:rPr>
        <w:t>1.5评价等级</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_Toc508642407 \h </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r>
        <w:rPr>
          <w:rFonts w:ascii="Times New Roman" w:hAnsi="Times New Roman"/>
          <w:sz w:val="24"/>
          <w:szCs w:val="24"/>
        </w:rPr>
        <w:fldChar w:fldCharType="end"/>
      </w:r>
    </w:p>
    <w:p w14:paraId="75920FD4">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"_Toc508642408" </w:instrText>
      </w:r>
      <w:r>
        <w:fldChar w:fldCharType="separate"/>
      </w:r>
      <w:r>
        <w:rPr>
          <w:rStyle w:val="64"/>
          <w:rFonts w:ascii="Times New Roman" w:hAnsi="Times New Roman"/>
          <w:sz w:val="24"/>
          <w:szCs w:val="24"/>
        </w:rPr>
        <w:t>1.6评价范围</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_Toc508642408 \h </w:instrText>
      </w:r>
      <w:r>
        <w:rPr>
          <w:rFonts w:ascii="Times New Roman" w:hAnsi="Times New Roman"/>
          <w:sz w:val="24"/>
          <w:szCs w:val="24"/>
        </w:rPr>
        <w:fldChar w:fldCharType="separate"/>
      </w:r>
      <w:r>
        <w:rPr>
          <w:rFonts w:ascii="Times New Roman" w:hAnsi="Times New Roman"/>
          <w:sz w:val="24"/>
          <w:szCs w:val="24"/>
        </w:rPr>
        <w:t>12</w:t>
      </w:r>
      <w:r>
        <w:rPr>
          <w:rFonts w:ascii="Times New Roman" w:hAnsi="Times New Roman"/>
          <w:sz w:val="24"/>
          <w:szCs w:val="24"/>
        </w:rPr>
        <w:fldChar w:fldCharType="end"/>
      </w:r>
      <w:r>
        <w:rPr>
          <w:rFonts w:ascii="Times New Roman" w:hAnsi="Times New Roman"/>
          <w:sz w:val="24"/>
          <w:szCs w:val="24"/>
        </w:rPr>
        <w:fldChar w:fldCharType="end"/>
      </w:r>
    </w:p>
    <w:p w14:paraId="7EDC68CD">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"_Toc508642409" </w:instrText>
      </w:r>
      <w:r>
        <w:fldChar w:fldCharType="separate"/>
      </w:r>
      <w:r>
        <w:rPr>
          <w:rStyle w:val="64"/>
          <w:rFonts w:ascii="Times New Roman" w:hAnsi="Times New Roman"/>
          <w:sz w:val="24"/>
          <w:szCs w:val="24"/>
        </w:rPr>
        <w:t>1.7评价时段与评价重点</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_Toc508642409 \h </w:instrText>
      </w:r>
      <w:r>
        <w:rPr>
          <w:rFonts w:ascii="Times New Roman" w:hAnsi="Times New Roman"/>
          <w:sz w:val="24"/>
          <w:szCs w:val="24"/>
        </w:rPr>
        <w:fldChar w:fldCharType="separate"/>
      </w:r>
      <w:r>
        <w:rPr>
          <w:rFonts w:ascii="Times New Roman" w:hAnsi="Times New Roman"/>
          <w:sz w:val="24"/>
          <w:szCs w:val="24"/>
        </w:rPr>
        <w:t>12</w:t>
      </w:r>
      <w:r>
        <w:rPr>
          <w:rFonts w:ascii="Times New Roman" w:hAnsi="Times New Roman"/>
          <w:sz w:val="24"/>
          <w:szCs w:val="24"/>
        </w:rPr>
        <w:fldChar w:fldCharType="end"/>
      </w:r>
      <w:r>
        <w:rPr>
          <w:rFonts w:ascii="Times New Roman" w:hAnsi="Times New Roman"/>
          <w:sz w:val="24"/>
          <w:szCs w:val="24"/>
        </w:rPr>
        <w:fldChar w:fldCharType="end"/>
      </w:r>
    </w:p>
    <w:p w14:paraId="00A34E85">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"_Toc508642410" </w:instrText>
      </w:r>
      <w:r>
        <w:fldChar w:fldCharType="separate"/>
      </w:r>
      <w:r>
        <w:rPr>
          <w:rStyle w:val="64"/>
          <w:rFonts w:ascii="Times New Roman" w:hAnsi="Times New Roman"/>
          <w:i w:val="0"/>
          <w:sz w:val="24"/>
          <w:szCs w:val="24"/>
          <w:lang w:bidi="en-US"/>
        </w:rPr>
        <w:t>1.7.1评价时段</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_Toc508642410 \h </w:instrText>
      </w:r>
      <w:r>
        <w:rPr>
          <w:rFonts w:ascii="Times New Roman" w:hAnsi="Times New Roman"/>
          <w:i w:val="0"/>
          <w:sz w:val="24"/>
          <w:szCs w:val="24"/>
        </w:rPr>
        <w:fldChar w:fldCharType="separate"/>
      </w:r>
      <w:r>
        <w:rPr>
          <w:rFonts w:ascii="Times New Roman" w:hAnsi="Times New Roman"/>
          <w:i w:val="0"/>
          <w:sz w:val="24"/>
          <w:szCs w:val="24"/>
        </w:rPr>
        <w:t>12</w:t>
      </w:r>
      <w:r>
        <w:rPr>
          <w:rFonts w:ascii="Times New Roman" w:hAnsi="Times New Roman"/>
          <w:i w:val="0"/>
          <w:sz w:val="24"/>
          <w:szCs w:val="24"/>
        </w:rPr>
        <w:fldChar w:fldCharType="end"/>
      </w:r>
      <w:r>
        <w:rPr>
          <w:rFonts w:ascii="Times New Roman" w:hAnsi="Times New Roman"/>
          <w:i w:val="0"/>
          <w:sz w:val="24"/>
          <w:szCs w:val="24"/>
        </w:rPr>
        <w:fldChar w:fldCharType="end"/>
      </w:r>
    </w:p>
    <w:p w14:paraId="0AF64680">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"_Toc508642411" </w:instrText>
      </w:r>
      <w:r>
        <w:fldChar w:fldCharType="separate"/>
      </w:r>
      <w:r>
        <w:rPr>
          <w:rStyle w:val="64"/>
          <w:rFonts w:ascii="Times New Roman" w:hAnsi="Times New Roman"/>
          <w:i w:val="0"/>
          <w:sz w:val="24"/>
          <w:szCs w:val="24"/>
          <w:lang w:bidi="en-US"/>
        </w:rPr>
        <w:t>1.7.2评价重点</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_Toc508642411 \h </w:instrText>
      </w:r>
      <w:r>
        <w:rPr>
          <w:rFonts w:ascii="Times New Roman" w:hAnsi="Times New Roman"/>
          <w:i w:val="0"/>
          <w:sz w:val="24"/>
          <w:szCs w:val="24"/>
        </w:rPr>
        <w:fldChar w:fldCharType="separate"/>
      </w:r>
      <w:r>
        <w:rPr>
          <w:rFonts w:ascii="Times New Roman" w:hAnsi="Times New Roman"/>
          <w:i w:val="0"/>
          <w:sz w:val="24"/>
          <w:szCs w:val="24"/>
        </w:rPr>
        <w:t>13</w:t>
      </w:r>
      <w:r>
        <w:rPr>
          <w:rFonts w:ascii="Times New Roman" w:hAnsi="Times New Roman"/>
          <w:i w:val="0"/>
          <w:sz w:val="24"/>
          <w:szCs w:val="24"/>
        </w:rPr>
        <w:fldChar w:fldCharType="end"/>
      </w:r>
      <w:r>
        <w:rPr>
          <w:rFonts w:ascii="Times New Roman" w:hAnsi="Times New Roman"/>
          <w:i w:val="0"/>
          <w:sz w:val="24"/>
          <w:szCs w:val="24"/>
        </w:rPr>
        <w:fldChar w:fldCharType="end"/>
      </w:r>
    </w:p>
    <w:p w14:paraId="3A6675DE">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"_Toc508642412" </w:instrText>
      </w:r>
      <w:r>
        <w:fldChar w:fldCharType="separate"/>
      </w:r>
      <w:r>
        <w:rPr>
          <w:rStyle w:val="64"/>
          <w:rFonts w:ascii="Times New Roman" w:hAnsi="Times New Roman"/>
          <w:sz w:val="24"/>
          <w:szCs w:val="24"/>
        </w:rPr>
        <w:t>1.8环境保护目标</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_Toc508642412 \h </w:instrText>
      </w:r>
      <w:r>
        <w:rPr>
          <w:rFonts w:ascii="Times New Roman" w:hAnsi="Times New Roman"/>
          <w:sz w:val="24"/>
          <w:szCs w:val="24"/>
        </w:rPr>
        <w:fldChar w:fldCharType="separate"/>
      </w:r>
      <w:r>
        <w:rPr>
          <w:rFonts w:ascii="Times New Roman" w:hAnsi="Times New Roman"/>
          <w:sz w:val="24"/>
          <w:szCs w:val="24"/>
        </w:rPr>
        <w:t>13</w:t>
      </w:r>
      <w:r>
        <w:rPr>
          <w:rFonts w:ascii="Times New Roman" w:hAnsi="Times New Roman"/>
          <w:sz w:val="24"/>
          <w:szCs w:val="24"/>
        </w:rPr>
        <w:fldChar w:fldCharType="end"/>
      </w:r>
      <w:r>
        <w:rPr>
          <w:rFonts w:ascii="Times New Roman" w:hAnsi="Times New Roman"/>
          <w:sz w:val="24"/>
          <w:szCs w:val="24"/>
        </w:rPr>
        <w:fldChar w:fldCharType="end"/>
      </w:r>
    </w:p>
    <w:p w14:paraId="52699273">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"_Toc508642413" </w:instrText>
      </w:r>
      <w:r>
        <w:fldChar w:fldCharType="separate"/>
      </w:r>
      <w:r>
        <w:rPr>
          <w:rStyle w:val="64"/>
          <w:rFonts w:ascii="Times New Roman" w:hAnsi="Times New Roman"/>
          <w:sz w:val="24"/>
          <w:szCs w:val="24"/>
        </w:rPr>
        <w:t>1.9环境影响评价方法</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_Toc508642413 \h </w:instrText>
      </w:r>
      <w:r>
        <w:rPr>
          <w:rFonts w:ascii="Times New Roman" w:hAnsi="Times New Roman"/>
          <w:sz w:val="24"/>
          <w:szCs w:val="24"/>
        </w:rPr>
        <w:fldChar w:fldCharType="separate"/>
      </w:r>
      <w:r>
        <w:rPr>
          <w:rFonts w:ascii="Times New Roman" w:hAnsi="Times New Roman"/>
          <w:sz w:val="24"/>
          <w:szCs w:val="24"/>
        </w:rPr>
        <w:t>14</w:t>
      </w:r>
      <w:r>
        <w:rPr>
          <w:rFonts w:ascii="Times New Roman" w:hAnsi="Times New Roman"/>
          <w:sz w:val="24"/>
          <w:szCs w:val="24"/>
        </w:rPr>
        <w:fldChar w:fldCharType="end"/>
      </w:r>
      <w:r>
        <w:rPr>
          <w:rFonts w:ascii="Times New Roman" w:hAnsi="Times New Roman"/>
          <w:sz w:val="24"/>
          <w:szCs w:val="24"/>
        </w:rPr>
        <w:fldChar w:fldCharType="end"/>
      </w:r>
    </w:p>
    <w:p w14:paraId="2DAD6698">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"_Toc508642414" </w:instrText>
      </w:r>
      <w:r>
        <w:fldChar w:fldCharType="separate"/>
      </w:r>
      <w:r>
        <w:rPr>
          <w:rStyle w:val="64"/>
          <w:rFonts w:ascii="Times New Roman" w:hAnsi="Times New Roman"/>
          <w:i w:val="0"/>
          <w:sz w:val="24"/>
          <w:szCs w:val="24"/>
          <w:lang w:bidi="en-US"/>
        </w:rPr>
        <w:t>1.9.1环境现状调查方法</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_Toc508642414 \h </w:instrText>
      </w:r>
      <w:r>
        <w:rPr>
          <w:rFonts w:ascii="Times New Roman" w:hAnsi="Times New Roman"/>
          <w:i w:val="0"/>
          <w:sz w:val="24"/>
          <w:szCs w:val="24"/>
        </w:rPr>
        <w:fldChar w:fldCharType="separate"/>
      </w:r>
      <w:r>
        <w:rPr>
          <w:rFonts w:ascii="Times New Roman" w:hAnsi="Times New Roman"/>
          <w:i w:val="0"/>
          <w:sz w:val="24"/>
          <w:szCs w:val="24"/>
        </w:rPr>
        <w:t>14</w:t>
      </w:r>
      <w:r>
        <w:rPr>
          <w:rFonts w:ascii="Times New Roman" w:hAnsi="Times New Roman"/>
          <w:i w:val="0"/>
          <w:sz w:val="24"/>
          <w:szCs w:val="24"/>
        </w:rPr>
        <w:fldChar w:fldCharType="end"/>
      </w:r>
      <w:r>
        <w:rPr>
          <w:rFonts w:ascii="Times New Roman" w:hAnsi="Times New Roman"/>
          <w:i w:val="0"/>
          <w:sz w:val="24"/>
          <w:szCs w:val="24"/>
        </w:rPr>
        <w:fldChar w:fldCharType="end"/>
      </w:r>
    </w:p>
    <w:p w14:paraId="64F2FD5D">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"_Toc508642415" </w:instrText>
      </w:r>
      <w:r>
        <w:fldChar w:fldCharType="separate"/>
      </w:r>
      <w:r>
        <w:rPr>
          <w:rStyle w:val="64"/>
          <w:rFonts w:ascii="Times New Roman" w:hAnsi="Times New Roman"/>
          <w:i w:val="0"/>
          <w:sz w:val="24"/>
          <w:szCs w:val="24"/>
          <w:lang w:bidi="en-US"/>
        </w:rPr>
        <w:t>1.9.2环境影响评价技术和方法</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_Toc508642415 \h </w:instrText>
      </w:r>
      <w:r>
        <w:rPr>
          <w:rFonts w:ascii="Times New Roman" w:hAnsi="Times New Roman"/>
          <w:i w:val="0"/>
          <w:sz w:val="24"/>
          <w:szCs w:val="24"/>
        </w:rPr>
        <w:fldChar w:fldCharType="separate"/>
      </w:r>
      <w:r>
        <w:rPr>
          <w:rFonts w:ascii="Times New Roman" w:hAnsi="Times New Roman"/>
          <w:i w:val="0"/>
          <w:sz w:val="24"/>
          <w:szCs w:val="24"/>
        </w:rPr>
        <w:t>14</w:t>
      </w:r>
      <w:r>
        <w:rPr>
          <w:rFonts w:ascii="Times New Roman" w:hAnsi="Times New Roman"/>
          <w:i w:val="0"/>
          <w:sz w:val="24"/>
          <w:szCs w:val="24"/>
        </w:rPr>
        <w:fldChar w:fldCharType="end"/>
      </w:r>
      <w:r>
        <w:rPr>
          <w:rFonts w:ascii="Times New Roman" w:hAnsi="Times New Roman"/>
          <w:i w:val="0"/>
          <w:sz w:val="24"/>
          <w:szCs w:val="24"/>
        </w:rPr>
        <w:fldChar w:fldCharType="end"/>
      </w:r>
    </w:p>
    <w:p w14:paraId="69C1459F">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"_Toc508642416" </w:instrText>
      </w:r>
      <w:r>
        <w:fldChar w:fldCharType="separate"/>
      </w:r>
      <w:r>
        <w:rPr>
          <w:rStyle w:val="64"/>
          <w:rFonts w:ascii="Times New Roman" w:hAnsi="Times New Roman"/>
          <w:sz w:val="24"/>
          <w:szCs w:val="24"/>
        </w:rPr>
        <w:t>1.10评价工作程序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_Toc508642416 \h </w:instrText>
      </w:r>
      <w:r>
        <w:rPr>
          <w:rFonts w:ascii="Times New Roman" w:hAnsi="Times New Roman"/>
          <w:sz w:val="24"/>
          <w:szCs w:val="24"/>
        </w:rPr>
        <w:fldChar w:fldCharType="separate"/>
      </w:r>
      <w:r>
        <w:rPr>
          <w:rFonts w:ascii="Times New Roman" w:hAnsi="Times New Roman"/>
          <w:sz w:val="24"/>
          <w:szCs w:val="24"/>
        </w:rPr>
        <w:t>14</w:t>
      </w:r>
      <w:r>
        <w:rPr>
          <w:rFonts w:ascii="Times New Roman" w:hAnsi="Times New Roman"/>
          <w:sz w:val="24"/>
          <w:szCs w:val="24"/>
        </w:rPr>
        <w:fldChar w:fldCharType="end"/>
      </w:r>
      <w:r>
        <w:rPr>
          <w:rFonts w:ascii="Times New Roman" w:hAnsi="Times New Roman"/>
          <w:sz w:val="24"/>
          <w:szCs w:val="24"/>
        </w:rPr>
        <w:fldChar w:fldCharType="end"/>
      </w:r>
    </w:p>
    <w:p w14:paraId="11A647DD">
      <w:pPr>
        <w:pStyle w:val="38"/>
        <w:tabs>
          <w:tab w:val="right" w:leader="dot" w:pos="8720"/>
        </w:tabs>
        <w:spacing w:line="276" w:lineRule="auto"/>
        <w:ind w:firstLine="0" w:firstLineChars="0"/>
        <w:rPr>
          <w:rFonts w:ascii="Times New Roman" w:hAnsi="Times New Roman" w:eastAsiaTheme="minorEastAsia"/>
          <w:b w:val="0"/>
          <w:bCs w:val="0"/>
          <w:caps w:val="0"/>
          <w:sz w:val="24"/>
          <w:szCs w:val="24"/>
        </w:rPr>
      </w:pPr>
      <w:r>
        <w:fldChar w:fldCharType="begin"/>
      </w:r>
      <w:r>
        <w:instrText xml:space="preserve"> HYPERLINK \l "_Toc508642417" </w:instrText>
      </w:r>
      <w:r>
        <w:fldChar w:fldCharType="separate"/>
      </w:r>
      <w:r>
        <w:rPr>
          <w:rStyle w:val="64"/>
          <w:rFonts w:ascii="Times New Roman" w:hAnsi="Times New Roman"/>
          <w:sz w:val="24"/>
          <w:szCs w:val="24"/>
        </w:rPr>
        <w:t>2流域规划及工程概况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_Toc508642417 \h </w:instrText>
      </w:r>
      <w:r>
        <w:rPr>
          <w:rFonts w:ascii="Times New Roman" w:hAnsi="Times New Roman"/>
          <w:sz w:val="24"/>
          <w:szCs w:val="24"/>
        </w:rPr>
        <w:fldChar w:fldCharType="separate"/>
      </w:r>
      <w:r>
        <w:rPr>
          <w:rFonts w:ascii="Times New Roman" w:hAnsi="Times New Roman"/>
          <w:sz w:val="24"/>
          <w:szCs w:val="24"/>
        </w:rPr>
        <w:t>16</w:t>
      </w:r>
      <w:r>
        <w:rPr>
          <w:rFonts w:ascii="Times New Roman" w:hAnsi="Times New Roman"/>
          <w:sz w:val="24"/>
          <w:szCs w:val="24"/>
        </w:rPr>
        <w:fldChar w:fldCharType="end"/>
      </w:r>
      <w:r>
        <w:rPr>
          <w:rFonts w:ascii="Times New Roman" w:hAnsi="Times New Roman"/>
          <w:sz w:val="24"/>
          <w:szCs w:val="24"/>
        </w:rPr>
        <w:fldChar w:fldCharType="end"/>
      </w:r>
    </w:p>
    <w:p w14:paraId="7BEE3DEC">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"_Toc508642418" </w:instrText>
      </w:r>
      <w:r>
        <w:fldChar w:fldCharType="separate"/>
      </w:r>
      <w:r>
        <w:rPr>
          <w:rStyle w:val="64"/>
          <w:rFonts w:ascii="Times New Roman" w:hAnsi="Times New Roman"/>
          <w:sz w:val="24"/>
          <w:szCs w:val="24"/>
        </w:rPr>
        <w:t>2.1流域规划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_Toc508642418 \h </w:instrText>
      </w:r>
      <w:r>
        <w:rPr>
          <w:rFonts w:ascii="Times New Roman" w:hAnsi="Times New Roman"/>
          <w:sz w:val="24"/>
          <w:szCs w:val="24"/>
        </w:rPr>
        <w:fldChar w:fldCharType="separate"/>
      </w:r>
      <w:r>
        <w:rPr>
          <w:rFonts w:ascii="Times New Roman" w:hAnsi="Times New Roman"/>
          <w:sz w:val="24"/>
          <w:szCs w:val="24"/>
        </w:rPr>
        <w:t>16</w:t>
      </w:r>
      <w:r>
        <w:rPr>
          <w:rFonts w:ascii="Times New Roman" w:hAnsi="Times New Roman"/>
          <w:sz w:val="24"/>
          <w:szCs w:val="24"/>
        </w:rPr>
        <w:fldChar w:fldCharType="end"/>
      </w:r>
      <w:r>
        <w:rPr>
          <w:rFonts w:ascii="Times New Roman" w:hAnsi="Times New Roman"/>
          <w:sz w:val="24"/>
          <w:szCs w:val="24"/>
        </w:rPr>
        <w:fldChar w:fldCharType="end"/>
      </w:r>
    </w:p>
    <w:p w14:paraId="4DCBE652">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"_Toc508642419" </w:instrText>
      </w:r>
      <w:r>
        <w:fldChar w:fldCharType="separate"/>
      </w:r>
      <w:r>
        <w:rPr>
          <w:rStyle w:val="64"/>
          <w:rFonts w:ascii="Times New Roman" w:hAnsi="Times New Roman"/>
          <w:i w:val="0"/>
          <w:sz w:val="24"/>
          <w:szCs w:val="24"/>
          <w:lang w:bidi="en-US"/>
        </w:rPr>
        <w:t>2.1.1流域概况</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_Toc508642419 \h </w:instrText>
      </w:r>
      <w:r>
        <w:rPr>
          <w:rFonts w:ascii="Times New Roman" w:hAnsi="Times New Roman"/>
          <w:i w:val="0"/>
          <w:sz w:val="24"/>
          <w:szCs w:val="24"/>
        </w:rPr>
        <w:fldChar w:fldCharType="separate"/>
      </w:r>
      <w:r>
        <w:rPr>
          <w:rFonts w:ascii="Times New Roman" w:hAnsi="Times New Roman"/>
          <w:i w:val="0"/>
          <w:sz w:val="24"/>
          <w:szCs w:val="24"/>
        </w:rPr>
        <w:t>16</w:t>
      </w:r>
      <w:r>
        <w:rPr>
          <w:rFonts w:ascii="Times New Roman" w:hAnsi="Times New Roman"/>
          <w:i w:val="0"/>
          <w:sz w:val="24"/>
          <w:szCs w:val="24"/>
        </w:rPr>
        <w:fldChar w:fldCharType="end"/>
      </w:r>
      <w:r>
        <w:rPr>
          <w:rFonts w:ascii="Times New Roman" w:hAnsi="Times New Roman"/>
          <w:i w:val="0"/>
          <w:sz w:val="24"/>
          <w:szCs w:val="24"/>
        </w:rPr>
        <w:fldChar w:fldCharType="end"/>
      </w:r>
    </w:p>
    <w:p w14:paraId="5698852D">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"_Toc508642420" </w:instrText>
      </w:r>
      <w:r>
        <w:fldChar w:fldCharType="separate"/>
      </w:r>
      <w:r>
        <w:rPr>
          <w:rStyle w:val="64"/>
          <w:rFonts w:ascii="Times New Roman" w:hAnsi="Times New Roman"/>
          <w:i w:val="0"/>
          <w:sz w:val="24"/>
          <w:szCs w:val="24"/>
          <w:lang w:bidi="en-US"/>
        </w:rPr>
        <w:t>2.1.2流域规划及开发简况</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_Toc508642420 \h </w:instrText>
      </w:r>
      <w:r>
        <w:rPr>
          <w:rFonts w:ascii="Times New Roman" w:hAnsi="Times New Roman"/>
          <w:i w:val="0"/>
          <w:sz w:val="24"/>
          <w:szCs w:val="24"/>
        </w:rPr>
        <w:fldChar w:fldCharType="separate"/>
      </w:r>
      <w:r>
        <w:rPr>
          <w:rFonts w:ascii="Times New Roman" w:hAnsi="Times New Roman"/>
          <w:i w:val="0"/>
          <w:sz w:val="24"/>
          <w:szCs w:val="24"/>
        </w:rPr>
        <w:t>16</w:t>
      </w:r>
      <w:r>
        <w:rPr>
          <w:rFonts w:ascii="Times New Roman" w:hAnsi="Times New Roman"/>
          <w:i w:val="0"/>
          <w:sz w:val="24"/>
          <w:szCs w:val="24"/>
        </w:rPr>
        <w:fldChar w:fldCharType="end"/>
      </w:r>
      <w:r>
        <w:rPr>
          <w:rFonts w:ascii="Times New Roman" w:hAnsi="Times New Roman"/>
          <w:i w:val="0"/>
          <w:sz w:val="24"/>
          <w:szCs w:val="24"/>
        </w:rPr>
        <w:fldChar w:fldCharType="end"/>
      </w:r>
    </w:p>
    <w:p w14:paraId="0E61CF19">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"_Toc508642421" </w:instrText>
      </w:r>
      <w:r>
        <w:fldChar w:fldCharType="separate"/>
      </w:r>
      <w:r>
        <w:rPr>
          <w:rStyle w:val="64"/>
          <w:rFonts w:ascii="Times New Roman" w:hAnsi="Times New Roman"/>
          <w:sz w:val="24"/>
          <w:szCs w:val="24"/>
        </w:rPr>
        <w:t>2.2工程概况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_Toc508642421 \h </w:instrText>
      </w:r>
      <w:r>
        <w:rPr>
          <w:rFonts w:ascii="Times New Roman" w:hAnsi="Times New Roman"/>
          <w:sz w:val="24"/>
          <w:szCs w:val="24"/>
        </w:rPr>
        <w:fldChar w:fldCharType="separate"/>
      </w:r>
      <w:r>
        <w:rPr>
          <w:rFonts w:ascii="Times New Roman" w:hAnsi="Times New Roman"/>
          <w:sz w:val="24"/>
          <w:szCs w:val="24"/>
        </w:rPr>
        <w:t>17</w:t>
      </w:r>
      <w:r>
        <w:rPr>
          <w:rFonts w:ascii="Times New Roman" w:hAnsi="Times New Roman"/>
          <w:sz w:val="24"/>
          <w:szCs w:val="24"/>
        </w:rPr>
        <w:fldChar w:fldCharType="end"/>
      </w:r>
      <w:r>
        <w:rPr>
          <w:rFonts w:ascii="Times New Roman" w:hAnsi="Times New Roman"/>
          <w:sz w:val="24"/>
          <w:szCs w:val="24"/>
        </w:rPr>
        <w:fldChar w:fldCharType="end"/>
      </w:r>
    </w:p>
    <w:p w14:paraId="1CFD0281">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"_Toc508642422" </w:instrText>
      </w:r>
      <w:r>
        <w:fldChar w:fldCharType="separate"/>
      </w:r>
      <w:r>
        <w:rPr>
          <w:rStyle w:val="64"/>
          <w:rFonts w:ascii="Times New Roman" w:hAnsi="Times New Roman"/>
          <w:i w:val="0"/>
          <w:sz w:val="24"/>
          <w:szCs w:val="24"/>
          <w:lang w:bidi="en-US"/>
        </w:rPr>
        <w:t>2.2.1项目基本情况</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_Toc508642422 \h </w:instrText>
      </w:r>
      <w:r>
        <w:rPr>
          <w:rFonts w:ascii="Times New Roman" w:hAnsi="Times New Roman"/>
          <w:i w:val="0"/>
          <w:sz w:val="24"/>
          <w:szCs w:val="24"/>
        </w:rPr>
        <w:fldChar w:fldCharType="separate"/>
      </w:r>
      <w:r>
        <w:rPr>
          <w:rFonts w:ascii="Times New Roman" w:hAnsi="Times New Roman"/>
          <w:i w:val="0"/>
          <w:sz w:val="24"/>
          <w:szCs w:val="24"/>
        </w:rPr>
        <w:t>17</w:t>
      </w:r>
      <w:r>
        <w:rPr>
          <w:rFonts w:ascii="Times New Roman" w:hAnsi="Times New Roman"/>
          <w:i w:val="0"/>
          <w:sz w:val="24"/>
          <w:szCs w:val="24"/>
        </w:rPr>
        <w:fldChar w:fldCharType="end"/>
      </w:r>
      <w:r>
        <w:rPr>
          <w:rFonts w:ascii="Times New Roman" w:hAnsi="Times New Roman"/>
          <w:i w:val="0"/>
          <w:sz w:val="24"/>
          <w:szCs w:val="24"/>
        </w:rPr>
        <w:fldChar w:fldCharType="end"/>
      </w:r>
    </w:p>
    <w:p w14:paraId="6C577E47">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"_Toc508642423" </w:instrText>
      </w:r>
      <w:r>
        <w:fldChar w:fldCharType="separate"/>
      </w:r>
      <w:r>
        <w:rPr>
          <w:rStyle w:val="64"/>
          <w:rFonts w:ascii="Times New Roman" w:hAnsi="Times New Roman"/>
          <w:i w:val="0"/>
          <w:sz w:val="24"/>
          <w:szCs w:val="24"/>
          <w:lang w:bidi="en-US"/>
        </w:rPr>
        <w:t>2.2.2工程地理位置</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_Toc508642423 \h </w:instrText>
      </w:r>
      <w:r>
        <w:rPr>
          <w:rFonts w:ascii="Times New Roman" w:hAnsi="Times New Roman"/>
          <w:i w:val="0"/>
          <w:sz w:val="24"/>
          <w:szCs w:val="24"/>
        </w:rPr>
        <w:fldChar w:fldCharType="separate"/>
      </w:r>
      <w:r>
        <w:rPr>
          <w:rFonts w:ascii="Times New Roman" w:hAnsi="Times New Roman"/>
          <w:i w:val="0"/>
          <w:sz w:val="24"/>
          <w:szCs w:val="24"/>
        </w:rPr>
        <w:t>17</w:t>
      </w:r>
      <w:r>
        <w:rPr>
          <w:rFonts w:ascii="Times New Roman" w:hAnsi="Times New Roman"/>
          <w:i w:val="0"/>
          <w:sz w:val="24"/>
          <w:szCs w:val="24"/>
        </w:rPr>
        <w:fldChar w:fldCharType="end"/>
      </w:r>
      <w:r>
        <w:rPr>
          <w:rFonts w:ascii="Times New Roman" w:hAnsi="Times New Roman"/>
          <w:i w:val="0"/>
          <w:sz w:val="24"/>
          <w:szCs w:val="24"/>
        </w:rPr>
        <w:fldChar w:fldCharType="end"/>
      </w:r>
    </w:p>
    <w:p w14:paraId="3E2166F4">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"_Toc508642424" </w:instrText>
      </w:r>
      <w:r>
        <w:fldChar w:fldCharType="separate"/>
      </w:r>
      <w:r>
        <w:rPr>
          <w:rStyle w:val="64"/>
          <w:rFonts w:ascii="Times New Roman" w:hAnsi="Times New Roman"/>
          <w:i w:val="0"/>
          <w:sz w:val="24"/>
          <w:szCs w:val="24"/>
          <w:lang w:bidi="en-US"/>
        </w:rPr>
        <w:t>2.2.3工程建设的必要性</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_Toc508642424 \h </w:instrText>
      </w:r>
      <w:r>
        <w:rPr>
          <w:rFonts w:ascii="Times New Roman" w:hAnsi="Times New Roman"/>
          <w:i w:val="0"/>
          <w:sz w:val="24"/>
          <w:szCs w:val="24"/>
        </w:rPr>
        <w:fldChar w:fldCharType="separate"/>
      </w:r>
      <w:r>
        <w:rPr>
          <w:rFonts w:ascii="Times New Roman" w:hAnsi="Times New Roman"/>
          <w:i w:val="0"/>
          <w:sz w:val="24"/>
          <w:szCs w:val="24"/>
        </w:rPr>
        <w:t>18</w:t>
      </w:r>
      <w:r>
        <w:rPr>
          <w:rFonts w:ascii="Times New Roman" w:hAnsi="Times New Roman"/>
          <w:i w:val="0"/>
          <w:sz w:val="24"/>
          <w:szCs w:val="24"/>
        </w:rPr>
        <w:fldChar w:fldCharType="end"/>
      </w:r>
      <w:r>
        <w:rPr>
          <w:rFonts w:ascii="Times New Roman" w:hAnsi="Times New Roman"/>
          <w:i w:val="0"/>
          <w:sz w:val="24"/>
          <w:szCs w:val="24"/>
        </w:rPr>
        <w:fldChar w:fldCharType="end"/>
      </w:r>
    </w:p>
    <w:p w14:paraId="26A41EF0">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"_Toc508642425" </w:instrText>
      </w:r>
      <w:r>
        <w:fldChar w:fldCharType="separate"/>
      </w:r>
      <w:r>
        <w:rPr>
          <w:rStyle w:val="64"/>
          <w:rFonts w:ascii="Times New Roman" w:hAnsi="Times New Roman"/>
          <w:i w:val="0"/>
          <w:sz w:val="24"/>
          <w:szCs w:val="24"/>
          <w:lang w:bidi="en-US"/>
        </w:rPr>
        <w:t>2.2.4工程任务及工程等别</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_Toc508642425 \h </w:instrText>
      </w:r>
      <w:r>
        <w:rPr>
          <w:rFonts w:ascii="Times New Roman" w:hAnsi="Times New Roman"/>
          <w:i w:val="0"/>
          <w:sz w:val="24"/>
          <w:szCs w:val="24"/>
        </w:rPr>
        <w:fldChar w:fldCharType="separate"/>
      </w:r>
      <w:r>
        <w:rPr>
          <w:rFonts w:ascii="Times New Roman" w:hAnsi="Times New Roman"/>
          <w:i w:val="0"/>
          <w:sz w:val="24"/>
          <w:szCs w:val="24"/>
        </w:rPr>
        <w:t>18</w:t>
      </w:r>
      <w:r>
        <w:rPr>
          <w:rFonts w:ascii="Times New Roman" w:hAnsi="Times New Roman"/>
          <w:i w:val="0"/>
          <w:sz w:val="24"/>
          <w:szCs w:val="24"/>
        </w:rPr>
        <w:fldChar w:fldCharType="end"/>
      </w:r>
      <w:r>
        <w:rPr>
          <w:rFonts w:ascii="Times New Roman" w:hAnsi="Times New Roman"/>
          <w:i w:val="0"/>
          <w:sz w:val="24"/>
          <w:szCs w:val="24"/>
        </w:rPr>
        <w:fldChar w:fldCharType="end"/>
      </w:r>
    </w:p>
    <w:p w14:paraId="0090C272">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"_Toc508642426" </w:instrText>
      </w:r>
      <w:r>
        <w:fldChar w:fldCharType="separate"/>
      </w:r>
      <w:r>
        <w:rPr>
          <w:rStyle w:val="64"/>
          <w:rFonts w:ascii="Times New Roman" w:hAnsi="Times New Roman"/>
          <w:i w:val="0"/>
          <w:sz w:val="24"/>
          <w:szCs w:val="24"/>
          <w:lang w:bidi="en-US"/>
        </w:rPr>
        <w:t>2.2.5工程组成和工程特性</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_Toc508642426 \h </w:instrText>
      </w:r>
      <w:r>
        <w:rPr>
          <w:rFonts w:ascii="Times New Roman" w:hAnsi="Times New Roman"/>
          <w:i w:val="0"/>
          <w:sz w:val="24"/>
          <w:szCs w:val="24"/>
        </w:rPr>
        <w:fldChar w:fldCharType="separate"/>
      </w:r>
      <w:r>
        <w:rPr>
          <w:rFonts w:ascii="Times New Roman" w:hAnsi="Times New Roman"/>
          <w:i w:val="0"/>
          <w:sz w:val="24"/>
          <w:szCs w:val="24"/>
        </w:rPr>
        <w:t>19</w:t>
      </w:r>
      <w:r>
        <w:rPr>
          <w:rFonts w:ascii="Times New Roman" w:hAnsi="Times New Roman"/>
          <w:i w:val="0"/>
          <w:sz w:val="24"/>
          <w:szCs w:val="24"/>
        </w:rPr>
        <w:fldChar w:fldCharType="end"/>
      </w:r>
      <w:r>
        <w:rPr>
          <w:rFonts w:ascii="Times New Roman" w:hAnsi="Times New Roman"/>
          <w:i w:val="0"/>
          <w:sz w:val="24"/>
          <w:szCs w:val="24"/>
        </w:rPr>
        <w:fldChar w:fldCharType="end"/>
      </w:r>
    </w:p>
    <w:p w14:paraId="473826DB">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"_Toc508642427" </w:instrText>
      </w:r>
      <w:r>
        <w:fldChar w:fldCharType="separate"/>
      </w:r>
      <w:r>
        <w:rPr>
          <w:rStyle w:val="64"/>
          <w:rFonts w:ascii="Times New Roman" w:hAnsi="Times New Roman"/>
          <w:i w:val="0"/>
          <w:sz w:val="24"/>
          <w:szCs w:val="24"/>
          <w:lang w:bidi="en-US"/>
        </w:rPr>
        <w:t>2.2.6工程总体布置</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_Toc508642427 \h </w:instrText>
      </w:r>
      <w:r>
        <w:rPr>
          <w:rFonts w:ascii="Times New Roman" w:hAnsi="Times New Roman"/>
          <w:i w:val="0"/>
          <w:sz w:val="24"/>
          <w:szCs w:val="24"/>
        </w:rPr>
        <w:fldChar w:fldCharType="separate"/>
      </w:r>
      <w:r>
        <w:rPr>
          <w:rFonts w:ascii="Times New Roman" w:hAnsi="Times New Roman"/>
          <w:i w:val="0"/>
          <w:sz w:val="24"/>
          <w:szCs w:val="24"/>
        </w:rPr>
        <w:t>24</w:t>
      </w:r>
      <w:r>
        <w:rPr>
          <w:rFonts w:ascii="Times New Roman" w:hAnsi="Times New Roman"/>
          <w:i w:val="0"/>
          <w:sz w:val="24"/>
          <w:szCs w:val="24"/>
        </w:rPr>
        <w:fldChar w:fldCharType="end"/>
      </w:r>
      <w:r>
        <w:rPr>
          <w:rFonts w:ascii="Times New Roman" w:hAnsi="Times New Roman"/>
          <w:i w:val="0"/>
          <w:sz w:val="24"/>
          <w:szCs w:val="24"/>
        </w:rPr>
        <w:fldChar w:fldCharType="end"/>
      </w:r>
    </w:p>
    <w:p w14:paraId="2213FE44">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"_Toc508642428" </w:instrText>
      </w:r>
      <w:r>
        <w:fldChar w:fldCharType="separate"/>
      </w:r>
      <w:r>
        <w:rPr>
          <w:rStyle w:val="64"/>
          <w:rFonts w:ascii="Times New Roman" w:hAnsi="Times New Roman"/>
          <w:sz w:val="24"/>
          <w:szCs w:val="24"/>
        </w:rPr>
        <w:t>2.3施工规划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_Toc508642428 \h </w:instrText>
      </w:r>
      <w:r>
        <w:rPr>
          <w:rFonts w:ascii="Times New Roman" w:hAnsi="Times New Roman"/>
          <w:sz w:val="24"/>
          <w:szCs w:val="24"/>
        </w:rPr>
        <w:fldChar w:fldCharType="separate"/>
      </w:r>
      <w:r>
        <w:rPr>
          <w:rFonts w:ascii="Times New Roman" w:hAnsi="Times New Roman"/>
          <w:sz w:val="24"/>
          <w:szCs w:val="24"/>
        </w:rPr>
        <w:t>25</w:t>
      </w:r>
      <w:r>
        <w:rPr>
          <w:rFonts w:ascii="Times New Roman" w:hAnsi="Times New Roman"/>
          <w:sz w:val="24"/>
          <w:szCs w:val="24"/>
        </w:rPr>
        <w:fldChar w:fldCharType="end"/>
      </w:r>
      <w:r>
        <w:rPr>
          <w:rFonts w:ascii="Times New Roman" w:hAnsi="Times New Roman"/>
          <w:sz w:val="24"/>
          <w:szCs w:val="24"/>
        </w:rPr>
        <w:fldChar w:fldCharType="end"/>
      </w:r>
    </w:p>
    <w:p w14:paraId="72F4AE65">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"_Toc508642429" </w:instrText>
      </w:r>
      <w:r>
        <w:fldChar w:fldCharType="separate"/>
      </w:r>
      <w:r>
        <w:rPr>
          <w:rStyle w:val="64"/>
          <w:rFonts w:ascii="Times New Roman" w:hAnsi="Times New Roman"/>
          <w:i w:val="0"/>
          <w:sz w:val="24"/>
          <w:szCs w:val="24"/>
          <w:lang w:bidi="en-US"/>
        </w:rPr>
        <w:t>2.3.1施工导流</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_Toc508642429 \h </w:instrText>
      </w:r>
      <w:r>
        <w:rPr>
          <w:rFonts w:ascii="Times New Roman" w:hAnsi="Times New Roman"/>
          <w:i w:val="0"/>
          <w:sz w:val="24"/>
          <w:szCs w:val="24"/>
        </w:rPr>
        <w:fldChar w:fldCharType="separate"/>
      </w:r>
      <w:r>
        <w:rPr>
          <w:rFonts w:ascii="Times New Roman" w:hAnsi="Times New Roman"/>
          <w:i w:val="0"/>
          <w:sz w:val="24"/>
          <w:szCs w:val="24"/>
        </w:rPr>
        <w:t>25</w:t>
      </w:r>
      <w:r>
        <w:rPr>
          <w:rFonts w:ascii="Times New Roman" w:hAnsi="Times New Roman"/>
          <w:i w:val="0"/>
          <w:sz w:val="24"/>
          <w:szCs w:val="24"/>
        </w:rPr>
        <w:fldChar w:fldCharType="end"/>
      </w:r>
      <w:r>
        <w:rPr>
          <w:rFonts w:ascii="Times New Roman" w:hAnsi="Times New Roman"/>
          <w:i w:val="0"/>
          <w:sz w:val="24"/>
          <w:szCs w:val="24"/>
        </w:rPr>
        <w:fldChar w:fldCharType="end"/>
      </w:r>
    </w:p>
    <w:p w14:paraId="4DB04200">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"_Toc508642430" </w:instrText>
      </w:r>
      <w:r>
        <w:fldChar w:fldCharType="separate"/>
      </w:r>
      <w:r>
        <w:rPr>
          <w:rStyle w:val="64"/>
          <w:rFonts w:ascii="Times New Roman" w:hAnsi="Times New Roman"/>
          <w:i w:val="0"/>
          <w:sz w:val="24"/>
          <w:szCs w:val="24"/>
          <w:lang w:bidi="en-US"/>
        </w:rPr>
        <w:t>2.3.2初期下闸蓄水计划</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_Toc508642430 \h </w:instrText>
      </w:r>
      <w:r>
        <w:rPr>
          <w:rFonts w:ascii="Times New Roman" w:hAnsi="Times New Roman"/>
          <w:i w:val="0"/>
          <w:sz w:val="24"/>
          <w:szCs w:val="24"/>
        </w:rPr>
        <w:fldChar w:fldCharType="separate"/>
      </w:r>
      <w:r>
        <w:rPr>
          <w:rFonts w:ascii="Times New Roman" w:hAnsi="Times New Roman"/>
          <w:i w:val="0"/>
          <w:sz w:val="24"/>
          <w:szCs w:val="24"/>
        </w:rPr>
        <w:t>26</w:t>
      </w:r>
      <w:r>
        <w:rPr>
          <w:rFonts w:ascii="Times New Roman" w:hAnsi="Times New Roman"/>
          <w:i w:val="0"/>
          <w:sz w:val="24"/>
          <w:szCs w:val="24"/>
        </w:rPr>
        <w:fldChar w:fldCharType="end"/>
      </w:r>
      <w:r>
        <w:rPr>
          <w:rFonts w:ascii="Times New Roman" w:hAnsi="Times New Roman"/>
          <w:i w:val="0"/>
          <w:sz w:val="24"/>
          <w:szCs w:val="24"/>
        </w:rPr>
        <w:fldChar w:fldCharType="end"/>
      </w:r>
    </w:p>
    <w:p w14:paraId="7E38206F">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"_Toc508642431" </w:instrText>
      </w:r>
      <w:r>
        <w:fldChar w:fldCharType="separate"/>
      </w:r>
      <w:r>
        <w:rPr>
          <w:rStyle w:val="64"/>
          <w:rFonts w:ascii="Times New Roman" w:hAnsi="Times New Roman"/>
          <w:i w:val="0"/>
          <w:sz w:val="24"/>
          <w:szCs w:val="24"/>
          <w:lang w:bidi="en-US"/>
        </w:rPr>
        <w:t>2.3.3施工条件</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_Toc508642431 \h </w:instrText>
      </w:r>
      <w:r>
        <w:rPr>
          <w:rFonts w:ascii="Times New Roman" w:hAnsi="Times New Roman"/>
          <w:i w:val="0"/>
          <w:sz w:val="24"/>
          <w:szCs w:val="24"/>
        </w:rPr>
        <w:fldChar w:fldCharType="separate"/>
      </w:r>
      <w:r>
        <w:rPr>
          <w:rFonts w:ascii="Times New Roman" w:hAnsi="Times New Roman"/>
          <w:i w:val="0"/>
          <w:sz w:val="24"/>
          <w:szCs w:val="24"/>
        </w:rPr>
        <w:t>26</w:t>
      </w:r>
      <w:r>
        <w:rPr>
          <w:rFonts w:ascii="Times New Roman" w:hAnsi="Times New Roman"/>
          <w:i w:val="0"/>
          <w:sz w:val="24"/>
          <w:szCs w:val="24"/>
        </w:rPr>
        <w:fldChar w:fldCharType="end"/>
      </w:r>
      <w:r>
        <w:rPr>
          <w:rFonts w:ascii="Times New Roman" w:hAnsi="Times New Roman"/>
          <w:i w:val="0"/>
          <w:sz w:val="24"/>
          <w:szCs w:val="24"/>
        </w:rPr>
        <w:fldChar w:fldCharType="end"/>
      </w:r>
    </w:p>
    <w:p w14:paraId="612A2634">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"_Toc508642432" </w:instrText>
      </w:r>
      <w:r>
        <w:fldChar w:fldCharType="separate"/>
      </w:r>
      <w:r>
        <w:rPr>
          <w:rStyle w:val="64"/>
          <w:rFonts w:ascii="Times New Roman" w:hAnsi="Times New Roman"/>
          <w:i w:val="0"/>
          <w:sz w:val="24"/>
          <w:szCs w:val="24"/>
          <w:lang w:bidi="en-US"/>
        </w:rPr>
        <w:t>2.3.4主体工程施工</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_Toc508642432 \h </w:instrText>
      </w:r>
      <w:r>
        <w:rPr>
          <w:rFonts w:ascii="Times New Roman" w:hAnsi="Times New Roman"/>
          <w:i w:val="0"/>
          <w:sz w:val="24"/>
          <w:szCs w:val="24"/>
        </w:rPr>
        <w:fldChar w:fldCharType="separate"/>
      </w:r>
      <w:r>
        <w:rPr>
          <w:rFonts w:ascii="Times New Roman" w:hAnsi="Times New Roman"/>
          <w:i w:val="0"/>
          <w:sz w:val="24"/>
          <w:szCs w:val="24"/>
        </w:rPr>
        <w:t>28</w:t>
      </w:r>
      <w:r>
        <w:rPr>
          <w:rFonts w:ascii="Times New Roman" w:hAnsi="Times New Roman"/>
          <w:i w:val="0"/>
          <w:sz w:val="24"/>
          <w:szCs w:val="24"/>
        </w:rPr>
        <w:fldChar w:fldCharType="end"/>
      </w:r>
      <w:r>
        <w:rPr>
          <w:rFonts w:ascii="Times New Roman" w:hAnsi="Times New Roman"/>
          <w:i w:val="0"/>
          <w:sz w:val="24"/>
          <w:szCs w:val="24"/>
        </w:rPr>
        <w:fldChar w:fldCharType="end"/>
      </w:r>
    </w:p>
    <w:p w14:paraId="4CC95CDD">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"_Toc508642433" </w:instrText>
      </w:r>
      <w:r>
        <w:fldChar w:fldCharType="separate"/>
      </w:r>
      <w:r>
        <w:rPr>
          <w:rStyle w:val="64"/>
          <w:rFonts w:ascii="Times New Roman" w:hAnsi="Times New Roman"/>
          <w:i w:val="0"/>
          <w:sz w:val="24"/>
          <w:szCs w:val="24"/>
          <w:lang w:bidi="en-US"/>
        </w:rPr>
        <w:t>2.3.5土石方平衡及表土场布置</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_Toc508642433 \h </w:instrText>
      </w:r>
      <w:r>
        <w:rPr>
          <w:rFonts w:ascii="Times New Roman" w:hAnsi="Times New Roman"/>
          <w:i w:val="0"/>
          <w:sz w:val="24"/>
          <w:szCs w:val="24"/>
        </w:rPr>
        <w:fldChar w:fldCharType="separate"/>
      </w:r>
      <w:r>
        <w:rPr>
          <w:rFonts w:ascii="Times New Roman" w:hAnsi="Times New Roman"/>
          <w:i w:val="0"/>
          <w:sz w:val="24"/>
          <w:szCs w:val="24"/>
        </w:rPr>
        <w:t>28</w:t>
      </w:r>
      <w:r>
        <w:rPr>
          <w:rFonts w:ascii="Times New Roman" w:hAnsi="Times New Roman"/>
          <w:i w:val="0"/>
          <w:sz w:val="24"/>
          <w:szCs w:val="24"/>
        </w:rPr>
        <w:fldChar w:fldCharType="end"/>
      </w:r>
      <w:r>
        <w:rPr>
          <w:rFonts w:ascii="Times New Roman" w:hAnsi="Times New Roman"/>
          <w:i w:val="0"/>
          <w:sz w:val="24"/>
          <w:szCs w:val="24"/>
        </w:rPr>
        <w:fldChar w:fldCharType="end"/>
      </w:r>
    </w:p>
    <w:p w14:paraId="1E794A88">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"_Toc508642434" </w:instrText>
      </w:r>
      <w:r>
        <w:fldChar w:fldCharType="separate"/>
      </w:r>
      <w:r>
        <w:rPr>
          <w:rStyle w:val="64"/>
          <w:rFonts w:ascii="Times New Roman" w:hAnsi="Times New Roman"/>
          <w:i w:val="0"/>
          <w:sz w:val="24"/>
          <w:szCs w:val="24"/>
          <w:lang w:bidi="en-US"/>
        </w:rPr>
        <w:t>2.3.6施工期</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_Toc508642434 \h </w:instrText>
      </w:r>
      <w:r>
        <w:rPr>
          <w:rFonts w:ascii="Times New Roman" w:hAnsi="Times New Roman"/>
          <w:i w:val="0"/>
          <w:sz w:val="24"/>
          <w:szCs w:val="24"/>
        </w:rPr>
        <w:fldChar w:fldCharType="separate"/>
      </w:r>
      <w:r>
        <w:rPr>
          <w:rFonts w:ascii="Times New Roman" w:hAnsi="Times New Roman"/>
          <w:i w:val="0"/>
          <w:sz w:val="24"/>
          <w:szCs w:val="24"/>
        </w:rPr>
        <w:t>32</w:t>
      </w:r>
      <w:r>
        <w:rPr>
          <w:rFonts w:ascii="Times New Roman" w:hAnsi="Times New Roman"/>
          <w:i w:val="0"/>
          <w:sz w:val="24"/>
          <w:szCs w:val="24"/>
        </w:rPr>
        <w:fldChar w:fldCharType="end"/>
      </w:r>
      <w:r>
        <w:rPr>
          <w:rFonts w:ascii="Times New Roman" w:hAnsi="Times New Roman"/>
          <w:i w:val="0"/>
          <w:sz w:val="24"/>
          <w:szCs w:val="24"/>
        </w:rPr>
        <w:fldChar w:fldCharType="end"/>
      </w:r>
    </w:p>
    <w:p w14:paraId="4D458BD4">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"_Toc508642435" </w:instrText>
      </w:r>
      <w:r>
        <w:fldChar w:fldCharType="separate"/>
      </w:r>
      <w:r>
        <w:rPr>
          <w:rStyle w:val="64"/>
          <w:rFonts w:ascii="Times New Roman" w:hAnsi="Times New Roman"/>
          <w:sz w:val="24"/>
          <w:szCs w:val="24"/>
        </w:rPr>
        <w:t>2.4水库淹没及移民安置</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_Toc508642435 \h </w:instrText>
      </w:r>
      <w:r>
        <w:rPr>
          <w:rFonts w:ascii="Times New Roman" w:hAnsi="Times New Roman"/>
          <w:sz w:val="24"/>
          <w:szCs w:val="24"/>
        </w:rPr>
        <w:fldChar w:fldCharType="separate"/>
      </w:r>
      <w:r>
        <w:rPr>
          <w:rFonts w:ascii="Times New Roman" w:hAnsi="Times New Roman"/>
          <w:sz w:val="24"/>
          <w:szCs w:val="24"/>
        </w:rPr>
        <w:t>32</w:t>
      </w:r>
      <w:r>
        <w:rPr>
          <w:rFonts w:ascii="Times New Roman" w:hAnsi="Times New Roman"/>
          <w:sz w:val="24"/>
          <w:szCs w:val="24"/>
        </w:rPr>
        <w:fldChar w:fldCharType="end"/>
      </w:r>
      <w:r>
        <w:rPr>
          <w:rFonts w:ascii="Times New Roman" w:hAnsi="Times New Roman"/>
          <w:sz w:val="24"/>
          <w:szCs w:val="24"/>
        </w:rPr>
        <w:fldChar w:fldCharType="end"/>
      </w:r>
    </w:p>
    <w:p w14:paraId="53E0445C">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"_Toc508642436" </w:instrText>
      </w:r>
      <w:r>
        <w:fldChar w:fldCharType="separate"/>
      </w:r>
      <w:r>
        <w:rPr>
          <w:rStyle w:val="64"/>
          <w:rFonts w:ascii="Times New Roman" w:hAnsi="Times New Roman"/>
          <w:sz w:val="24"/>
          <w:szCs w:val="24"/>
        </w:rPr>
        <w:t>2.5工程占地</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_Toc508642436 \h </w:instrText>
      </w:r>
      <w:r>
        <w:rPr>
          <w:rFonts w:ascii="Times New Roman" w:hAnsi="Times New Roman"/>
          <w:sz w:val="24"/>
          <w:szCs w:val="24"/>
        </w:rPr>
        <w:fldChar w:fldCharType="separate"/>
      </w:r>
      <w:r>
        <w:rPr>
          <w:rFonts w:ascii="Times New Roman" w:hAnsi="Times New Roman"/>
          <w:sz w:val="24"/>
          <w:szCs w:val="24"/>
        </w:rPr>
        <w:t>32</w:t>
      </w:r>
      <w:r>
        <w:rPr>
          <w:rFonts w:ascii="Times New Roman" w:hAnsi="Times New Roman"/>
          <w:sz w:val="24"/>
          <w:szCs w:val="24"/>
        </w:rPr>
        <w:fldChar w:fldCharType="end"/>
      </w:r>
      <w:r>
        <w:rPr>
          <w:rFonts w:ascii="Times New Roman" w:hAnsi="Times New Roman"/>
          <w:sz w:val="24"/>
          <w:szCs w:val="24"/>
        </w:rPr>
        <w:fldChar w:fldCharType="end"/>
      </w:r>
    </w:p>
    <w:p w14:paraId="18F25C0A">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"_Toc508642437" </w:instrText>
      </w:r>
      <w:r>
        <w:fldChar w:fldCharType="separate"/>
      </w:r>
      <w:r>
        <w:rPr>
          <w:rStyle w:val="64"/>
          <w:rFonts w:ascii="Times New Roman" w:hAnsi="Times New Roman"/>
          <w:sz w:val="24"/>
          <w:szCs w:val="24"/>
        </w:rPr>
        <w:t>2.6工程总投资</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_Toc508642437 \h </w:instrText>
      </w:r>
      <w:r>
        <w:rPr>
          <w:rFonts w:ascii="Times New Roman" w:hAnsi="Times New Roman"/>
          <w:sz w:val="24"/>
          <w:szCs w:val="24"/>
        </w:rPr>
        <w:fldChar w:fldCharType="separate"/>
      </w:r>
      <w:r>
        <w:rPr>
          <w:rFonts w:ascii="Times New Roman" w:hAnsi="Times New Roman"/>
          <w:sz w:val="24"/>
          <w:szCs w:val="24"/>
        </w:rPr>
        <w:t>33</w:t>
      </w:r>
      <w:r>
        <w:rPr>
          <w:rFonts w:ascii="Times New Roman" w:hAnsi="Times New Roman"/>
          <w:sz w:val="24"/>
          <w:szCs w:val="24"/>
        </w:rPr>
        <w:fldChar w:fldCharType="end"/>
      </w:r>
      <w:r>
        <w:rPr>
          <w:rFonts w:ascii="Times New Roman" w:hAnsi="Times New Roman"/>
          <w:sz w:val="24"/>
          <w:szCs w:val="24"/>
        </w:rPr>
        <w:fldChar w:fldCharType="end"/>
      </w:r>
    </w:p>
    <w:p w14:paraId="1C078CB3">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"_Toc508642438" </w:instrText>
      </w:r>
      <w:r>
        <w:fldChar w:fldCharType="separate"/>
      </w:r>
      <w:r>
        <w:rPr>
          <w:rStyle w:val="64"/>
          <w:rFonts w:ascii="Times New Roman" w:hAnsi="Times New Roman"/>
          <w:sz w:val="24"/>
          <w:szCs w:val="24"/>
        </w:rPr>
        <w:t>2.7工程建设情况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_Toc508642438 \h </w:instrText>
      </w:r>
      <w:r>
        <w:rPr>
          <w:rFonts w:ascii="Times New Roman" w:hAnsi="Times New Roman"/>
          <w:sz w:val="24"/>
          <w:szCs w:val="24"/>
        </w:rPr>
        <w:fldChar w:fldCharType="separate"/>
      </w:r>
      <w:r>
        <w:rPr>
          <w:rFonts w:ascii="Times New Roman" w:hAnsi="Times New Roman"/>
          <w:sz w:val="24"/>
          <w:szCs w:val="24"/>
        </w:rPr>
        <w:t>33</w:t>
      </w:r>
      <w:r>
        <w:rPr>
          <w:rFonts w:ascii="Times New Roman" w:hAnsi="Times New Roman"/>
          <w:sz w:val="24"/>
          <w:szCs w:val="24"/>
        </w:rPr>
        <w:fldChar w:fldCharType="end"/>
      </w:r>
      <w:r>
        <w:rPr>
          <w:rFonts w:ascii="Times New Roman" w:hAnsi="Times New Roman"/>
          <w:sz w:val="24"/>
          <w:szCs w:val="24"/>
        </w:rPr>
        <w:fldChar w:fldCharType="end"/>
      </w:r>
    </w:p>
    <w:p w14:paraId="2BA979BC">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"_Toc508642439" </w:instrText>
      </w:r>
      <w:r>
        <w:fldChar w:fldCharType="separate"/>
      </w:r>
      <w:r>
        <w:rPr>
          <w:rStyle w:val="64"/>
          <w:rFonts w:ascii="Times New Roman" w:hAnsi="Times New Roman"/>
          <w:i w:val="0"/>
          <w:sz w:val="24"/>
          <w:szCs w:val="24"/>
        </w:rPr>
        <w:t>2.7.1工程进度</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_Toc508642439 \h </w:instrText>
      </w:r>
      <w:r>
        <w:rPr>
          <w:rFonts w:ascii="Times New Roman" w:hAnsi="Times New Roman"/>
          <w:i w:val="0"/>
          <w:sz w:val="24"/>
          <w:szCs w:val="24"/>
        </w:rPr>
        <w:fldChar w:fldCharType="separate"/>
      </w:r>
      <w:r>
        <w:rPr>
          <w:rFonts w:ascii="Times New Roman" w:hAnsi="Times New Roman"/>
          <w:i w:val="0"/>
          <w:sz w:val="24"/>
          <w:szCs w:val="24"/>
        </w:rPr>
        <w:t>33</w:t>
      </w:r>
      <w:r>
        <w:rPr>
          <w:rFonts w:ascii="Times New Roman" w:hAnsi="Times New Roman"/>
          <w:i w:val="0"/>
          <w:sz w:val="24"/>
          <w:szCs w:val="24"/>
        </w:rPr>
        <w:fldChar w:fldCharType="end"/>
      </w:r>
      <w:r>
        <w:rPr>
          <w:rFonts w:ascii="Times New Roman" w:hAnsi="Times New Roman"/>
          <w:i w:val="0"/>
          <w:sz w:val="24"/>
          <w:szCs w:val="24"/>
        </w:rPr>
        <w:fldChar w:fldCharType="end"/>
      </w:r>
    </w:p>
    <w:p w14:paraId="4B663DAE">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"_Toc508642440" </w:instrText>
      </w:r>
      <w:r>
        <w:fldChar w:fldCharType="separate"/>
      </w:r>
      <w:r>
        <w:rPr>
          <w:rStyle w:val="64"/>
          <w:rFonts w:ascii="Times New Roman" w:hAnsi="Times New Roman"/>
          <w:i w:val="0"/>
          <w:sz w:val="24"/>
          <w:szCs w:val="24"/>
        </w:rPr>
        <w:t>2.7.2存在的问题和需完善的措施</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_Toc508642440 \h </w:instrText>
      </w:r>
      <w:r>
        <w:rPr>
          <w:rFonts w:ascii="Times New Roman" w:hAnsi="Times New Roman"/>
          <w:i w:val="0"/>
          <w:sz w:val="24"/>
          <w:szCs w:val="24"/>
        </w:rPr>
        <w:fldChar w:fldCharType="separate"/>
      </w:r>
      <w:r>
        <w:rPr>
          <w:rFonts w:ascii="Times New Roman" w:hAnsi="Times New Roman"/>
          <w:i w:val="0"/>
          <w:sz w:val="24"/>
          <w:szCs w:val="24"/>
        </w:rPr>
        <w:t>33</w:t>
      </w:r>
      <w:r>
        <w:rPr>
          <w:rFonts w:ascii="Times New Roman" w:hAnsi="Times New Roman"/>
          <w:i w:val="0"/>
          <w:sz w:val="24"/>
          <w:szCs w:val="24"/>
        </w:rPr>
        <w:fldChar w:fldCharType="end"/>
      </w:r>
      <w:r>
        <w:rPr>
          <w:rFonts w:ascii="Times New Roman" w:hAnsi="Times New Roman"/>
          <w:i w:val="0"/>
          <w:sz w:val="24"/>
          <w:szCs w:val="24"/>
        </w:rPr>
        <w:fldChar w:fldCharType="end"/>
      </w:r>
    </w:p>
    <w:p w14:paraId="58AF5B29">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"_Toc508642441" </w:instrText>
      </w:r>
      <w:r>
        <w:fldChar w:fldCharType="separate"/>
      </w:r>
      <w:r>
        <w:rPr>
          <w:rStyle w:val="64"/>
          <w:rFonts w:ascii="Times New Roman" w:hAnsi="Times New Roman"/>
          <w:i w:val="0"/>
          <w:sz w:val="24"/>
          <w:szCs w:val="24"/>
          <w:lang w:bidi="en-US"/>
        </w:rPr>
        <w:t>2.7.3项目未批先建行政处罚情况</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_Toc508642441 \h </w:instrText>
      </w:r>
      <w:r>
        <w:rPr>
          <w:rFonts w:ascii="Times New Roman" w:hAnsi="Times New Roman"/>
          <w:i w:val="0"/>
          <w:sz w:val="24"/>
          <w:szCs w:val="24"/>
        </w:rPr>
        <w:fldChar w:fldCharType="separate"/>
      </w:r>
      <w:r>
        <w:rPr>
          <w:rFonts w:ascii="Times New Roman" w:hAnsi="Times New Roman"/>
          <w:i w:val="0"/>
          <w:sz w:val="24"/>
          <w:szCs w:val="24"/>
        </w:rPr>
        <w:t>34</w:t>
      </w:r>
      <w:r>
        <w:rPr>
          <w:rFonts w:ascii="Times New Roman" w:hAnsi="Times New Roman"/>
          <w:i w:val="0"/>
          <w:sz w:val="24"/>
          <w:szCs w:val="24"/>
        </w:rPr>
        <w:fldChar w:fldCharType="end"/>
      </w:r>
      <w:r>
        <w:rPr>
          <w:rFonts w:ascii="Times New Roman" w:hAnsi="Times New Roman"/>
          <w:i w:val="0"/>
          <w:sz w:val="24"/>
          <w:szCs w:val="24"/>
        </w:rPr>
        <w:fldChar w:fldCharType="end"/>
      </w:r>
    </w:p>
    <w:p w14:paraId="2442FE09">
      <w:pPr>
        <w:pStyle w:val="38"/>
        <w:tabs>
          <w:tab w:val="right" w:leader="dot" w:pos="8720"/>
        </w:tabs>
        <w:spacing w:line="276" w:lineRule="auto"/>
        <w:ind w:firstLine="0" w:firstLineChars="0"/>
        <w:rPr>
          <w:rFonts w:ascii="Times New Roman" w:hAnsi="Times New Roman" w:eastAsiaTheme="minorEastAsia"/>
          <w:b w:val="0"/>
          <w:bCs w:val="0"/>
          <w:caps w:val="0"/>
          <w:sz w:val="24"/>
          <w:szCs w:val="24"/>
        </w:rPr>
      </w:pPr>
      <w:r>
        <w:fldChar w:fldCharType="begin"/>
      </w:r>
      <w:r>
        <w:instrText xml:space="preserve"> HYPERLINK \l "_Toc508642442" </w:instrText>
      </w:r>
      <w:r>
        <w:fldChar w:fldCharType="separate"/>
      </w:r>
      <w:r>
        <w:rPr>
          <w:rStyle w:val="64"/>
          <w:rFonts w:ascii="Times New Roman" w:hAnsi="Times New Roman"/>
          <w:sz w:val="24"/>
          <w:szCs w:val="24"/>
        </w:rPr>
        <w:t>3工程分析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_Toc508642442 \h </w:instrText>
      </w:r>
      <w:r>
        <w:rPr>
          <w:rFonts w:ascii="Times New Roman" w:hAnsi="Times New Roman"/>
          <w:sz w:val="24"/>
          <w:szCs w:val="24"/>
        </w:rPr>
        <w:fldChar w:fldCharType="separate"/>
      </w:r>
      <w:r>
        <w:rPr>
          <w:rFonts w:ascii="Times New Roman" w:hAnsi="Times New Roman"/>
          <w:sz w:val="24"/>
          <w:szCs w:val="24"/>
        </w:rPr>
        <w:t>35</w:t>
      </w:r>
      <w:r>
        <w:rPr>
          <w:rFonts w:ascii="Times New Roman" w:hAnsi="Times New Roman"/>
          <w:sz w:val="24"/>
          <w:szCs w:val="24"/>
        </w:rPr>
        <w:fldChar w:fldCharType="end"/>
      </w:r>
      <w:r>
        <w:rPr>
          <w:rFonts w:ascii="Times New Roman" w:hAnsi="Times New Roman"/>
          <w:sz w:val="24"/>
          <w:szCs w:val="24"/>
        </w:rPr>
        <w:fldChar w:fldCharType="end"/>
      </w:r>
    </w:p>
    <w:p w14:paraId="6E39F154">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"_Toc508642443" </w:instrText>
      </w:r>
      <w:r>
        <w:fldChar w:fldCharType="separate"/>
      </w:r>
      <w:r>
        <w:rPr>
          <w:rStyle w:val="64"/>
          <w:rFonts w:ascii="Times New Roman" w:hAnsi="Times New Roman"/>
          <w:sz w:val="24"/>
          <w:szCs w:val="24"/>
        </w:rPr>
        <w:t>3.1施工期</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_Toc508642443 \h </w:instrText>
      </w:r>
      <w:r>
        <w:rPr>
          <w:rFonts w:ascii="Times New Roman" w:hAnsi="Times New Roman"/>
          <w:sz w:val="24"/>
          <w:szCs w:val="24"/>
        </w:rPr>
        <w:fldChar w:fldCharType="separate"/>
      </w:r>
      <w:r>
        <w:rPr>
          <w:rFonts w:ascii="Times New Roman" w:hAnsi="Times New Roman"/>
          <w:sz w:val="24"/>
          <w:szCs w:val="24"/>
        </w:rPr>
        <w:t>35</w:t>
      </w:r>
      <w:r>
        <w:rPr>
          <w:rFonts w:ascii="Times New Roman" w:hAnsi="Times New Roman"/>
          <w:sz w:val="24"/>
          <w:szCs w:val="24"/>
        </w:rPr>
        <w:fldChar w:fldCharType="end"/>
      </w:r>
      <w:r>
        <w:rPr>
          <w:rFonts w:ascii="Times New Roman" w:hAnsi="Times New Roman"/>
          <w:sz w:val="24"/>
          <w:szCs w:val="24"/>
        </w:rPr>
        <w:fldChar w:fldCharType="end"/>
      </w:r>
    </w:p>
    <w:p w14:paraId="7FA5587C">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"_Toc508642444" </w:instrText>
      </w:r>
      <w:r>
        <w:fldChar w:fldCharType="separate"/>
      </w:r>
      <w:r>
        <w:rPr>
          <w:rStyle w:val="64"/>
          <w:rFonts w:ascii="Times New Roman" w:hAnsi="Times New Roman"/>
          <w:i w:val="0"/>
          <w:sz w:val="24"/>
          <w:szCs w:val="24"/>
          <w:lang w:bidi="en-US"/>
        </w:rPr>
        <w:t>3.1.1废水</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_Toc508642444 \h </w:instrText>
      </w:r>
      <w:r>
        <w:rPr>
          <w:rFonts w:ascii="Times New Roman" w:hAnsi="Times New Roman"/>
          <w:i w:val="0"/>
          <w:sz w:val="24"/>
          <w:szCs w:val="24"/>
        </w:rPr>
        <w:fldChar w:fldCharType="separate"/>
      </w:r>
      <w:r>
        <w:rPr>
          <w:rFonts w:ascii="Times New Roman" w:hAnsi="Times New Roman"/>
          <w:i w:val="0"/>
          <w:sz w:val="24"/>
          <w:szCs w:val="24"/>
        </w:rPr>
        <w:t>35</w:t>
      </w:r>
      <w:r>
        <w:rPr>
          <w:rFonts w:ascii="Times New Roman" w:hAnsi="Times New Roman"/>
          <w:i w:val="0"/>
          <w:sz w:val="24"/>
          <w:szCs w:val="24"/>
        </w:rPr>
        <w:fldChar w:fldCharType="end"/>
      </w:r>
      <w:r>
        <w:rPr>
          <w:rFonts w:ascii="Times New Roman" w:hAnsi="Times New Roman"/>
          <w:i w:val="0"/>
          <w:sz w:val="24"/>
          <w:szCs w:val="24"/>
        </w:rPr>
        <w:fldChar w:fldCharType="end"/>
      </w:r>
    </w:p>
    <w:p w14:paraId="52136D58">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"_Toc508642445" </w:instrText>
      </w:r>
      <w:r>
        <w:fldChar w:fldCharType="separate"/>
      </w:r>
      <w:r>
        <w:rPr>
          <w:rStyle w:val="64"/>
          <w:rFonts w:ascii="Times New Roman" w:hAnsi="Times New Roman"/>
          <w:i w:val="0"/>
          <w:sz w:val="24"/>
          <w:szCs w:val="24"/>
          <w:lang w:bidi="en-US"/>
        </w:rPr>
        <w:t>3.1.2废气</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_Toc508642445 \h </w:instrText>
      </w:r>
      <w:r>
        <w:rPr>
          <w:rFonts w:ascii="Times New Roman" w:hAnsi="Times New Roman"/>
          <w:i w:val="0"/>
          <w:sz w:val="24"/>
          <w:szCs w:val="24"/>
        </w:rPr>
        <w:fldChar w:fldCharType="separate"/>
      </w:r>
      <w:r>
        <w:rPr>
          <w:rFonts w:ascii="Times New Roman" w:hAnsi="Times New Roman"/>
          <w:i w:val="0"/>
          <w:sz w:val="24"/>
          <w:szCs w:val="24"/>
        </w:rPr>
        <w:t>36</w:t>
      </w:r>
      <w:r>
        <w:rPr>
          <w:rFonts w:ascii="Times New Roman" w:hAnsi="Times New Roman"/>
          <w:i w:val="0"/>
          <w:sz w:val="24"/>
          <w:szCs w:val="24"/>
        </w:rPr>
        <w:fldChar w:fldCharType="end"/>
      </w:r>
      <w:r>
        <w:rPr>
          <w:rFonts w:ascii="Times New Roman" w:hAnsi="Times New Roman"/>
          <w:i w:val="0"/>
          <w:sz w:val="24"/>
          <w:szCs w:val="24"/>
        </w:rPr>
        <w:fldChar w:fldCharType="end"/>
      </w:r>
    </w:p>
    <w:p w14:paraId="420DB586">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"_Toc508642446" </w:instrText>
      </w:r>
      <w:r>
        <w:fldChar w:fldCharType="separate"/>
      </w:r>
      <w:r>
        <w:rPr>
          <w:rStyle w:val="64"/>
          <w:rFonts w:ascii="Times New Roman" w:hAnsi="Times New Roman"/>
          <w:i w:val="0"/>
          <w:sz w:val="24"/>
          <w:szCs w:val="24"/>
          <w:lang w:bidi="en-US"/>
        </w:rPr>
        <w:t>3.1.3噪声</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_Toc508642446 \h </w:instrText>
      </w:r>
      <w:r>
        <w:rPr>
          <w:rFonts w:ascii="Times New Roman" w:hAnsi="Times New Roman"/>
          <w:i w:val="0"/>
          <w:sz w:val="24"/>
          <w:szCs w:val="24"/>
        </w:rPr>
        <w:fldChar w:fldCharType="separate"/>
      </w:r>
      <w:r>
        <w:rPr>
          <w:rFonts w:ascii="Times New Roman" w:hAnsi="Times New Roman"/>
          <w:i w:val="0"/>
          <w:sz w:val="24"/>
          <w:szCs w:val="24"/>
        </w:rPr>
        <w:t>37</w:t>
      </w:r>
      <w:r>
        <w:rPr>
          <w:rFonts w:ascii="Times New Roman" w:hAnsi="Times New Roman"/>
          <w:i w:val="0"/>
          <w:sz w:val="24"/>
          <w:szCs w:val="24"/>
        </w:rPr>
        <w:fldChar w:fldCharType="end"/>
      </w:r>
      <w:r>
        <w:rPr>
          <w:rFonts w:ascii="Times New Roman" w:hAnsi="Times New Roman"/>
          <w:i w:val="0"/>
          <w:sz w:val="24"/>
          <w:szCs w:val="24"/>
        </w:rPr>
        <w:fldChar w:fldCharType="end"/>
      </w:r>
    </w:p>
    <w:p w14:paraId="0647900F">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"_Toc508642447" </w:instrText>
      </w:r>
      <w:r>
        <w:fldChar w:fldCharType="separate"/>
      </w:r>
      <w:r>
        <w:rPr>
          <w:rStyle w:val="64"/>
          <w:rFonts w:ascii="Times New Roman" w:hAnsi="Times New Roman"/>
          <w:i w:val="0"/>
          <w:sz w:val="24"/>
          <w:szCs w:val="24"/>
          <w:lang w:bidi="en-US"/>
        </w:rPr>
        <w:t>3.1.4固体废物</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_Toc508642447 \h </w:instrText>
      </w:r>
      <w:r>
        <w:rPr>
          <w:rFonts w:ascii="Times New Roman" w:hAnsi="Times New Roman"/>
          <w:i w:val="0"/>
          <w:sz w:val="24"/>
          <w:szCs w:val="24"/>
        </w:rPr>
        <w:fldChar w:fldCharType="separate"/>
      </w:r>
      <w:r>
        <w:rPr>
          <w:rFonts w:ascii="Times New Roman" w:hAnsi="Times New Roman"/>
          <w:i w:val="0"/>
          <w:sz w:val="24"/>
          <w:szCs w:val="24"/>
        </w:rPr>
        <w:t>38</w:t>
      </w:r>
      <w:r>
        <w:rPr>
          <w:rFonts w:ascii="Times New Roman" w:hAnsi="Times New Roman"/>
          <w:i w:val="0"/>
          <w:sz w:val="24"/>
          <w:szCs w:val="24"/>
        </w:rPr>
        <w:fldChar w:fldCharType="end"/>
      </w:r>
      <w:r>
        <w:rPr>
          <w:rFonts w:ascii="Times New Roman" w:hAnsi="Times New Roman"/>
          <w:i w:val="0"/>
          <w:sz w:val="24"/>
          <w:szCs w:val="24"/>
        </w:rPr>
        <w:fldChar w:fldCharType="end"/>
      </w:r>
    </w:p>
    <w:p w14:paraId="0756EBA1">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"_Toc508642448" </w:instrText>
      </w:r>
      <w:r>
        <w:fldChar w:fldCharType="separate"/>
      </w:r>
      <w:r>
        <w:rPr>
          <w:rStyle w:val="64"/>
          <w:rFonts w:ascii="Times New Roman" w:hAnsi="Times New Roman"/>
          <w:i w:val="0"/>
          <w:sz w:val="24"/>
          <w:szCs w:val="24"/>
          <w:lang w:bidi="en-US"/>
        </w:rPr>
        <w:t>3.1.5工程占地</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_Toc508642448 \h </w:instrText>
      </w:r>
      <w:r>
        <w:rPr>
          <w:rFonts w:ascii="Times New Roman" w:hAnsi="Times New Roman"/>
          <w:i w:val="0"/>
          <w:sz w:val="24"/>
          <w:szCs w:val="24"/>
        </w:rPr>
        <w:fldChar w:fldCharType="separate"/>
      </w:r>
      <w:r>
        <w:rPr>
          <w:rFonts w:ascii="Times New Roman" w:hAnsi="Times New Roman"/>
          <w:i w:val="0"/>
          <w:sz w:val="24"/>
          <w:szCs w:val="24"/>
        </w:rPr>
        <w:t>38</w:t>
      </w:r>
      <w:r>
        <w:rPr>
          <w:rFonts w:ascii="Times New Roman" w:hAnsi="Times New Roman"/>
          <w:i w:val="0"/>
          <w:sz w:val="24"/>
          <w:szCs w:val="24"/>
        </w:rPr>
        <w:fldChar w:fldCharType="end"/>
      </w:r>
      <w:r>
        <w:rPr>
          <w:rFonts w:ascii="Times New Roman" w:hAnsi="Times New Roman"/>
          <w:i w:val="0"/>
          <w:sz w:val="24"/>
          <w:szCs w:val="24"/>
        </w:rPr>
        <w:fldChar w:fldCharType="end"/>
      </w:r>
    </w:p>
    <w:p w14:paraId="222997AE">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"_Toc508642449" </w:instrText>
      </w:r>
      <w:r>
        <w:fldChar w:fldCharType="separate"/>
      </w:r>
      <w:r>
        <w:rPr>
          <w:rStyle w:val="64"/>
          <w:rFonts w:ascii="Times New Roman" w:hAnsi="Times New Roman"/>
          <w:sz w:val="24"/>
          <w:szCs w:val="24"/>
        </w:rPr>
        <w:t>3.2运行期</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_Toc508642449 \h </w:instrText>
      </w:r>
      <w:r>
        <w:rPr>
          <w:rFonts w:ascii="Times New Roman" w:hAnsi="Times New Roman"/>
          <w:sz w:val="24"/>
          <w:szCs w:val="24"/>
        </w:rPr>
        <w:fldChar w:fldCharType="separate"/>
      </w:r>
      <w:r>
        <w:rPr>
          <w:rFonts w:ascii="Times New Roman" w:hAnsi="Times New Roman"/>
          <w:sz w:val="24"/>
          <w:szCs w:val="24"/>
        </w:rPr>
        <w:t>38</w:t>
      </w:r>
      <w:r>
        <w:rPr>
          <w:rFonts w:ascii="Times New Roman" w:hAnsi="Times New Roman"/>
          <w:sz w:val="24"/>
          <w:szCs w:val="24"/>
        </w:rPr>
        <w:fldChar w:fldCharType="end"/>
      </w:r>
      <w:r>
        <w:rPr>
          <w:rFonts w:ascii="Times New Roman" w:hAnsi="Times New Roman"/>
          <w:sz w:val="24"/>
          <w:szCs w:val="24"/>
        </w:rPr>
        <w:fldChar w:fldCharType="end"/>
      </w:r>
    </w:p>
    <w:p w14:paraId="4A1BEB9E">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"_Toc508642450" </w:instrText>
      </w:r>
      <w:r>
        <w:fldChar w:fldCharType="separate"/>
      </w:r>
      <w:r>
        <w:rPr>
          <w:rStyle w:val="64"/>
          <w:rFonts w:ascii="Times New Roman" w:hAnsi="Times New Roman"/>
          <w:i w:val="0"/>
          <w:sz w:val="24"/>
          <w:szCs w:val="24"/>
          <w:lang w:bidi="en-US"/>
        </w:rPr>
        <w:t>3.2.1大坝阻隔</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_Toc508642450 \h </w:instrText>
      </w:r>
      <w:r>
        <w:rPr>
          <w:rFonts w:ascii="Times New Roman" w:hAnsi="Times New Roman"/>
          <w:i w:val="0"/>
          <w:sz w:val="24"/>
          <w:szCs w:val="24"/>
        </w:rPr>
        <w:fldChar w:fldCharType="separate"/>
      </w:r>
      <w:r>
        <w:rPr>
          <w:rFonts w:ascii="Times New Roman" w:hAnsi="Times New Roman"/>
          <w:i w:val="0"/>
          <w:sz w:val="24"/>
          <w:szCs w:val="24"/>
        </w:rPr>
        <w:t>39</w:t>
      </w:r>
      <w:r>
        <w:rPr>
          <w:rFonts w:ascii="Times New Roman" w:hAnsi="Times New Roman"/>
          <w:i w:val="0"/>
          <w:sz w:val="24"/>
          <w:szCs w:val="24"/>
        </w:rPr>
        <w:fldChar w:fldCharType="end"/>
      </w:r>
      <w:r>
        <w:rPr>
          <w:rFonts w:ascii="Times New Roman" w:hAnsi="Times New Roman"/>
          <w:i w:val="0"/>
          <w:sz w:val="24"/>
          <w:szCs w:val="24"/>
        </w:rPr>
        <w:fldChar w:fldCharType="end"/>
      </w:r>
    </w:p>
    <w:p w14:paraId="5DF27569">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"_Toc508642451" </w:instrText>
      </w:r>
      <w:r>
        <w:fldChar w:fldCharType="separate"/>
      </w:r>
      <w:r>
        <w:rPr>
          <w:rStyle w:val="64"/>
          <w:rFonts w:ascii="Times New Roman" w:hAnsi="Times New Roman"/>
          <w:i w:val="0"/>
          <w:sz w:val="24"/>
          <w:szCs w:val="24"/>
          <w:lang w:bidi="en-US"/>
        </w:rPr>
        <w:t>3.2.2初期下闸蓄水</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_Toc508642451 \h </w:instrText>
      </w:r>
      <w:r>
        <w:rPr>
          <w:rFonts w:ascii="Times New Roman" w:hAnsi="Times New Roman"/>
          <w:i w:val="0"/>
          <w:sz w:val="24"/>
          <w:szCs w:val="24"/>
        </w:rPr>
        <w:fldChar w:fldCharType="separate"/>
      </w:r>
      <w:r>
        <w:rPr>
          <w:rFonts w:ascii="Times New Roman" w:hAnsi="Times New Roman"/>
          <w:i w:val="0"/>
          <w:sz w:val="24"/>
          <w:szCs w:val="24"/>
        </w:rPr>
        <w:t>39</w:t>
      </w:r>
      <w:r>
        <w:rPr>
          <w:rFonts w:ascii="Times New Roman" w:hAnsi="Times New Roman"/>
          <w:i w:val="0"/>
          <w:sz w:val="24"/>
          <w:szCs w:val="24"/>
        </w:rPr>
        <w:fldChar w:fldCharType="end"/>
      </w:r>
      <w:r>
        <w:rPr>
          <w:rFonts w:ascii="Times New Roman" w:hAnsi="Times New Roman"/>
          <w:i w:val="0"/>
          <w:sz w:val="24"/>
          <w:szCs w:val="24"/>
        </w:rPr>
        <w:fldChar w:fldCharType="end"/>
      </w:r>
    </w:p>
    <w:p w14:paraId="7D0C2625">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"_Toc508642452" </w:instrText>
      </w:r>
      <w:r>
        <w:fldChar w:fldCharType="separate"/>
      </w:r>
      <w:r>
        <w:rPr>
          <w:rStyle w:val="64"/>
          <w:rFonts w:ascii="Times New Roman" w:hAnsi="Times New Roman"/>
          <w:i w:val="0"/>
          <w:sz w:val="24"/>
          <w:szCs w:val="24"/>
          <w:lang w:bidi="en-US"/>
        </w:rPr>
        <w:t>3.2.3水质变化</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_Toc508642452 \h </w:instrText>
      </w:r>
      <w:r>
        <w:rPr>
          <w:rFonts w:ascii="Times New Roman" w:hAnsi="Times New Roman"/>
          <w:i w:val="0"/>
          <w:sz w:val="24"/>
          <w:szCs w:val="24"/>
        </w:rPr>
        <w:fldChar w:fldCharType="separate"/>
      </w:r>
      <w:r>
        <w:rPr>
          <w:rFonts w:ascii="Times New Roman" w:hAnsi="Times New Roman"/>
          <w:i w:val="0"/>
          <w:sz w:val="24"/>
          <w:szCs w:val="24"/>
        </w:rPr>
        <w:t>39</w:t>
      </w:r>
      <w:r>
        <w:rPr>
          <w:rFonts w:ascii="Times New Roman" w:hAnsi="Times New Roman"/>
          <w:i w:val="0"/>
          <w:sz w:val="24"/>
          <w:szCs w:val="24"/>
        </w:rPr>
        <w:fldChar w:fldCharType="end"/>
      </w:r>
      <w:r>
        <w:rPr>
          <w:rFonts w:ascii="Times New Roman" w:hAnsi="Times New Roman"/>
          <w:i w:val="0"/>
          <w:sz w:val="24"/>
          <w:szCs w:val="24"/>
        </w:rPr>
        <w:fldChar w:fldCharType="end"/>
      </w:r>
    </w:p>
    <w:p w14:paraId="19429C10">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"_Toc508642453" </w:instrText>
      </w:r>
      <w:r>
        <w:fldChar w:fldCharType="separate"/>
      </w:r>
      <w:r>
        <w:rPr>
          <w:rStyle w:val="64"/>
          <w:rFonts w:ascii="Times New Roman" w:hAnsi="Times New Roman"/>
          <w:i w:val="0"/>
          <w:sz w:val="24"/>
          <w:szCs w:val="24"/>
          <w:lang w:bidi="en-US"/>
        </w:rPr>
        <w:t>3.2.4水文情势变化分析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_Toc508642453 \h </w:instrText>
      </w:r>
      <w:r>
        <w:rPr>
          <w:rFonts w:ascii="Times New Roman" w:hAnsi="Times New Roman"/>
          <w:i w:val="0"/>
          <w:sz w:val="24"/>
          <w:szCs w:val="24"/>
        </w:rPr>
        <w:fldChar w:fldCharType="separate"/>
      </w:r>
      <w:r>
        <w:rPr>
          <w:rFonts w:ascii="Times New Roman" w:hAnsi="Times New Roman"/>
          <w:i w:val="0"/>
          <w:sz w:val="24"/>
          <w:szCs w:val="24"/>
        </w:rPr>
        <w:t>39</w:t>
      </w:r>
      <w:r>
        <w:rPr>
          <w:rFonts w:ascii="Times New Roman" w:hAnsi="Times New Roman"/>
          <w:i w:val="0"/>
          <w:sz w:val="24"/>
          <w:szCs w:val="24"/>
        </w:rPr>
        <w:fldChar w:fldCharType="end"/>
      </w:r>
      <w:r>
        <w:rPr>
          <w:rFonts w:ascii="Times New Roman" w:hAnsi="Times New Roman"/>
          <w:i w:val="0"/>
          <w:sz w:val="24"/>
          <w:szCs w:val="24"/>
        </w:rPr>
        <w:fldChar w:fldCharType="end"/>
      </w:r>
    </w:p>
    <w:p w14:paraId="71A7CF53">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"_Toc508642454" </w:instrText>
      </w:r>
      <w:r>
        <w:fldChar w:fldCharType="separate"/>
      </w:r>
      <w:r>
        <w:rPr>
          <w:rStyle w:val="64"/>
          <w:rFonts w:ascii="Times New Roman" w:hAnsi="Times New Roman"/>
          <w:i w:val="0"/>
          <w:sz w:val="24"/>
          <w:szCs w:val="24"/>
          <w:lang w:bidi="en-US"/>
        </w:rPr>
        <w:t>3.2.5运营期污染物排放情况</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_Toc508642454 \h </w:instrText>
      </w:r>
      <w:r>
        <w:rPr>
          <w:rFonts w:ascii="Times New Roman" w:hAnsi="Times New Roman"/>
          <w:i w:val="0"/>
          <w:sz w:val="24"/>
          <w:szCs w:val="24"/>
        </w:rPr>
        <w:fldChar w:fldCharType="separate"/>
      </w:r>
      <w:r>
        <w:rPr>
          <w:rFonts w:ascii="Times New Roman" w:hAnsi="Times New Roman"/>
          <w:i w:val="0"/>
          <w:sz w:val="24"/>
          <w:szCs w:val="24"/>
        </w:rPr>
        <w:t>40</w:t>
      </w:r>
      <w:r>
        <w:rPr>
          <w:rFonts w:ascii="Times New Roman" w:hAnsi="Times New Roman"/>
          <w:i w:val="0"/>
          <w:sz w:val="24"/>
          <w:szCs w:val="24"/>
        </w:rPr>
        <w:fldChar w:fldCharType="end"/>
      </w:r>
      <w:r>
        <w:rPr>
          <w:rFonts w:ascii="Times New Roman" w:hAnsi="Times New Roman"/>
          <w:i w:val="0"/>
          <w:sz w:val="24"/>
          <w:szCs w:val="24"/>
        </w:rPr>
        <w:fldChar w:fldCharType="end"/>
      </w:r>
    </w:p>
    <w:p w14:paraId="16962799">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"_Toc508642455" </w:instrText>
      </w:r>
      <w:r>
        <w:fldChar w:fldCharType="separate"/>
      </w:r>
      <w:r>
        <w:rPr>
          <w:rStyle w:val="64"/>
          <w:rFonts w:ascii="Times New Roman" w:hAnsi="Times New Roman"/>
          <w:snapToGrid w:val="0"/>
          <w:sz w:val="24"/>
          <w:szCs w:val="24"/>
        </w:rPr>
        <w:t>3.3拟建项目污染源汇总情况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_Toc508642455 \h </w:instrText>
      </w:r>
      <w:r>
        <w:rPr>
          <w:rFonts w:ascii="Times New Roman" w:hAnsi="Times New Roman"/>
          <w:sz w:val="24"/>
          <w:szCs w:val="24"/>
        </w:rPr>
        <w:fldChar w:fldCharType="separate"/>
      </w:r>
      <w:r>
        <w:rPr>
          <w:rFonts w:ascii="Times New Roman" w:hAnsi="Times New Roman"/>
          <w:sz w:val="24"/>
          <w:szCs w:val="24"/>
        </w:rPr>
        <w:t>41</w:t>
      </w:r>
      <w:r>
        <w:rPr>
          <w:rFonts w:ascii="Times New Roman" w:hAnsi="Times New Roman"/>
          <w:sz w:val="24"/>
          <w:szCs w:val="24"/>
        </w:rPr>
        <w:fldChar w:fldCharType="end"/>
      </w:r>
      <w:r>
        <w:rPr>
          <w:rFonts w:ascii="Times New Roman" w:hAnsi="Times New Roman"/>
          <w:sz w:val="24"/>
          <w:szCs w:val="24"/>
        </w:rPr>
        <w:fldChar w:fldCharType="end"/>
      </w:r>
    </w:p>
    <w:p w14:paraId="7468FB8E">
      <w:pPr>
        <w:pStyle w:val="38"/>
        <w:tabs>
          <w:tab w:val="right" w:leader="dot" w:pos="8720"/>
        </w:tabs>
        <w:spacing w:line="276" w:lineRule="auto"/>
        <w:ind w:firstLine="0" w:firstLineChars="0"/>
        <w:rPr>
          <w:rFonts w:ascii="Times New Roman" w:hAnsi="Times New Roman" w:eastAsiaTheme="minorEastAsia"/>
          <w:b w:val="0"/>
          <w:bCs w:val="0"/>
          <w:caps w:val="0"/>
          <w:sz w:val="24"/>
          <w:szCs w:val="24"/>
        </w:rPr>
      </w:pPr>
      <w:r>
        <w:fldChar w:fldCharType="begin"/>
      </w:r>
      <w:r>
        <w:instrText xml:space="preserve"> HYPERLINK \l "_Toc508642456" </w:instrText>
      </w:r>
      <w:r>
        <w:fldChar w:fldCharType="separate"/>
      </w:r>
      <w:r>
        <w:rPr>
          <w:rStyle w:val="64"/>
          <w:rFonts w:ascii="Times New Roman" w:hAnsi="Times New Roman"/>
          <w:sz w:val="24"/>
          <w:szCs w:val="24"/>
        </w:rPr>
        <w:t>4区域环境概况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_Toc508642456 \h </w:instrText>
      </w:r>
      <w:r>
        <w:rPr>
          <w:rFonts w:ascii="Times New Roman" w:hAnsi="Times New Roman"/>
          <w:sz w:val="24"/>
          <w:szCs w:val="24"/>
        </w:rPr>
        <w:fldChar w:fldCharType="separate"/>
      </w:r>
      <w:r>
        <w:rPr>
          <w:rFonts w:ascii="Times New Roman" w:hAnsi="Times New Roman"/>
          <w:sz w:val="24"/>
          <w:szCs w:val="24"/>
        </w:rPr>
        <w:t>42</w:t>
      </w:r>
      <w:r>
        <w:rPr>
          <w:rFonts w:ascii="Times New Roman" w:hAnsi="Times New Roman"/>
          <w:sz w:val="24"/>
          <w:szCs w:val="24"/>
        </w:rPr>
        <w:fldChar w:fldCharType="end"/>
      </w:r>
      <w:r>
        <w:rPr>
          <w:rFonts w:ascii="Times New Roman" w:hAnsi="Times New Roman"/>
          <w:sz w:val="24"/>
          <w:szCs w:val="24"/>
        </w:rPr>
        <w:fldChar w:fldCharType="end"/>
      </w:r>
    </w:p>
    <w:p w14:paraId="120F4905">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"_Toc508642457" </w:instrText>
      </w:r>
      <w:r>
        <w:fldChar w:fldCharType="separate"/>
      </w:r>
      <w:r>
        <w:rPr>
          <w:rStyle w:val="64"/>
          <w:rFonts w:ascii="Times New Roman" w:hAnsi="Times New Roman"/>
          <w:sz w:val="24"/>
          <w:szCs w:val="24"/>
        </w:rPr>
        <w:t>4.1自然环境概况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_Toc508642457 \h </w:instrText>
      </w:r>
      <w:r>
        <w:rPr>
          <w:rFonts w:ascii="Times New Roman" w:hAnsi="Times New Roman"/>
          <w:sz w:val="24"/>
          <w:szCs w:val="24"/>
        </w:rPr>
        <w:fldChar w:fldCharType="separate"/>
      </w:r>
      <w:r>
        <w:rPr>
          <w:rFonts w:ascii="Times New Roman" w:hAnsi="Times New Roman"/>
          <w:sz w:val="24"/>
          <w:szCs w:val="24"/>
        </w:rPr>
        <w:t>42</w:t>
      </w:r>
      <w:r>
        <w:rPr>
          <w:rFonts w:ascii="Times New Roman" w:hAnsi="Times New Roman"/>
          <w:sz w:val="24"/>
          <w:szCs w:val="24"/>
        </w:rPr>
        <w:fldChar w:fldCharType="end"/>
      </w:r>
      <w:r>
        <w:rPr>
          <w:rFonts w:ascii="Times New Roman" w:hAnsi="Times New Roman"/>
          <w:sz w:val="24"/>
          <w:szCs w:val="24"/>
        </w:rPr>
        <w:fldChar w:fldCharType="end"/>
      </w:r>
    </w:p>
    <w:p w14:paraId="5ECEA44C">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"_Toc508642458" </w:instrText>
      </w:r>
      <w:r>
        <w:fldChar w:fldCharType="separate"/>
      </w:r>
      <w:r>
        <w:rPr>
          <w:rStyle w:val="64"/>
          <w:rFonts w:ascii="Times New Roman" w:hAnsi="Times New Roman"/>
          <w:i w:val="0"/>
          <w:sz w:val="24"/>
          <w:szCs w:val="24"/>
          <w:lang w:bidi="en-US"/>
        </w:rPr>
        <w:t>4.1.1地形地貌</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_Toc508642458 \h </w:instrText>
      </w:r>
      <w:r>
        <w:rPr>
          <w:rFonts w:ascii="Times New Roman" w:hAnsi="Times New Roman"/>
          <w:i w:val="0"/>
          <w:sz w:val="24"/>
          <w:szCs w:val="24"/>
        </w:rPr>
        <w:fldChar w:fldCharType="separate"/>
      </w:r>
      <w:r>
        <w:rPr>
          <w:rFonts w:ascii="Times New Roman" w:hAnsi="Times New Roman"/>
          <w:i w:val="0"/>
          <w:sz w:val="24"/>
          <w:szCs w:val="24"/>
        </w:rPr>
        <w:t>42</w:t>
      </w:r>
      <w:r>
        <w:rPr>
          <w:rFonts w:ascii="Times New Roman" w:hAnsi="Times New Roman"/>
          <w:i w:val="0"/>
          <w:sz w:val="24"/>
          <w:szCs w:val="24"/>
        </w:rPr>
        <w:fldChar w:fldCharType="end"/>
      </w:r>
      <w:r>
        <w:rPr>
          <w:rFonts w:ascii="Times New Roman" w:hAnsi="Times New Roman"/>
          <w:i w:val="0"/>
          <w:sz w:val="24"/>
          <w:szCs w:val="24"/>
        </w:rPr>
        <w:fldChar w:fldCharType="end"/>
      </w:r>
    </w:p>
    <w:p w14:paraId="26A1D92D">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"_Toc508642459" </w:instrText>
      </w:r>
      <w:r>
        <w:fldChar w:fldCharType="separate"/>
      </w:r>
      <w:r>
        <w:rPr>
          <w:rStyle w:val="64"/>
          <w:rFonts w:ascii="Times New Roman" w:hAnsi="Times New Roman"/>
          <w:i w:val="0"/>
          <w:sz w:val="24"/>
          <w:szCs w:val="24"/>
          <w:lang w:bidi="en-US"/>
        </w:rPr>
        <w:t>4.1.2气候与气象</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_Toc508642459 \h </w:instrText>
      </w:r>
      <w:r>
        <w:rPr>
          <w:rFonts w:ascii="Times New Roman" w:hAnsi="Times New Roman"/>
          <w:i w:val="0"/>
          <w:sz w:val="24"/>
          <w:szCs w:val="24"/>
        </w:rPr>
        <w:fldChar w:fldCharType="separate"/>
      </w:r>
      <w:r>
        <w:rPr>
          <w:rFonts w:ascii="Times New Roman" w:hAnsi="Times New Roman"/>
          <w:i w:val="0"/>
          <w:sz w:val="24"/>
          <w:szCs w:val="24"/>
        </w:rPr>
        <w:t>42</w:t>
      </w:r>
      <w:r>
        <w:rPr>
          <w:rFonts w:ascii="Times New Roman" w:hAnsi="Times New Roman"/>
          <w:i w:val="0"/>
          <w:sz w:val="24"/>
          <w:szCs w:val="24"/>
        </w:rPr>
        <w:fldChar w:fldCharType="end"/>
      </w:r>
      <w:r>
        <w:rPr>
          <w:rFonts w:ascii="Times New Roman" w:hAnsi="Times New Roman"/>
          <w:i w:val="0"/>
          <w:sz w:val="24"/>
          <w:szCs w:val="24"/>
        </w:rPr>
        <w:fldChar w:fldCharType="end"/>
      </w:r>
    </w:p>
    <w:p w14:paraId="104ED564">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"_Toc508642460" </w:instrText>
      </w:r>
      <w:r>
        <w:fldChar w:fldCharType="separate"/>
      </w:r>
      <w:r>
        <w:rPr>
          <w:rStyle w:val="64"/>
          <w:rFonts w:ascii="Times New Roman" w:hAnsi="Times New Roman"/>
          <w:i w:val="0"/>
          <w:sz w:val="24"/>
          <w:szCs w:val="24"/>
          <w:lang w:bidi="en-US"/>
        </w:rPr>
        <w:t>4.1.3地质</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_Toc508642460 \h </w:instrText>
      </w:r>
      <w:r>
        <w:rPr>
          <w:rFonts w:ascii="Times New Roman" w:hAnsi="Times New Roman"/>
          <w:i w:val="0"/>
          <w:sz w:val="24"/>
          <w:szCs w:val="24"/>
        </w:rPr>
        <w:fldChar w:fldCharType="separate"/>
      </w:r>
      <w:r>
        <w:rPr>
          <w:rFonts w:ascii="Times New Roman" w:hAnsi="Times New Roman"/>
          <w:i w:val="0"/>
          <w:sz w:val="24"/>
          <w:szCs w:val="24"/>
        </w:rPr>
        <w:t>43</w:t>
      </w:r>
      <w:r>
        <w:rPr>
          <w:rFonts w:ascii="Times New Roman" w:hAnsi="Times New Roman"/>
          <w:i w:val="0"/>
          <w:sz w:val="24"/>
          <w:szCs w:val="24"/>
        </w:rPr>
        <w:fldChar w:fldCharType="end"/>
      </w:r>
      <w:r>
        <w:rPr>
          <w:rFonts w:ascii="Times New Roman" w:hAnsi="Times New Roman"/>
          <w:i w:val="0"/>
          <w:sz w:val="24"/>
          <w:szCs w:val="24"/>
        </w:rPr>
        <w:fldChar w:fldCharType="end"/>
      </w:r>
    </w:p>
    <w:p w14:paraId="3B7B7D05">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"_Toc508642461" </w:instrText>
      </w:r>
      <w:r>
        <w:fldChar w:fldCharType="separate"/>
      </w:r>
      <w:r>
        <w:rPr>
          <w:rStyle w:val="64"/>
          <w:rFonts w:ascii="Times New Roman" w:hAnsi="Times New Roman"/>
          <w:i w:val="0"/>
          <w:sz w:val="24"/>
          <w:szCs w:val="24"/>
          <w:lang w:bidi="en-US"/>
        </w:rPr>
        <w:t>4.1.4水文水系</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_Toc508642461 \h </w:instrText>
      </w:r>
      <w:r>
        <w:rPr>
          <w:rFonts w:ascii="Times New Roman" w:hAnsi="Times New Roman"/>
          <w:i w:val="0"/>
          <w:sz w:val="24"/>
          <w:szCs w:val="24"/>
        </w:rPr>
        <w:fldChar w:fldCharType="separate"/>
      </w:r>
      <w:r>
        <w:rPr>
          <w:rFonts w:ascii="Times New Roman" w:hAnsi="Times New Roman"/>
          <w:i w:val="0"/>
          <w:sz w:val="24"/>
          <w:szCs w:val="24"/>
        </w:rPr>
        <w:t>44</w:t>
      </w:r>
      <w:r>
        <w:rPr>
          <w:rFonts w:ascii="Times New Roman" w:hAnsi="Times New Roman"/>
          <w:i w:val="0"/>
          <w:sz w:val="24"/>
          <w:szCs w:val="24"/>
        </w:rPr>
        <w:fldChar w:fldCharType="end"/>
      </w:r>
      <w:r>
        <w:rPr>
          <w:rFonts w:ascii="Times New Roman" w:hAnsi="Times New Roman"/>
          <w:i w:val="0"/>
          <w:sz w:val="24"/>
          <w:szCs w:val="24"/>
        </w:rPr>
        <w:fldChar w:fldCharType="end"/>
      </w:r>
    </w:p>
    <w:p w14:paraId="1A841983">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"_Toc508642462" </w:instrText>
      </w:r>
      <w:r>
        <w:fldChar w:fldCharType="separate"/>
      </w:r>
      <w:r>
        <w:rPr>
          <w:rStyle w:val="64"/>
          <w:rFonts w:ascii="Times New Roman" w:hAnsi="Times New Roman"/>
          <w:i w:val="0"/>
          <w:sz w:val="24"/>
          <w:szCs w:val="24"/>
          <w:lang w:bidi="en-US"/>
        </w:rPr>
        <w:t>4.1.5水资源利用现状</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_Toc508642462 \h </w:instrText>
      </w:r>
      <w:r>
        <w:rPr>
          <w:rFonts w:ascii="Times New Roman" w:hAnsi="Times New Roman"/>
          <w:i w:val="0"/>
          <w:sz w:val="24"/>
          <w:szCs w:val="24"/>
        </w:rPr>
        <w:fldChar w:fldCharType="separate"/>
      </w:r>
      <w:r>
        <w:rPr>
          <w:rFonts w:ascii="Times New Roman" w:hAnsi="Times New Roman"/>
          <w:i w:val="0"/>
          <w:sz w:val="24"/>
          <w:szCs w:val="24"/>
        </w:rPr>
        <w:t>44</w:t>
      </w:r>
      <w:r>
        <w:rPr>
          <w:rFonts w:ascii="Times New Roman" w:hAnsi="Times New Roman"/>
          <w:i w:val="0"/>
          <w:sz w:val="24"/>
          <w:szCs w:val="24"/>
        </w:rPr>
        <w:fldChar w:fldCharType="end"/>
      </w:r>
      <w:r>
        <w:rPr>
          <w:rFonts w:ascii="Times New Roman" w:hAnsi="Times New Roman"/>
          <w:i w:val="0"/>
          <w:sz w:val="24"/>
          <w:szCs w:val="24"/>
        </w:rPr>
        <w:fldChar w:fldCharType="end"/>
      </w:r>
    </w:p>
    <w:p w14:paraId="34B86705">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"_Toc508642463" </w:instrText>
      </w:r>
      <w:r>
        <w:fldChar w:fldCharType="separate"/>
      </w:r>
      <w:r>
        <w:rPr>
          <w:rStyle w:val="64"/>
          <w:rFonts w:ascii="Times New Roman" w:hAnsi="Times New Roman"/>
          <w:i w:val="0"/>
          <w:sz w:val="24"/>
          <w:szCs w:val="24"/>
          <w:lang w:bidi="en-US"/>
        </w:rPr>
        <w:t>4.1.6地下水</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_Toc508642463 \h </w:instrText>
      </w:r>
      <w:r>
        <w:rPr>
          <w:rFonts w:ascii="Times New Roman" w:hAnsi="Times New Roman"/>
          <w:i w:val="0"/>
          <w:sz w:val="24"/>
          <w:szCs w:val="24"/>
        </w:rPr>
        <w:fldChar w:fldCharType="separate"/>
      </w:r>
      <w:r>
        <w:rPr>
          <w:rFonts w:ascii="Times New Roman" w:hAnsi="Times New Roman"/>
          <w:i w:val="0"/>
          <w:sz w:val="24"/>
          <w:szCs w:val="24"/>
        </w:rPr>
        <w:t>44</w:t>
      </w:r>
      <w:r>
        <w:rPr>
          <w:rFonts w:ascii="Times New Roman" w:hAnsi="Times New Roman"/>
          <w:i w:val="0"/>
          <w:sz w:val="24"/>
          <w:szCs w:val="24"/>
        </w:rPr>
        <w:fldChar w:fldCharType="end"/>
      </w:r>
      <w:r>
        <w:rPr>
          <w:rFonts w:ascii="Times New Roman" w:hAnsi="Times New Roman"/>
          <w:i w:val="0"/>
          <w:sz w:val="24"/>
          <w:szCs w:val="24"/>
        </w:rPr>
        <w:fldChar w:fldCharType="end"/>
      </w:r>
    </w:p>
    <w:p w14:paraId="6446619F">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"_Toc508642464" </w:instrText>
      </w:r>
      <w:r>
        <w:fldChar w:fldCharType="separate"/>
      </w:r>
      <w:r>
        <w:rPr>
          <w:rStyle w:val="64"/>
          <w:rFonts w:ascii="Times New Roman" w:hAnsi="Times New Roman"/>
          <w:i w:val="0"/>
          <w:sz w:val="24"/>
          <w:szCs w:val="24"/>
          <w:lang w:bidi="en-US"/>
        </w:rPr>
        <w:t>4.1.7土壤</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_Toc508642464 \h </w:instrText>
      </w:r>
      <w:r>
        <w:rPr>
          <w:rFonts w:ascii="Times New Roman" w:hAnsi="Times New Roman"/>
          <w:i w:val="0"/>
          <w:sz w:val="24"/>
          <w:szCs w:val="24"/>
        </w:rPr>
        <w:fldChar w:fldCharType="separate"/>
      </w:r>
      <w:r>
        <w:rPr>
          <w:rFonts w:ascii="Times New Roman" w:hAnsi="Times New Roman"/>
          <w:i w:val="0"/>
          <w:sz w:val="24"/>
          <w:szCs w:val="24"/>
        </w:rPr>
        <w:t>46</w:t>
      </w:r>
      <w:r>
        <w:rPr>
          <w:rFonts w:ascii="Times New Roman" w:hAnsi="Times New Roman"/>
          <w:i w:val="0"/>
          <w:sz w:val="24"/>
          <w:szCs w:val="24"/>
        </w:rPr>
        <w:fldChar w:fldCharType="end"/>
      </w:r>
      <w:r>
        <w:rPr>
          <w:rFonts w:ascii="Times New Roman" w:hAnsi="Times New Roman"/>
          <w:i w:val="0"/>
          <w:sz w:val="24"/>
          <w:szCs w:val="24"/>
        </w:rPr>
        <w:fldChar w:fldCharType="end"/>
      </w:r>
    </w:p>
    <w:p w14:paraId="0732BFD1">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"_Toc508642465" </w:instrText>
      </w:r>
      <w:r>
        <w:fldChar w:fldCharType="separate"/>
      </w:r>
      <w:r>
        <w:rPr>
          <w:rStyle w:val="64"/>
          <w:rFonts w:ascii="Times New Roman" w:hAnsi="Times New Roman"/>
          <w:i w:val="0"/>
          <w:sz w:val="24"/>
          <w:szCs w:val="24"/>
          <w:lang w:bidi="en-US"/>
        </w:rPr>
        <w:t>4.1.8植被</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_Toc508642465 \h </w:instrText>
      </w:r>
      <w:r>
        <w:rPr>
          <w:rFonts w:ascii="Times New Roman" w:hAnsi="Times New Roman"/>
          <w:i w:val="0"/>
          <w:sz w:val="24"/>
          <w:szCs w:val="24"/>
        </w:rPr>
        <w:fldChar w:fldCharType="separate"/>
      </w:r>
      <w:r>
        <w:rPr>
          <w:rFonts w:ascii="Times New Roman" w:hAnsi="Times New Roman"/>
          <w:i w:val="0"/>
          <w:sz w:val="24"/>
          <w:szCs w:val="24"/>
        </w:rPr>
        <w:t>46</w:t>
      </w:r>
      <w:r>
        <w:rPr>
          <w:rFonts w:ascii="Times New Roman" w:hAnsi="Times New Roman"/>
          <w:i w:val="0"/>
          <w:sz w:val="24"/>
          <w:szCs w:val="24"/>
        </w:rPr>
        <w:fldChar w:fldCharType="end"/>
      </w:r>
      <w:r>
        <w:rPr>
          <w:rFonts w:ascii="Times New Roman" w:hAnsi="Times New Roman"/>
          <w:i w:val="0"/>
          <w:sz w:val="24"/>
          <w:szCs w:val="24"/>
        </w:rPr>
        <w:fldChar w:fldCharType="end"/>
      </w:r>
    </w:p>
    <w:p w14:paraId="4AE1578E">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"_Toc508642466" </w:instrText>
      </w:r>
      <w:r>
        <w:fldChar w:fldCharType="separate"/>
      </w:r>
      <w:r>
        <w:rPr>
          <w:rStyle w:val="64"/>
          <w:rFonts w:ascii="Times New Roman" w:hAnsi="Times New Roman"/>
          <w:sz w:val="24"/>
          <w:szCs w:val="24"/>
        </w:rPr>
        <w:t>4.2评价区存在的主要环境问题</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_Toc508642466 \h </w:instrText>
      </w:r>
      <w:r>
        <w:rPr>
          <w:rFonts w:ascii="Times New Roman" w:hAnsi="Times New Roman"/>
          <w:sz w:val="24"/>
          <w:szCs w:val="24"/>
        </w:rPr>
        <w:fldChar w:fldCharType="separate"/>
      </w:r>
      <w:r>
        <w:rPr>
          <w:rFonts w:ascii="Times New Roman" w:hAnsi="Times New Roman"/>
          <w:sz w:val="24"/>
          <w:szCs w:val="24"/>
        </w:rPr>
        <w:t>46</w:t>
      </w:r>
      <w:r>
        <w:rPr>
          <w:rFonts w:ascii="Times New Roman" w:hAnsi="Times New Roman"/>
          <w:sz w:val="24"/>
          <w:szCs w:val="24"/>
        </w:rPr>
        <w:fldChar w:fldCharType="end"/>
      </w:r>
      <w:r>
        <w:rPr>
          <w:rFonts w:ascii="Times New Roman" w:hAnsi="Times New Roman"/>
          <w:sz w:val="24"/>
          <w:szCs w:val="24"/>
        </w:rPr>
        <w:fldChar w:fldCharType="end"/>
      </w:r>
    </w:p>
    <w:p w14:paraId="047D36ED">
      <w:pPr>
        <w:pStyle w:val="38"/>
        <w:tabs>
          <w:tab w:val="right" w:leader="dot" w:pos="8720"/>
        </w:tabs>
        <w:spacing w:line="276" w:lineRule="auto"/>
        <w:ind w:firstLine="0" w:firstLineChars="0"/>
        <w:rPr>
          <w:rFonts w:ascii="Times New Roman" w:hAnsi="Times New Roman" w:eastAsiaTheme="minorEastAsia"/>
          <w:b w:val="0"/>
          <w:bCs w:val="0"/>
          <w:caps w:val="0"/>
          <w:sz w:val="24"/>
          <w:szCs w:val="24"/>
        </w:rPr>
      </w:pPr>
      <w:r>
        <w:fldChar w:fldCharType="begin"/>
      </w:r>
      <w:r>
        <w:instrText xml:space="preserve"> HYPERLINK \l "_Toc508642467" </w:instrText>
      </w:r>
      <w:r>
        <w:fldChar w:fldCharType="separate"/>
      </w:r>
      <w:r>
        <w:rPr>
          <w:rStyle w:val="64"/>
          <w:rFonts w:ascii="Times New Roman" w:hAnsi="Times New Roman"/>
          <w:sz w:val="24"/>
          <w:szCs w:val="24"/>
        </w:rPr>
        <w:t>5评价区环境质量现状调查与评价</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_Toc508642467 \h </w:instrText>
      </w:r>
      <w:r>
        <w:rPr>
          <w:rFonts w:ascii="Times New Roman" w:hAnsi="Times New Roman"/>
          <w:sz w:val="24"/>
          <w:szCs w:val="24"/>
        </w:rPr>
        <w:fldChar w:fldCharType="separate"/>
      </w:r>
      <w:r>
        <w:rPr>
          <w:rFonts w:ascii="Times New Roman" w:hAnsi="Times New Roman"/>
          <w:sz w:val="24"/>
          <w:szCs w:val="24"/>
        </w:rPr>
        <w:t>47</w:t>
      </w:r>
      <w:r>
        <w:rPr>
          <w:rFonts w:ascii="Times New Roman" w:hAnsi="Times New Roman"/>
          <w:sz w:val="24"/>
          <w:szCs w:val="24"/>
        </w:rPr>
        <w:fldChar w:fldCharType="end"/>
      </w:r>
      <w:r>
        <w:rPr>
          <w:rFonts w:ascii="Times New Roman" w:hAnsi="Times New Roman"/>
          <w:sz w:val="24"/>
          <w:szCs w:val="24"/>
        </w:rPr>
        <w:fldChar w:fldCharType="end"/>
      </w:r>
    </w:p>
    <w:p w14:paraId="5103C13E">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"_Toc508642468" </w:instrText>
      </w:r>
      <w:r>
        <w:fldChar w:fldCharType="separate"/>
      </w:r>
      <w:r>
        <w:rPr>
          <w:rStyle w:val="64"/>
          <w:rFonts w:ascii="Times New Roman" w:hAnsi="Times New Roman"/>
          <w:sz w:val="24"/>
          <w:szCs w:val="24"/>
        </w:rPr>
        <w:t>5.1生态环境现状</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_Toc508642468 \h </w:instrText>
      </w:r>
      <w:r>
        <w:rPr>
          <w:rFonts w:ascii="Times New Roman" w:hAnsi="Times New Roman"/>
          <w:sz w:val="24"/>
          <w:szCs w:val="24"/>
        </w:rPr>
        <w:fldChar w:fldCharType="separate"/>
      </w:r>
      <w:r>
        <w:rPr>
          <w:rFonts w:ascii="Times New Roman" w:hAnsi="Times New Roman"/>
          <w:sz w:val="24"/>
          <w:szCs w:val="24"/>
        </w:rPr>
        <w:t>47</w:t>
      </w:r>
      <w:r>
        <w:rPr>
          <w:rFonts w:ascii="Times New Roman" w:hAnsi="Times New Roman"/>
          <w:sz w:val="24"/>
          <w:szCs w:val="24"/>
        </w:rPr>
        <w:fldChar w:fldCharType="end"/>
      </w:r>
      <w:r>
        <w:rPr>
          <w:rFonts w:ascii="Times New Roman" w:hAnsi="Times New Roman"/>
          <w:sz w:val="24"/>
          <w:szCs w:val="24"/>
        </w:rPr>
        <w:fldChar w:fldCharType="end"/>
      </w:r>
    </w:p>
    <w:p w14:paraId="2746D0A9">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"_Toc508642469" </w:instrText>
      </w:r>
      <w:r>
        <w:fldChar w:fldCharType="separate"/>
      </w:r>
      <w:r>
        <w:rPr>
          <w:rStyle w:val="64"/>
          <w:rFonts w:ascii="Times New Roman" w:hAnsi="Times New Roman"/>
          <w:i w:val="0"/>
          <w:sz w:val="24"/>
          <w:szCs w:val="24"/>
          <w:lang w:bidi="en-US"/>
        </w:rPr>
        <w:t>5.1.1景观生态</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_Toc508642469 \h </w:instrText>
      </w:r>
      <w:r>
        <w:rPr>
          <w:rFonts w:ascii="Times New Roman" w:hAnsi="Times New Roman"/>
          <w:i w:val="0"/>
          <w:sz w:val="24"/>
          <w:szCs w:val="24"/>
        </w:rPr>
        <w:fldChar w:fldCharType="separate"/>
      </w:r>
      <w:r>
        <w:rPr>
          <w:rFonts w:ascii="Times New Roman" w:hAnsi="Times New Roman"/>
          <w:i w:val="0"/>
          <w:sz w:val="24"/>
          <w:szCs w:val="24"/>
        </w:rPr>
        <w:t>47</w:t>
      </w:r>
      <w:r>
        <w:rPr>
          <w:rFonts w:ascii="Times New Roman" w:hAnsi="Times New Roman"/>
          <w:i w:val="0"/>
          <w:sz w:val="24"/>
          <w:szCs w:val="24"/>
        </w:rPr>
        <w:fldChar w:fldCharType="end"/>
      </w:r>
      <w:r>
        <w:rPr>
          <w:rFonts w:ascii="Times New Roman" w:hAnsi="Times New Roman"/>
          <w:i w:val="0"/>
          <w:sz w:val="24"/>
          <w:szCs w:val="24"/>
        </w:rPr>
        <w:fldChar w:fldCharType="end"/>
      </w:r>
    </w:p>
    <w:p w14:paraId="13FFC4B0">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"_Toc508642470" </w:instrText>
      </w:r>
      <w:r>
        <w:fldChar w:fldCharType="separate"/>
      </w:r>
      <w:r>
        <w:rPr>
          <w:rStyle w:val="64"/>
          <w:rFonts w:ascii="Times New Roman" w:hAnsi="Times New Roman"/>
          <w:i w:val="0"/>
          <w:sz w:val="24"/>
          <w:szCs w:val="24"/>
          <w:lang w:bidi="en-US"/>
        </w:rPr>
        <w:t>5.1.2植被及主要植物现状调查与评价</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_Toc508642470 \h </w:instrText>
      </w:r>
      <w:r>
        <w:rPr>
          <w:rFonts w:ascii="Times New Roman" w:hAnsi="Times New Roman"/>
          <w:i w:val="0"/>
          <w:sz w:val="24"/>
          <w:szCs w:val="24"/>
        </w:rPr>
        <w:fldChar w:fldCharType="separate"/>
      </w:r>
      <w:r>
        <w:rPr>
          <w:rFonts w:ascii="Times New Roman" w:hAnsi="Times New Roman"/>
          <w:i w:val="0"/>
          <w:sz w:val="24"/>
          <w:szCs w:val="24"/>
        </w:rPr>
        <w:t>47</w:t>
      </w:r>
      <w:r>
        <w:rPr>
          <w:rFonts w:ascii="Times New Roman" w:hAnsi="Times New Roman"/>
          <w:i w:val="0"/>
          <w:sz w:val="24"/>
          <w:szCs w:val="24"/>
        </w:rPr>
        <w:fldChar w:fldCharType="end"/>
      </w:r>
      <w:r>
        <w:rPr>
          <w:rFonts w:ascii="Times New Roman" w:hAnsi="Times New Roman"/>
          <w:i w:val="0"/>
          <w:sz w:val="24"/>
          <w:szCs w:val="24"/>
        </w:rPr>
        <w:fldChar w:fldCharType="end"/>
      </w:r>
    </w:p>
    <w:p w14:paraId="78F391CA">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"_Toc508642471" </w:instrText>
      </w:r>
      <w:r>
        <w:fldChar w:fldCharType="separate"/>
      </w:r>
      <w:r>
        <w:rPr>
          <w:rStyle w:val="64"/>
          <w:rFonts w:ascii="Times New Roman" w:hAnsi="Times New Roman"/>
          <w:i w:val="0"/>
          <w:sz w:val="24"/>
          <w:szCs w:val="24"/>
          <w:lang w:bidi="en-US"/>
        </w:rPr>
        <w:t>5.1.3野生动物及其生境现状调查</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_Toc508642471 \h </w:instrText>
      </w:r>
      <w:r>
        <w:rPr>
          <w:rFonts w:ascii="Times New Roman" w:hAnsi="Times New Roman"/>
          <w:i w:val="0"/>
          <w:sz w:val="24"/>
          <w:szCs w:val="24"/>
        </w:rPr>
        <w:fldChar w:fldCharType="separate"/>
      </w:r>
      <w:r>
        <w:rPr>
          <w:rFonts w:ascii="Times New Roman" w:hAnsi="Times New Roman"/>
          <w:i w:val="0"/>
          <w:sz w:val="24"/>
          <w:szCs w:val="24"/>
        </w:rPr>
        <w:t>54</w:t>
      </w:r>
      <w:r>
        <w:rPr>
          <w:rFonts w:ascii="Times New Roman" w:hAnsi="Times New Roman"/>
          <w:i w:val="0"/>
          <w:sz w:val="24"/>
          <w:szCs w:val="24"/>
        </w:rPr>
        <w:fldChar w:fldCharType="end"/>
      </w:r>
      <w:r>
        <w:rPr>
          <w:rFonts w:ascii="Times New Roman" w:hAnsi="Times New Roman"/>
          <w:i w:val="0"/>
          <w:sz w:val="24"/>
          <w:szCs w:val="24"/>
        </w:rPr>
        <w:fldChar w:fldCharType="end"/>
      </w:r>
    </w:p>
    <w:p w14:paraId="3BC20FDA">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"_Toc508642472" </w:instrText>
      </w:r>
      <w:r>
        <w:fldChar w:fldCharType="separate"/>
      </w:r>
      <w:r>
        <w:rPr>
          <w:rStyle w:val="64"/>
          <w:rFonts w:ascii="Times New Roman" w:hAnsi="Times New Roman"/>
          <w:i w:val="0"/>
          <w:sz w:val="24"/>
          <w:szCs w:val="24"/>
          <w:lang w:bidi="en-US"/>
        </w:rPr>
        <w:t>5.1.4生态环境问题</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_Toc508642472 \h </w:instrText>
      </w:r>
      <w:r>
        <w:rPr>
          <w:rFonts w:ascii="Times New Roman" w:hAnsi="Times New Roman"/>
          <w:i w:val="0"/>
          <w:sz w:val="24"/>
          <w:szCs w:val="24"/>
        </w:rPr>
        <w:fldChar w:fldCharType="separate"/>
      </w:r>
      <w:r>
        <w:rPr>
          <w:rFonts w:ascii="Times New Roman" w:hAnsi="Times New Roman"/>
          <w:i w:val="0"/>
          <w:sz w:val="24"/>
          <w:szCs w:val="24"/>
        </w:rPr>
        <w:t>61</w:t>
      </w:r>
      <w:r>
        <w:rPr>
          <w:rFonts w:ascii="Times New Roman" w:hAnsi="Times New Roman"/>
          <w:i w:val="0"/>
          <w:sz w:val="24"/>
          <w:szCs w:val="24"/>
        </w:rPr>
        <w:fldChar w:fldCharType="end"/>
      </w:r>
      <w:r>
        <w:rPr>
          <w:rFonts w:ascii="Times New Roman" w:hAnsi="Times New Roman"/>
          <w:i w:val="0"/>
          <w:sz w:val="24"/>
          <w:szCs w:val="24"/>
        </w:rPr>
        <w:fldChar w:fldCharType="end"/>
      </w:r>
    </w:p>
    <w:p w14:paraId="3C22A515">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"_Toc508642473" </w:instrText>
      </w:r>
      <w:r>
        <w:fldChar w:fldCharType="separate"/>
      </w:r>
      <w:r>
        <w:rPr>
          <w:rStyle w:val="64"/>
          <w:rFonts w:ascii="Times New Roman" w:hAnsi="Times New Roman"/>
          <w:sz w:val="24"/>
          <w:szCs w:val="24"/>
        </w:rPr>
        <w:t>5.2地表水环境现状</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_Toc508642473 \h </w:instrText>
      </w:r>
      <w:r>
        <w:rPr>
          <w:rFonts w:ascii="Times New Roman" w:hAnsi="Times New Roman"/>
          <w:sz w:val="24"/>
          <w:szCs w:val="24"/>
        </w:rPr>
        <w:fldChar w:fldCharType="separate"/>
      </w:r>
      <w:r>
        <w:rPr>
          <w:rFonts w:ascii="Times New Roman" w:hAnsi="Times New Roman"/>
          <w:sz w:val="24"/>
          <w:szCs w:val="24"/>
        </w:rPr>
        <w:t>61</w:t>
      </w:r>
      <w:r>
        <w:rPr>
          <w:rFonts w:ascii="Times New Roman" w:hAnsi="Times New Roman"/>
          <w:sz w:val="24"/>
          <w:szCs w:val="24"/>
        </w:rPr>
        <w:fldChar w:fldCharType="end"/>
      </w:r>
      <w:r>
        <w:rPr>
          <w:rFonts w:ascii="Times New Roman" w:hAnsi="Times New Roman"/>
          <w:sz w:val="24"/>
          <w:szCs w:val="24"/>
        </w:rPr>
        <w:fldChar w:fldCharType="end"/>
      </w:r>
    </w:p>
    <w:p w14:paraId="0B24DAA4">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"_Toc508642474" </w:instrText>
      </w:r>
      <w:r>
        <w:fldChar w:fldCharType="separate"/>
      </w:r>
      <w:r>
        <w:rPr>
          <w:rStyle w:val="64"/>
          <w:rFonts w:ascii="Times New Roman" w:hAnsi="Times New Roman"/>
          <w:sz w:val="24"/>
          <w:szCs w:val="24"/>
        </w:rPr>
        <w:t>5.3大气环境现状</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_Toc508642474 \h </w:instrText>
      </w:r>
      <w:r>
        <w:rPr>
          <w:rFonts w:ascii="Times New Roman" w:hAnsi="Times New Roman"/>
          <w:sz w:val="24"/>
          <w:szCs w:val="24"/>
        </w:rPr>
        <w:fldChar w:fldCharType="separate"/>
      </w:r>
      <w:r>
        <w:rPr>
          <w:rFonts w:ascii="Times New Roman" w:hAnsi="Times New Roman"/>
          <w:sz w:val="24"/>
          <w:szCs w:val="24"/>
        </w:rPr>
        <w:t>62</w:t>
      </w:r>
      <w:r>
        <w:rPr>
          <w:rFonts w:ascii="Times New Roman" w:hAnsi="Times New Roman"/>
          <w:sz w:val="24"/>
          <w:szCs w:val="24"/>
        </w:rPr>
        <w:fldChar w:fldCharType="end"/>
      </w:r>
      <w:r>
        <w:rPr>
          <w:rFonts w:ascii="Times New Roman" w:hAnsi="Times New Roman"/>
          <w:sz w:val="24"/>
          <w:szCs w:val="24"/>
        </w:rPr>
        <w:fldChar w:fldCharType="end"/>
      </w:r>
    </w:p>
    <w:p w14:paraId="3F450FBC">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"_Toc508642475" </w:instrText>
      </w:r>
      <w:r>
        <w:fldChar w:fldCharType="separate"/>
      </w:r>
      <w:r>
        <w:rPr>
          <w:rStyle w:val="64"/>
          <w:rFonts w:ascii="Times New Roman" w:hAnsi="Times New Roman"/>
          <w:sz w:val="24"/>
          <w:szCs w:val="24"/>
        </w:rPr>
        <w:t>5.4声环境现状</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_Toc508642475 \h </w:instrText>
      </w:r>
      <w:r>
        <w:rPr>
          <w:rFonts w:ascii="Times New Roman" w:hAnsi="Times New Roman"/>
          <w:sz w:val="24"/>
          <w:szCs w:val="24"/>
        </w:rPr>
        <w:fldChar w:fldCharType="separate"/>
      </w:r>
      <w:r>
        <w:rPr>
          <w:rFonts w:ascii="Times New Roman" w:hAnsi="Times New Roman"/>
          <w:sz w:val="24"/>
          <w:szCs w:val="24"/>
        </w:rPr>
        <w:t>62</w:t>
      </w:r>
      <w:r>
        <w:rPr>
          <w:rFonts w:ascii="Times New Roman" w:hAnsi="Times New Roman"/>
          <w:sz w:val="24"/>
          <w:szCs w:val="24"/>
        </w:rPr>
        <w:fldChar w:fldCharType="end"/>
      </w:r>
      <w:r>
        <w:rPr>
          <w:rFonts w:ascii="Times New Roman" w:hAnsi="Times New Roman"/>
          <w:sz w:val="24"/>
          <w:szCs w:val="24"/>
        </w:rPr>
        <w:fldChar w:fldCharType="end"/>
      </w:r>
    </w:p>
    <w:p w14:paraId="347C54DE">
      <w:pPr>
        <w:pStyle w:val="38"/>
        <w:tabs>
          <w:tab w:val="right" w:leader="dot" w:pos="8720"/>
        </w:tabs>
        <w:spacing w:line="276" w:lineRule="auto"/>
        <w:ind w:firstLine="0" w:firstLineChars="0"/>
        <w:rPr>
          <w:rFonts w:ascii="Times New Roman" w:hAnsi="Times New Roman" w:eastAsiaTheme="minorEastAsia"/>
          <w:b w:val="0"/>
          <w:bCs w:val="0"/>
          <w:caps w:val="0"/>
          <w:sz w:val="24"/>
          <w:szCs w:val="24"/>
        </w:rPr>
      </w:pPr>
      <w:r>
        <w:fldChar w:fldCharType="begin"/>
      </w:r>
      <w:r>
        <w:instrText xml:space="preserve"> HYPERLINK \l "_Toc508642476" </w:instrText>
      </w:r>
      <w:r>
        <w:fldChar w:fldCharType="separate"/>
      </w:r>
      <w:r>
        <w:rPr>
          <w:rStyle w:val="64"/>
          <w:rFonts w:ascii="Times New Roman" w:hAnsi="Times New Roman"/>
          <w:sz w:val="24"/>
          <w:szCs w:val="24"/>
        </w:rPr>
        <w:t>6环境影响预测分析与评价</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_Toc508642476 \h </w:instrText>
      </w:r>
      <w:r>
        <w:rPr>
          <w:rFonts w:ascii="Times New Roman" w:hAnsi="Times New Roman"/>
          <w:sz w:val="24"/>
          <w:szCs w:val="24"/>
        </w:rPr>
        <w:fldChar w:fldCharType="separate"/>
      </w:r>
      <w:r>
        <w:rPr>
          <w:rFonts w:ascii="Times New Roman" w:hAnsi="Times New Roman"/>
          <w:sz w:val="24"/>
          <w:szCs w:val="24"/>
        </w:rPr>
        <w:t>64</w:t>
      </w:r>
      <w:r>
        <w:rPr>
          <w:rFonts w:ascii="Times New Roman" w:hAnsi="Times New Roman"/>
          <w:sz w:val="24"/>
          <w:szCs w:val="24"/>
        </w:rPr>
        <w:fldChar w:fldCharType="end"/>
      </w:r>
      <w:r>
        <w:rPr>
          <w:rFonts w:ascii="Times New Roman" w:hAnsi="Times New Roman"/>
          <w:sz w:val="24"/>
          <w:szCs w:val="24"/>
        </w:rPr>
        <w:fldChar w:fldCharType="end"/>
      </w:r>
    </w:p>
    <w:p w14:paraId="2BFB58FD">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"_Toc508642477" </w:instrText>
      </w:r>
      <w:r>
        <w:fldChar w:fldCharType="separate"/>
      </w:r>
      <w:r>
        <w:rPr>
          <w:rStyle w:val="64"/>
          <w:rFonts w:ascii="Times New Roman" w:hAnsi="Times New Roman"/>
          <w:sz w:val="24"/>
          <w:szCs w:val="24"/>
        </w:rPr>
        <w:t>6.1生态环境</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_Toc508642477 \h </w:instrText>
      </w:r>
      <w:r>
        <w:rPr>
          <w:rFonts w:ascii="Times New Roman" w:hAnsi="Times New Roman"/>
          <w:sz w:val="24"/>
          <w:szCs w:val="24"/>
        </w:rPr>
        <w:fldChar w:fldCharType="separate"/>
      </w:r>
      <w:r>
        <w:rPr>
          <w:rFonts w:ascii="Times New Roman" w:hAnsi="Times New Roman"/>
          <w:sz w:val="24"/>
          <w:szCs w:val="24"/>
        </w:rPr>
        <w:t>64</w:t>
      </w:r>
      <w:r>
        <w:rPr>
          <w:rFonts w:ascii="Times New Roman" w:hAnsi="Times New Roman"/>
          <w:sz w:val="24"/>
          <w:szCs w:val="24"/>
        </w:rPr>
        <w:fldChar w:fldCharType="end"/>
      </w:r>
      <w:r>
        <w:rPr>
          <w:rFonts w:ascii="Times New Roman" w:hAnsi="Times New Roman"/>
          <w:sz w:val="24"/>
          <w:szCs w:val="24"/>
        </w:rPr>
        <w:fldChar w:fldCharType="end"/>
      </w:r>
    </w:p>
    <w:p w14:paraId="79B76AE7">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"_Toc508642478" </w:instrText>
      </w:r>
      <w:r>
        <w:fldChar w:fldCharType="separate"/>
      </w:r>
      <w:r>
        <w:rPr>
          <w:rStyle w:val="64"/>
          <w:rFonts w:ascii="Times New Roman" w:hAnsi="Times New Roman"/>
          <w:i w:val="0"/>
          <w:sz w:val="24"/>
          <w:szCs w:val="24"/>
          <w:lang w:bidi="en-US"/>
        </w:rPr>
        <w:t>6.1.1对土地利用的影响分析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_Toc508642478 \h </w:instrText>
      </w:r>
      <w:r>
        <w:rPr>
          <w:rFonts w:ascii="Times New Roman" w:hAnsi="Times New Roman"/>
          <w:i w:val="0"/>
          <w:sz w:val="24"/>
          <w:szCs w:val="24"/>
        </w:rPr>
        <w:fldChar w:fldCharType="separate"/>
      </w:r>
      <w:r>
        <w:rPr>
          <w:rFonts w:ascii="Times New Roman" w:hAnsi="Times New Roman"/>
          <w:i w:val="0"/>
          <w:sz w:val="24"/>
          <w:szCs w:val="24"/>
        </w:rPr>
        <w:t>64</w:t>
      </w:r>
      <w:r>
        <w:rPr>
          <w:rFonts w:ascii="Times New Roman" w:hAnsi="Times New Roman"/>
          <w:i w:val="0"/>
          <w:sz w:val="24"/>
          <w:szCs w:val="24"/>
        </w:rPr>
        <w:fldChar w:fldCharType="end"/>
      </w:r>
      <w:r>
        <w:rPr>
          <w:rFonts w:ascii="Times New Roman" w:hAnsi="Times New Roman"/>
          <w:i w:val="0"/>
          <w:sz w:val="24"/>
          <w:szCs w:val="24"/>
        </w:rPr>
        <w:fldChar w:fldCharType="end"/>
      </w:r>
    </w:p>
    <w:p w14:paraId="44AF8374">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"_Toc508642479" </w:instrText>
      </w:r>
      <w:r>
        <w:fldChar w:fldCharType="separate"/>
      </w:r>
      <w:r>
        <w:rPr>
          <w:rStyle w:val="64"/>
          <w:rFonts w:ascii="Times New Roman" w:hAnsi="Times New Roman"/>
          <w:i w:val="0"/>
          <w:sz w:val="24"/>
          <w:szCs w:val="24"/>
          <w:lang w:bidi="en-US"/>
        </w:rPr>
        <w:t>6.1.2对景观生态体系的影响分析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_Toc508642479 \h </w:instrText>
      </w:r>
      <w:r>
        <w:rPr>
          <w:rFonts w:ascii="Times New Roman" w:hAnsi="Times New Roman"/>
          <w:i w:val="0"/>
          <w:sz w:val="24"/>
          <w:szCs w:val="24"/>
        </w:rPr>
        <w:fldChar w:fldCharType="separate"/>
      </w:r>
      <w:r>
        <w:rPr>
          <w:rFonts w:ascii="Times New Roman" w:hAnsi="Times New Roman"/>
          <w:i w:val="0"/>
          <w:sz w:val="24"/>
          <w:szCs w:val="24"/>
        </w:rPr>
        <w:t>65</w:t>
      </w:r>
      <w:r>
        <w:rPr>
          <w:rFonts w:ascii="Times New Roman" w:hAnsi="Times New Roman"/>
          <w:i w:val="0"/>
          <w:sz w:val="24"/>
          <w:szCs w:val="24"/>
        </w:rPr>
        <w:fldChar w:fldCharType="end"/>
      </w:r>
      <w:r>
        <w:rPr>
          <w:rFonts w:ascii="Times New Roman" w:hAnsi="Times New Roman"/>
          <w:i w:val="0"/>
          <w:sz w:val="24"/>
          <w:szCs w:val="24"/>
        </w:rPr>
        <w:fldChar w:fldCharType="end"/>
      </w:r>
    </w:p>
    <w:p w14:paraId="237818F9">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"_Toc508642480" </w:instrText>
      </w:r>
      <w:r>
        <w:fldChar w:fldCharType="separate"/>
      </w:r>
      <w:r>
        <w:rPr>
          <w:rStyle w:val="64"/>
          <w:rFonts w:ascii="Times New Roman" w:hAnsi="Times New Roman"/>
          <w:i w:val="0"/>
          <w:sz w:val="24"/>
          <w:szCs w:val="24"/>
          <w:lang w:bidi="en-US"/>
        </w:rPr>
        <w:t>6.1.3对生态系统的影响分析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_Toc508642480 \h </w:instrText>
      </w:r>
      <w:r>
        <w:rPr>
          <w:rFonts w:ascii="Times New Roman" w:hAnsi="Times New Roman"/>
          <w:i w:val="0"/>
          <w:sz w:val="24"/>
          <w:szCs w:val="24"/>
        </w:rPr>
        <w:fldChar w:fldCharType="separate"/>
      </w:r>
      <w:r>
        <w:rPr>
          <w:rFonts w:ascii="Times New Roman" w:hAnsi="Times New Roman"/>
          <w:i w:val="0"/>
          <w:sz w:val="24"/>
          <w:szCs w:val="24"/>
        </w:rPr>
        <w:t>67</w:t>
      </w:r>
      <w:r>
        <w:rPr>
          <w:rFonts w:ascii="Times New Roman" w:hAnsi="Times New Roman"/>
          <w:i w:val="0"/>
          <w:sz w:val="24"/>
          <w:szCs w:val="24"/>
        </w:rPr>
        <w:fldChar w:fldCharType="end"/>
      </w:r>
      <w:r>
        <w:rPr>
          <w:rFonts w:ascii="Times New Roman" w:hAnsi="Times New Roman"/>
          <w:i w:val="0"/>
          <w:sz w:val="24"/>
          <w:szCs w:val="24"/>
        </w:rPr>
        <w:fldChar w:fldCharType="end"/>
      </w:r>
    </w:p>
    <w:p w14:paraId="57C0C8BA">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"_Toc508642481" </w:instrText>
      </w:r>
      <w:r>
        <w:fldChar w:fldCharType="separate"/>
      </w:r>
      <w:r>
        <w:rPr>
          <w:rStyle w:val="64"/>
          <w:rFonts w:ascii="Times New Roman" w:hAnsi="Times New Roman"/>
          <w:i w:val="0"/>
          <w:sz w:val="24"/>
          <w:szCs w:val="24"/>
          <w:lang w:bidi="en-US"/>
        </w:rPr>
        <w:t>6.1.4对植被的影响分析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_Toc508642481 \h </w:instrText>
      </w:r>
      <w:r>
        <w:rPr>
          <w:rFonts w:ascii="Times New Roman" w:hAnsi="Times New Roman"/>
          <w:i w:val="0"/>
          <w:sz w:val="24"/>
          <w:szCs w:val="24"/>
        </w:rPr>
        <w:fldChar w:fldCharType="separate"/>
      </w:r>
      <w:r>
        <w:rPr>
          <w:rFonts w:ascii="Times New Roman" w:hAnsi="Times New Roman"/>
          <w:i w:val="0"/>
          <w:sz w:val="24"/>
          <w:szCs w:val="24"/>
        </w:rPr>
        <w:t>68</w:t>
      </w:r>
      <w:r>
        <w:rPr>
          <w:rFonts w:ascii="Times New Roman" w:hAnsi="Times New Roman"/>
          <w:i w:val="0"/>
          <w:sz w:val="24"/>
          <w:szCs w:val="24"/>
        </w:rPr>
        <w:fldChar w:fldCharType="end"/>
      </w:r>
      <w:r>
        <w:rPr>
          <w:rFonts w:ascii="Times New Roman" w:hAnsi="Times New Roman"/>
          <w:i w:val="0"/>
          <w:sz w:val="24"/>
          <w:szCs w:val="24"/>
        </w:rPr>
        <w:fldChar w:fldCharType="end"/>
      </w:r>
    </w:p>
    <w:p w14:paraId="5E7F60B5">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"_Toc508642482" </w:instrText>
      </w:r>
      <w:r>
        <w:fldChar w:fldCharType="separate"/>
      </w:r>
      <w:r>
        <w:rPr>
          <w:rStyle w:val="64"/>
          <w:rFonts w:ascii="Times New Roman" w:hAnsi="Times New Roman"/>
          <w:i w:val="0"/>
          <w:sz w:val="24"/>
          <w:szCs w:val="24"/>
          <w:lang w:bidi="en-US"/>
        </w:rPr>
        <w:t>6.1.5对陆生植物资源的影响</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_Toc508642482 \h </w:instrText>
      </w:r>
      <w:r>
        <w:rPr>
          <w:rFonts w:ascii="Times New Roman" w:hAnsi="Times New Roman"/>
          <w:i w:val="0"/>
          <w:sz w:val="24"/>
          <w:szCs w:val="24"/>
        </w:rPr>
        <w:fldChar w:fldCharType="separate"/>
      </w:r>
      <w:r>
        <w:rPr>
          <w:rFonts w:ascii="Times New Roman" w:hAnsi="Times New Roman"/>
          <w:i w:val="0"/>
          <w:sz w:val="24"/>
          <w:szCs w:val="24"/>
        </w:rPr>
        <w:t>70</w:t>
      </w:r>
      <w:r>
        <w:rPr>
          <w:rFonts w:ascii="Times New Roman" w:hAnsi="Times New Roman"/>
          <w:i w:val="0"/>
          <w:sz w:val="24"/>
          <w:szCs w:val="24"/>
        </w:rPr>
        <w:fldChar w:fldCharType="end"/>
      </w:r>
      <w:r>
        <w:rPr>
          <w:rFonts w:ascii="Times New Roman" w:hAnsi="Times New Roman"/>
          <w:i w:val="0"/>
          <w:sz w:val="24"/>
          <w:szCs w:val="24"/>
        </w:rPr>
        <w:fldChar w:fldCharType="end"/>
      </w:r>
    </w:p>
    <w:p w14:paraId="36219B95">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"_Toc508642483" </w:instrText>
      </w:r>
      <w:r>
        <w:fldChar w:fldCharType="separate"/>
      </w:r>
      <w:r>
        <w:rPr>
          <w:rStyle w:val="64"/>
          <w:rFonts w:ascii="Times New Roman" w:hAnsi="Times New Roman"/>
          <w:i w:val="0"/>
          <w:sz w:val="24"/>
          <w:szCs w:val="24"/>
          <w:lang w:bidi="en-US"/>
        </w:rPr>
        <w:t>6.1.6对野生动物的影响</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_Toc508642483 \h </w:instrText>
      </w:r>
      <w:r>
        <w:rPr>
          <w:rFonts w:ascii="Times New Roman" w:hAnsi="Times New Roman"/>
          <w:i w:val="0"/>
          <w:sz w:val="24"/>
          <w:szCs w:val="24"/>
        </w:rPr>
        <w:fldChar w:fldCharType="separate"/>
      </w:r>
      <w:r>
        <w:rPr>
          <w:rFonts w:ascii="Times New Roman" w:hAnsi="Times New Roman"/>
          <w:i w:val="0"/>
          <w:sz w:val="24"/>
          <w:szCs w:val="24"/>
        </w:rPr>
        <w:t>71</w:t>
      </w:r>
      <w:r>
        <w:rPr>
          <w:rFonts w:ascii="Times New Roman" w:hAnsi="Times New Roman"/>
          <w:i w:val="0"/>
          <w:sz w:val="24"/>
          <w:szCs w:val="24"/>
        </w:rPr>
        <w:fldChar w:fldCharType="end"/>
      </w:r>
      <w:r>
        <w:rPr>
          <w:rFonts w:ascii="Times New Roman" w:hAnsi="Times New Roman"/>
          <w:i w:val="0"/>
          <w:sz w:val="24"/>
          <w:szCs w:val="24"/>
        </w:rPr>
        <w:fldChar w:fldCharType="end"/>
      </w:r>
    </w:p>
    <w:p w14:paraId="1974B435">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"_Toc508642484" </w:instrText>
      </w:r>
      <w:r>
        <w:fldChar w:fldCharType="separate"/>
      </w:r>
      <w:r>
        <w:rPr>
          <w:rStyle w:val="64"/>
          <w:rFonts w:ascii="Times New Roman" w:hAnsi="Times New Roman"/>
          <w:sz w:val="24"/>
          <w:szCs w:val="24"/>
        </w:rPr>
        <w:t>6.2水环境</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_Toc508642484 \h </w:instrText>
      </w:r>
      <w:r>
        <w:rPr>
          <w:rFonts w:ascii="Times New Roman" w:hAnsi="Times New Roman"/>
          <w:sz w:val="24"/>
          <w:szCs w:val="24"/>
        </w:rPr>
        <w:fldChar w:fldCharType="separate"/>
      </w:r>
      <w:r>
        <w:rPr>
          <w:rFonts w:ascii="Times New Roman" w:hAnsi="Times New Roman"/>
          <w:sz w:val="24"/>
          <w:szCs w:val="24"/>
        </w:rPr>
        <w:t>74</w:t>
      </w:r>
      <w:r>
        <w:rPr>
          <w:rFonts w:ascii="Times New Roman" w:hAnsi="Times New Roman"/>
          <w:sz w:val="24"/>
          <w:szCs w:val="24"/>
        </w:rPr>
        <w:fldChar w:fldCharType="end"/>
      </w:r>
      <w:r>
        <w:rPr>
          <w:rFonts w:ascii="Times New Roman" w:hAnsi="Times New Roman"/>
          <w:sz w:val="24"/>
          <w:szCs w:val="24"/>
        </w:rPr>
        <w:fldChar w:fldCharType="end"/>
      </w:r>
    </w:p>
    <w:p w14:paraId="0F895F2B">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"_Toc508642485" </w:instrText>
      </w:r>
      <w:r>
        <w:fldChar w:fldCharType="separate"/>
      </w:r>
      <w:r>
        <w:rPr>
          <w:rStyle w:val="64"/>
          <w:rFonts w:ascii="Times New Roman" w:hAnsi="Times New Roman"/>
          <w:i w:val="0"/>
          <w:sz w:val="24"/>
          <w:szCs w:val="24"/>
          <w:lang w:bidi="en-US"/>
        </w:rPr>
        <w:t>6.2.1施工期</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_Toc508642485 \h </w:instrText>
      </w:r>
      <w:r>
        <w:rPr>
          <w:rFonts w:ascii="Times New Roman" w:hAnsi="Times New Roman"/>
          <w:i w:val="0"/>
          <w:sz w:val="24"/>
          <w:szCs w:val="24"/>
        </w:rPr>
        <w:fldChar w:fldCharType="separate"/>
      </w:r>
      <w:r>
        <w:rPr>
          <w:rFonts w:ascii="Times New Roman" w:hAnsi="Times New Roman"/>
          <w:i w:val="0"/>
          <w:sz w:val="24"/>
          <w:szCs w:val="24"/>
        </w:rPr>
        <w:t>74</w:t>
      </w:r>
      <w:r>
        <w:rPr>
          <w:rFonts w:ascii="Times New Roman" w:hAnsi="Times New Roman"/>
          <w:i w:val="0"/>
          <w:sz w:val="24"/>
          <w:szCs w:val="24"/>
        </w:rPr>
        <w:fldChar w:fldCharType="end"/>
      </w:r>
      <w:r>
        <w:rPr>
          <w:rFonts w:ascii="Times New Roman" w:hAnsi="Times New Roman"/>
          <w:i w:val="0"/>
          <w:sz w:val="24"/>
          <w:szCs w:val="24"/>
        </w:rPr>
        <w:fldChar w:fldCharType="end"/>
      </w:r>
    </w:p>
    <w:p w14:paraId="121F31F9">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"_Toc508642486" </w:instrText>
      </w:r>
      <w:r>
        <w:fldChar w:fldCharType="separate"/>
      </w:r>
      <w:r>
        <w:rPr>
          <w:rStyle w:val="64"/>
          <w:rFonts w:ascii="Times New Roman" w:hAnsi="Times New Roman"/>
          <w:i w:val="0"/>
          <w:sz w:val="24"/>
          <w:szCs w:val="24"/>
          <w:lang w:bidi="en-US"/>
        </w:rPr>
        <w:t>6.2.2运行期</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_Toc508642486 \h </w:instrText>
      </w:r>
      <w:r>
        <w:rPr>
          <w:rFonts w:ascii="Times New Roman" w:hAnsi="Times New Roman"/>
          <w:i w:val="0"/>
          <w:sz w:val="24"/>
          <w:szCs w:val="24"/>
        </w:rPr>
        <w:fldChar w:fldCharType="separate"/>
      </w:r>
      <w:r>
        <w:rPr>
          <w:rFonts w:ascii="Times New Roman" w:hAnsi="Times New Roman"/>
          <w:i w:val="0"/>
          <w:sz w:val="24"/>
          <w:szCs w:val="24"/>
        </w:rPr>
        <w:t>75</w:t>
      </w:r>
      <w:r>
        <w:rPr>
          <w:rFonts w:ascii="Times New Roman" w:hAnsi="Times New Roman"/>
          <w:i w:val="0"/>
          <w:sz w:val="24"/>
          <w:szCs w:val="24"/>
        </w:rPr>
        <w:fldChar w:fldCharType="end"/>
      </w:r>
      <w:r>
        <w:rPr>
          <w:rFonts w:ascii="Times New Roman" w:hAnsi="Times New Roman"/>
          <w:i w:val="0"/>
          <w:sz w:val="24"/>
          <w:szCs w:val="24"/>
        </w:rPr>
        <w:fldChar w:fldCharType="end"/>
      </w:r>
    </w:p>
    <w:p w14:paraId="5E27CEEC">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"_Toc508642487" </w:instrText>
      </w:r>
      <w:r>
        <w:fldChar w:fldCharType="separate"/>
      </w:r>
      <w:r>
        <w:rPr>
          <w:rStyle w:val="64"/>
          <w:rFonts w:ascii="Times New Roman" w:hAnsi="Times New Roman"/>
          <w:i w:val="0"/>
          <w:sz w:val="24"/>
          <w:szCs w:val="24"/>
          <w:lang w:bidi="en-US"/>
        </w:rPr>
        <w:t>6.2.3地下水环境影响分析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_Toc508642487 \h </w:instrText>
      </w:r>
      <w:r>
        <w:rPr>
          <w:rFonts w:ascii="Times New Roman" w:hAnsi="Times New Roman"/>
          <w:i w:val="0"/>
          <w:sz w:val="24"/>
          <w:szCs w:val="24"/>
        </w:rPr>
        <w:fldChar w:fldCharType="separate"/>
      </w:r>
      <w:r>
        <w:rPr>
          <w:rFonts w:ascii="Times New Roman" w:hAnsi="Times New Roman"/>
          <w:i w:val="0"/>
          <w:sz w:val="24"/>
          <w:szCs w:val="24"/>
        </w:rPr>
        <w:t>84</w:t>
      </w:r>
      <w:r>
        <w:rPr>
          <w:rFonts w:ascii="Times New Roman" w:hAnsi="Times New Roman"/>
          <w:i w:val="0"/>
          <w:sz w:val="24"/>
          <w:szCs w:val="24"/>
        </w:rPr>
        <w:fldChar w:fldCharType="end"/>
      </w:r>
      <w:r>
        <w:rPr>
          <w:rFonts w:ascii="Times New Roman" w:hAnsi="Times New Roman"/>
          <w:i w:val="0"/>
          <w:sz w:val="24"/>
          <w:szCs w:val="24"/>
        </w:rPr>
        <w:fldChar w:fldCharType="end"/>
      </w:r>
    </w:p>
    <w:p w14:paraId="2B9D94A5">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"_Toc508642488" </w:instrText>
      </w:r>
      <w:r>
        <w:fldChar w:fldCharType="separate"/>
      </w:r>
      <w:r>
        <w:rPr>
          <w:rStyle w:val="64"/>
          <w:rFonts w:ascii="Times New Roman" w:hAnsi="Times New Roman"/>
          <w:sz w:val="24"/>
          <w:szCs w:val="24"/>
        </w:rPr>
        <w:t>6.3大气环境</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_Toc508642488 \h </w:instrText>
      </w:r>
      <w:r>
        <w:rPr>
          <w:rFonts w:ascii="Times New Roman" w:hAnsi="Times New Roman"/>
          <w:sz w:val="24"/>
          <w:szCs w:val="24"/>
        </w:rPr>
        <w:fldChar w:fldCharType="separate"/>
      </w:r>
      <w:r>
        <w:rPr>
          <w:rFonts w:ascii="Times New Roman" w:hAnsi="Times New Roman"/>
          <w:sz w:val="24"/>
          <w:szCs w:val="24"/>
        </w:rPr>
        <w:t>84</w:t>
      </w:r>
      <w:r>
        <w:rPr>
          <w:rFonts w:ascii="Times New Roman" w:hAnsi="Times New Roman"/>
          <w:sz w:val="24"/>
          <w:szCs w:val="24"/>
        </w:rPr>
        <w:fldChar w:fldCharType="end"/>
      </w:r>
      <w:r>
        <w:rPr>
          <w:rFonts w:ascii="Times New Roman" w:hAnsi="Times New Roman"/>
          <w:sz w:val="24"/>
          <w:szCs w:val="24"/>
        </w:rPr>
        <w:fldChar w:fldCharType="end"/>
      </w:r>
    </w:p>
    <w:p w14:paraId="202990EC">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"_Toc508642489" </w:instrText>
      </w:r>
      <w:r>
        <w:fldChar w:fldCharType="separate"/>
      </w:r>
      <w:r>
        <w:rPr>
          <w:rStyle w:val="64"/>
          <w:rFonts w:ascii="Times New Roman" w:hAnsi="Times New Roman"/>
          <w:i w:val="0"/>
          <w:sz w:val="24"/>
          <w:szCs w:val="24"/>
          <w:lang w:bidi="en-US"/>
        </w:rPr>
        <w:t>6.3.1施工期</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_Toc508642489 \h </w:instrText>
      </w:r>
      <w:r>
        <w:rPr>
          <w:rFonts w:ascii="Times New Roman" w:hAnsi="Times New Roman"/>
          <w:i w:val="0"/>
          <w:sz w:val="24"/>
          <w:szCs w:val="24"/>
        </w:rPr>
        <w:fldChar w:fldCharType="separate"/>
      </w:r>
      <w:r>
        <w:rPr>
          <w:rFonts w:ascii="Times New Roman" w:hAnsi="Times New Roman"/>
          <w:i w:val="0"/>
          <w:sz w:val="24"/>
          <w:szCs w:val="24"/>
        </w:rPr>
        <w:t>84</w:t>
      </w:r>
      <w:r>
        <w:rPr>
          <w:rFonts w:ascii="Times New Roman" w:hAnsi="Times New Roman"/>
          <w:i w:val="0"/>
          <w:sz w:val="24"/>
          <w:szCs w:val="24"/>
        </w:rPr>
        <w:fldChar w:fldCharType="end"/>
      </w:r>
      <w:r>
        <w:rPr>
          <w:rFonts w:ascii="Times New Roman" w:hAnsi="Times New Roman"/>
          <w:i w:val="0"/>
          <w:sz w:val="24"/>
          <w:szCs w:val="24"/>
        </w:rPr>
        <w:fldChar w:fldCharType="end"/>
      </w:r>
    </w:p>
    <w:p w14:paraId="75DDCF67">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"_Toc508642490" </w:instrText>
      </w:r>
      <w:r>
        <w:fldChar w:fldCharType="separate"/>
      </w:r>
      <w:r>
        <w:rPr>
          <w:rStyle w:val="64"/>
          <w:rFonts w:ascii="Times New Roman" w:hAnsi="Times New Roman"/>
          <w:i w:val="0"/>
          <w:sz w:val="24"/>
          <w:szCs w:val="24"/>
          <w:lang w:bidi="en-US"/>
        </w:rPr>
        <w:t>6.3.2运行期</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_Toc508642490 \h </w:instrText>
      </w:r>
      <w:r>
        <w:rPr>
          <w:rFonts w:ascii="Times New Roman" w:hAnsi="Times New Roman"/>
          <w:i w:val="0"/>
          <w:sz w:val="24"/>
          <w:szCs w:val="24"/>
        </w:rPr>
        <w:fldChar w:fldCharType="separate"/>
      </w:r>
      <w:r>
        <w:rPr>
          <w:rFonts w:ascii="Times New Roman" w:hAnsi="Times New Roman"/>
          <w:i w:val="0"/>
          <w:sz w:val="24"/>
          <w:szCs w:val="24"/>
        </w:rPr>
        <w:t>85</w:t>
      </w:r>
      <w:r>
        <w:rPr>
          <w:rFonts w:ascii="Times New Roman" w:hAnsi="Times New Roman"/>
          <w:i w:val="0"/>
          <w:sz w:val="24"/>
          <w:szCs w:val="24"/>
        </w:rPr>
        <w:fldChar w:fldCharType="end"/>
      </w:r>
      <w:r>
        <w:rPr>
          <w:rFonts w:ascii="Times New Roman" w:hAnsi="Times New Roman"/>
          <w:i w:val="0"/>
          <w:sz w:val="24"/>
          <w:szCs w:val="24"/>
        </w:rPr>
        <w:fldChar w:fldCharType="end"/>
      </w:r>
    </w:p>
    <w:p w14:paraId="1FF52099">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"_Toc508642491" </w:instrText>
      </w:r>
      <w:r>
        <w:fldChar w:fldCharType="separate"/>
      </w:r>
      <w:r>
        <w:rPr>
          <w:rStyle w:val="64"/>
          <w:rFonts w:ascii="Times New Roman" w:hAnsi="Times New Roman"/>
          <w:sz w:val="24"/>
          <w:szCs w:val="24"/>
        </w:rPr>
        <w:t>6.4声环境</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_Toc508642491 \h </w:instrText>
      </w:r>
      <w:r>
        <w:rPr>
          <w:rFonts w:ascii="Times New Roman" w:hAnsi="Times New Roman"/>
          <w:sz w:val="24"/>
          <w:szCs w:val="24"/>
        </w:rPr>
        <w:fldChar w:fldCharType="separate"/>
      </w:r>
      <w:r>
        <w:rPr>
          <w:rFonts w:ascii="Times New Roman" w:hAnsi="Times New Roman"/>
          <w:sz w:val="24"/>
          <w:szCs w:val="24"/>
        </w:rPr>
        <w:t>85</w:t>
      </w:r>
      <w:r>
        <w:rPr>
          <w:rFonts w:ascii="Times New Roman" w:hAnsi="Times New Roman"/>
          <w:sz w:val="24"/>
          <w:szCs w:val="24"/>
        </w:rPr>
        <w:fldChar w:fldCharType="end"/>
      </w:r>
      <w:r>
        <w:rPr>
          <w:rFonts w:ascii="Times New Roman" w:hAnsi="Times New Roman"/>
          <w:sz w:val="24"/>
          <w:szCs w:val="24"/>
        </w:rPr>
        <w:fldChar w:fldCharType="end"/>
      </w:r>
    </w:p>
    <w:p w14:paraId="72904B08">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"_Toc508642492" </w:instrText>
      </w:r>
      <w:r>
        <w:fldChar w:fldCharType="separate"/>
      </w:r>
      <w:r>
        <w:rPr>
          <w:rStyle w:val="64"/>
          <w:rFonts w:ascii="Times New Roman" w:hAnsi="Times New Roman"/>
          <w:i w:val="0"/>
          <w:sz w:val="24"/>
          <w:szCs w:val="24"/>
          <w:lang w:bidi="en-US"/>
        </w:rPr>
        <w:t>6.4.1施工期</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_Toc508642492 \h </w:instrText>
      </w:r>
      <w:r>
        <w:rPr>
          <w:rFonts w:ascii="Times New Roman" w:hAnsi="Times New Roman"/>
          <w:i w:val="0"/>
          <w:sz w:val="24"/>
          <w:szCs w:val="24"/>
        </w:rPr>
        <w:fldChar w:fldCharType="separate"/>
      </w:r>
      <w:r>
        <w:rPr>
          <w:rFonts w:ascii="Times New Roman" w:hAnsi="Times New Roman"/>
          <w:i w:val="0"/>
          <w:sz w:val="24"/>
          <w:szCs w:val="24"/>
        </w:rPr>
        <w:t>85</w:t>
      </w:r>
      <w:r>
        <w:rPr>
          <w:rFonts w:ascii="Times New Roman" w:hAnsi="Times New Roman"/>
          <w:i w:val="0"/>
          <w:sz w:val="24"/>
          <w:szCs w:val="24"/>
        </w:rPr>
        <w:fldChar w:fldCharType="end"/>
      </w:r>
      <w:r>
        <w:rPr>
          <w:rFonts w:ascii="Times New Roman" w:hAnsi="Times New Roman"/>
          <w:i w:val="0"/>
          <w:sz w:val="24"/>
          <w:szCs w:val="24"/>
        </w:rPr>
        <w:fldChar w:fldCharType="end"/>
      </w:r>
    </w:p>
    <w:p w14:paraId="0D858D06">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"_Toc508642493" </w:instrText>
      </w:r>
      <w:r>
        <w:fldChar w:fldCharType="separate"/>
      </w:r>
      <w:r>
        <w:rPr>
          <w:rStyle w:val="64"/>
          <w:rFonts w:ascii="Times New Roman" w:hAnsi="Times New Roman"/>
          <w:i w:val="0"/>
          <w:sz w:val="24"/>
          <w:szCs w:val="24"/>
          <w:lang w:bidi="en-US"/>
        </w:rPr>
        <w:t>6.4.2运行期</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_Toc508642493 \h </w:instrText>
      </w:r>
      <w:r>
        <w:rPr>
          <w:rFonts w:ascii="Times New Roman" w:hAnsi="Times New Roman"/>
          <w:i w:val="0"/>
          <w:sz w:val="24"/>
          <w:szCs w:val="24"/>
        </w:rPr>
        <w:fldChar w:fldCharType="separate"/>
      </w:r>
      <w:r>
        <w:rPr>
          <w:rFonts w:ascii="Times New Roman" w:hAnsi="Times New Roman"/>
          <w:i w:val="0"/>
          <w:sz w:val="24"/>
          <w:szCs w:val="24"/>
        </w:rPr>
        <w:t>87</w:t>
      </w:r>
      <w:r>
        <w:rPr>
          <w:rFonts w:ascii="Times New Roman" w:hAnsi="Times New Roman"/>
          <w:i w:val="0"/>
          <w:sz w:val="24"/>
          <w:szCs w:val="24"/>
        </w:rPr>
        <w:fldChar w:fldCharType="end"/>
      </w:r>
      <w:r>
        <w:rPr>
          <w:rFonts w:ascii="Times New Roman" w:hAnsi="Times New Roman"/>
          <w:i w:val="0"/>
          <w:sz w:val="24"/>
          <w:szCs w:val="24"/>
        </w:rPr>
        <w:fldChar w:fldCharType="end"/>
      </w:r>
    </w:p>
    <w:p w14:paraId="34E63A73">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"_Toc508642494" </w:instrText>
      </w:r>
      <w:r>
        <w:fldChar w:fldCharType="separate"/>
      </w:r>
      <w:r>
        <w:rPr>
          <w:rStyle w:val="64"/>
          <w:rFonts w:ascii="Times New Roman" w:hAnsi="Times New Roman"/>
          <w:sz w:val="24"/>
          <w:szCs w:val="24"/>
        </w:rPr>
        <w:t>6.5固体废物</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_Toc508642494 \h </w:instrText>
      </w:r>
      <w:r>
        <w:rPr>
          <w:rFonts w:ascii="Times New Roman" w:hAnsi="Times New Roman"/>
          <w:sz w:val="24"/>
          <w:szCs w:val="24"/>
        </w:rPr>
        <w:fldChar w:fldCharType="separate"/>
      </w:r>
      <w:r>
        <w:rPr>
          <w:rFonts w:ascii="Times New Roman" w:hAnsi="Times New Roman"/>
          <w:sz w:val="24"/>
          <w:szCs w:val="24"/>
        </w:rPr>
        <w:t>87</w:t>
      </w:r>
      <w:r>
        <w:rPr>
          <w:rFonts w:ascii="Times New Roman" w:hAnsi="Times New Roman"/>
          <w:sz w:val="24"/>
          <w:szCs w:val="24"/>
        </w:rPr>
        <w:fldChar w:fldCharType="end"/>
      </w:r>
      <w:r>
        <w:rPr>
          <w:rFonts w:ascii="Times New Roman" w:hAnsi="Times New Roman"/>
          <w:sz w:val="24"/>
          <w:szCs w:val="24"/>
        </w:rPr>
        <w:fldChar w:fldCharType="end"/>
      </w:r>
    </w:p>
    <w:p w14:paraId="5689BC42">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"_Toc508642495" </w:instrText>
      </w:r>
      <w:r>
        <w:fldChar w:fldCharType="separate"/>
      </w:r>
      <w:r>
        <w:rPr>
          <w:rStyle w:val="64"/>
          <w:rFonts w:ascii="Times New Roman" w:hAnsi="Times New Roman"/>
          <w:i w:val="0"/>
          <w:sz w:val="24"/>
          <w:szCs w:val="24"/>
          <w:lang w:bidi="en-US"/>
        </w:rPr>
        <w:t>6.5.1施工期</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_Toc508642495 \h </w:instrText>
      </w:r>
      <w:r>
        <w:rPr>
          <w:rFonts w:ascii="Times New Roman" w:hAnsi="Times New Roman"/>
          <w:i w:val="0"/>
          <w:sz w:val="24"/>
          <w:szCs w:val="24"/>
        </w:rPr>
        <w:fldChar w:fldCharType="separate"/>
      </w:r>
      <w:r>
        <w:rPr>
          <w:rFonts w:ascii="Times New Roman" w:hAnsi="Times New Roman"/>
          <w:i w:val="0"/>
          <w:sz w:val="24"/>
          <w:szCs w:val="24"/>
        </w:rPr>
        <w:t>87</w:t>
      </w:r>
      <w:r>
        <w:rPr>
          <w:rFonts w:ascii="Times New Roman" w:hAnsi="Times New Roman"/>
          <w:i w:val="0"/>
          <w:sz w:val="24"/>
          <w:szCs w:val="24"/>
        </w:rPr>
        <w:fldChar w:fldCharType="end"/>
      </w:r>
      <w:r>
        <w:rPr>
          <w:rFonts w:ascii="Times New Roman" w:hAnsi="Times New Roman"/>
          <w:i w:val="0"/>
          <w:sz w:val="24"/>
          <w:szCs w:val="24"/>
        </w:rPr>
        <w:fldChar w:fldCharType="end"/>
      </w:r>
    </w:p>
    <w:p w14:paraId="164BCB16">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"_Toc508642496" </w:instrText>
      </w:r>
      <w:r>
        <w:fldChar w:fldCharType="separate"/>
      </w:r>
      <w:r>
        <w:rPr>
          <w:rStyle w:val="64"/>
          <w:rFonts w:ascii="Times New Roman" w:hAnsi="Times New Roman"/>
          <w:i w:val="0"/>
          <w:sz w:val="24"/>
          <w:szCs w:val="24"/>
          <w:lang w:bidi="en-US"/>
        </w:rPr>
        <w:t>6.5.2运行期</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_Toc508642496 \h </w:instrText>
      </w:r>
      <w:r>
        <w:rPr>
          <w:rFonts w:ascii="Times New Roman" w:hAnsi="Times New Roman"/>
          <w:i w:val="0"/>
          <w:sz w:val="24"/>
          <w:szCs w:val="24"/>
        </w:rPr>
        <w:fldChar w:fldCharType="separate"/>
      </w:r>
      <w:r>
        <w:rPr>
          <w:rFonts w:ascii="Times New Roman" w:hAnsi="Times New Roman"/>
          <w:i w:val="0"/>
          <w:sz w:val="24"/>
          <w:szCs w:val="24"/>
        </w:rPr>
        <w:t>88</w:t>
      </w:r>
      <w:r>
        <w:rPr>
          <w:rFonts w:ascii="Times New Roman" w:hAnsi="Times New Roman"/>
          <w:i w:val="0"/>
          <w:sz w:val="24"/>
          <w:szCs w:val="24"/>
        </w:rPr>
        <w:fldChar w:fldCharType="end"/>
      </w:r>
      <w:r>
        <w:rPr>
          <w:rFonts w:ascii="Times New Roman" w:hAnsi="Times New Roman"/>
          <w:i w:val="0"/>
          <w:sz w:val="24"/>
          <w:szCs w:val="24"/>
        </w:rPr>
        <w:fldChar w:fldCharType="end"/>
      </w:r>
    </w:p>
    <w:p w14:paraId="7C5A63D3">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"_Toc508642497" </w:instrText>
      </w:r>
      <w:r>
        <w:fldChar w:fldCharType="separate"/>
      </w:r>
      <w:r>
        <w:rPr>
          <w:rStyle w:val="64"/>
          <w:rFonts w:ascii="Times New Roman" w:hAnsi="Times New Roman"/>
          <w:sz w:val="24"/>
          <w:szCs w:val="24"/>
        </w:rPr>
        <w:t>6.6项目建设对芒瑞大道、龙瑞高速的影响分析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_Toc508642497 \h </w:instrText>
      </w:r>
      <w:r>
        <w:rPr>
          <w:rFonts w:ascii="Times New Roman" w:hAnsi="Times New Roman"/>
          <w:sz w:val="24"/>
          <w:szCs w:val="24"/>
        </w:rPr>
        <w:fldChar w:fldCharType="separate"/>
      </w:r>
      <w:r>
        <w:rPr>
          <w:rFonts w:ascii="Times New Roman" w:hAnsi="Times New Roman"/>
          <w:sz w:val="24"/>
          <w:szCs w:val="24"/>
        </w:rPr>
        <w:t>88</w:t>
      </w:r>
      <w:r>
        <w:rPr>
          <w:rFonts w:ascii="Times New Roman" w:hAnsi="Times New Roman"/>
          <w:sz w:val="24"/>
          <w:szCs w:val="24"/>
        </w:rPr>
        <w:fldChar w:fldCharType="end"/>
      </w:r>
      <w:r>
        <w:rPr>
          <w:rFonts w:ascii="Times New Roman" w:hAnsi="Times New Roman"/>
          <w:sz w:val="24"/>
          <w:szCs w:val="24"/>
        </w:rPr>
        <w:fldChar w:fldCharType="end"/>
      </w:r>
    </w:p>
    <w:p w14:paraId="40AAE6DE">
      <w:pPr>
        <w:pStyle w:val="38"/>
        <w:tabs>
          <w:tab w:val="right" w:leader="dot" w:pos="8720"/>
        </w:tabs>
        <w:spacing w:line="276" w:lineRule="auto"/>
        <w:ind w:firstLine="0" w:firstLineChars="0"/>
        <w:rPr>
          <w:rFonts w:ascii="Times New Roman" w:hAnsi="Times New Roman" w:eastAsiaTheme="minorEastAsia"/>
          <w:b w:val="0"/>
          <w:bCs w:val="0"/>
          <w:caps w:val="0"/>
          <w:sz w:val="24"/>
          <w:szCs w:val="24"/>
        </w:rPr>
      </w:pPr>
      <w:r>
        <w:fldChar w:fldCharType="begin"/>
      </w:r>
      <w:r>
        <w:instrText xml:space="preserve"> HYPERLINK \l "_Toc508642498" </w:instrText>
      </w:r>
      <w:r>
        <w:fldChar w:fldCharType="separate"/>
      </w:r>
      <w:r>
        <w:rPr>
          <w:rStyle w:val="64"/>
          <w:rFonts w:ascii="Times New Roman" w:hAnsi="Times New Roman"/>
          <w:sz w:val="24"/>
          <w:szCs w:val="24"/>
        </w:rPr>
        <w:t>7环境风险分析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_Toc508642498 \h </w:instrText>
      </w:r>
      <w:r>
        <w:rPr>
          <w:rFonts w:ascii="Times New Roman" w:hAnsi="Times New Roman"/>
          <w:sz w:val="24"/>
          <w:szCs w:val="24"/>
        </w:rPr>
        <w:fldChar w:fldCharType="separate"/>
      </w:r>
      <w:r>
        <w:rPr>
          <w:rFonts w:ascii="Times New Roman" w:hAnsi="Times New Roman"/>
          <w:sz w:val="24"/>
          <w:szCs w:val="24"/>
        </w:rPr>
        <w:t>90</w:t>
      </w:r>
      <w:r>
        <w:rPr>
          <w:rFonts w:ascii="Times New Roman" w:hAnsi="Times New Roman"/>
          <w:sz w:val="24"/>
          <w:szCs w:val="24"/>
        </w:rPr>
        <w:fldChar w:fldCharType="end"/>
      </w:r>
      <w:r>
        <w:rPr>
          <w:rFonts w:ascii="Times New Roman" w:hAnsi="Times New Roman"/>
          <w:sz w:val="24"/>
          <w:szCs w:val="24"/>
        </w:rPr>
        <w:fldChar w:fldCharType="end"/>
      </w:r>
    </w:p>
    <w:p w14:paraId="6ED5984F">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"_Toc508642499" </w:instrText>
      </w:r>
      <w:r>
        <w:fldChar w:fldCharType="separate"/>
      </w:r>
      <w:r>
        <w:rPr>
          <w:rStyle w:val="64"/>
          <w:rFonts w:ascii="Times New Roman" w:hAnsi="Times New Roman"/>
          <w:sz w:val="24"/>
          <w:szCs w:val="24"/>
        </w:rPr>
        <w:t>7.1 评价目的</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_Toc508642499 \h </w:instrText>
      </w:r>
      <w:r>
        <w:rPr>
          <w:rFonts w:ascii="Times New Roman" w:hAnsi="Times New Roman"/>
          <w:sz w:val="24"/>
          <w:szCs w:val="24"/>
        </w:rPr>
        <w:fldChar w:fldCharType="separate"/>
      </w:r>
      <w:r>
        <w:rPr>
          <w:rFonts w:ascii="Times New Roman" w:hAnsi="Times New Roman"/>
          <w:sz w:val="24"/>
          <w:szCs w:val="24"/>
        </w:rPr>
        <w:t>90</w:t>
      </w:r>
      <w:r>
        <w:rPr>
          <w:rFonts w:ascii="Times New Roman" w:hAnsi="Times New Roman"/>
          <w:sz w:val="24"/>
          <w:szCs w:val="24"/>
        </w:rPr>
        <w:fldChar w:fldCharType="end"/>
      </w:r>
      <w:r>
        <w:rPr>
          <w:rFonts w:ascii="Times New Roman" w:hAnsi="Times New Roman"/>
          <w:sz w:val="24"/>
          <w:szCs w:val="24"/>
        </w:rPr>
        <w:fldChar w:fldCharType="end"/>
      </w:r>
    </w:p>
    <w:p w14:paraId="5FA836AC">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"_Toc508642500" </w:instrText>
      </w:r>
      <w:r>
        <w:fldChar w:fldCharType="separate"/>
      </w:r>
      <w:r>
        <w:rPr>
          <w:rStyle w:val="64"/>
          <w:rFonts w:ascii="Times New Roman" w:hAnsi="Times New Roman"/>
          <w:sz w:val="24"/>
          <w:szCs w:val="24"/>
        </w:rPr>
        <w:t>7.2 施工期</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_Toc508642500 \h </w:instrText>
      </w:r>
      <w:r>
        <w:rPr>
          <w:rFonts w:ascii="Times New Roman" w:hAnsi="Times New Roman"/>
          <w:sz w:val="24"/>
          <w:szCs w:val="24"/>
        </w:rPr>
        <w:fldChar w:fldCharType="separate"/>
      </w:r>
      <w:r>
        <w:rPr>
          <w:rFonts w:ascii="Times New Roman" w:hAnsi="Times New Roman"/>
          <w:sz w:val="24"/>
          <w:szCs w:val="24"/>
        </w:rPr>
        <w:t>90</w:t>
      </w:r>
      <w:r>
        <w:rPr>
          <w:rFonts w:ascii="Times New Roman" w:hAnsi="Times New Roman"/>
          <w:sz w:val="24"/>
          <w:szCs w:val="24"/>
        </w:rPr>
        <w:fldChar w:fldCharType="end"/>
      </w:r>
      <w:r>
        <w:rPr>
          <w:rFonts w:ascii="Times New Roman" w:hAnsi="Times New Roman"/>
          <w:sz w:val="24"/>
          <w:szCs w:val="24"/>
        </w:rPr>
        <w:fldChar w:fldCharType="end"/>
      </w:r>
    </w:p>
    <w:p w14:paraId="76882AD4">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"_Toc508642501" </w:instrText>
      </w:r>
      <w:r>
        <w:fldChar w:fldCharType="separate"/>
      </w:r>
      <w:r>
        <w:rPr>
          <w:rStyle w:val="64"/>
          <w:rFonts w:ascii="Times New Roman" w:hAnsi="Times New Roman"/>
          <w:i w:val="0"/>
          <w:sz w:val="24"/>
          <w:szCs w:val="24"/>
          <w:lang w:bidi="en-US"/>
        </w:rPr>
        <w:t>7.2.1交通运输对河流水质的污染风险分析及应急措施</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_Toc508642501 \h </w:instrText>
      </w:r>
      <w:r>
        <w:rPr>
          <w:rFonts w:ascii="Times New Roman" w:hAnsi="Times New Roman"/>
          <w:i w:val="0"/>
          <w:sz w:val="24"/>
          <w:szCs w:val="24"/>
        </w:rPr>
        <w:fldChar w:fldCharType="separate"/>
      </w:r>
      <w:r>
        <w:rPr>
          <w:rFonts w:ascii="Times New Roman" w:hAnsi="Times New Roman"/>
          <w:i w:val="0"/>
          <w:sz w:val="24"/>
          <w:szCs w:val="24"/>
        </w:rPr>
        <w:t>90</w:t>
      </w:r>
      <w:r>
        <w:rPr>
          <w:rFonts w:ascii="Times New Roman" w:hAnsi="Times New Roman"/>
          <w:i w:val="0"/>
          <w:sz w:val="24"/>
          <w:szCs w:val="24"/>
        </w:rPr>
        <w:fldChar w:fldCharType="end"/>
      </w:r>
      <w:r>
        <w:rPr>
          <w:rFonts w:ascii="Times New Roman" w:hAnsi="Times New Roman"/>
          <w:i w:val="0"/>
          <w:sz w:val="24"/>
          <w:szCs w:val="24"/>
        </w:rPr>
        <w:fldChar w:fldCharType="end"/>
      </w:r>
    </w:p>
    <w:p w14:paraId="201A8468">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"_Toc508642502" </w:instrText>
      </w:r>
      <w:r>
        <w:fldChar w:fldCharType="separate"/>
      </w:r>
      <w:r>
        <w:rPr>
          <w:rStyle w:val="64"/>
          <w:rFonts w:ascii="Times New Roman" w:hAnsi="Times New Roman"/>
          <w:i w:val="0"/>
          <w:sz w:val="24"/>
          <w:szCs w:val="24"/>
          <w:lang w:bidi="en-US"/>
        </w:rPr>
        <w:t>7.2.2 森林火灾风险分析及应急措施</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_Toc508642502 \h </w:instrText>
      </w:r>
      <w:r>
        <w:rPr>
          <w:rFonts w:ascii="Times New Roman" w:hAnsi="Times New Roman"/>
          <w:i w:val="0"/>
          <w:sz w:val="24"/>
          <w:szCs w:val="24"/>
        </w:rPr>
        <w:fldChar w:fldCharType="separate"/>
      </w:r>
      <w:r>
        <w:rPr>
          <w:rFonts w:ascii="Times New Roman" w:hAnsi="Times New Roman"/>
          <w:i w:val="0"/>
          <w:sz w:val="24"/>
          <w:szCs w:val="24"/>
        </w:rPr>
        <w:t>90</w:t>
      </w:r>
      <w:r>
        <w:rPr>
          <w:rFonts w:ascii="Times New Roman" w:hAnsi="Times New Roman"/>
          <w:i w:val="0"/>
          <w:sz w:val="24"/>
          <w:szCs w:val="24"/>
        </w:rPr>
        <w:fldChar w:fldCharType="end"/>
      </w:r>
      <w:r>
        <w:rPr>
          <w:rFonts w:ascii="Times New Roman" w:hAnsi="Times New Roman"/>
          <w:i w:val="0"/>
          <w:sz w:val="24"/>
          <w:szCs w:val="24"/>
        </w:rPr>
        <w:fldChar w:fldCharType="end"/>
      </w:r>
    </w:p>
    <w:p w14:paraId="7D4EC9F9">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"_Toc508642503" </w:instrText>
      </w:r>
      <w:r>
        <w:fldChar w:fldCharType="separate"/>
      </w:r>
      <w:r>
        <w:rPr>
          <w:rStyle w:val="64"/>
          <w:rFonts w:ascii="Times New Roman" w:hAnsi="Times New Roman"/>
          <w:sz w:val="24"/>
          <w:szCs w:val="24"/>
        </w:rPr>
        <w:t>7.3 运行期</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_Toc508642503 \h </w:instrText>
      </w:r>
      <w:r>
        <w:rPr>
          <w:rFonts w:ascii="Times New Roman" w:hAnsi="Times New Roman"/>
          <w:sz w:val="24"/>
          <w:szCs w:val="24"/>
        </w:rPr>
        <w:fldChar w:fldCharType="separate"/>
      </w:r>
      <w:r>
        <w:rPr>
          <w:rFonts w:ascii="Times New Roman" w:hAnsi="Times New Roman"/>
          <w:sz w:val="24"/>
          <w:szCs w:val="24"/>
        </w:rPr>
        <w:t>90</w:t>
      </w:r>
      <w:r>
        <w:rPr>
          <w:rFonts w:ascii="Times New Roman" w:hAnsi="Times New Roman"/>
          <w:sz w:val="24"/>
          <w:szCs w:val="24"/>
        </w:rPr>
        <w:fldChar w:fldCharType="end"/>
      </w:r>
      <w:r>
        <w:rPr>
          <w:rFonts w:ascii="Times New Roman" w:hAnsi="Times New Roman"/>
          <w:sz w:val="24"/>
          <w:szCs w:val="24"/>
        </w:rPr>
        <w:fldChar w:fldCharType="end"/>
      </w:r>
    </w:p>
    <w:p w14:paraId="5772B8FC">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"_Toc508642504" </w:instrText>
      </w:r>
      <w:r>
        <w:fldChar w:fldCharType="separate"/>
      </w:r>
      <w:r>
        <w:rPr>
          <w:rStyle w:val="64"/>
          <w:rFonts w:ascii="Times New Roman" w:hAnsi="Times New Roman"/>
          <w:i w:val="0"/>
          <w:sz w:val="24"/>
          <w:szCs w:val="24"/>
          <w:lang w:bidi="en-US"/>
        </w:rPr>
        <w:t>7.3.1厂区环境风险分析及应急措施</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_Toc508642504 \h </w:instrText>
      </w:r>
      <w:r>
        <w:rPr>
          <w:rFonts w:ascii="Times New Roman" w:hAnsi="Times New Roman"/>
          <w:i w:val="0"/>
          <w:sz w:val="24"/>
          <w:szCs w:val="24"/>
        </w:rPr>
        <w:fldChar w:fldCharType="separate"/>
      </w:r>
      <w:r>
        <w:rPr>
          <w:rFonts w:ascii="Times New Roman" w:hAnsi="Times New Roman"/>
          <w:i w:val="0"/>
          <w:sz w:val="24"/>
          <w:szCs w:val="24"/>
        </w:rPr>
        <w:t>90</w:t>
      </w:r>
      <w:r>
        <w:rPr>
          <w:rFonts w:ascii="Times New Roman" w:hAnsi="Times New Roman"/>
          <w:i w:val="0"/>
          <w:sz w:val="24"/>
          <w:szCs w:val="24"/>
        </w:rPr>
        <w:fldChar w:fldCharType="end"/>
      </w:r>
      <w:r>
        <w:rPr>
          <w:rFonts w:ascii="Times New Roman" w:hAnsi="Times New Roman"/>
          <w:i w:val="0"/>
          <w:sz w:val="24"/>
          <w:szCs w:val="24"/>
        </w:rPr>
        <w:fldChar w:fldCharType="end"/>
      </w:r>
    </w:p>
    <w:p w14:paraId="1ADFB1E7">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"_Toc508642505" </w:instrText>
      </w:r>
      <w:r>
        <w:fldChar w:fldCharType="separate"/>
      </w:r>
      <w:r>
        <w:rPr>
          <w:rStyle w:val="64"/>
          <w:rFonts w:ascii="Times New Roman" w:hAnsi="Times New Roman"/>
          <w:i w:val="0"/>
          <w:sz w:val="24"/>
          <w:szCs w:val="24"/>
          <w:lang w:bidi="en-US"/>
        </w:rPr>
        <w:t>7.3.2生态风险分析及应急措施</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_Toc508642505 \h </w:instrText>
      </w:r>
      <w:r>
        <w:rPr>
          <w:rFonts w:ascii="Times New Roman" w:hAnsi="Times New Roman"/>
          <w:i w:val="0"/>
          <w:sz w:val="24"/>
          <w:szCs w:val="24"/>
        </w:rPr>
        <w:fldChar w:fldCharType="separate"/>
      </w:r>
      <w:r>
        <w:rPr>
          <w:rFonts w:ascii="Times New Roman" w:hAnsi="Times New Roman"/>
          <w:i w:val="0"/>
          <w:sz w:val="24"/>
          <w:szCs w:val="24"/>
        </w:rPr>
        <w:t>90</w:t>
      </w:r>
      <w:r>
        <w:rPr>
          <w:rFonts w:ascii="Times New Roman" w:hAnsi="Times New Roman"/>
          <w:i w:val="0"/>
          <w:sz w:val="24"/>
          <w:szCs w:val="24"/>
        </w:rPr>
        <w:fldChar w:fldCharType="end"/>
      </w:r>
      <w:r>
        <w:rPr>
          <w:rFonts w:ascii="Times New Roman" w:hAnsi="Times New Roman"/>
          <w:i w:val="0"/>
          <w:sz w:val="24"/>
          <w:szCs w:val="24"/>
        </w:rPr>
        <w:fldChar w:fldCharType="end"/>
      </w:r>
    </w:p>
    <w:p w14:paraId="581B462C">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"_Toc508642506" </w:instrText>
      </w:r>
      <w:r>
        <w:fldChar w:fldCharType="separate"/>
      </w:r>
      <w:r>
        <w:rPr>
          <w:rStyle w:val="64"/>
          <w:rFonts w:ascii="Times New Roman" w:hAnsi="Times New Roman"/>
          <w:sz w:val="24"/>
          <w:szCs w:val="24"/>
        </w:rPr>
        <w:t>7.4 环境风险应急</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_Toc508642506 \h </w:instrText>
      </w:r>
      <w:r>
        <w:rPr>
          <w:rFonts w:ascii="Times New Roman" w:hAnsi="Times New Roman"/>
          <w:sz w:val="24"/>
          <w:szCs w:val="24"/>
        </w:rPr>
        <w:fldChar w:fldCharType="separate"/>
      </w:r>
      <w:r>
        <w:rPr>
          <w:rFonts w:ascii="Times New Roman" w:hAnsi="Times New Roman"/>
          <w:sz w:val="24"/>
          <w:szCs w:val="24"/>
        </w:rPr>
        <w:t>91</w:t>
      </w:r>
      <w:r>
        <w:rPr>
          <w:rFonts w:ascii="Times New Roman" w:hAnsi="Times New Roman"/>
          <w:sz w:val="24"/>
          <w:szCs w:val="24"/>
        </w:rPr>
        <w:fldChar w:fldCharType="end"/>
      </w:r>
      <w:r>
        <w:rPr>
          <w:rFonts w:ascii="Times New Roman" w:hAnsi="Times New Roman"/>
          <w:sz w:val="24"/>
          <w:szCs w:val="24"/>
        </w:rPr>
        <w:fldChar w:fldCharType="end"/>
      </w:r>
    </w:p>
    <w:p w14:paraId="3E4673B8">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"_Toc508642507" </w:instrText>
      </w:r>
      <w:r>
        <w:fldChar w:fldCharType="separate"/>
      </w:r>
      <w:r>
        <w:rPr>
          <w:rStyle w:val="64"/>
          <w:rFonts w:ascii="Times New Roman" w:hAnsi="Times New Roman"/>
          <w:sz w:val="24"/>
          <w:szCs w:val="24"/>
        </w:rPr>
        <w:t>7.5小结</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_Toc508642507 \h </w:instrText>
      </w:r>
      <w:r>
        <w:rPr>
          <w:rFonts w:ascii="Times New Roman" w:hAnsi="Times New Roman"/>
          <w:sz w:val="24"/>
          <w:szCs w:val="24"/>
        </w:rPr>
        <w:fldChar w:fldCharType="separate"/>
      </w:r>
      <w:r>
        <w:rPr>
          <w:rFonts w:ascii="Times New Roman" w:hAnsi="Times New Roman"/>
          <w:sz w:val="24"/>
          <w:szCs w:val="24"/>
        </w:rPr>
        <w:t>91</w:t>
      </w:r>
      <w:r>
        <w:rPr>
          <w:rFonts w:ascii="Times New Roman" w:hAnsi="Times New Roman"/>
          <w:sz w:val="24"/>
          <w:szCs w:val="24"/>
        </w:rPr>
        <w:fldChar w:fldCharType="end"/>
      </w:r>
      <w:r>
        <w:rPr>
          <w:rFonts w:ascii="Times New Roman" w:hAnsi="Times New Roman"/>
          <w:sz w:val="24"/>
          <w:szCs w:val="24"/>
        </w:rPr>
        <w:fldChar w:fldCharType="end"/>
      </w:r>
    </w:p>
    <w:p w14:paraId="0C66CDA3">
      <w:pPr>
        <w:pStyle w:val="38"/>
        <w:tabs>
          <w:tab w:val="right" w:leader="dot" w:pos="8720"/>
        </w:tabs>
        <w:spacing w:line="276" w:lineRule="auto"/>
        <w:ind w:firstLine="0" w:firstLineChars="0"/>
        <w:rPr>
          <w:rFonts w:ascii="Times New Roman" w:hAnsi="Times New Roman" w:eastAsiaTheme="minorEastAsia"/>
          <w:b w:val="0"/>
          <w:bCs w:val="0"/>
          <w:caps w:val="0"/>
          <w:sz w:val="24"/>
          <w:szCs w:val="24"/>
        </w:rPr>
      </w:pPr>
      <w:r>
        <w:fldChar w:fldCharType="begin"/>
      </w:r>
      <w:r>
        <w:instrText xml:space="preserve"> HYPERLINK \l "_Toc508642508" </w:instrText>
      </w:r>
      <w:r>
        <w:fldChar w:fldCharType="separate"/>
      </w:r>
      <w:r>
        <w:rPr>
          <w:rStyle w:val="64"/>
          <w:rFonts w:ascii="Times New Roman" w:hAnsi="Times New Roman"/>
          <w:sz w:val="24"/>
          <w:szCs w:val="24"/>
        </w:rPr>
        <w:t>8环境保护措施</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_Toc508642508 \h </w:instrText>
      </w:r>
      <w:r>
        <w:rPr>
          <w:rFonts w:ascii="Times New Roman" w:hAnsi="Times New Roman"/>
          <w:sz w:val="24"/>
          <w:szCs w:val="24"/>
        </w:rPr>
        <w:fldChar w:fldCharType="separate"/>
      </w:r>
      <w:r>
        <w:rPr>
          <w:rFonts w:ascii="Times New Roman" w:hAnsi="Times New Roman"/>
          <w:sz w:val="24"/>
          <w:szCs w:val="24"/>
        </w:rPr>
        <w:t>92</w:t>
      </w:r>
      <w:r>
        <w:rPr>
          <w:rFonts w:ascii="Times New Roman" w:hAnsi="Times New Roman"/>
          <w:sz w:val="24"/>
          <w:szCs w:val="24"/>
        </w:rPr>
        <w:fldChar w:fldCharType="end"/>
      </w:r>
      <w:r>
        <w:rPr>
          <w:rFonts w:ascii="Times New Roman" w:hAnsi="Times New Roman"/>
          <w:sz w:val="24"/>
          <w:szCs w:val="24"/>
        </w:rPr>
        <w:fldChar w:fldCharType="end"/>
      </w:r>
    </w:p>
    <w:p w14:paraId="2D80D22F">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"_Toc508642509" </w:instrText>
      </w:r>
      <w:r>
        <w:fldChar w:fldCharType="separate"/>
      </w:r>
      <w:r>
        <w:rPr>
          <w:rStyle w:val="64"/>
          <w:rFonts w:ascii="Times New Roman" w:hAnsi="Times New Roman"/>
          <w:sz w:val="24"/>
          <w:szCs w:val="24"/>
        </w:rPr>
        <w:t>8.1生态环境</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_Toc508642509 \h </w:instrText>
      </w:r>
      <w:r>
        <w:rPr>
          <w:rFonts w:ascii="Times New Roman" w:hAnsi="Times New Roman"/>
          <w:sz w:val="24"/>
          <w:szCs w:val="24"/>
        </w:rPr>
        <w:fldChar w:fldCharType="separate"/>
      </w:r>
      <w:r>
        <w:rPr>
          <w:rFonts w:ascii="Times New Roman" w:hAnsi="Times New Roman"/>
          <w:sz w:val="24"/>
          <w:szCs w:val="24"/>
        </w:rPr>
        <w:t>92</w:t>
      </w:r>
      <w:r>
        <w:rPr>
          <w:rFonts w:ascii="Times New Roman" w:hAnsi="Times New Roman"/>
          <w:sz w:val="24"/>
          <w:szCs w:val="24"/>
        </w:rPr>
        <w:fldChar w:fldCharType="end"/>
      </w:r>
      <w:r>
        <w:rPr>
          <w:rFonts w:ascii="Times New Roman" w:hAnsi="Times New Roman"/>
          <w:sz w:val="24"/>
          <w:szCs w:val="24"/>
        </w:rPr>
        <w:fldChar w:fldCharType="end"/>
      </w:r>
    </w:p>
    <w:p w14:paraId="2B645509">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"_Toc508642510" </w:instrText>
      </w:r>
      <w:r>
        <w:fldChar w:fldCharType="separate"/>
      </w:r>
      <w:r>
        <w:rPr>
          <w:rStyle w:val="64"/>
          <w:rFonts w:ascii="Times New Roman" w:hAnsi="Times New Roman"/>
          <w:i w:val="0"/>
          <w:sz w:val="24"/>
          <w:szCs w:val="24"/>
          <w:lang w:bidi="en-US"/>
        </w:rPr>
        <w:t>8.1.1植被及植物保护措施</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_Toc508642510 \h </w:instrText>
      </w:r>
      <w:r>
        <w:rPr>
          <w:rFonts w:ascii="Times New Roman" w:hAnsi="Times New Roman"/>
          <w:i w:val="0"/>
          <w:sz w:val="24"/>
          <w:szCs w:val="24"/>
        </w:rPr>
        <w:fldChar w:fldCharType="separate"/>
      </w:r>
      <w:r>
        <w:rPr>
          <w:rFonts w:ascii="Times New Roman" w:hAnsi="Times New Roman"/>
          <w:i w:val="0"/>
          <w:sz w:val="24"/>
          <w:szCs w:val="24"/>
        </w:rPr>
        <w:t>92</w:t>
      </w:r>
      <w:r>
        <w:rPr>
          <w:rFonts w:ascii="Times New Roman" w:hAnsi="Times New Roman"/>
          <w:i w:val="0"/>
          <w:sz w:val="24"/>
          <w:szCs w:val="24"/>
        </w:rPr>
        <w:fldChar w:fldCharType="end"/>
      </w:r>
      <w:r>
        <w:rPr>
          <w:rFonts w:ascii="Times New Roman" w:hAnsi="Times New Roman"/>
          <w:i w:val="0"/>
          <w:sz w:val="24"/>
          <w:szCs w:val="24"/>
        </w:rPr>
        <w:fldChar w:fldCharType="end"/>
      </w:r>
    </w:p>
    <w:p w14:paraId="3A19F79C">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"_Toc508642511" </w:instrText>
      </w:r>
      <w:r>
        <w:fldChar w:fldCharType="separate"/>
      </w:r>
      <w:r>
        <w:rPr>
          <w:rStyle w:val="64"/>
          <w:rFonts w:ascii="Times New Roman" w:hAnsi="Times New Roman"/>
          <w:i w:val="0"/>
          <w:sz w:val="24"/>
          <w:szCs w:val="24"/>
          <w:lang w:bidi="en-US"/>
        </w:rPr>
        <w:t>8.1.2野生动物及鱼类保护措施</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_Toc508642511 \h </w:instrText>
      </w:r>
      <w:r>
        <w:rPr>
          <w:rFonts w:ascii="Times New Roman" w:hAnsi="Times New Roman"/>
          <w:i w:val="0"/>
          <w:sz w:val="24"/>
          <w:szCs w:val="24"/>
        </w:rPr>
        <w:fldChar w:fldCharType="separate"/>
      </w:r>
      <w:r>
        <w:rPr>
          <w:rFonts w:ascii="Times New Roman" w:hAnsi="Times New Roman"/>
          <w:i w:val="0"/>
          <w:sz w:val="24"/>
          <w:szCs w:val="24"/>
        </w:rPr>
        <w:t>93</w:t>
      </w:r>
      <w:r>
        <w:rPr>
          <w:rFonts w:ascii="Times New Roman" w:hAnsi="Times New Roman"/>
          <w:i w:val="0"/>
          <w:sz w:val="24"/>
          <w:szCs w:val="24"/>
        </w:rPr>
        <w:fldChar w:fldCharType="end"/>
      </w:r>
      <w:r>
        <w:rPr>
          <w:rFonts w:ascii="Times New Roman" w:hAnsi="Times New Roman"/>
          <w:i w:val="0"/>
          <w:sz w:val="24"/>
          <w:szCs w:val="24"/>
        </w:rPr>
        <w:fldChar w:fldCharType="end"/>
      </w:r>
    </w:p>
    <w:p w14:paraId="34254BF2">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"_Toc508642512" </w:instrText>
      </w:r>
      <w:r>
        <w:fldChar w:fldCharType="separate"/>
      </w:r>
      <w:r>
        <w:rPr>
          <w:rStyle w:val="64"/>
          <w:rFonts w:ascii="Times New Roman" w:hAnsi="Times New Roman"/>
          <w:snapToGrid w:val="0"/>
          <w:sz w:val="24"/>
          <w:szCs w:val="24"/>
        </w:rPr>
        <w:t>8.2水环境</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_Toc508642512 \h </w:instrText>
      </w:r>
      <w:r>
        <w:rPr>
          <w:rFonts w:ascii="Times New Roman" w:hAnsi="Times New Roman"/>
          <w:sz w:val="24"/>
          <w:szCs w:val="24"/>
        </w:rPr>
        <w:fldChar w:fldCharType="separate"/>
      </w:r>
      <w:r>
        <w:rPr>
          <w:rFonts w:ascii="Times New Roman" w:hAnsi="Times New Roman"/>
          <w:sz w:val="24"/>
          <w:szCs w:val="24"/>
        </w:rPr>
        <w:t>94</w:t>
      </w:r>
      <w:r>
        <w:rPr>
          <w:rFonts w:ascii="Times New Roman" w:hAnsi="Times New Roman"/>
          <w:sz w:val="24"/>
          <w:szCs w:val="24"/>
        </w:rPr>
        <w:fldChar w:fldCharType="end"/>
      </w:r>
      <w:r>
        <w:rPr>
          <w:rFonts w:ascii="Times New Roman" w:hAnsi="Times New Roman"/>
          <w:sz w:val="24"/>
          <w:szCs w:val="24"/>
        </w:rPr>
        <w:fldChar w:fldCharType="end"/>
      </w:r>
    </w:p>
    <w:p w14:paraId="33FC0954">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"_Toc508642513" </w:instrText>
      </w:r>
      <w:r>
        <w:fldChar w:fldCharType="separate"/>
      </w:r>
      <w:r>
        <w:rPr>
          <w:rStyle w:val="64"/>
          <w:rFonts w:ascii="Times New Roman" w:hAnsi="Times New Roman"/>
          <w:i w:val="0"/>
          <w:sz w:val="24"/>
          <w:szCs w:val="24"/>
          <w:lang w:bidi="en-US"/>
        </w:rPr>
        <w:t>8.2.1施工期</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_Toc508642513 \h </w:instrText>
      </w:r>
      <w:r>
        <w:rPr>
          <w:rFonts w:ascii="Times New Roman" w:hAnsi="Times New Roman"/>
          <w:i w:val="0"/>
          <w:sz w:val="24"/>
          <w:szCs w:val="24"/>
        </w:rPr>
        <w:fldChar w:fldCharType="separate"/>
      </w:r>
      <w:r>
        <w:rPr>
          <w:rFonts w:ascii="Times New Roman" w:hAnsi="Times New Roman"/>
          <w:i w:val="0"/>
          <w:sz w:val="24"/>
          <w:szCs w:val="24"/>
        </w:rPr>
        <w:t>94</w:t>
      </w:r>
      <w:r>
        <w:rPr>
          <w:rFonts w:ascii="Times New Roman" w:hAnsi="Times New Roman"/>
          <w:i w:val="0"/>
          <w:sz w:val="24"/>
          <w:szCs w:val="24"/>
        </w:rPr>
        <w:fldChar w:fldCharType="end"/>
      </w:r>
      <w:r>
        <w:rPr>
          <w:rFonts w:ascii="Times New Roman" w:hAnsi="Times New Roman"/>
          <w:i w:val="0"/>
          <w:sz w:val="24"/>
          <w:szCs w:val="24"/>
        </w:rPr>
        <w:fldChar w:fldCharType="end"/>
      </w:r>
    </w:p>
    <w:p w14:paraId="03DDC61C">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"_Toc508642514" </w:instrText>
      </w:r>
      <w:r>
        <w:fldChar w:fldCharType="separate"/>
      </w:r>
      <w:r>
        <w:rPr>
          <w:rStyle w:val="64"/>
          <w:rFonts w:ascii="Times New Roman" w:hAnsi="Times New Roman"/>
          <w:i w:val="0"/>
          <w:sz w:val="24"/>
          <w:szCs w:val="24"/>
          <w:lang w:bidi="en-US"/>
        </w:rPr>
        <w:t>8.2.2运行期</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_Toc508642514 \h </w:instrText>
      </w:r>
      <w:r>
        <w:rPr>
          <w:rFonts w:ascii="Times New Roman" w:hAnsi="Times New Roman"/>
          <w:i w:val="0"/>
          <w:sz w:val="24"/>
          <w:szCs w:val="24"/>
        </w:rPr>
        <w:fldChar w:fldCharType="separate"/>
      </w:r>
      <w:r>
        <w:rPr>
          <w:rFonts w:ascii="Times New Roman" w:hAnsi="Times New Roman"/>
          <w:i w:val="0"/>
          <w:sz w:val="24"/>
          <w:szCs w:val="24"/>
        </w:rPr>
        <w:t>95</w:t>
      </w:r>
      <w:r>
        <w:rPr>
          <w:rFonts w:ascii="Times New Roman" w:hAnsi="Times New Roman"/>
          <w:i w:val="0"/>
          <w:sz w:val="24"/>
          <w:szCs w:val="24"/>
        </w:rPr>
        <w:fldChar w:fldCharType="end"/>
      </w:r>
      <w:r>
        <w:rPr>
          <w:rFonts w:ascii="Times New Roman" w:hAnsi="Times New Roman"/>
          <w:i w:val="0"/>
          <w:sz w:val="24"/>
          <w:szCs w:val="24"/>
        </w:rPr>
        <w:fldChar w:fldCharType="end"/>
      </w:r>
    </w:p>
    <w:p w14:paraId="3BBA0FF0">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"_Toc508642515" </w:instrText>
      </w:r>
      <w:r>
        <w:fldChar w:fldCharType="separate"/>
      </w:r>
      <w:r>
        <w:rPr>
          <w:rStyle w:val="64"/>
          <w:rFonts w:ascii="Times New Roman" w:hAnsi="Times New Roman"/>
          <w:snapToGrid w:val="0"/>
          <w:sz w:val="24"/>
          <w:szCs w:val="24"/>
        </w:rPr>
        <w:t>8.3大气环境</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_Toc508642515 \h </w:instrText>
      </w:r>
      <w:r>
        <w:rPr>
          <w:rFonts w:ascii="Times New Roman" w:hAnsi="Times New Roman"/>
          <w:sz w:val="24"/>
          <w:szCs w:val="24"/>
        </w:rPr>
        <w:fldChar w:fldCharType="separate"/>
      </w:r>
      <w:r>
        <w:rPr>
          <w:rFonts w:ascii="Times New Roman" w:hAnsi="Times New Roman"/>
          <w:sz w:val="24"/>
          <w:szCs w:val="24"/>
        </w:rPr>
        <w:t>96</w:t>
      </w:r>
      <w:r>
        <w:rPr>
          <w:rFonts w:ascii="Times New Roman" w:hAnsi="Times New Roman"/>
          <w:sz w:val="24"/>
          <w:szCs w:val="24"/>
        </w:rPr>
        <w:fldChar w:fldCharType="end"/>
      </w:r>
      <w:r>
        <w:rPr>
          <w:rFonts w:ascii="Times New Roman" w:hAnsi="Times New Roman"/>
          <w:sz w:val="24"/>
          <w:szCs w:val="24"/>
        </w:rPr>
        <w:fldChar w:fldCharType="end"/>
      </w:r>
    </w:p>
    <w:p w14:paraId="2B561D22">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"_Toc508642516" </w:instrText>
      </w:r>
      <w:r>
        <w:fldChar w:fldCharType="separate"/>
      </w:r>
      <w:r>
        <w:rPr>
          <w:rStyle w:val="64"/>
          <w:rFonts w:ascii="Times New Roman" w:hAnsi="Times New Roman"/>
          <w:sz w:val="24"/>
          <w:szCs w:val="24"/>
        </w:rPr>
        <w:t>8.4声环境</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_Toc508642516 \h </w:instrText>
      </w:r>
      <w:r>
        <w:rPr>
          <w:rFonts w:ascii="Times New Roman" w:hAnsi="Times New Roman"/>
          <w:sz w:val="24"/>
          <w:szCs w:val="24"/>
        </w:rPr>
        <w:fldChar w:fldCharType="separate"/>
      </w:r>
      <w:r>
        <w:rPr>
          <w:rFonts w:ascii="Times New Roman" w:hAnsi="Times New Roman"/>
          <w:sz w:val="24"/>
          <w:szCs w:val="24"/>
        </w:rPr>
        <w:t>96</w:t>
      </w:r>
      <w:r>
        <w:rPr>
          <w:rFonts w:ascii="Times New Roman" w:hAnsi="Times New Roman"/>
          <w:sz w:val="24"/>
          <w:szCs w:val="24"/>
        </w:rPr>
        <w:fldChar w:fldCharType="end"/>
      </w:r>
      <w:r>
        <w:rPr>
          <w:rFonts w:ascii="Times New Roman" w:hAnsi="Times New Roman"/>
          <w:sz w:val="24"/>
          <w:szCs w:val="24"/>
        </w:rPr>
        <w:fldChar w:fldCharType="end"/>
      </w:r>
    </w:p>
    <w:p w14:paraId="3B16A9A8">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"_Toc508642517" </w:instrText>
      </w:r>
      <w:r>
        <w:fldChar w:fldCharType="separate"/>
      </w:r>
      <w:r>
        <w:rPr>
          <w:rStyle w:val="64"/>
          <w:rFonts w:ascii="Times New Roman" w:hAnsi="Times New Roman"/>
          <w:i w:val="0"/>
          <w:sz w:val="24"/>
          <w:szCs w:val="24"/>
          <w:lang w:bidi="en-US"/>
        </w:rPr>
        <w:t>8.4.1施工期</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_Toc508642517 \h </w:instrText>
      </w:r>
      <w:r>
        <w:rPr>
          <w:rFonts w:ascii="Times New Roman" w:hAnsi="Times New Roman"/>
          <w:i w:val="0"/>
          <w:sz w:val="24"/>
          <w:szCs w:val="24"/>
        </w:rPr>
        <w:fldChar w:fldCharType="separate"/>
      </w:r>
      <w:r>
        <w:rPr>
          <w:rFonts w:ascii="Times New Roman" w:hAnsi="Times New Roman"/>
          <w:i w:val="0"/>
          <w:sz w:val="24"/>
          <w:szCs w:val="24"/>
        </w:rPr>
        <w:t>96</w:t>
      </w:r>
      <w:r>
        <w:rPr>
          <w:rFonts w:ascii="Times New Roman" w:hAnsi="Times New Roman"/>
          <w:i w:val="0"/>
          <w:sz w:val="24"/>
          <w:szCs w:val="24"/>
        </w:rPr>
        <w:fldChar w:fldCharType="end"/>
      </w:r>
      <w:r>
        <w:rPr>
          <w:rFonts w:ascii="Times New Roman" w:hAnsi="Times New Roman"/>
          <w:i w:val="0"/>
          <w:sz w:val="24"/>
          <w:szCs w:val="24"/>
        </w:rPr>
        <w:fldChar w:fldCharType="end"/>
      </w:r>
    </w:p>
    <w:p w14:paraId="35A914F4">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"_Toc508642518" </w:instrText>
      </w:r>
      <w:r>
        <w:fldChar w:fldCharType="separate"/>
      </w:r>
      <w:r>
        <w:rPr>
          <w:rStyle w:val="64"/>
          <w:rFonts w:ascii="Times New Roman" w:hAnsi="Times New Roman"/>
          <w:i w:val="0"/>
          <w:sz w:val="24"/>
          <w:szCs w:val="24"/>
          <w:lang w:bidi="en-US"/>
        </w:rPr>
        <w:t>8.4.2运行期</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_Toc508642518 \h </w:instrText>
      </w:r>
      <w:r>
        <w:rPr>
          <w:rFonts w:ascii="Times New Roman" w:hAnsi="Times New Roman"/>
          <w:i w:val="0"/>
          <w:sz w:val="24"/>
          <w:szCs w:val="24"/>
        </w:rPr>
        <w:fldChar w:fldCharType="separate"/>
      </w:r>
      <w:r>
        <w:rPr>
          <w:rFonts w:ascii="Times New Roman" w:hAnsi="Times New Roman"/>
          <w:i w:val="0"/>
          <w:sz w:val="24"/>
          <w:szCs w:val="24"/>
        </w:rPr>
        <w:t>96</w:t>
      </w:r>
      <w:r>
        <w:rPr>
          <w:rFonts w:ascii="Times New Roman" w:hAnsi="Times New Roman"/>
          <w:i w:val="0"/>
          <w:sz w:val="24"/>
          <w:szCs w:val="24"/>
        </w:rPr>
        <w:fldChar w:fldCharType="end"/>
      </w:r>
      <w:r>
        <w:rPr>
          <w:rFonts w:ascii="Times New Roman" w:hAnsi="Times New Roman"/>
          <w:i w:val="0"/>
          <w:sz w:val="24"/>
          <w:szCs w:val="24"/>
        </w:rPr>
        <w:fldChar w:fldCharType="end"/>
      </w:r>
    </w:p>
    <w:p w14:paraId="1174BD5B">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"_Toc508642519" </w:instrText>
      </w:r>
      <w:r>
        <w:fldChar w:fldCharType="separate"/>
      </w:r>
      <w:r>
        <w:rPr>
          <w:rStyle w:val="64"/>
          <w:rFonts w:ascii="Times New Roman" w:hAnsi="Times New Roman"/>
          <w:snapToGrid w:val="0"/>
          <w:sz w:val="24"/>
          <w:szCs w:val="24"/>
        </w:rPr>
        <w:t>8.5固体废物</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_Toc508642519 \h </w:instrText>
      </w:r>
      <w:r>
        <w:rPr>
          <w:rFonts w:ascii="Times New Roman" w:hAnsi="Times New Roman"/>
          <w:sz w:val="24"/>
          <w:szCs w:val="24"/>
        </w:rPr>
        <w:fldChar w:fldCharType="separate"/>
      </w:r>
      <w:r>
        <w:rPr>
          <w:rFonts w:ascii="Times New Roman" w:hAnsi="Times New Roman"/>
          <w:sz w:val="24"/>
          <w:szCs w:val="24"/>
        </w:rPr>
        <w:t>97</w:t>
      </w:r>
      <w:r>
        <w:rPr>
          <w:rFonts w:ascii="Times New Roman" w:hAnsi="Times New Roman"/>
          <w:sz w:val="24"/>
          <w:szCs w:val="24"/>
        </w:rPr>
        <w:fldChar w:fldCharType="end"/>
      </w:r>
      <w:r>
        <w:rPr>
          <w:rFonts w:ascii="Times New Roman" w:hAnsi="Times New Roman"/>
          <w:sz w:val="24"/>
          <w:szCs w:val="24"/>
        </w:rPr>
        <w:fldChar w:fldCharType="end"/>
      </w:r>
    </w:p>
    <w:p w14:paraId="50AF52C6">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"_Toc508642520" </w:instrText>
      </w:r>
      <w:r>
        <w:fldChar w:fldCharType="separate"/>
      </w:r>
      <w:r>
        <w:rPr>
          <w:rStyle w:val="64"/>
          <w:rFonts w:ascii="Times New Roman" w:hAnsi="Times New Roman"/>
          <w:i w:val="0"/>
          <w:sz w:val="24"/>
          <w:szCs w:val="24"/>
          <w:lang w:bidi="en-US"/>
        </w:rPr>
        <w:t>8.5.1施工期</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_Toc508642520 \h </w:instrText>
      </w:r>
      <w:r>
        <w:rPr>
          <w:rFonts w:ascii="Times New Roman" w:hAnsi="Times New Roman"/>
          <w:i w:val="0"/>
          <w:sz w:val="24"/>
          <w:szCs w:val="24"/>
        </w:rPr>
        <w:fldChar w:fldCharType="separate"/>
      </w:r>
      <w:r>
        <w:rPr>
          <w:rFonts w:ascii="Times New Roman" w:hAnsi="Times New Roman"/>
          <w:i w:val="0"/>
          <w:sz w:val="24"/>
          <w:szCs w:val="24"/>
        </w:rPr>
        <w:t>97</w:t>
      </w:r>
      <w:r>
        <w:rPr>
          <w:rFonts w:ascii="Times New Roman" w:hAnsi="Times New Roman"/>
          <w:i w:val="0"/>
          <w:sz w:val="24"/>
          <w:szCs w:val="24"/>
        </w:rPr>
        <w:fldChar w:fldCharType="end"/>
      </w:r>
      <w:r>
        <w:rPr>
          <w:rFonts w:ascii="Times New Roman" w:hAnsi="Times New Roman"/>
          <w:i w:val="0"/>
          <w:sz w:val="24"/>
          <w:szCs w:val="24"/>
        </w:rPr>
        <w:fldChar w:fldCharType="end"/>
      </w:r>
    </w:p>
    <w:p w14:paraId="726C6CDB">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"_Toc508642521" </w:instrText>
      </w:r>
      <w:r>
        <w:fldChar w:fldCharType="separate"/>
      </w:r>
      <w:r>
        <w:rPr>
          <w:rStyle w:val="64"/>
          <w:rFonts w:ascii="Times New Roman" w:hAnsi="Times New Roman"/>
          <w:i w:val="0"/>
          <w:sz w:val="24"/>
          <w:szCs w:val="24"/>
          <w:lang w:bidi="en-US"/>
        </w:rPr>
        <w:t>8.5.2运行期</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_Toc508642521 \h </w:instrText>
      </w:r>
      <w:r>
        <w:rPr>
          <w:rFonts w:ascii="Times New Roman" w:hAnsi="Times New Roman"/>
          <w:i w:val="0"/>
          <w:sz w:val="24"/>
          <w:szCs w:val="24"/>
        </w:rPr>
        <w:fldChar w:fldCharType="separate"/>
      </w:r>
      <w:r>
        <w:rPr>
          <w:rFonts w:ascii="Times New Roman" w:hAnsi="Times New Roman"/>
          <w:i w:val="0"/>
          <w:sz w:val="24"/>
          <w:szCs w:val="24"/>
        </w:rPr>
        <w:t>97</w:t>
      </w:r>
      <w:r>
        <w:rPr>
          <w:rFonts w:ascii="Times New Roman" w:hAnsi="Times New Roman"/>
          <w:i w:val="0"/>
          <w:sz w:val="24"/>
          <w:szCs w:val="24"/>
        </w:rPr>
        <w:fldChar w:fldCharType="end"/>
      </w:r>
      <w:r>
        <w:rPr>
          <w:rFonts w:ascii="Times New Roman" w:hAnsi="Times New Roman"/>
          <w:i w:val="0"/>
          <w:sz w:val="24"/>
          <w:szCs w:val="24"/>
        </w:rPr>
        <w:fldChar w:fldCharType="end"/>
      </w:r>
    </w:p>
    <w:p w14:paraId="50905F81">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"_Toc508642522" </w:instrText>
      </w:r>
      <w:r>
        <w:fldChar w:fldCharType="separate"/>
      </w:r>
      <w:r>
        <w:rPr>
          <w:rStyle w:val="64"/>
          <w:rFonts w:ascii="Times New Roman" w:hAnsi="Times New Roman"/>
          <w:sz w:val="24"/>
          <w:szCs w:val="24"/>
        </w:rPr>
        <w:t>8.6其它</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_Toc508642522 \h </w:instrText>
      </w:r>
      <w:r>
        <w:rPr>
          <w:rFonts w:ascii="Times New Roman" w:hAnsi="Times New Roman"/>
          <w:sz w:val="24"/>
          <w:szCs w:val="24"/>
        </w:rPr>
        <w:fldChar w:fldCharType="separate"/>
      </w:r>
      <w:r>
        <w:rPr>
          <w:rFonts w:ascii="Times New Roman" w:hAnsi="Times New Roman"/>
          <w:sz w:val="24"/>
          <w:szCs w:val="24"/>
        </w:rPr>
        <w:t>97</w:t>
      </w:r>
      <w:r>
        <w:rPr>
          <w:rFonts w:ascii="Times New Roman" w:hAnsi="Times New Roman"/>
          <w:sz w:val="24"/>
          <w:szCs w:val="24"/>
        </w:rPr>
        <w:fldChar w:fldCharType="end"/>
      </w:r>
      <w:r>
        <w:rPr>
          <w:rFonts w:ascii="Times New Roman" w:hAnsi="Times New Roman"/>
          <w:sz w:val="24"/>
          <w:szCs w:val="24"/>
        </w:rPr>
        <w:fldChar w:fldCharType="end"/>
      </w:r>
    </w:p>
    <w:p w14:paraId="55FB25AA">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"_Toc508642523" </w:instrText>
      </w:r>
      <w:r>
        <w:fldChar w:fldCharType="separate"/>
      </w:r>
      <w:r>
        <w:rPr>
          <w:rStyle w:val="64"/>
          <w:rFonts w:ascii="Times New Roman" w:hAnsi="Times New Roman"/>
          <w:sz w:val="24"/>
          <w:szCs w:val="24"/>
        </w:rPr>
        <w:t>8.7环保措施一览表</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_Toc508642523 \h </w:instrText>
      </w:r>
      <w:r>
        <w:rPr>
          <w:rFonts w:ascii="Times New Roman" w:hAnsi="Times New Roman"/>
          <w:sz w:val="24"/>
          <w:szCs w:val="24"/>
        </w:rPr>
        <w:fldChar w:fldCharType="separate"/>
      </w:r>
      <w:r>
        <w:rPr>
          <w:rFonts w:ascii="Times New Roman" w:hAnsi="Times New Roman"/>
          <w:sz w:val="24"/>
          <w:szCs w:val="24"/>
        </w:rPr>
        <w:t>98</w:t>
      </w:r>
      <w:r>
        <w:rPr>
          <w:rFonts w:ascii="Times New Roman" w:hAnsi="Times New Roman"/>
          <w:sz w:val="24"/>
          <w:szCs w:val="24"/>
        </w:rPr>
        <w:fldChar w:fldCharType="end"/>
      </w:r>
      <w:r>
        <w:rPr>
          <w:rFonts w:ascii="Times New Roman" w:hAnsi="Times New Roman"/>
          <w:sz w:val="24"/>
          <w:szCs w:val="24"/>
        </w:rPr>
        <w:fldChar w:fldCharType="end"/>
      </w:r>
    </w:p>
    <w:p w14:paraId="26C4F8A5">
      <w:pPr>
        <w:pStyle w:val="38"/>
        <w:tabs>
          <w:tab w:val="right" w:leader="dot" w:pos="8720"/>
        </w:tabs>
        <w:spacing w:line="276" w:lineRule="auto"/>
        <w:ind w:firstLine="0" w:firstLineChars="0"/>
        <w:rPr>
          <w:rFonts w:ascii="Times New Roman" w:hAnsi="Times New Roman" w:eastAsiaTheme="minorEastAsia"/>
          <w:b w:val="0"/>
          <w:bCs w:val="0"/>
          <w:caps w:val="0"/>
          <w:sz w:val="24"/>
          <w:szCs w:val="24"/>
        </w:rPr>
      </w:pPr>
      <w:r>
        <w:fldChar w:fldCharType="begin"/>
      </w:r>
      <w:r>
        <w:instrText xml:space="preserve"> HYPERLINK \l "_Toc508642524" </w:instrText>
      </w:r>
      <w:r>
        <w:fldChar w:fldCharType="separate"/>
      </w:r>
      <w:r>
        <w:rPr>
          <w:rStyle w:val="64"/>
          <w:rFonts w:ascii="Times New Roman" w:hAnsi="Times New Roman"/>
          <w:sz w:val="24"/>
          <w:szCs w:val="24"/>
        </w:rPr>
        <w:t>9相关规划符合性及选址合理性分析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_Toc508642524 \h </w:instrText>
      </w:r>
      <w:r>
        <w:rPr>
          <w:rFonts w:ascii="Times New Roman" w:hAnsi="Times New Roman"/>
          <w:sz w:val="24"/>
          <w:szCs w:val="24"/>
        </w:rPr>
        <w:fldChar w:fldCharType="separate"/>
      </w:r>
      <w:r>
        <w:rPr>
          <w:rFonts w:ascii="Times New Roman" w:hAnsi="Times New Roman"/>
          <w:sz w:val="24"/>
          <w:szCs w:val="24"/>
        </w:rPr>
        <w:t>101</w:t>
      </w:r>
      <w:r>
        <w:rPr>
          <w:rFonts w:ascii="Times New Roman" w:hAnsi="Times New Roman"/>
          <w:sz w:val="24"/>
          <w:szCs w:val="24"/>
        </w:rPr>
        <w:fldChar w:fldCharType="end"/>
      </w:r>
      <w:r>
        <w:rPr>
          <w:rFonts w:ascii="Times New Roman" w:hAnsi="Times New Roman"/>
          <w:sz w:val="24"/>
          <w:szCs w:val="24"/>
        </w:rPr>
        <w:fldChar w:fldCharType="end"/>
      </w:r>
    </w:p>
    <w:p w14:paraId="29384CCC">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"_Toc508642525" </w:instrText>
      </w:r>
      <w:r>
        <w:fldChar w:fldCharType="separate"/>
      </w:r>
      <w:r>
        <w:rPr>
          <w:rStyle w:val="64"/>
          <w:rFonts w:ascii="Times New Roman" w:hAnsi="Times New Roman"/>
          <w:sz w:val="24"/>
          <w:szCs w:val="24"/>
        </w:rPr>
        <w:t>9.1产业政策符合性分析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_Toc508642525 \h </w:instrText>
      </w:r>
      <w:r>
        <w:rPr>
          <w:rFonts w:ascii="Times New Roman" w:hAnsi="Times New Roman"/>
          <w:sz w:val="24"/>
          <w:szCs w:val="24"/>
        </w:rPr>
        <w:fldChar w:fldCharType="separate"/>
      </w:r>
      <w:r>
        <w:rPr>
          <w:rFonts w:ascii="Times New Roman" w:hAnsi="Times New Roman"/>
          <w:sz w:val="24"/>
          <w:szCs w:val="24"/>
        </w:rPr>
        <w:t>101</w:t>
      </w:r>
      <w:r>
        <w:rPr>
          <w:rFonts w:ascii="Times New Roman" w:hAnsi="Times New Roman"/>
          <w:sz w:val="24"/>
          <w:szCs w:val="24"/>
        </w:rPr>
        <w:fldChar w:fldCharType="end"/>
      </w:r>
      <w:r>
        <w:rPr>
          <w:rFonts w:ascii="Times New Roman" w:hAnsi="Times New Roman"/>
          <w:sz w:val="24"/>
          <w:szCs w:val="24"/>
        </w:rPr>
        <w:fldChar w:fldCharType="end"/>
      </w:r>
    </w:p>
    <w:p w14:paraId="064EB279">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"_Toc508642526" </w:instrText>
      </w:r>
      <w:r>
        <w:fldChar w:fldCharType="separate"/>
      </w:r>
      <w:r>
        <w:rPr>
          <w:rStyle w:val="64"/>
          <w:rFonts w:ascii="Times New Roman" w:hAnsi="Times New Roman"/>
          <w:sz w:val="24"/>
          <w:szCs w:val="24"/>
        </w:rPr>
        <w:t>9.2规划符合性分析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_Toc508642526 \h </w:instrText>
      </w:r>
      <w:r>
        <w:rPr>
          <w:rFonts w:ascii="Times New Roman" w:hAnsi="Times New Roman"/>
          <w:sz w:val="24"/>
          <w:szCs w:val="24"/>
        </w:rPr>
        <w:fldChar w:fldCharType="separate"/>
      </w:r>
      <w:r>
        <w:rPr>
          <w:rFonts w:ascii="Times New Roman" w:hAnsi="Times New Roman"/>
          <w:sz w:val="24"/>
          <w:szCs w:val="24"/>
        </w:rPr>
        <w:t>101</w:t>
      </w:r>
      <w:r>
        <w:rPr>
          <w:rFonts w:ascii="Times New Roman" w:hAnsi="Times New Roman"/>
          <w:sz w:val="24"/>
          <w:szCs w:val="24"/>
        </w:rPr>
        <w:fldChar w:fldCharType="end"/>
      </w:r>
      <w:r>
        <w:rPr>
          <w:rFonts w:ascii="Times New Roman" w:hAnsi="Times New Roman"/>
          <w:sz w:val="24"/>
          <w:szCs w:val="24"/>
        </w:rPr>
        <w:fldChar w:fldCharType="end"/>
      </w:r>
    </w:p>
    <w:p w14:paraId="3DC8C5AD">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"_Toc508642527" </w:instrText>
      </w:r>
      <w:r>
        <w:fldChar w:fldCharType="separate"/>
      </w:r>
      <w:r>
        <w:rPr>
          <w:rStyle w:val="64"/>
          <w:rFonts w:ascii="Times New Roman" w:hAnsi="Times New Roman"/>
          <w:i w:val="0"/>
          <w:sz w:val="24"/>
          <w:szCs w:val="24"/>
          <w:lang w:bidi="en-US"/>
        </w:rPr>
        <w:t>9.2.1</w:t>
      </w:r>
      <w:r>
        <w:rPr>
          <w:rStyle w:val="64"/>
          <w:rFonts w:ascii="Times New Roman" w:hAnsi="Times New Roman"/>
          <w:i w:val="0"/>
          <w:snapToGrid w:val="0"/>
          <w:sz w:val="24"/>
          <w:szCs w:val="24"/>
          <w:lang w:bidi="en-US"/>
        </w:rPr>
        <w:t>与</w:t>
      </w:r>
      <w:r>
        <w:rPr>
          <w:rStyle w:val="64"/>
          <w:rFonts w:ascii="Times New Roman" w:hAnsi="Times New Roman"/>
          <w:i w:val="0"/>
          <w:sz w:val="24"/>
          <w:szCs w:val="24"/>
          <w:lang w:bidi="en-US"/>
        </w:rPr>
        <w:t>地方社会经济发展规划的</w:t>
      </w:r>
      <w:r>
        <w:rPr>
          <w:rStyle w:val="64"/>
          <w:rFonts w:ascii="Times New Roman" w:hAnsi="Times New Roman"/>
          <w:i w:val="0"/>
          <w:snapToGrid w:val="0"/>
          <w:sz w:val="24"/>
          <w:szCs w:val="24"/>
          <w:lang w:bidi="en-US"/>
        </w:rPr>
        <w:t>相符性分析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_Toc508642527 \h </w:instrText>
      </w:r>
      <w:r>
        <w:rPr>
          <w:rFonts w:ascii="Times New Roman" w:hAnsi="Times New Roman"/>
          <w:i w:val="0"/>
          <w:sz w:val="24"/>
          <w:szCs w:val="24"/>
        </w:rPr>
        <w:fldChar w:fldCharType="separate"/>
      </w:r>
      <w:r>
        <w:rPr>
          <w:rFonts w:ascii="Times New Roman" w:hAnsi="Times New Roman"/>
          <w:i w:val="0"/>
          <w:sz w:val="24"/>
          <w:szCs w:val="24"/>
        </w:rPr>
        <w:t>101</w:t>
      </w:r>
      <w:r>
        <w:rPr>
          <w:rFonts w:ascii="Times New Roman" w:hAnsi="Times New Roman"/>
          <w:i w:val="0"/>
          <w:sz w:val="24"/>
          <w:szCs w:val="24"/>
        </w:rPr>
        <w:fldChar w:fldCharType="end"/>
      </w:r>
      <w:r>
        <w:rPr>
          <w:rFonts w:ascii="Times New Roman" w:hAnsi="Times New Roman"/>
          <w:i w:val="0"/>
          <w:sz w:val="24"/>
          <w:szCs w:val="24"/>
        </w:rPr>
        <w:fldChar w:fldCharType="end"/>
      </w:r>
    </w:p>
    <w:p w14:paraId="40BF68E5">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"_Toc508642528" </w:instrText>
      </w:r>
      <w:r>
        <w:fldChar w:fldCharType="separate"/>
      </w:r>
      <w:r>
        <w:rPr>
          <w:rStyle w:val="64"/>
          <w:rFonts w:ascii="Times New Roman" w:hAnsi="Times New Roman"/>
          <w:i w:val="0"/>
          <w:sz w:val="24"/>
          <w:szCs w:val="24"/>
          <w:lang w:bidi="en-US"/>
        </w:rPr>
        <w:t>9.2.2与《云南省生物多样性保护战略与行动计划》的符合性分析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_Toc508642528 \h </w:instrText>
      </w:r>
      <w:r>
        <w:rPr>
          <w:rFonts w:ascii="Times New Roman" w:hAnsi="Times New Roman"/>
          <w:i w:val="0"/>
          <w:sz w:val="24"/>
          <w:szCs w:val="24"/>
        </w:rPr>
        <w:fldChar w:fldCharType="separate"/>
      </w:r>
      <w:r>
        <w:rPr>
          <w:rFonts w:ascii="Times New Roman" w:hAnsi="Times New Roman"/>
          <w:i w:val="0"/>
          <w:sz w:val="24"/>
          <w:szCs w:val="24"/>
        </w:rPr>
        <w:t>101</w:t>
      </w:r>
      <w:r>
        <w:rPr>
          <w:rFonts w:ascii="Times New Roman" w:hAnsi="Times New Roman"/>
          <w:i w:val="0"/>
          <w:sz w:val="24"/>
          <w:szCs w:val="24"/>
        </w:rPr>
        <w:fldChar w:fldCharType="end"/>
      </w:r>
      <w:r>
        <w:rPr>
          <w:rFonts w:ascii="Times New Roman" w:hAnsi="Times New Roman"/>
          <w:i w:val="0"/>
          <w:sz w:val="24"/>
          <w:szCs w:val="24"/>
        </w:rPr>
        <w:fldChar w:fldCharType="end"/>
      </w:r>
    </w:p>
    <w:p w14:paraId="027BE556">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"_Toc508642529" </w:instrText>
      </w:r>
      <w:r>
        <w:fldChar w:fldCharType="separate"/>
      </w:r>
      <w:r>
        <w:rPr>
          <w:rStyle w:val="64"/>
          <w:rFonts w:ascii="Times New Roman" w:hAnsi="Times New Roman"/>
          <w:i w:val="0"/>
          <w:sz w:val="24"/>
          <w:szCs w:val="24"/>
          <w:lang w:bidi="en-US"/>
        </w:rPr>
        <w:t>9.2.3与《云南省生态功能区划》符合性分析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_Toc508642529 \h </w:instrText>
      </w:r>
      <w:r>
        <w:rPr>
          <w:rFonts w:ascii="Times New Roman" w:hAnsi="Times New Roman"/>
          <w:i w:val="0"/>
          <w:sz w:val="24"/>
          <w:szCs w:val="24"/>
        </w:rPr>
        <w:fldChar w:fldCharType="separate"/>
      </w:r>
      <w:r>
        <w:rPr>
          <w:rFonts w:ascii="Times New Roman" w:hAnsi="Times New Roman"/>
          <w:i w:val="0"/>
          <w:sz w:val="24"/>
          <w:szCs w:val="24"/>
        </w:rPr>
        <w:t>102</w:t>
      </w:r>
      <w:r>
        <w:rPr>
          <w:rFonts w:ascii="Times New Roman" w:hAnsi="Times New Roman"/>
          <w:i w:val="0"/>
          <w:sz w:val="24"/>
          <w:szCs w:val="24"/>
        </w:rPr>
        <w:fldChar w:fldCharType="end"/>
      </w:r>
      <w:r>
        <w:rPr>
          <w:rFonts w:ascii="Times New Roman" w:hAnsi="Times New Roman"/>
          <w:i w:val="0"/>
          <w:sz w:val="24"/>
          <w:szCs w:val="24"/>
        </w:rPr>
        <w:fldChar w:fldCharType="end"/>
      </w:r>
    </w:p>
    <w:p w14:paraId="5A8BC310">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"_Toc508642530" </w:instrText>
      </w:r>
      <w:r>
        <w:fldChar w:fldCharType="separate"/>
      </w:r>
      <w:r>
        <w:rPr>
          <w:rStyle w:val="64"/>
          <w:rFonts w:ascii="Times New Roman" w:hAnsi="Times New Roman"/>
          <w:i w:val="0"/>
          <w:sz w:val="24"/>
          <w:szCs w:val="24"/>
          <w:lang w:bidi="en-US"/>
        </w:rPr>
        <w:t>9.2.4与《云南省主体功能区规划》符合性分析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_Toc508642530 \h </w:instrText>
      </w:r>
      <w:r>
        <w:rPr>
          <w:rFonts w:ascii="Times New Roman" w:hAnsi="Times New Roman"/>
          <w:i w:val="0"/>
          <w:sz w:val="24"/>
          <w:szCs w:val="24"/>
        </w:rPr>
        <w:fldChar w:fldCharType="separate"/>
      </w:r>
      <w:r>
        <w:rPr>
          <w:rFonts w:ascii="Times New Roman" w:hAnsi="Times New Roman"/>
          <w:i w:val="0"/>
          <w:sz w:val="24"/>
          <w:szCs w:val="24"/>
        </w:rPr>
        <w:t>103</w:t>
      </w:r>
      <w:r>
        <w:rPr>
          <w:rFonts w:ascii="Times New Roman" w:hAnsi="Times New Roman"/>
          <w:i w:val="0"/>
          <w:sz w:val="24"/>
          <w:szCs w:val="24"/>
        </w:rPr>
        <w:fldChar w:fldCharType="end"/>
      </w:r>
      <w:r>
        <w:rPr>
          <w:rFonts w:ascii="Times New Roman" w:hAnsi="Times New Roman"/>
          <w:i w:val="0"/>
          <w:sz w:val="24"/>
          <w:szCs w:val="24"/>
        </w:rPr>
        <w:fldChar w:fldCharType="end"/>
      </w:r>
    </w:p>
    <w:p w14:paraId="0E1695C1">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"_Toc508642531" </w:instrText>
      </w:r>
      <w:r>
        <w:fldChar w:fldCharType="separate"/>
      </w:r>
      <w:r>
        <w:rPr>
          <w:rStyle w:val="64"/>
          <w:rFonts w:ascii="Times New Roman" w:hAnsi="Times New Roman"/>
          <w:snapToGrid w:val="0"/>
          <w:sz w:val="24"/>
          <w:szCs w:val="24"/>
        </w:rPr>
        <w:t>9.3工程选址的环境合理性分析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_Toc508642531 \h </w:instrText>
      </w:r>
      <w:r>
        <w:rPr>
          <w:rFonts w:ascii="Times New Roman" w:hAnsi="Times New Roman"/>
          <w:sz w:val="24"/>
          <w:szCs w:val="24"/>
        </w:rPr>
        <w:fldChar w:fldCharType="separate"/>
      </w:r>
      <w:r>
        <w:rPr>
          <w:rFonts w:ascii="Times New Roman" w:hAnsi="Times New Roman"/>
          <w:sz w:val="24"/>
          <w:szCs w:val="24"/>
        </w:rPr>
        <w:t>103</w:t>
      </w:r>
      <w:r>
        <w:rPr>
          <w:rFonts w:ascii="Times New Roman" w:hAnsi="Times New Roman"/>
          <w:sz w:val="24"/>
          <w:szCs w:val="24"/>
        </w:rPr>
        <w:fldChar w:fldCharType="end"/>
      </w:r>
      <w:r>
        <w:rPr>
          <w:rFonts w:ascii="Times New Roman" w:hAnsi="Times New Roman"/>
          <w:sz w:val="24"/>
          <w:szCs w:val="24"/>
        </w:rPr>
        <w:fldChar w:fldCharType="end"/>
      </w:r>
    </w:p>
    <w:p w14:paraId="434B464A">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"_Toc508642532" </w:instrText>
      </w:r>
      <w:r>
        <w:fldChar w:fldCharType="separate"/>
      </w:r>
      <w:r>
        <w:rPr>
          <w:rStyle w:val="64"/>
          <w:rFonts w:ascii="Times New Roman" w:hAnsi="Times New Roman"/>
          <w:i w:val="0"/>
          <w:sz w:val="24"/>
          <w:szCs w:val="24"/>
          <w:lang w:bidi="en-US"/>
        </w:rPr>
        <w:t>9.3.1工程选址、布局合理性分析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_Toc508642532 \h </w:instrText>
      </w:r>
      <w:r>
        <w:rPr>
          <w:rFonts w:ascii="Times New Roman" w:hAnsi="Times New Roman"/>
          <w:i w:val="0"/>
          <w:sz w:val="24"/>
          <w:szCs w:val="24"/>
        </w:rPr>
        <w:fldChar w:fldCharType="separate"/>
      </w:r>
      <w:r>
        <w:rPr>
          <w:rFonts w:ascii="Times New Roman" w:hAnsi="Times New Roman"/>
          <w:i w:val="0"/>
          <w:sz w:val="24"/>
          <w:szCs w:val="24"/>
        </w:rPr>
        <w:t>103</w:t>
      </w:r>
      <w:r>
        <w:rPr>
          <w:rFonts w:ascii="Times New Roman" w:hAnsi="Times New Roman"/>
          <w:i w:val="0"/>
          <w:sz w:val="24"/>
          <w:szCs w:val="24"/>
        </w:rPr>
        <w:fldChar w:fldCharType="end"/>
      </w:r>
      <w:r>
        <w:rPr>
          <w:rFonts w:ascii="Times New Roman" w:hAnsi="Times New Roman"/>
          <w:i w:val="0"/>
          <w:sz w:val="24"/>
          <w:szCs w:val="24"/>
        </w:rPr>
        <w:fldChar w:fldCharType="end"/>
      </w:r>
    </w:p>
    <w:p w14:paraId="4A269AE3">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"_Toc508642533" </w:instrText>
      </w:r>
      <w:r>
        <w:fldChar w:fldCharType="separate"/>
      </w:r>
      <w:r>
        <w:rPr>
          <w:rStyle w:val="64"/>
          <w:rFonts w:ascii="Times New Roman" w:hAnsi="Times New Roman"/>
          <w:i w:val="0"/>
          <w:sz w:val="24"/>
          <w:szCs w:val="24"/>
          <w:lang w:bidi="en-US"/>
        </w:rPr>
        <w:t>9.3.2施工“三场”合理性分析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_Toc508642533 \h </w:instrText>
      </w:r>
      <w:r>
        <w:rPr>
          <w:rFonts w:ascii="Times New Roman" w:hAnsi="Times New Roman"/>
          <w:i w:val="0"/>
          <w:sz w:val="24"/>
          <w:szCs w:val="24"/>
        </w:rPr>
        <w:fldChar w:fldCharType="separate"/>
      </w:r>
      <w:r>
        <w:rPr>
          <w:rFonts w:ascii="Times New Roman" w:hAnsi="Times New Roman"/>
          <w:i w:val="0"/>
          <w:sz w:val="24"/>
          <w:szCs w:val="24"/>
        </w:rPr>
        <w:t>105</w:t>
      </w:r>
      <w:r>
        <w:rPr>
          <w:rFonts w:ascii="Times New Roman" w:hAnsi="Times New Roman"/>
          <w:i w:val="0"/>
          <w:sz w:val="24"/>
          <w:szCs w:val="24"/>
        </w:rPr>
        <w:fldChar w:fldCharType="end"/>
      </w:r>
      <w:r>
        <w:rPr>
          <w:rFonts w:ascii="Times New Roman" w:hAnsi="Times New Roman"/>
          <w:i w:val="0"/>
          <w:sz w:val="24"/>
          <w:szCs w:val="24"/>
        </w:rPr>
        <w:fldChar w:fldCharType="end"/>
      </w:r>
    </w:p>
    <w:p w14:paraId="75281468">
      <w:pPr>
        <w:pStyle w:val="38"/>
        <w:tabs>
          <w:tab w:val="right" w:leader="dot" w:pos="8720"/>
        </w:tabs>
        <w:spacing w:line="276" w:lineRule="auto"/>
        <w:ind w:firstLine="0" w:firstLineChars="0"/>
        <w:rPr>
          <w:rFonts w:ascii="Times New Roman" w:hAnsi="Times New Roman" w:eastAsiaTheme="minorEastAsia"/>
          <w:b w:val="0"/>
          <w:bCs w:val="0"/>
          <w:caps w:val="0"/>
          <w:sz w:val="24"/>
          <w:szCs w:val="24"/>
        </w:rPr>
      </w:pPr>
      <w:r>
        <w:fldChar w:fldCharType="begin"/>
      </w:r>
      <w:r>
        <w:instrText xml:space="preserve"> HYPERLINK \l "_Toc508642534" </w:instrText>
      </w:r>
      <w:r>
        <w:fldChar w:fldCharType="separate"/>
      </w:r>
      <w:r>
        <w:rPr>
          <w:rStyle w:val="64"/>
          <w:rFonts w:ascii="Times New Roman" w:hAnsi="Times New Roman"/>
          <w:sz w:val="24"/>
          <w:szCs w:val="24"/>
        </w:rPr>
        <w:t>10环境管理、环境监理、环境监测计划与环境保护竣工验收</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_Toc508642534 \h </w:instrText>
      </w:r>
      <w:r>
        <w:rPr>
          <w:rFonts w:ascii="Times New Roman" w:hAnsi="Times New Roman"/>
          <w:sz w:val="24"/>
          <w:szCs w:val="24"/>
        </w:rPr>
        <w:fldChar w:fldCharType="separate"/>
      </w:r>
      <w:r>
        <w:rPr>
          <w:rFonts w:ascii="Times New Roman" w:hAnsi="Times New Roman"/>
          <w:sz w:val="24"/>
          <w:szCs w:val="24"/>
        </w:rPr>
        <w:t>107</w:t>
      </w:r>
      <w:r>
        <w:rPr>
          <w:rFonts w:ascii="Times New Roman" w:hAnsi="Times New Roman"/>
          <w:sz w:val="24"/>
          <w:szCs w:val="24"/>
        </w:rPr>
        <w:fldChar w:fldCharType="end"/>
      </w:r>
      <w:r>
        <w:rPr>
          <w:rFonts w:ascii="Times New Roman" w:hAnsi="Times New Roman"/>
          <w:sz w:val="24"/>
          <w:szCs w:val="24"/>
        </w:rPr>
        <w:fldChar w:fldCharType="end"/>
      </w:r>
    </w:p>
    <w:p w14:paraId="6F6BFCD1">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"_Toc508642535" </w:instrText>
      </w:r>
      <w:r>
        <w:fldChar w:fldCharType="separate"/>
      </w:r>
      <w:r>
        <w:rPr>
          <w:rStyle w:val="64"/>
          <w:rFonts w:ascii="Times New Roman" w:hAnsi="Times New Roman"/>
          <w:sz w:val="24"/>
          <w:szCs w:val="24"/>
        </w:rPr>
        <w:t>10.1环境管理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_Toc508642535 \h </w:instrText>
      </w:r>
      <w:r>
        <w:rPr>
          <w:rFonts w:ascii="Times New Roman" w:hAnsi="Times New Roman"/>
          <w:sz w:val="24"/>
          <w:szCs w:val="24"/>
        </w:rPr>
        <w:fldChar w:fldCharType="separate"/>
      </w:r>
      <w:r>
        <w:rPr>
          <w:rFonts w:ascii="Times New Roman" w:hAnsi="Times New Roman"/>
          <w:sz w:val="24"/>
          <w:szCs w:val="24"/>
        </w:rPr>
        <w:t>107</w:t>
      </w:r>
      <w:r>
        <w:rPr>
          <w:rFonts w:ascii="Times New Roman" w:hAnsi="Times New Roman"/>
          <w:sz w:val="24"/>
          <w:szCs w:val="24"/>
        </w:rPr>
        <w:fldChar w:fldCharType="end"/>
      </w:r>
      <w:r>
        <w:rPr>
          <w:rFonts w:ascii="Times New Roman" w:hAnsi="Times New Roman"/>
          <w:sz w:val="24"/>
          <w:szCs w:val="24"/>
        </w:rPr>
        <w:fldChar w:fldCharType="end"/>
      </w:r>
    </w:p>
    <w:p w14:paraId="2452F66F">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"_Toc508642536" </w:instrText>
      </w:r>
      <w:r>
        <w:fldChar w:fldCharType="separate"/>
      </w:r>
      <w:r>
        <w:rPr>
          <w:rStyle w:val="64"/>
          <w:rFonts w:ascii="Times New Roman" w:hAnsi="Times New Roman"/>
          <w:i w:val="0"/>
          <w:sz w:val="24"/>
          <w:szCs w:val="24"/>
          <w:lang w:bidi="en-US"/>
        </w:rPr>
        <w:t>10.1.1环境管理的主体及职责</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_Toc508642536 \h </w:instrText>
      </w:r>
      <w:r>
        <w:rPr>
          <w:rFonts w:ascii="Times New Roman" w:hAnsi="Times New Roman"/>
          <w:i w:val="0"/>
          <w:sz w:val="24"/>
          <w:szCs w:val="24"/>
        </w:rPr>
        <w:fldChar w:fldCharType="separate"/>
      </w:r>
      <w:r>
        <w:rPr>
          <w:rFonts w:ascii="Times New Roman" w:hAnsi="Times New Roman"/>
          <w:i w:val="0"/>
          <w:sz w:val="24"/>
          <w:szCs w:val="24"/>
        </w:rPr>
        <w:t>107</w:t>
      </w:r>
      <w:r>
        <w:rPr>
          <w:rFonts w:ascii="Times New Roman" w:hAnsi="Times New Roman"/>
          <w:i w:val="0"/>
          <w:sz w:val="24"/>
          <w:szCs w:val="24"/>
        </w:rPr>
        <w:fldChar w:fldCharType="end"/>
      </w:r>
      <w:r>
        <w:rPr>
          <w:rFonts w:ascii="Times New Roman" w:hAnsi="Times New Roman"/>
          <w:i w:val="0"/>
          <w:sz w:val="24"/>
          <w:szCs w:val="24"/>
        </w:rPr>
        <w:fldChar w:fldCharType="end"/>
      </w:r>
    </w:p>
    <w:p w14:paraId="468CA27C">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"_Toc508642537" </w:instrText>
      </w:r>
      <w:r>
        <w:fldChar w:fldCharType="separate"/>
      </w:r>
      <w:r>
        <w:rPr>
          <w:rStyle w:val="64"/>
          <w:rFonts w:ascii="Times New Roman" w:hAnsi="Times New Roman"/>
          <w:i w:val="0"/>
          <w:sz w:val="24"/>
          <w:szCs w:val="24"/>
          <w:lang w:bidi="en-US"/>
        </w:rPr>
        <w:t>10.1.2环境管理计划</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_Toc508642537 \h </w:instrText>
      </w:r>
      <w:r>
        <w:rPr>
          <w:rFonts w:ascii="Times New Roman" w:hAnsi="Times New Roman"/>
          <w:i w:val="0"/>
          <w:sz w:val="24"/>
          <w:szCs w:val="24"/>
        </w:rPr>
        <w:fldChar w:fldCharType="separate"/>
      </w:r>
      <w:r>
        <w:rPr>
          <w:rFonts w:ascii="Times New Roman" w:hAnsi="Times New Roman"/>
          <w:i w:val="0"/>
          <w:sz w:val="24"/>
          <w:szCs w:val="24"/>
        </w:rPr>
        <w:t>107</w:t>
      </w:r>
      <w:r>
        <w:rPr>
          <w:rFonts w:ascii="Times New Roman" w:hAnsi="Times New Roman"/>
          <w:i w:val="0"/>
          <w:sz w:val="24"/>
          <w:szCs w:val="24"/>
        </w:rPr>
        <w:fldChar w:fldCharType="end"/>
      </w:r>
      <w:r>
        <w:rPr>
          <w:rFonts w:ascii="Times New Roman" w:hAnsi="Times New Roman"/>
          <w:i w:val="0"/>
          <w:sz w:val="24"/>
          <w:szCs w:val="24"/>
        </w:rPr>
        <w:fldChar w:fldCharType="end"/>
      </w:r>
    </w:p>
    <w:p w14:paraId="1BBE197C">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"_Toc508642538" </w:instrText>
      </w:r>
      <w:r>
        <w:fldChar w:fldCharType="separate"/>
      </w:r>
      <w:r>
        <w:rPr>
          <w:rStyle w:val="64"/>
          <w:rFonts w:ascii="Times New Roman" w:hAnsi="Times New Roman"/>
          <w:sz w:val="24"/>
          <w:szCs w:val="24"/>
        </w:rPr>
        <w:t>10.2环境监理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_Toc508642538 \h </w:instrText>
      </w:r>
      <w:r>
        <w:rPr>
          <w:rFonts w:ascii="Times New Roman" w:hAnsi="Times New Roman"/>
          <w:sz w:val="24"/>
          <w:szCs w:val="24"/>
        </w:rPr>
        <w:fldChar w:fldCharType="separate"/>
      </w:r>
      <w:r>
        <w:rPr>
          <w:rFonts w:ascii="Times New Roman" w:hAnsi="Times New Roman"/>
          <w:sz w:val="24"/>
          <w:szCs w:val="24"/>
        </w:rPr>
        <w:t>109</w:t>
      </w:r>
      <w:r>
        <w:rPr>
          <w:rFonts w:ascii="Times New Roman" w:hAnsi="Times New Roman"/>
          <w:sz w:val="24"/>
          <w:szCs w:val="24"/>
        </w:rPr>
        <w:fldChar w:fldCharType="end"/>
      </w:r>
      <w:r>
        <w:rPr>
          <w:rFonts w:ascii="Times New Roman" w:hAnsi="Times New Roman"/>
          <w:sz w:val="24"/>
          <w:szCs w:val="24"/>
        </w:rPr>
        <w:fldChar w:fldCharType="end"/>
      </w:r>
    </w:p>
    <w:p w14:paraId="42D574F9">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"_Toc508642539" </w:instrText>
      </w:r>
      <w:r>
        <w:fldChar w:fldCharType="separate"/>
      </w:r>
      <w:r>
        <w:rPr>
          <w:rStyle w:val="64"/>
          <w:rFonts w:ascii="Times New Roman" w:hAnsi="Times New Roman"/>
          <w:i w:val="0"/>
          <w:sz w:val="24"/>
          <w:szCs w:val="24"/>
          <w:lang w:bidi="en-US"/>
        </w:rPr>
        <w:t>10.2.1环境监理目的</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_Toc508642539 \h </w:instrText>
      </w:r>
      <w:r>
        <w:rPr>
          <w:rFonts w:ascii="Times New Roman" w:hAnsi="Times New Roman"/>
          <w:i w:val="0"/>
          <w:sz w:val="24"/>
          <w:szCs w:val="24"/>
        </w:rPr>
        <w:fldChar w:fldCharType="separate"/>
      </w:r>
      <w:r>
        <w:rPr>
          <w:rFonts w:ascii="Times New Roman" w:hAnsi="Times New Roman"/>
          <w:i w:val="0"/>
          <w:sz w:val="24"/>
          <w:szCs w:val="24"/>
        </w:rPr>
        <w:t>109</w:t>
      </w:r>
      <w:r>
        <w:rPr>
          <w:rFonts w:ascii="Times New Roman" w:hAnsi="Times New Roman"/>
          <w:i w:val="0"/>
          <w:sz w:val="24"/>
          <w:szCs w:val="24"/>
        </w:rPr>
        <w:fldChar w:fldCharType="end"/>
      </w:r>
      <w:r>
        <w:rPr>
          <w:rFonts w:ascii="Times New Roman" w:hAnsi="Times New Roman"/>
          <w:i w:val="0"/>
          <w:sz w:val="24"/>
          <w:szCs w:val="24"/>
        </w:rPr>
        <w:fldChar w:fldCharType="end"/>
      </w:r>
    </w:p>
    <w:p w14:paraId="2296848A">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"_Toc508642540" </w:instrText>
      </w:r>
      <w:r>
        <w:fldChar w:fldCharType="separate"/>
      </w:r>
      <w:r>
        <w:rPr>
          <w:rStyle w:val="64"/>
          <w:rFonts w:ascii="Times New Roman" w:hAnsi="Times New Roman"/>
          <w:i w:val="0"/>
          <w:sz w:val="24"/>
          <w:szCs w:val="24"/>
          <w:lang w:bidi="en-US"/>
        </w:rPr>
        <w:t>10.2.2环境监理内容</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_Toc508642540 \h </w:instrText>
      </w:r>
      <w:r>
        <w:rPr>
          <w:rFonts w:ascii="Times New Roman" w:hAnsi="Times New Roman"/>
          <w:i w:val="0"/>
          <w:sz w:val="24"/>
          <w:szCs w:val="24"/>
        </w:rPr>
        <w:fldChar w:fldCharType="separate"/>
      </w:r>
      <w:r>
        <w:rPr>
          <w:rFonts w:ascii="Times New Roman" w:hAnsi="Times New Roman"/>
          <w:i w:val="0"/>
          <w:sz w:val="24"/>
          <w:szCs w:val="24"/>
        </w:rPr>
        <w:t>109</w:t>
      </w:r>
      <w:r>
        <w:rPr>
          <w:rFonts w:ascii="Times New Roman" w:hAnsi="Times New Roman"/>
          <w:i w:val="0"/>
          <w:sz w:val="24"/>
          <w:szCs w:val="24"/>
        </w:rPr>
        <w:fldChar w:fldCharType="end"/>
      </w:r>
      <w:r>
        <w:rPr>
          <w:rFonts w:ascii="Times New Roman" w:hAnsi="Times New Roman"/>
          <w:i w:val="0"/>
          <w:sz w:val="24"/>
          <w:szCs w:val="24"/>
        </w:rPr>
        <w:fldChar w:fldCharType="end"/>
      </w:r>
    </w:p>
    <w:p w14:paraId="6F46EBAC">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"_Toc508642541" </w:instrText>
      </w:r>
      <w:r>
        <w:fldChar w:fldCharType="separate"/>
      </w:r>
      <w:r>
        <w:rPr>
          <w:rStyle w:val="64"/>
          <w:rFonts w:ascii="Times New Roman" w:hAnsi="Times New Roman"/>
          <w:snapToGrid w:val="0"/>
          <w:sz w:val="24"/>
          <w:szCs w:val="24"/>
        </w:rPr>
        <w:t>10.3环境监测计划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_Toc508642541 \h </w:instrText>
      </w:r>
      <w:r>
        <w:rPr>
          <w:rFonts w:ascii="Times New Roman" w:hAnsi="Times New Roman"/>
          <w:sz w:val="24"/>
          <w:szCs w:val="24"/>
        </w:rPr>
        <w:fldChar w:fldCharType="separate"/>
      </w:r>
      <w:r>
        <w:rPr>
          <w:rFonts w:ascii="Times New Roman" w:hAnsi="Times New Roman"/>
          <w:sz w:val="24"/>
          <w:szCs w:val="24"/>
        </w:rPr>
        <w:t>110</w:t>
      </w:r>
      <w:r>
        <w:rPr>
          <w:rFonts w:ascii="Times New Roman" w:hAnsi="Times New Roman"/>
          <w:sz w:val="24"/>
          <w:szCs w:val="24"/>
        </w:rPr>
        <w:fldChar w:fldCharType="end"/>
      </w:r>
      <w:r>
        <w:rPr>
          <w:rFonts w:ascii="Times New Roman" w:hAnsi="Times New Roman"/>
          <w:sz w:val="24"/>
          <w:szCs w:val="24"/>
        </w:rPr>
        <w:fldChar w:fldCharType="end"/>
      </w:r>
    </w:p>
    <w:p w14:paraId="34D2AE68">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"_Toc508642542" </w:instrText>
      </w:r>
      <w:r>
        <w:fldChar w:fldCharType="separate"/>
      </w:r>
      <w:r>
        <w:rPr>
          <w:rStyle w:val="64"/>
          <w:rFonts w:ascii="Times New Roman" w:hAnsi="Times New Roman"/>
          <w:i w:val="0"/>
          <w:sz w:val="24"/>
          <w:szCs w:val="24"/>
          <w:lang w:bidi="en-US"/>
        </w:rPr>
        <w:t>10.3.1环境监测目的</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_Toc508642542 \h </w:instrText>
      </w:r>
      <w:r>
        <w:rPr>
          <w:rFonts w:ascii="Times New Roman" w:hAnsi="Times New Roman"/>
          <w:i w:val="0"/>
          <w:sz w:val="24"/>
          <w:szCs w:val="24"/>
        </w:rPr>
        <w:fldChar w:fldCharType="separate"/>
      </w:r>
      <w:r>
        <w:rPr>
          <w:rFonts w:ascii="Times New Roman" w:hAnsi="Times New Roman"/>
          <w:i w:val="0"/>
          <w:sz w:val="24"/>
          <w:szCs w:val="24"/>
        </w:rPr>
        <w:t>110</w:t>
      </w:r>
      <w:r>
        <w:rPr>
          <w:rFonts w:ascii="Times New Roman" w:hAnsi="Times New Roman"/>
          <w:i w:val="0"/>
          <w:sz w:val="24"/>
          <w:szCs w:val="24"/>
        </w:rPr>
        <w:fldChar w:fldCharType="end"/>
      </w:r>
      <w:r>
        <w:rPr>
          <w:rFonts w:ascii="Times New Roman" w:hAnsi="Times New Roman"/>
          <w:i w:val="0"/>
          <w:sz w:val="24"/>
          <w:szCs w:val="24"/>
        </w:rPr>
        <w:fldChar w:fldCharType="end"/>
      </w:r>
    </w:p>
    <w:p w14:paraId="77275D7D">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"_Toc508642543" </w:instrText>
      </w:r>
      <w:r>
        <w:fldChar w:fldCharType="separate"/>
      </w:r>
      <w:r>
        <w:rPr>
          <w:rStyle w:val="64"/>
          <w:rFonts w:ascii="Times New Roman" w:hAnsi="Times New Roman"/>
          <w:i w:val="0"/>
          <w:sz w:val="24"/>
          <w:szCs w:val="24"/>
          <w:lang w:bidi="en-US"/>
        </w:rPr>
        <w:t>10.3.2环境监测内容</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_Toc508642543 \h </w:instrText>
      </w:r>
      <w:r>
        <w:rPr>
          <w:rFonts w:ascii="Times New Roman" w:hAnsi="Times New Roman"/>
          <w:i w:val="0"/>
          <w:sz w:val="24"/>
          <w:szCs w:val="24"/>
        </w:rPr>
        <w:fldChar w:fldCharType="separate"/>
      </w:r>
      <w:r>
        <w:rPr>
          <w:rFonts w:ascii="Times New Roman" w:hAnsi="Times New Roman"/>
          <w:i w:val="0"/>
          <w:sz w:val="24"/>
          <w:szCs w:val="24"/>
        </w:rPr>
        <w:t>111</w:t>
      </w:r>
      <w:r>
        <w:rPr>
          <w:rFonts w:ascii="Times New Roman" w:hAnsi="Times New Roman"/>
          <w:i w:val="0"/>
          <w:sz w:val="24"/>
          <w:szCs w:val="24"/>
        </w:rPr>
        <w:fldChar w:fldCharType="end"/>
      </w:r>
      <w:r>
        <w:rPr>
          <w:rFonts w:ascii="Times New Roman" w:hAnsi="Times New Roman"/>
          <w:i w:val="0"/>
          <w:sz w:val="24"/>
          <w:szCs w:val="24"/>
        </w:rPr>
        <w:fldChar w:fldCharType="end"/>
      </w:r>
    </w:p>
    <w:p w14:paraId="4A12A504">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"_Toc508642544" </w:instrText>
      </w:r>
      <w:r>
        <w:fldChar w:fldCharType="separate"/>
      </w:r>
      <w:r>
        <w:rPr>
          <w:rStyle w:val="64"/>
          <w:rFonts w:ascii="Times New Roman" w:hAnsi="Times New Roman"/>
          <w:sz w:val="24"/>
          <w:szCs w:val="24"/>
        </w:rPr>
        <w:t>10.4环境保护竣工验收</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_Toc508642544 \h </w:instrText>
      </w:r>
      <w:r>
        <w:rPr>
          <w:rFonts w:ascii="Times New Roman" w:hAnsi="Times New Roman"/>
          <w:sz w:val="24"/>
          <w:szCs w:val="24"/>
        </w:rPr>
        <w:fldChar w:fldCharType="separate"/>
      </w:r>
      <w:r>
        <w:rPr>
          <w:rFonts w:ascii="Times New Roman" w:hAnsi="Times New Roman"/>
          <w:sz w:val="24"/>
          <w:szCs w:val="24"/>
        </w:rPr>
        <w:t>111</w:t>
      </w:r>
      <w:r>
        <w:rPr>
          <w:rFonts w:ascii="Times New Roman" w:hAnsi="Times New Roman"/>
          <w:sz w:val="24"/>
          <w:szCs w:val="24"/>
        </w:rPr>
        <w:fldChar w:fldCharType="end"/>
      </w:r>
      <w:r>
        <w:rPr>
          <w:rFonts w:ascii="Times New Roman" w:hAnsi="Times New Roman"/>
          <w:sz w:val="24"/>
          <w:szCs w:val="24"/>
        </w:rPr>
        <w:fldChar w:fldCharType="end"/>
      </w:r>
    </w:p>
    <w:p w14:paraId="6D775FD9">
      <w:pPr>
        <w:pStyle w:val="38"/>
        <w:tabs>
          <w:tab w:val="right" w:leader="dot" w:pos="8720"/>
        </w:tabs>
        <w:spacing w:line="276" w:lineRule="auto"/>
        <w:ind w:firstLine="0" w:firstLineChars="0"/>
        <w:rPr>
          <w:rFonts w:ascii="Times New Roman" w:hAnsi="Times New Roman" w:eastAsiaTheme="minorEastAsia"/>
          <w:b w:val="0"/>
          <w:bCs w:val="0"/>
          <w:caps w:val="0"/>
          <w:sz w:val="24"/>
          <w:szCs w:val="24"/>
        </w:rPr>
      </w:pPr>
      <w:r>
        <w:fldChar w:fldCharType="begin"/>
      </w:r>
      <w:r>
        <w:instrText xml:space="preserve"> HYPERLINK \l "_Toc508642545" </w:instrText>
      </w:r>
      <w:r>
        <w:fldChar w:fldCharType="separate"/>
      </w:r>
      <w:r>
        <w:rPr>
          <w:rStyle w:val="64"/>
          <w:rFonts w:ascii="Times New Roman" w:hAnsi="Times New Roman"/>
          <w:sz w:val="24"/>
          <w:szCs w:val="24"/>
        </w:rPr>
        <w:t>11环境保护投资及环境经济损益分析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_Toc508642545 \h </w:instrText>
      </w:r>
      <w:r>
        <w:rPr>
          <w:rFonts w:ascii="Times New Roman" w:hAnsi="Times New Roman"/>
          <w:sz w:val="24"/>
          <w:szCs w:val="24"/>
        </w:rPr>
        <w:fldChar w:fldCharType="separate"/>
      </w:r>
      <w:r>
        <w:rPr>
          <w:rFonts w:ascii="Times New Roman" w:hAnsi="Times New Roman"/>
          <w:sz w:val="24"/>
          <w:szCs w:val="24"/>
        </w:rPr>
        <w:t>114</w:t>
      </w:r>
      <w:r>
        <w:rPr>
          <w:rFonts w:ascii="Times New Roman" w:hAnsi="Times New Roman"/>
          <w:sz w:val="24"/>
          <w:szCs w:val="24"/>
        </w:rPr>
        <w:fldChar w:fldCharType="end"/>
      </w:r>
      <w:r>
        <w:rPr>
          <w:rFonts w:ascii="Times New Roman" w:hAnsi="Times New Roman"/>
          <w:sz w:val="24"/>
          <w:szCs w:val="24"/>
        </w:rPr>
        <w:fldChar w:fldCharType="end"/>
      </w:r>
    </w:p>
    <w:p w14:paraId="5E5AD963">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"_Toc508642546" </w:instrText>
      </w:r>
      <w:r>
        <w:fldChar w:fldCharType="separate"/>
      </w:r>
      <w:r>
        <w:rPr>
          <w:rStyle w:val="64"/>
          <w:rFonts w:ascii="Times New Roman" w:hAnsi="Times New Roman"/>
          <w:sz w:val="24"/>
          <w:szCs w:val="24"/>
        </w:rPr>
        <w:t>11.1原则</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_Toc508642546 \h </w:instrText>
      </w:r>
      <w:r>
        <w:rPr>
          <w:rFonts w:ascii="Times New Roman" w:hAnsi="Times New Roman"/>
          <w:sz w:val="24"/>
          <w:szCs w:val="24"/>
        </w:rPr>
        <w:fldChar w:fldCharType="separate"/>
      </w:r>
      <w:r>
        <w:rPr>
          <w:rFonts w:ascii="Times New Roman" w:hAnsi="Times New Roman"/>
          <w:sz w:val="24"/>
          <w:szCs w:val="24"/>
        </w:rPr>
        <w:t>114</w:t>
      </w:r>
      <w:r>
        <w:rPr>
          <w:rFonts w:ascii="Times New Roman" w:hAnsi="Times New Roman"/>
          <w:sz w:val="24"/>
          <w:szCs w:val="24"/>
        </w:rPr>
        <w:fldChar w:fldCharType="end"/>
      </w:r>
      <w:r>
        <w:rPr>
          <w:rFonts w:ascii="Times New Roman" w:hAnsi="Times New Roman"/>
          <w:sz w:val="24"/>
          <w:szCs w:val="24"/>
        </w:rPr>
        <w:fldChar w:fldCharType="end"/>
      </w:r>
    </w:p>
    <w:p w14:paraId="4EB85009">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"_Toc508642547" </w:instrText>
      </w:r>
      <w:r>
        <w:fldChar w:fldCharType="separate"/>
      </w:r>
      <w:r>
        <w:rPr>
          <w:rStyle w:val="64"/>
          <w:rFonts w:ascii="Times New Roman" w:hAnsi="Times New Roman"/>
          <w:sz w:val="24"/>
          <w:szCs w:val="24"/>
        </w:rPr>
        <w:t>11.2环境经济损益综合分析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_Toc508642547 \h </w:instrText>
      </w:r>
      <w:r>
        <w:rPr>
          <w:rFonts w:ascii="Times New Roman" w:hAnsi="Times New Roman"/>
          <w:sz w:val="24"/>
          <w:szCs w:val="24"/>
        </w:rPr>
        <w:fldChar w:fldCharType="separate"/>
      </w:r>
      <w:r>
        <w:rPr>
          <w:rFonts w:ascii="Times New Roman" w:hAnsi="Times New Roman"/>
          <w:sz w:val="24"/>
          <w:szCs w:val="24"/>
        </w:rPr>
        <w:t>114</w:t>
      </w:r>
      <w:r>
        <w:rPr>
          <w:rFonts w:ascii="Times New Roman" w:hAnsi="Times New Roman"/>
          <w:sz w:val="24"/>
          <w:szCs w:val="24"/>
        </w:rPr>
        <w:fldChar w:fldCharType="end"/>
      </w:r>
      <w:r>
        <w:rPr>
          <w:rFonts w:ascii="Times New Roman" w:hAnsi="Times New Roman"/>
          <w:sz w:val="24"/>
          <w:szCs w:val="24"/>
        </w:rPr>
        <w:fldChar w:fldCharType="end"/>
      </w:r>
    </w:p>
    <w:p w14:paraId="44D389B0">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"_Toc508642548" </w:instrText>
      </w:r>
      <w:r>
        <w:fldChar w:fldCharType="separate"/>
      </w:r>
      <w:r>
        <w:rPr>
          <w:rStyle w:val="64"/>
          <w:rFonts w:ascii="Times New Roman" w:hAnsi="Times New Roman"/>
          <w:i w:val="0"/>
          <w:sz w:val="24"/>
          <w:szCs w:val="24"/>
          <w:lang w:bidi="en-US"/>
        </w:rPr>
        <w:t>11.2.1环保投资估算</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_Toc508642548 \h </w:instrText>
      </w:r>
      <w:r>
        <w:rPr>
          <w:rFonts w:ascii="Times New Roman" w:hAnsi="Times New Roman"/>
          <w:i w:val="0"/>
          <w:sz w:val="24"/>
          <w:szCs w:val="24"/>
        </w:rPr>
        <w:fldChar w:fldCharType="separate"/>
      </w:r>
      <w:r>
        <w:rPr>
          <w:rFonts w:ascii="Times New Roman" w:hAnsi="Times New Roman"/>
          <w:i w:val="0"/>
          <w:sz w:val="24"/>
          <w:szCs w:val="24"/>
        </w:rPr>
        <w:t>114</w:t>
      </w:r>
      <w:r>
        <w:rPr>
          <w:rFonts w:ascii="Times New Roman" w:hAnsi="Times New Roman"/>
          <w:i w:val="0"/>
          <w:sz w:val="24"/>
          <w:szCs w:val="24"/>
        </w:rPr>
        <w:fldChar w:fldCharType="end"/>
      </w:r>
      <w:r>
        <w:rPr>
          <w:rFonts w:ascii="Times New Roman" w:hAnsi="Times New Roman"/>
          <w:i w:val="0"/>
          <w:sz w:val="24"/>
          <w:szCs w:val="24"/>
        </w:rPr>
        <w:fldChar w:fldCharType="end"/>
      </w:r>
    </w:p>
    <w:p w14:paraId="7C2C205D">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"_Toc508642549" </w:instrText>
      </w:r>
      <w:r>
        <w:fldChar w:fldCharType="separate"/>
      </w:r>
      <w:r>
        <w:rPr>
          <w:rStyle w:val="64"/>
          <w:rFonts w:ascii="Times New Roman" w:hAnsi="Times New Roman"/>
          <w:i w:val="0"/>
          <w:sz w:val="24"/>
          <w:szCs w:val="24"/>
          <w:lang w:bidi="en-US"/>
        </w:rPr>
        <w:t>11.2.2 环境经济损益分析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_Toc508642549 \h </w:instrText>
      </w:r>
      <w:r>
        <w:rPr>
          <w:rFonts w:ascii="Times New Roman" w:hAnsi="Times New Roman"/>
          <w:i w:val="0"/>
          <w:sz w:val="24"/>
          <w:szCs w:val="24"/>
        </w:rPr>
        <w:fldChar w:fldCharType="separate"/>
      </w:r>
      <w:r>
        <w:rPr>
          <w:rFonts w:ascii="Times New Roman" w:hAnsi="Times New Roman"/>
          <w:i w:val="0"/>
          <w:sz w:val="24"/>
          <w:szCs w:val="24"/>
        </w:rPr>
        <w:t>115</w:t>
      </w:r>
      <w:r>
        <w:rPr>
          <w:rFonts w:ascii="Times New Roman" w:hAnsi="Times New Roman"/>
          <w:i w:val="0"/>
          <w:sz w:val="24"/>
          <w:szCs w:val="24"/>
        </w:rPr>
        <w:fldChar w:fldCharType="end"/>
      </w:r>
      <w:r>
        <w:rPr>
          <w:rFonts w:ascii="Times New Roman" w:hAnsi="Times New Roman"/>
          <w:i w:val="0"/>
          <w:sz w:val="24"/>
          <w:szCs w:val="24"/>
        </w:rPr>
        <w:fldChar w:fldCharType="end"/>
      </w:r>
    </w:p>
    <w:p w14:paraId="235BC9EA">
      <w:pPr>
        <w:pStyle w:val="30"/>
        <w:tabs>
          <w:tab w:val="right" w:leader="dot" w:pos="8720"/>
        </w:tabs>
        <w:spacing w:line="276" w:lineRule="auto"/>
        <w:ind w:firstLine="0" w:firstLineChars="0"/>
        <w:rPr>
          <w:rFonts w:ascii="Times New Roman" w:hAnsi="Times New Roman" w:eastAsiaTheme="minorEastAsia"/>
          <w:i w:val="0"/>
          <w:iCs w:val="0"/>
          <w:sz w:val="24"/>
          <w:szCs w:val="24"/>
        </w:rPr>
      </w:pPr>
      <w:r>
        <w:fldChar w:fldCharType="begin"/>
      </w:r>
      <w:r>
        <w:instrText xml:space="preserve"> HYPERLINK \l "_Toc508642550" </w:instrText>
      </w:r>
      <w:r>
        <w:fldChar w:fldCharType="separate"/>
      </w:r>
      <w:r>
        <w:rPr>
          <w:rStyle w:val="64"/>
          <w:rFonts w:ascii="Times New Roman" w:hAnsi="Times New Roman"/>
          <w:i w:val="0"/>
          <w:sz w:val="24"/>
          <w:szCs w:val="24"/>
          <w:lang w:bidi="en-US"/>
        </w:rPr>
        <w:t>11.2.3环境经济损益分析结论</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_Toc508642550 \h </w:instrText>
      </w:r>
      <w:r>
        <w:rPr>
          <w:rFonts w:ascii="Times New Roman" w:hAnsi="Times New Roman"/>
          <w:i w:val="0"/>
          <w:sz w:val="24"/>
          <w:szCs w:val="24"/>
        </w:rPr>
        <w:fldChar w:fldCharType="separate"/>
      </w:r>
      <w:r>
        <w:rPr>
          <w:rFonts w:ascii="Times New Roman" w:hAnsi="Times New Roman"/>
          <w:i w:val="0"/>
          <w:sz w:val="24"/>
          <w:szCs w:val="24"/>
        </w:rPr>
        <w:t>116</w:t>
      </w:r>
      <w:r>
        <w:rPr>
          <w:rFonts w:ascii="Times New Roman" w:hAnsi="Times New Roman"/>
          <w:i w:val="0"/>
          <w:sz w:val="24"/>
          <w:szCs w:val="24"/>
        </w:rPr>
        <w:fldChar w:fldCharType="end"/>
      </w:r>
      <w:r>
        <w:rPr>
          <w:rFonts w:ascii="Times New Roman" w:hAnsi="Times New Roman"/>
          <w:i w:val="0"/>
          <w:sz w:val="24"/>
          <w:szCs w:val="24"/>
        </w:rPr>
        <w:fldChar w:fldCharType="end"/>
      </w:r>
    </w:p>
    <w:p w14:paraId="7EEEA2A3">
      <w:pPr>
        <w:pStyle w:val="38"/>
        <w:tabs>
          <w:tab w:val="right" w:leader="dot" w:pos="8720"/>
        </w:tabs>
        <w:spacing w:line="276" w:lineRule="auto"/>
        <w:ind w:firstLine="0" w:firstLineChars="0"/>
        <w:rPr>
          <w:rFonts w:ascii="Times New Roman" w:hAnsi="Times New Roman" w:eastAsiaTheme="minorEastAsia"/>
          <w:b w:val="0"/>
          <w:bCs w:val="0"/>
          <w:caps w:val="0"/>
          <w:sz w:val="24"/>
          <w:szCs w:val="24"/>
        </w:rPr>
      </w:pPr>
      <w:r>
        <w:fldChar w:fldCharType="begin"/>
      </w:r>
      <w:r>
        <w:instrText xml:space="preserve"> HYPERLINK \l "_Toc508642551" </w:instrText>
      </w:r>
      <w:r>
        <w:fldChar w:fldCharType="separate"/>
      </w:r>
      <w:r>
        <w:rPr>
          <w:rStyle w:val="64"/>
          <w:rFonts w:ascii="Times New Roman" w:hAnsi="Times New Roman"/>
          <w:sz w:val="24"/>
          <w:szCs w:val="24"/>
        </w:rPr>
        <w:t>12评价结论</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_Toc508642551 \h </w:instrText>
      </w:r>
      <w:r>
        <w:rPr>
          <w:rFonts w:ascii="Times New Roman" w:hAnsi="Times New Roman"/>
          <w:sz w:val="24"/>
          <w:szCs w:val="24"/>
        </w:rPr>
        <w:fldChar w:fldCharType="separate"/>
      </w:r>
      <w:r>
        <w:rPr>
          <w:rFonts w:ascii="Times New Roman" w:hAnsi="Times New Roman"/>
          <w:sz w:val="24"/>
          <w:szCs w:val="24"/>
        </w:rPr>
        <w:t>118</w:t>
      </w:r>
      <w:r>
        <w:rPr>
          <w:rFonts w:ascii="Times New Roman" w:hAnsi="Times New Roman"/>
          <w:sz w:val="24"/>
          <w:szCs w:val="24"/>
        </w:rPr>
        <w:fldChar w:fldCharType="end"/>
      </w:r>
      <w:r>
        <w:rPr>
          <w:rFonts w:ascii="Times New Roman" w:hAnsi="Times New Roman"/>
          <w:sz w:val="24"/>
          <w:szCs w:val="24"/>
        </w:rPr>
        <w:fldChar w:fldCharType="end"/>
      </w:r>
    </w:p>
    <w:p w14:paraId="5AC04740">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"_Toc508642552" </w:instrText>
      </w:r>
      <w:r>
        <w:fldChar w:fldCharType="separate"/>
      </w:r>
      <w:r>
        <w:rPr>
          <w:rStyle w:val="64"/>
          <w:rFonts w:ascii="Times New Roman" w:hAnsi="Times New Roman"/>
          <w:sz w:val="24"/>
          <w:szCs w:val="24"/>
        </w:rPr>
        <w:t>12.1项目概况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_Toc508642552 \h </w:instrText>
      </w:r>
      <w:r>
        <w:rPr>
          <w:rFonts w:ascii="Times New Roman" w:hAnsi="Times New Roman"/>
          <w:sz w:val="24"/>
          <w:szCs w:val="24"/>
        </w:rPr>
        <w:fldChar w:fldCharType="separate"/>
      </w:r>
      <w:r>
        <w:rPr>
          <w:rFonts w:ascii="Times New Roman" w:hAnsi="Times New Roman"/>
          <w:sz w:val="24"/>
          <w:szCs w:val="24"/>
        </w:rPr>
        <w:t>118</w:t>
      </w:r>
      <w:r>
        <w:rPr>
          <w:rFonts w:ascii="Times New Roman" w:hAnsi="Times New Roman"/>
          <w:sz w:val="24"/>
          <w:szCs w:val="24"/>
        </w:rPr>
        <w:fldChar w:fldCharType="end"/>
      </w:r>
      <w:r>
        <w:rPr>
          <w:rFonts w:ascii="Times New Roman" w:hAnsi="Times New Roman"/>
          <w:sz w:val="24"/>
          <w:szCs w:val="24"/>
        </w:rPr>
        <w:fldChar w:fldCharType="end"/>
      </w:r>
    </w:p>
    <w:p w14:paraId="4C26F01E">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"_Toc508642553" </w:instrText>
      </w:r>
      <w:r>
        <w:fldChar w:fldCharType="separate"/>
      </w:r>
      <w:r>
        <w:rPr>
          <w:rStyle w:val="64"/>
          <w:rFonts w:ascii="Times New Roman" w:hAnsi="Times New Roman"/>
          <w:sz w:val="24"/>
          <w:szCs w:val="24"/>
        </w:rPr>
        <w:t>12.2与国家产业政策及相关规划符合性</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_Toc508642553 \h </w:instrText>
      </w:r>
      <w:r>
        <w:rPr>
          <w:rFonts w:ascii="Times New Roman" w:hAnsi="Times New Roman"/>
          <w:sz w:val="24"/>
          <w:szCs w:val="24"/>
        </w:rPr>
        <w:fldChar w:fldCharType="separate"/>
      </w:r>
      <w:r>
        <w:rPr>
          <w:rFonts w:ascii="Times New Roman" w:hAnsi="Times New Roman"/>
          <w:sz w:val="24"/>
          <w:szCs w:val="24"/>
        </w:rPr>
        <w:t>118</w:t>
      </w:r>
      <w:r>
        <w:rPr>
          <w:rFonts w:ascii="Times New Roman" w:hAnsi="Times New Roman"/>
          <w:sz w:val="24"/>
          <w:szCs w:val="24"/>
        </w:rPr>
        <w:fldChar w:fldCharType="end"/>
      </w:r>
      <w:r>
        <w:rPr>
          <w:rFonts w:ascii="Times New Roman" w:hAnsi="Times New Roman"/>
          <w:sz w:val="24"/>
          <w:szCs w:val="24"/>
        </w:rPr>
        <w:fldChar w:fldCharType="end"/>
      </w:r>
    </w:p>
    <w:p w14:paraId="008B19FC">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"_Toc508642554" </w:instrText>
      </w:r>
      <w:r>
        <w:fldChar w:fldCharType="separate"/>
      </w:r>
      <w:r>
        <w:rPr>
          <w:rStyle w:val="64"/>
          <w:rFonts w:ascii="Times New Roman" w:hAnsi="Times New Roman"/>
          <w:sz w:val="24"/>
          <w:szCs w:val="24"/>
        </w:rPr>
        <w:t>12.3环境质量现状</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_Toc508642554 \h </w:instrText>
      </w:r>
      <w:r>
        <w:rPr>
          <w:rFonts w:ascii="Times New Roman" w:hAnsi="Times New Roman"/>
          <w:sz w:val="24"/>
          <w:szCs w:val="24"/>
        </w:rPr>
        <w:fldChar w:fldCharType="separate"/>
      </w:r>
      <w:r>
        <w:rPr>
          <w:rFonts w:ascii="Times New Roman" w:hAnsi="Times New Roman"/>
          <w:sz w:val="24"/>
          <w:szCs w:val="24"/>
        </w:rPr>
        <w:t>118</w:t>
      </w:r>
      <w:r>
        <w:rPr>
          <w:rFonts w:ascii="Times New Roman" w:hAnsi="Times New Roman"/>
          <w:sz w:val="24"/>
          <w:szCs w:val="24"/>
        </w:rPr>
        <w:fldChar w:fldCharType="end"/>
      </w:r>
      <w:r>
        <w:rPr>
          <w:rFonts w:ascii="Times New Roman" w:hAnsi="Times New Roman"/>
          <w:sz w:val="24"/>
          <w:szCs w:val="24"/>
        </w:rPr>
        <w:fldChar w:fldCharType="end"/>
      </w:r>
    </w:p>
    <w:p w14:paraId="5439B555">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"_Toc508642555" </w:instrText>
      </w:r>
      <w:r>
        <w:fldChar w:fldCharType="separate"/>
      </w:r>
      <w:r>
        <w:rPr>
          <w:rStyle w:val="64"/>
          <w:rFonts w:ascii="Times New Roman" w:hAnsi="Times New Roman"/>
          <w:sz w:val="24"/>
          <w:szCs w:val="24"/>
        </w:rPr>
        <w:t>12.4主要环境影响</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_Toc508642555 \h </w:instrText>
      </w:r>
      <w:r>
        <w:rPr>
          <w:rFonts w:ascii="Times New Roman" w:hAnsi="Times New Roman"/>
          <w:sz w:val="24"/>
          <w:szCs w:val="24"/>
        </w:rPr>
        <w:fldChar w:fldCharType="separate"/>
      </w:r>
      <w:r>
        <w:rPr>
          <w:rFonts w:ascii="Times New Roman" w:hAnsi="Times New Roman"/>
          <w:sz w:val="24"/>
          <w:szCs w:val="24"/>
        </w:rPr>
        <w:t>120</w:t>
      </w:r>
      <w:r>
        <w:rPr>
          <w:rFonts w:ascii="Times New Roman" w:hAnsi="Times New Roman"/>
          <w:sz w:val="24"/>
          <w:szCs w:val="24"/>
        </w:rPr>
        <w:fldChar w:fldCharType="end"/>
      </w:r>
      <w:r>
        <w:rPr>
          <w:rFonts w:ascii="Times New Roman" w:hAnsi="Times New Roman"/>
          <w:sz w:val="24"/>
          <w:szCs w:val="24"/>
        </w:rPr>
        <w:fldChar w:fldCharType="end"/>
      </w:r>
    </w:p>
    <w:p w14:paraId="519AD7D9">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"_Toc508642556" </w:instrText>
      </w:r>
      <w:r>
        <w:fldChar w:fldCharType="separate"/>
      </w:r>
      <w:r>
        <w:rPr>
          <w:rStyle w:val="64"/>
          <w:rFonts w:ascii="Times New Roman" w:hAnsi="Times New Roman"/>
          <w:sz w:val="24"/>
          <w:szCs w:val="24"/>
        </w:rPr>
        <w:t>12.5环境保护措施</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_Toc508642556 \h </w:instrText>
      </w:r>
      <w:r>
        <w:rPr>
          <w:rFonts w:ascii="Times New Roman" w:hAnsi="Times New Roman"/>
          <w:sz w:val="24"/>
          <w:szCs w:val="24"/>
        </w:rPr>
        <w:fldChar w:fldCharType="separate"/>
      </w:r>
      <w:r>
        <w:rPr>
          <w:rFonts w:ascii="Times New Roman" w:hAnsi="Times New Roman"/>
          <w:sz w:val="24"/>
          <w:szCs w:val="24"/>
        </w:rPr>
        <w:t>121</w:t>
      </w:r>
      <w:r>
        <w:rPr>
          <w:rFonts w:ascii="Times New Roman" w:hAnsi="Times New Roman"/>
          <w:sz w:val="24"/>
          <w:szCs w:val="24"/>
        </w:rPr>
        <w:fldChar w:fldCharType="end"/>
      </w:r>
      <w:r>
        <w:rPr>
          <w:rFonts w:ascii="Times New Roman" w:hAnsi="Times New Roman"/>
          <w:sz w:val="24"/>
          <w:szCs w:val="24"/>
        </w:rPr>
        <w:fldChar w:fldCharType="end"/>
      </w:r>
    </w:p>
    <w:p w14:paraId="70E5F2C5">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"_Toc508642557" </w:instrText>
      </w:r>
      <w:r>
        <w:fldChar w:fldCharType="separate"/>
      </w:r>
      <w:r>
        <w:rPr>
          <w:rStyle w:val="64"/>
          <w:rFonts w:ascii="Times New Roman" w:hAnsi="Times New Roman"/>
          <w:sz w:val="24"/>
          <w:szCs w:val="24"/>
        </w:rPr>
        <w:t>12.6公众意见采纳情况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_Toc508642557 \h </w:instrText>
      </w:r>
      <w:r>
        <w:rPr>
          <w:rFonts w:ascii="Times New Roman" w:hAnsi="Times New Roman"/>
          <w:sz w:val="24"/>
          <w:szCs w:val="24"/>
        </w:rPr>
        <w:fldChar w:fldCharType="separate"/>
      </w:r>
      <w:r>
        <w:rPr>
          <w:rFonts w:ascii="Times New Roman" w:hAnsi="Times New Roman"/>
          <w:sz w:val="24"/>
          <w:szCs w:val="24"/>
        </w:rPr>
        <w:t>123</w:t>
      </w:r>
      <w:r>
        <w:rPr>
          <w:rFonts w:ascii="Times New Roman" w:hAnsi="Times New Roman"/>
          <w:sz w:val="24"/>
          <w:szCs w:val="24"/>
        </w:rPr>
        <w:fldChar w:fldCharType="end"/>
      </w:r>
      <w:r>
        <w:rPr>
          <w:rFonts w:ascii="Times New Roman" w:hAnsi="Times New Roman"/>
          <w:sz w:val="24"/>
          <w:szCs w:val="24"/>
        </w:rPr>
        <w:fldChar w:fldCharType="end"/>
      </w:r>
    </w:p>
    <w:p w14:paraId="702E191D">
      <w:pPr>
        <w:pStyle w:val="45"/>
        <w:tabs>
          <w:tab w:val="right" w:leader="dot" w:pos="8720"/>
        </w:tabs>
        <w:spacing w:line="276" w:lineRule="auto"/>
        <w:ind w:firstLine="0" w:firstLineChars="0"/>
        <w:rPr>
          <w:rFonts w:ascii="Times New Roman" w:hAnsi="Times New Roman" w:eastAsiaTheme="minorEastAsia"/>
          <w:smallCaps w:val="0"/>
          <w:sz w:val="24"/>
          <w:szCs w:val="24"/>
        </w:rPr>
      </w:pPr>
      <w:r>
        <w:fldChar w:fldCharType="begin"/>
      </w:r>
      <w:r>
        <w:instrText xml:space="preserve"> HYPERLINK \l "_Toc508642558" </w:instrText>
      </w:r>
      <w:r>
        <w:fldChar w:fldCharType="separate"/>
      </w:r>
      <w:r>
        <w:rPr>
          <w:rStyle w:val="64"/>
          <w:rFonts w:ascii="Times New Roman" w:hAnsi="Times New Roman"/>
          <w:sz w:val="24"/>
          <w:szCs w:val="24"/>
        </w:rPr>
        <w:t>12.7综合评价结论</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_Toc508642558 \h </w:instrText>
      </w:r>
      <w:r>
        <w:rPr>
          <w:rFonts w:ascii="Times New Roman" w:hAnsi="Times New Roman"/>
          <w:sz w:val="24"/>
          <w:szCs w:val="24"/>
        </w:rPr>
        <w:fldChar w:fldCharType="separate"/>
      </w:r>
      <w:r>
        <w:rPr>
          <w:rFonts w:ascii="Times New Roman" w:hAnsi="Times New Roman"/>
          <w:sz w:val="24"/>
          <w:szCs w:val="24"/>
        </w:rPr>
        <w:t>123</w:t>
      </w:r>
      <w:r>
        <w:rPr>
          <w:rFonts w:ascii="Times New Roman" w:hAnsi="Times New Roman"/>
          <w:sz w:val="24"/>
          <w:szCs w:val="24"/>
        </w:rPr>
        <w:fldChar w:fldCharType="end"/>
      </w:r>
      <w:r>
        <w:rPr>
          <w:rFonts w:ascii="Times New Roman" w:hAnsi="Times New Roman"/>
          <w:sz w:val="24"/>
          <w:szCs w:val="24"/>
        </w:rPr>
        <w:fldChar w:fldCharType="end"/>
      </w:r>
    </w:p>
    <w:p w14:paraId="7CCA9B19">
      <w:pPr>
        <w:pStyle w:val="45"/>
        <w:tabs>
          <w:tab w:val="right" w:leader="dot" w:pos="8720"/>
        </w:tabs>
        <w:spacing w:line="240" w:lineRule="auto"/>
        <w:ind w:firstLine="400"/>
      </w:pPr>
      <w:r>
        <w:rPr>
          <w:rFonts w:ascii="Times New Roman" w:hAnsi="Times New Roman" w:eastAsiaTheme="minorEastAsia"/>
          <w:highlight w:val="yellow"/>
        </w:rPr>
        <w:fldChar w:fldCharType="end"/>
      </w:r>
      <w:r>
        <w:br w:type="page"/>
      </w:r>
    </w:p>
    <w:p w14:paraId="6DF39A8C">
      <w:pPr>
        <w:keepNext/>
        <w:keepLines/>
        <w:tabs>
          <w:tab w:val="left" w:pos="0"/>
        </w:tabs>
        <w:ind w:firstLine="562"/>
        <w:outlineLvl w:val="0"/>
        <w:rPr>
          <w:rFonts w:ascii="宋体" w:hAnsi="宋体" w:cs="宋体"/>
          <w:b/>
          <w:bCs/>
          <w:kern w:val="44"/>
          <w:sz w:val="28"/>
          <w:szCs w:val="20"/>
        </w:rPr>
      </w:pPr>
      <w:bookmarkStart w:id="26" w:name="_Toc443655352"/>
      <w:bookmarkStart w:id="27" w:name="_Toc445465397"/>
      <w:bookmarkStart w:id="28" w:name="_Toc502914140"/>
      <w:bookmarkStart w:id="29" w:name="_Toc468129689"/>
      <w:bookmarkStart w:id="30" w:name="_Toc471415570"/>
      <w:bookmarkStart w:id="31" w:name="_Toc475043834"/>
      <w:bookmarkStart w:id="32" w:name="_Toc444099627"/>
      <w:bookmarkStart w:id="33" w:name="_Toc443655582"/>
      <w:bookmarkStart w:id="34" w:name="_Toc502938518"/>
      <w:bookmarkStart w:id="35" w:name="_Toc508642390"/>
      <w:bookmarkStart w:id="36" w:name="_Toc471737941"/>
      <w:r>
        <w:rPr>
          <w:rFonts w:hint="eastAsia" w:ascii="宋体" w:hAnsi="宋体" w:cs="宋体"/>
          <w:b/>
          <w:bCs/>
          <w:kern w:val="44"/>
          <w:sz w:val="28"/>
          <w:szCs w:val="20"/>
        </w:rPr>
        <w:t>附录</w:t>
      </w:r>
      <w:bookmarkEnd w:id="26"/>
      <w:bookmarkEnd w:id="27"/>
      <w:bookmarkEnd w:id="28"/>
      <w:bookmarkEnd w:id="29"/>
      <w:bookmarkEnd w:id="30"/>
      <w:bookmarkEnd w:id="31"/>
      <w:bookmarkEnd w:id="32"/>
      <w:bookmarkEnd w:id="33"/>
      <w:bookmarkEnd w:id="34"/>
      <w:bookmarkEnd w:id="35"/>
      <w:bookmarkEnd w:id="36"/>
    </w:p>
    <w:p w14:paraId="7586063A">
      <w:pPr>
        <w:autoSpaceDE w:val="0"/>
        <w:autoSpaceDN w:val="0"/>
        <w:adjustRightInd w:val="0"/>
        <w:ind w:firstLine="480"/>
        <w:jc w:val="left"/>
        <w:rPr>
          <w:szCs w:val="24"/>
        </w:rPr>
      </w:pPr>
      <w:r>
        <w:rPr>
          <w:rFonts w:hint="eastAsia"/>
          <w:szCs w:val="24"/>
        </w:rPr>
        <w:t>附录1  评价区植物群落样方表</w:t>
      </w:r>
    </w:p>
    <w:p w14:paraId="5EA261C8">
      <w:pPr>
        <w:autoSpaceDE w:val="0"/>
        <w:autoSpaceDN w:val="0"/>
        <w:adjustRightInd w:val="0"/>
        <w:ind w:firstLine="480"/>
        <w:jc w:val="left"/>
        <w:rPr>
          <w:szCs w:val="24"/>
        </w:rPr>
      </w:pPr>
      <w:r>
        <w:rPr>
          <w:rFonts w:hint="eastAsia"/>
          <w:szCs w:val="24"/>
        </w:rPr>
        <w:t>附录</w:t>
      </w:r>
      <w:r>
        <w:rPr>
          <w:szCs w:val="24"/>
        </w:rPr>
        <w:t xml:space="preserve">2  </w:t>
      </w:r>
      <w:r>
        <w:rPr>
          <w:rFonts w:hint="eastAsia"/>
          <w:szCs w:val="24"/>
        </w:rPr>
        <w:t>评价区维管束植物名录</w:t>
      </w:r>
    </w:p>
    <w:p w14:paraId="0B98D3FC">
      <w:pPr>
        <w:autoSpaceDE w:val="0"/>
        <w:autoSpaceDN w:val="0"/>
        <w:adjustRightInd w:val="0"/>
        <w:ind w:firstLine="480"/>
        <w:jc w:val="left"/>
        <w:rPr>
          <w:szCs w:val="24"/>
        </w:rPr>
      </w:pPr>
      <w:r>
        <w:rPr>
          <w:rFonts w:hint="eastAsia"/>
          <w:szCs w:val="24"/>
        </w:rPr>
        <w:t>附录3</w:t>
      </w:r>
      <w:r>
        <w:rPr>
          <w:szCs w:val="24"/>
        </w:rPr>
        <w:t xml:space="preserve">  </w:t>
      </w:r>
      <w:r>
        <w:rPr>
          <w:rFonts w:hint="eastAsia"/>
          <w:szCs w:val="24"/>
        </w:rPr>
        <w:t>评价区脊椎动物名录</w:t>
      </w:r>
    </w:p>
    <w:p w14:paraId="37E161EA">
      <w:pPr>
        <w:widowControl/>
        <w:ind w:firstLine="562"/>
        <w:jc w:val="left"/>
        <w:rPr>
          <w:rFonts w:cstheme="majorBidi"/>
          <w:b/>
          <w:bCs/>
          <w:sz w:val="28"/>
          <w:szCs w:val="32"/>
          <w:highlight w:val="green"/>
        </w:rPr>
      </w:pPr>
    </w:p>
    <w:p w14:paraId="58D9A18C">
      <w:pPr>
        <w:widowControl/>
        <w:ind w:firstLine="562"/>
        <w:jc w:val="left"/>
        <w:rPr>
          <w:rFonts w:cstheme="majorBidi"/>
          <w:b/>
          <w:bCs/>
          <w:sz w:val="28"/>
          <w:szCs w:val="32"/>
          <w:highlight w:val="green"/>
        </w:rPr>
      </w:pPr>
    </w:p>
    <w:p w14:paraId="7EFFEB5D">
      <w:pPr>
        <w:widowControl/>
        <w:ind w:firstLine="562"/>
        <w:jc w:val="left"/>
        <w:rPr>
          <w:rFonts w:cstheme="majorBidi"/>
          <w:b/>
          <w:bCs/>
          <w:sz w:val="28"/>
          <w:szCs w:val="32"/>
        </w:rPr>
      </w:pPr>
      <w:r>
        <w:rPr>
          <w:rFonts w:hint="eastAsia" w:cstheme="majorBidi"/>
          <w:b/>
          <w:bCs/>
          <w:sz w:val="28"/>
          <w:szCs w:val="32"/>
        </w:rPr>
        <w:t>附图</w:t>
      </w:r>
    </w:p>
    <w:p w14:paraId="53B529B7">
      <w:pPr>
        <w:autoSpaceDE w:val="0"/>
        <w:autoSpaceDN w:val="0"/>
        <w:adjustRightInd w:val="0"/>
        <w:ind w:firstLine="480"/>
        <w:jc w:val="left"/>
        <w:rPr>
          <w:szCs w:val="24"/>
        </w:rPr>
      </w:pPr>
      <w:r>
        <w:rPr>
          <w:rFonts w:hint="eastAsia"/>
          <w:szCs w:val="24"/>
        </w:rPr>
        <w:t>附图1  项目地理位置示意图</w:t>
      </w:r>
    </w:p>
    <w:p w14:paraId="37FE1D2C">
      <w:pPr>
        <w:autoSpaceDE w:val="0"/>
        <w:autoSpaceDN w:val="0"/>
        <w:adjustRightInd w:val="0"/>
        <w:ind w:firstLine="480"/>
        <w:jc w:val="left"/>
        <w:rPr>
          <w:szCs w:val="24"/>
        </w:rPr>
      </w:pPr>
      <w:r>
        <w:rPr>
          <w:szCs w:val="24"/>
        </w:rPr>
        <w:t>附图</w:t>
      </w:r>
      <w:r>
        <w:rPr>
          <w:rFonts w:hint="eastAsia"/>
          <w:szCs w:val="24"/>
        </w:rPr>
        <w:t>2  项目</w:t>
      </w:r>
      <w:r>
        <w:rPr>
          <w:szCs w:val="24"/>
        </w:rPr>
        <w:t>周边关系</w:t>
      </w:r>
      <w:r>
        <w:rPr>
          <w:rFonts w:hint="eastAsia"/>
          <w:szCs w:val="24"/>
        </w:rPr>
        <w:t>示意</w:t>
      </w:r>
      <w:r>
        <w:rPr>
          <w:szCs w:val="24"/>
        </w:rPr>
        <w:t>图</w:t>
      </w:r>
    </w:p>
    <w:p w14:paraId="24748CEE">
      <w:pPr>
        <w:widowControl/>
        <w:ind w:firstLine="480"/>
        <w:jc w:val="left"/>
        <w:rPr>
          <w:szCs w:val="24"/>
        </w:rPr>
      </w:pPr>
      <w:r>
        <w:rPr>
          <w:rFonts w:hint="eastAsia"/>
          <w:szCs w:val="24"/>
        </w:rPr>
        <w:t>附图3  评价区域水系图</w:t>
      </w:r>
    </w:p>
    <w:p w14:paraId="7D4A9011">
      <w:pPr>
        <w:autoSpaceDE w:val="0"/>
        <w:autoSpaceDN w:val="0"/>
        <w:adjustRightInd w:val="0"/>
        <w:ind w:firstLine="480"/>
        <w:jc w:val="left"/>
        <w:rPr>
          <w:color w:val="FF0000"/>
          <w:szCs w:val="24"/>
        </w:rPr>
      </w:pPr>
      <w:r>
        <w:rPr>
          <w:rFonts w:hint="eastAsia"/>
          <w:color w:val="FF0000"/>
          <w:szCs w:val="24"/>
        </w:rPr>
        <w:t>附图4  项目评价工作图</w:t>
      </w:r>
    </w:p>
    <w:p w14:paraId="57E638E8">
      <w:pPr>
        <w:widowControl/>
        <w:ind w:firstLine="480"/>
        <w:jc w:val="left"/>
        <w:rPr>
          <w:color w:val="FF0000"/>
          <w:szCs w:val="24"/>
        </w:rPr>
      </w:pPr>
      <w:r>
        <w:rPr>
          <w:rFonts w:hint="eastAsia"/>
          <w:color w:val="FF0000"/>
          <w:szCs w:val="24"/>
        </w:rPr>
        <w:t>附图5  项目总平面布置图</w:t>
      </w:r>
    </w:p>
    <w:p w14:paraId="4BA493A6">
      <w:pPr>
        <w:widowControl/>
        <w:ind w:firstLine="480"/>
        <w:jc w:val="left"/>
        <w:rPr>
          <w:color w:val="FF0000"/>
          <w:szCs w:val="24"/>
        </w:rPr>
      </w:pPr>
      <w:r>
        <w:rPr>
          <w:rFonts w:hint="eastAsia"/>
          <w:color w:val="FF0000"/>
          <w:szCs w:val="24"/>
        </w:rPr>
        <w:t>附图6  施工总平面布置图</w:t>
      </w:r>
    </w:p>
    <w:p w14:paraId="700FB83D">
      <w:pPr>
        <w:widowControl/>
        <w:ind w:firstLine="480"/>
        <w:jc w:val="left"/>
        <w:rPr>
          <w:color w:val="FF0000"/>
          <w:szCs w:val="24"/>
        </w:rPr>
      </w:pPr>
      <w:r>
        <w:rPr>
          <w:rFonts w:hint="eastAsia"/>
          <w:color w:val="FF0000"/>
          <w:szCs w:val="24"/>
        </w:rPr>
        <w:t>附图7  评价区土地利用现状图</w:t>
      </w:r>
    </w:p>
    <w:p w14:paraId="1A7A6EFD">
      <w:pPr>
        <w:widowControl/>
        <w:ind w:firstLine="480"/>
        <w:jc w:val="left"/>
        <w:rPr>
          <w:color w:val="FF0000"/>
          <w:szCs w:val="24"/>
        </w:rPr>
      </w:pPr>
      <w:r>
        <w:rPr>
          <w:rFonts w:hint="eastAsia"/>
          <w:color w:val="FF0000"/>
          <w:szCs w:val="24"/>
        </w:rPr>
        <w:t>附图8  评价区植被类型分布图</w:t>
      </w:r>
    </w:p>
    <w:p w14:paraId="10B5408D">
      <w:pPr>
        <w:widowControl/>
        <w:ind w:firstLine="480"/>
        <w:jc w:val="left"/>
        <w:rPr>
          <w:color w:val="FF0000"/>
          <w:szCs w:val="24"/>
        </w:rPr>
      </w:pPr>
      <w:r>
        <w:rPr>
          <w:rFonts w:hint="eastAsia"/>
          <w:color w:val="FF0000"/>
          <w:szCs w:val="24"/>
        </w:rPr>
        <w:t>附图9 评价区生态现状调查路线图</w:t>
      </w:r>
    </w:p>
    <w:p w14:paraId="0FE3AE88">
      <w:pPr>
        <w:widowControl/>
        <w:ind w:firstLine="480"/>
        <w:jc w:val="left"/>
        <w:rPr>
          <w:color w:val="FF0000"/>
          <w:szCs w:val="24"/>
        </w:rPr>
      </w:pPr>
      <w:r>
        <w:rPr>
          <w:rFonts w:hint="eastAsia"/>
          <w:color w:val="FF0000"/>
          <w:szCs w:val="24"/>
        </w:rPr>
        <w:t>附图10 环保措施布置图</w:t>
      </w:r>
    </w:p>
    <w:p w14:paraId="4D7463FC">
      <w:pPr>
        <w:autoSpaceDE w:val="0"/>
        <w:autoSpaceDN w:val="0"/>
        <w:adjustRightInd w:val="0"/>
        <w:ind w:firstLine="480"/>
        <w:jc w:val="left"/>
        <w:rPr>
          <w:szCs w:val="24"/>
        </w:rPr>
      </w:pPr>
      <w:r>
        <w:rPr>
          <w:rFonts w:hint="eastAsia"/>
          <w:szCs w:val="24"/>
        </w:rPr>
        <w:t>附图11 项目与云南省生物多样性保护优先区域位置关系示意图</w:t>
      </w:r>
    </w:p>
    <w:p w14:paraId="68C9E812">
      <w:pPr>
        <w:autoSpaceDE w:val="0"/>
        <w:autoSpaceDN w:val="0"/>
        <w:adjustRightInd w:val="0"/>
        <w:ind w:firstLine="480"/>
        <w:jc w:val="left"/>
        <w:rPr>
          <w:szCs w:val="24"/>
        </w:rPr>
      </w:pPr>
      <w:r>
        <w:rPr>
          <w:rFonts w:hint="eastAsia"/>
          <w:szCs w:val="24"/>
        </w:rPr>
        <w:t>附图12 项目位于云南省生态功能区划位置示意图</w:t>
      </w:r>
    </w:p>
    <w:p w14:paraId="1D9B44F0">
      <w:pPr>
        <w:autoSpaceDE w:val="0"/>
        <w:autoSpaceDN w:val="0"/>
        <w:adjustRightInd w:val="0"/>
        <w:ind w:firstLine="480"/>
        <w:jc w:val="left"/>
        <w:rPr>
          <w:szCs w:val="21"/>
        </w:rPr>
      </w:pPr>
      <w:r>
        <w:rPr>
          <w:rFonts w:hint="eastAsia"/>
          <w:szCs w:val="24"/>
        </w:rPr>
        <w:t>附图13 项目与云南省主体功能区规划关系图</w:t>
      </w:r>
    </w:p>
    <w:p w14:paraId="67195166">
      <w:pPr>
        <w:widowControl/>
        <w:ind w:firstLine="480"/>
        <w:jc w:val="left"/>
        <w:rPr>
          <w:szCs w:val="24"/>
        </w:rPr>
      </w:pPr>
      <w:r>
        <w:rPr>
          <w:szCs w:val="24"/>
        </w:rPr>
        <w:br w:type="page"/>
      </w:r>
    </w:p>
    <w:p w14:paraId="0477AB0D">
      <w:pPr>
        <w:widowControl/>
        <w:ind w:firstLine="562"/>
        <w:jc w:val="left"/>
        <w:rPr>
          <w:rFonts w:cstheme="majorBidi"/>
          <w:b/>
          <w:bCs/>
          <w:sz w:val="28"/>
          <w:szCs w:val="32"/>
        </w:rPr>
      </w:pPr>
      <w:r>
        <w:rPr>
          <w:rFonts w:hint="eastAsia" w:cstheme="majorBidi"/>
          <w:b/>
          <w:bCs/>
          <w:sz w:val="28"/>
          <w:szCs w:val="32"/>
        </w:rPr>
        <w:t>附件</w:t>
      </w:r>
    </w:p>
    <w:p w14:paraId="0233B57E">
      <w:pPr>
        <w:ind w:firstLine="480"/>
      </w:pPr>
      <w:r>
        <w:rPr>
          <w:rFonts w:hint="eastAsia"/>
        </w:rPr>
        <w:t>附件1  项目</w:t>
      </w:r>
      <w:r>
        <w:t>环境影响评价委托书</w:t>
      </w:r>
      <w:r>
        <w:rPr>
          <w:rFonts w:hint="eastAsia"/>
        </w:rPr>
        <w:t>；</w:t>
      </w:r>
    </w:p>
    <w:p w14:paraId="147197DE">
      <w:pPr>
        <w:ind w:firstLine="480"/>
      </w:pPr>
      <w:r>
        <w:rPr>
          <w:rFonts w:hint="eastAsia"/>
        </w:rPr>
        <w:t>附件2  云南省水利厅、云南省发展和改革委员会《关于同意调整德宏州芒市“十二五”水电新农村电气化建设项目》的批复（云水电</w:t>
      </w:r>
      <w:r>
        <w:t>〔201</w:t>
      </w:r>
      <w:r>
        <w:rPr>
          <w:rFonts w:hint="eastAsia"/>
        </w:rPr>
        <w:t>3</w:t>
      </w:r>
      <w:r>
        <w:t>〕</w:t>
      </w:r>
      <w:r>
        <w:rPr>
          <w:rFonts w:hint="eastAsia"/>
        </w:rPr>
        <w:t>15号）；</w:t>
      </w:r>
    </w:p>
    <w:p w14:paraId="20B98105">
      <w:pPr>
        <w:ind w:firstLine="480"/>
      </w:pPr>
      <w:r>
        <w:rPr>
          <w:rFonts w:hint="eastAsia"/>
        </w:rPr>
        <w:t>附件3  德宏州水利局关于对《</w:t>
      </w:r>
      <w:r>
        <w:rPr>
          <w:rFonts w:ascii="宋体" w:hAnsi="宋体"/>
        </w:rPr>
        <w:t>云南省</w:t>
      </w:r>
      <w:r>
        <w:rPr>
          <w:rFonts w:hint="eastAsia" w:ascii="宋体" w:hAnsi="宋体"/>
        </w:rPr>
        <w:t>德宏</w:t>
      </w:r>
      <w:r>
        <w:rPr>
          <w:rFonts w:ascii="宋体" w:hAnsi="宋体"/>
        </w:rPr>
        <w:t>州</w:t>
      </w:r>
      <w:r>
        <w:rPr>
          <w:rFonts w:hint="eastAsia" w:ascii="宋体" w:hAnsi="宋体"/>
        </w:rPr>
        <w:t>芒市团结</w:t>
      </w:r>
      <w:r>
        <w:rPr>
          <w:rFonts w:ascii="宋体" w:hAnsi="宋体"/>
        </w:rPr>
        <w:t>水电站工程</w:t>
      </w:r>
      <w:r>
        <w:rPr>
          <w:rFonts w:hint="eastAsia" w:ascii="宋体" w:hAnsi="宋体"/>
        </w:rPr>
        <w:t>初步设计报告</w:t>
      </w:r>
      <w:r>
        <w:rPr>
          <w:rFonts w:hint="eastAsia"/>
        </w:rPr>
        <w:t>》的批复（德水农电</w:t>
      </w:r>
      <w:r>
        <w:t>〔201</w:t>
      </w:r>
      <w:r>
        <w:rPr>
          <w:rFonts w:hint="eastAsia"/>
        </w:rPr>
        <w:t>5</w:t>
      </w:r>
      <w:r>
        <w:t>〕</w:t>
      </w:r>
      <w:r>
        <w:rPr>
          <w:rFonts w:hint="eastAsia"/>
        </w:rPr>
        <w:t>22号）；</w:t>
      </w:r>
    </w:p>
    <w:p w14:paraId="01F1C803">
      <w:pPr>
        <w:ind w:firstLine="480"/>
      </w:pPr>
      <w:r>
        <w:rPr>
          <w:rFonts w:hint="eastAsia"/>
        </w:rPr>
        <w:t>附件4德宏州水利局《关于</w:t>
      </w:r>
      <w:r>
        <w:rPr>
          <w:rFonts w:hint="eastAsia" w:ascii="宋体" w:hAnsi="宋体"/>
        </w:rPr>
        <w:t>芒市团结</w:t>
      </w:r>
      <w:r>
        <w:rPr>
          <w:rFonts w:ascii="宋体" w:hAnsi="宋体"/>
        </w:rPr>
        <w:t>水电站工程</w:t>
      </w:r>
      <w:r>
        <w:rPr>
          <w:rFonts w:hint="eastAsia" w:ascii="宋体" w:hAnsi="宋体"/>
        </w:rPr>
        <w:t>水资源论证报告书的审查意见</w:t>
      </w:r>
      <w:r>
        <w:rPr>
          <w:rFonts w:hint="eastAsia"/>
        </w:rPr>
        <w:t>》（德水资源</w:t>
      </w:r>
      <w:r>
        <w:t>〔201</w:t>
      </w:r>
      <w:r>
        <w:rPr>
          <w:rFonts w:hint="eastAsia"/>
        </w:rPr>
        <w:t>6</w:t>
      </w:r>
      <w:r>
        <w:t>〕</w:t>
      </w:r>
      <w:r>
        <w:rPr>
          <w:rFonts w:hint="eastAsia"/>
        </w:rPr>
        <w:t>32号）；</w:t>
      </w:r>
    </w:p>
    <w:p w14:paraId="7A2A780E">
      <w:pPr>
        <w:ind w:firstLine="480"/>
      </w:pPr>
      <w:r>
        <w:rPr>
          <w:rFonts w:hint="eastAsia"/>
        </w:rPr>
        <w:t>附件5  德宏州水利局《关于准予</w:t>
      </w:r>
      <w:r>
        <w:rPr>
          <w:rFonts w:hint="eastAsia" w:ascii="宋体" w:hAnsi="宋体"/>
        </w:rPr>
        <w:t>芒市团结</w:t>
      </w:r>
      <w:r>
        <w:rPr>
          <w:rFonts w:ascii="宋体" w:hAnsi="宋体"/>
        </w:rPr>
        <w:t>水电站工程</w:t>
      </w:r>
      <w:r>
        <w:rPr>
          <w:rFonts w:hint="eastAsia" w:ascii="宋体" w:hAnsi="宋体"/>
        </w:rPr>
        <w:t>取水许可申请的行政许可决定书</w:t>
      </w:r>
      <w:r>
        <w:rPr>
          <w:rFonts w:hint="eastAsia"/>
        </w:rPr>
        <w:t>》（德水资源许</w:t>
      </w:r>
      <w:r>
        <w:t>〔201</w:t>
      </w:r>
      <w:r>
        <w:rPr>
          <w:rFonts w:hint="eastAsia"/>
        </w:rPr>
        <w:t>6</w:t>
      </w:r>
      <w:r>
        <w:t>〕</w:t>
      </w:r>
      <w:r>
        <w:rPr>
          <w:rFonts w:hint="eastAsia"/>
        </w:rPr>
        <w:t>23号）；</w:t>
      </w:r>
    </w:p>
    <w:p w14:paraId="59353037">
      <w:pPr>
        <w:ind w:firstLine="480"/>
      </w:pPr>
      <w:r>
        <w:rPr>
          <w:rFonts w:hint="eastAsia"/>
        </w:rPr>
        <w:t>附件6  芒瑞大道工程建设指挥部出具的《关于团结水电站主体工程开工事宜的复函》（2014年10月17日）；</w:t>
      </w:r>
    </w:p>
    <w:p w14:paraId="26D93E61">
      <w:pPr>
        <w:ind w:firstLine="480"/>
      </w:pPr>
      <w:r>
        <w:rPr>
          <w:rFonts w:hint="eastAsia"/>
        </w:rPr>
        <w:t>附件7 芒市人民政府林业局出具的关于团结水电站建设用地不占用林地的证明（2015年12月7日）；</w:t>
      </w:r>
      <w:r>
        <w:t xml:space="preserve"> </w:t>
      </w:r>
    </w:p>
    <w:p w14:paraId="56A7474F">
      <w:pPr>
        <w:ind w:firstLine="480"/>
      </w:pPr>
      <w:r>
        <w:rPr>
          <w:rFonts w:hint="eastAsia"/>
        </w:rPr>
        <w:t>附件8  芒市环境保护局《关于</w:t>
      </w:r>
      <w:r>
        <w:rPr>
          <w:rFonts w:ascii="宋体" w:hAnsi="宋体"/>
        </w:rPr>
        <w:t>云南省</w:t>
      </w:r>
      <w:r>
        <w:rPr>
          <w:rFonts w:hint="eastAsia" w:ascii="宋体" w:hAnsi="宋体"/>
        </w:rPr>
        <w:t>德宏</w:t>
      </w:r>
      <w:r>
        <w:rPr>
          <w:rFonts w:ascii="宋体" w:hAnsi="宋体"/>
        </w:rPr>
        <w:t>州</w:t>
      </w:r>
      <w:r>
        <w:rPr>
          <w:rFonts w:hint="eastAsia" w:ascii="宋体" w:hAnsi="宋体"/>
        </w:rPr>
        <w:t>芒市团结</w:t>
      </w:r>
      <w:r>
        <w:rPr>
          <w:rFonts w:ascii="宋体" w:hAnsi="宋体"/>
        </w:rPr>
        <w:t>水电站工程</w:t>
      </w:r>
      <w:r>
        <w:rPr>
          <w:rFonts w:hint="eastAsia" w:ascii="宋体" w:hAnsi="宋体"/>
        </w:rPr>
        <w:t>建设项目环境影响评价执行标准确认的函</w:t>
      </w:r>
      <w:r>
        <w:rPr>
          <w:rFonts w:hint="eastAsia"/>
        </w:rPr>
        <w:t>》（芒环函</w:t>
      </w:r>
      <w:r>
        <w:t>〔201</w:t>
      </w:r>
      <w:r>
        <w:rPr>
          <w:rFonts w:hint="eastAsia"/>
        </w:rPr>
        <w:t>6</w:t>
      </w:r>
      <w:r>
        <w:t>〕</w:t>
      </w:r>
      <w:r>
        <w:rPr>
          <w:rFonts w:hint="eastAsia"/>
        </w:rPr>
        <w:t>6号）；</w:t>
      </w:r>
    </w:p>
    <w:p w14:paraId="3BB2B8AC">
      <w:pPr>
        <w:ind w:firstLine="480"/>
      </w:pPr>
      <w:r>
        <w:rPr>
          <w:rFonts w:hint="eastAsia"/>
        </w:rPr>
        <w:t>附件9  监测报告；</w:t>
      </w:r>
    </w:p>
    <w:p w14:paraId="31682438">
      <w:pPr>
        <w:ind w:firstLine="480"/>
        <w:rPr>
          <w:color w:val="FF0000"/>
        </w:rPr>
      </w:pPr>
      <w:r>
        <w:rPr>
          <w:rFonts w:hint="eastAsia"/>
          <w:color w:val="FF0000"/>
        </w:rPr>
        <w:t>附件10 德宏州水利局《关于芒市团结水电站工程下泄生态流量措施的批复》（德水资源</w:t>
      </w:r>
      <w:r>
        <w:rPr>
          <w:color w:val="FF0000"/>
        </w:rPr>
        <w:t>〔20</w:t>
      </w:r>
      <w:r>
        <w:rPr>
          <w:rFonts w:hint="eastAsia"/>
          <w:color w:val="FF0000"/>
        </w:rPr>
        <w:t>18</w:t>
      </w:r>
      <w:r>
        <w:rPr>
          <w:color w:val="FF0000"/>
        </w:rPr>
        <w:t>〕</w:t>
      </w:r>
      <w:r>
        <w:rPr>
          <w:rFonts w:hint="eastAsia"/>
          <w:color w:val="FF0000"/>
        </w:rPr>
        <w:t>5号）；</w:t>
      </w:r>
    </w:p>
    <w:p w14:paraId="7899381F">
      <w:pPr>
        <w:ind w:firstLine="480"/>
        <w:rPr>
          <w:rFonts w:hint="eastAsia"/>
          <w:color w:val="FF0000"/>
        </w:rPr>
      </w:pPr>
      <w:r>
        <w:rPr>
          <w:rFonts w:hint="eastAsia"/>
          <w:color w:val="FF0000"/>
        </w:rPr>
        <w:t>附件11 芒市环境保护局行政处罚决定书（芒环罚字</w:t>
      </w:r>
      <w:r>
        <w:rPr>
          <w:color w:val="FF0000"/>
        </w:rPr>
        <w:t>〔20</w:t>
      </w:r>
      <w:r>
        <w:rPr>
          <w:rFonts w:hint="eastAsia"/>
          <w:color w:val="FF0000"/>
        </w:rPr>
        <w:t>17</w:t>
      </w:r>
      <w:r>
        <w:rPr>
          <w:color w:val="FF0000"/>
        </w:rPr>
        <w:t>〕</w:t>
      </w:r>
      <w:r>
        <w:rPr>
          <w:rFonts w:hint="eastAsia"/>
          <w:color w:val="FF0000"/>
        </w:rPr>
        <w:t>28号）；</w:t>
      </w:r>
    </w:p>
    <w:p w14:paraId="0A39D05E">
      <w:pPr>
        <w:ind w:firstLine="480"/>
        <w:rPr>
          <w:rFonts w:hint="eastAsia"/>
          <w:color w:val="FF0000"/>
        </w:rPr>
      </w:pPr>
      <w:r>
        <w:rPr>
          <w:rFonts w:hint="eastAsia"/>
          <w:color w:val="FF0000"/>
        </w:rPr>
        <w:t>附件12  会议纪要；</w:t>
      </w:r>
    </w:p>
    <w:p w14:paraId="570F89C8">
      <w:pPr>
        <w:ind w:firstLine="480"/>
        <w:rPr>
          <w:rFonts w:hint="eastAsia"/>
          <w:color w:val="FF0000"/>
        </w:rPr>
      </w:pPr>
      <w:r>
        <w:rPr>
          <w:rFonts w:hint="eastAsia"/>
          <w:color w:val="FF0000"/>
        </w:rPr>
        <w:t>附件13  专家签到表；</w:t>
      </w:r>
    </w:p>
    <w:p w14:paraId="58CB5BE7">
      <w:pPr>
        <w:ind w:firstLine="480"/>
        <w:rPr>
          <w:color w:val="FF0000"/>
        </w:rPr>
      </w:pPr>
      <w:r>
        <w:rPr>
          <w:rFonts w:hint="eastAsia"/>
          <w:color w:val="FF0000"/>
        </w:rPr>
        <w:t>附件14  修改清单。</w:t>
      </w:r>
    </w:p>
    <w:p w14:paraId="537F1B78">
      <w:pPr>
        <w:ind w:firstLine="480"/>
        <w:rPr>
          <w:highlight w:val="green"/>
        </w:rPr>
      </w:pPr>
      <w:r>
        <w:br w:type="page"/>
      </w:r>
    </w:p>
    <w:p w14:paraId="748600CC">
      <w:pPr>
        <w:ind w:firstLine="480"/>
        <w:rPr>
          <w:highlight w:val="green"/>
        </w:rPr>
        <w:sectPr>
          <w:headerReference r:id="rId11" w:type="default"/>
          <w:footerReference r:id="rId12" w:type="default"/>
          <w:pgSz w:w="11906" w:h="16838"/>
          <w:pgMar w:top="1814" w:right="1588" w:bottom="1814" w:left="1588" w:header="851" w:footer="992" w:gutter="0"/>
          <w:pgNumType w:fmt="upperRoman" w:start="1"/>
          <w:cols w:space="425" w:num="1"/>
          <w:docGrid w:type="lines" w:linePitch="312" w:charSpace="0"/>
        </w:sectPr>
      </w:pPr>
    </w:p>
    <w:p w14:paraId="39E339C4">
      <w:pPr>
        <w:pStyle w:val="180"/>
        <w:jc w:val="center"/>
      </w:pPr>
      <w:bookmarkStart w:id="37" w:name="_Toc508642391"/>
      <w:bookmarkStart w:id="38" w:name="_Toc454046452"/>
      <w:bookmarkStart w:id="39" w:name="_Toc443655353"/>
      <w:bookmarkStart w:id="40" w:name="_Toc471737942"/>
      <w:r>
        <w:rPr>
          <w:rFonts w:hint="eastAsia"/>
        </w:rPr>
        <w:t>前  言</w:t>
      </w:r>
      <w:bookmarkEnd w:id="37"/>
      <w:bookmarkEnd w:id="38"/>
      <w:bookmarkEnd w:id="39"/>
      <w:bookmarkEnd w:id="40"/>
    </w:p>
    <w:p w14:paraId="17D53A03">
      <w:pPr>
        <w:ind w:firstLine="480"/>
      </w:pPr>
      <w:r>
        <w:rPr>
          <w:rFonts w:hint="eastAsia"/>
        </w:rPr>
        <w:t>云南省德宏州芒市团结水电站工程（以下简称“团结水电站”）位于云南省德宏州芒市遮放镇的芒市河。芒市河为龙川江一级支流，发源于龙陵县龙新乡，河流上游称坝竹河，经芒市城郊进入芒市，于大湾入芒市坝，穿行芒市坝后，在允门进入三台山峡谷，于坝托进入遮放坝，在遮放坝尾汇入龙川江。团结水电站坝址地理坐标为：E98°17</w:t>
      </w:r>
      <w:r>
        <w:t>′</w:t>
      </w:r>
      <w:r>
        <w:rPr>
          <w:rFonts w:hint="eastAsia"/>
        </w:rPr>
        <w:t>13.37</w:t>
      </w:r>
      <w:r>
        <w:t>″</w:t>
      </w:r>
      <w:r>
        <w:rPr>
          <w:rFonts w:hint="eastAsia"/>
        </w:rPr>
        <w:t>、N24°17</w:t>
      </w:r>
      <w:r>
        <w:t>′</w:t>
      </w:r>
      <w:r>
        <w:rPr>
          <w:rFonts w:hint="eastAsia"/>
        </w:rPr>
        <w:t>48</w:t>
      </w:r>
      <w:r>
        <w:t>″</w:t>
      </w:r>
      <w:r>
        <w:rPr>
          <w:rFonts w:hint="eastAsia"/>
        </w:rPr>
        <w:t>，厂址地理坐标为：E98°17</w:t>
      </w:r>
      <w:r>
        <w:t>′</w:t>
      </w:r>
      <w:r>
        <w:rPr>
          <w:rFonts w:hint="eastAsia"/>
        </w:rPr>
        <w:t>12.8</w:t>
      </w:r>
      <w:r>
        <w:t>″</w:t>
      </w:r>
      <w:r>
        <w:rPr>
          <w:rFonts w:hint="eastAsia"/>
        </w:rPr>
        <w:t>、N24°17</w:t>
      </w:r>
      <w:r>
        <w:t>′</w:t>
      </w:r>
      <w:r>
        <w:rPr>
          <w:rFonts w:hint="eastAsia"/>
        </w:rPr>
        <w:t>49.59</w:t>
      </w:r>
      <w:r>
        <w:t>″</w:t>
      </w:r>
      <w:r>
        <w:rPr>
          <w:rFonts w:hint="eastAsia"/>
        </w:rPr>
        <w:t>，海拔为801m。工程区距</w:t>
      </w:r>
      <w:r>
        <w:t>32</w:t>
      </w:r>
      <w:r>
        <w:rPr>
          <w:rFonts w:hint="eastAsia"/>
        </w:rPr>
        <w:t>0国道仅5km，现有机耕路可直达，交通较为方便。</w:t>
      </w:r>
    </w:p>
    <w:p w14:paraId="39A7E230">
      <w:pPr>
        <w:ind w:firstLine="480"/>
        <w:rPr>
          <w:rFonts w:ascii="宋体" w:hAnsi="宋体"/>
        </w:rPr>
      </w:pPr>
      <w:r>
        <w:rPr>
          <w:rFonts w:hint="eastAsia" w:ascii="宋体" w:hAnsi="宋体"/>
        </w:rPr>
        <w:t>为了解决德宏州用电问题，响应国家关于“农村电气化工程”的方针，将拟建团结水电站定为芒市“十二五”农村水电电气化项目，以解决芒市西山乡和遮</w:t>
      </w:r>
      <w:r>
        <w:t>放镇1200户用电问题。</w:t>
      </w:r>
    </w:p>
    <w:p w14:paraId="39B9E918">
      <w:pPr>
        <w:ind w:firstLine="480"/>
      </w:pPr>
      <w:r>
        <w:rPr>
          <w:rFonts w:hint="eastAsia"/>
        </w:rPr>
        <w:t>团结水电站为小型河床式无调节电站，利用上游2×18000kW芒里水电站的尾水进</w:t>
      </w:r>
      <w:r>
        <w:t>行发电</w:t>
      </w:r>
      <w:r>
        <w:rPr>
          <w:rFonts w:hint="eastAsia"/>
        </w:rPr>
        <w:t>。</w:t>
      </w:r>
      <w:r>
        <w:t>团结水电站总装机容量4900kW（2×2450kW），用轴流定桨式水轮机，引用发电流量106.3m³/s，设计水头5.5m，装机年利用小时数4507h，多年平均发电量2208.43万kW</w:t>
      </w:r>
      <w:r>
        <w:rPr>
          <w:szCs w:val="24"/>
        </w:rPr>
        <w:t>·</w:t>
      </w:r>
      <w:r>
        <w:t>h</w:t>
      </w:r>
      <w:r>
        <w:rPr>
          <w:rFonts w:hint="eastAsia"/>
        </w:rPr>
        <w:t>，保证出力1712</w:t>
      </w:r>
      <w:r>
        <w:t>kW。电站正常蓄水位为804.9m，设计洪水位802.766m，校核洪水位803.107m，坝顶高程805.4m，正常尾水位799.4</w:t>
      </w:r>
      <w:r>
        <w:rPr>
          <w:rFonts w:hint="eastAsia"/>
        </w:rPr>
        <w:t>m，电站厂房设在芒市河右岸，采用闸门泄洪，坝型为非溢流坝和闸门相结合的闸坝形式，非溢流坝为浆砌石重力坝。</w:t>
      </w:r>
    </w:p>
    <w:p w14:paraId="4525AF35">
      <w:pPr>
        <w:ind w:firstLine="480"/>
      </w:pPr>
      <w:r>
        <w:rPr>
          <w:rFonts w:hint="eastAsia"/>
        </w:rPr>
        <w:t>受建设单位（原为</w:t>
      </w:r>
      <w:r>
        <w:rPr>
          <w:rFonts w:hint="eastAsia" w:ascii="宋体" w:hAnsi="宋体"/>
          <w:kern w:val="32"/>
        </w:rPr>
        <w:t>芒市团结水电有限公司，后经芒市市场监督管理局许可，建设单位的名称变更为芒市宏睿水电有限公司</w:t>
      </w:r>
      <w:r>
        <w:rPr>
          <w:rFonts w:hint="eastAsia"/>
        </w:rPr>
        <w:t>）的委托，2013年3月，昆明安能水利水电设计有限公司（以下简称“设计单位”）初步拟定坝址、坝线，并进行了地质勘查和地形测量工作，于2013年5月完成了《云南省德宏州芒市团结水电站工程可行性研究报告（报批稿）》，并经德宏州发展和改革委员会批准，批准文号为德发改农经</w:t>
      </w:r>
      <w:r>
        <w:t>〔201</w:t>
      </w:r>
      <w:r>
        <w:rPr>
          <w:rFonts w:hint="eastAsia"/>
        </w:rPr>
        <w:t>3</w:t>
      </w:r>
      <w:r>
        <w:t>〕</w:t>
      </w:r>
      <w:r>
        <w:rPr>
          <w:rFonts w:hint="eastAsia"/>
        </w:rPr>
        <w:t>317号文。2013年10月，设计单位完成了《云南省德宏州芒市团结水电站工程初步设计报告（送审稿）》，并经德宏州发展和改革委员会组织专家进行了评审，按照修改意见，2013年11月设计单位完成了初设报批稿。其后，由于龙瑞高速和芒瑞大道的修建与团结水电站的位置存在冲突，设计工作暂时停滞。直至2015年5月，经建设单位与多个部门协商，将电站位置及布置进行调整（大坝位置原定于现有滚水坝处，工程拟将滚水坝拆除以建拦河坝，厂房设于拦河坝后的河道右岸。为了不影响芒瑞大道建设，将大坝位置往上游方向前移76m，厂房位置也相应的往上前移），使得项目在设计上可行。设计单位完成了调整后的《云南省德宏州芒市团结水电站工程初步设计报告（报告稿）》，并于2015年6月12日获得了德宏州水利局出具的《</w:t>
      </w:r>
      <w:r>
        <w:rPr>
          <w:rFonts w:ascii="宋体" w:hAnsi="宋体"/>
        </w:rPr>
        <w:t>云南省</w:t>
      </w:r>
      <w:r>
        <w:rPr>
          <w:rFonts w:hint="eastAsia" w:ascii="宋体" w:hAnsi="宋体"/>
        </w:rPr>
        <w:t>德宏</w:t>
      </w:r>
      <w:r>
        <w:rPr>
          <w:rFonts w:ascii="宋体" w:hAnsi="宋体"/>
        </w:rPr>
        <w:t>州</w:t>
      </w:r>
      <w:r>
        <w:rPr>
          <w:rFonts w:hint="eastAsia" w:ascii="宋体" w:hAnsi="宋体"/>
        </w:rPr>
        <w:t>芒市团结</w:t>
      </w:r>
      <w:r>
        <w:rPr>
          <w:rFonts w:ascii="宋体" w:hAnsi="宋体"/>
        </w:rPr>
        <w:t>水电站工程</w:t>
      </w:r>
      <w:r>
        <w:rPr>
          <w:rFonts w:hint="eastAsia" w:ascii="宋体" w:hAnsi="宋体"/>
        </w:rPr>
        <w:t>初步设计报告</w:t>
      </w:r>
      <w:r>
        <w:rPr>
          <w:rFonts w:hint="eastAsia"/>
        </w:rPr>
        <w:t>》的批复（德水农电</w:t>
      </w:r>
      <w:r>
        <w:t>〔201</w:t>
      </w:r>
      <w:r>
        <w:rPr>
          <w:rFonts w:hint="eastAsia"/>
        </w:rPr>
        <w:t>5</w:t>
      </w:r>
      <w:r>
        <w:t>〕</w:t>
      </w:r>
      <w:r>
        <w:rPr>
          <w:rFonts w:hint="eastAsia"/>
        </w:rPr>
        <w:t>22号）。</w:t>
      </w:r>
    </w:p>
    <w:p w14:paraId="14B3C5BE">
      <w:pPr>
        <w:ind w:firstLine="480"/>
        <w:jc w:val="left"/>
        <w:rPr>
          <w:rFonts w:cstheme="minorBidi"/>
        </w:rPr>
      </w:pPr>
      <w:r>
        <w:rPr>
          <w:rFonts w:hint="eastAsia"/>
        </w:rPr>
        <w:t>根据《中华人民共和国环境保护法》、《中华人民共和国环境影响评价法》、《建设项目环境保护管理条例》、《云南省建设项目环境保护管理规定》、《建设项目环境影响评价分类管理名录》等法律法规要求，</w:t>
      </w:r>
      <w:r>
        <w:rPr>
          <w:rFonts w:cstheme="minorBidi"/>
        </w:rPr>
        <w:t>20</w:t>
      </w:r>
      <w:r>
        <w:t>1</w:t>
      </w:r>
      <w:r>
        <w:rPr>
          <w:rFonts w:hint="eastAsia"/>
        </w:rPr>
        <w:t>5</w:t>
      </w:r>
      <w:r>
        <w:t>年</w:t>
      </w:r>
      <w:r>
        <w:rPr>
          <w:rFonts w:hint="eastAsia"/>
        </w:rPr>
        <w:t>12</w:t>
      </w:r>
      <w:r>
        <w:t>月，</w:t>
      </w:r>
      <w:r>
        <w:rPr>
          <w:rFonts w:hint="eastAsia" w:ascii="宋体" w:hAnsi="宋体"/>
          <w:kern w:val="32"/>
        </w:rPr>
        <w:t>芒市宏睿水电有限公司</w:t>
      </w:r>
      <w:r>
        <w:t>委托</w:t>
      </w:r>
      <w:r>
        <w:rPr>
          <w:rFonts w:cstheme="minorBidi"/>
        </w:rPr>
        <w:t>中国林业科学研究院森林生态环境与保护研究所</w:t>
      </w:r>
      <w:r>
        <w:rPr>
          <w:rFonts w:hint="eastAsia"/>
        </w:rPr>
        <w:t>（根据环保部环评改制要求，</w:t>
      </w:r>
      <w:r>
        <w:rPr>
          <w:rFonts w:hint="eastAsia" w:cstheme="minorBidi"/>
        </w:rPr>
        <w:t>2017年1月，</w:t>
      </w:r>
      <w:r>
        <w:rPr>
          <w:rFonts w:cstheme="minorBidi"/>
        </w:rPr>
        <w:t>中国林业科学研究院森林生态环境与保护研究所</w:t>
      </w:r>
      <w:r>
        <w:rPr>
          <w:rFonts w:hint="eastAsia" w:cstheme="minorBidi"/>
        </w:rPr>
        <w:t>将环评资质转至</w:t>
      </w:r>
      <w:r>
        <w:rPr>
          <w:rFonts w:hint="eastAsia"/>
        </w:rPr>
        <w:t>北京华恒基业野生动植物专用标识技术服务中心）</w:t>
      </w:r>
      <w:r>
        <w:rPr>
          <w:rFonts w:cstheme="minorBidi"/>
        </w:rPr>
        <w:t>承</w:t>
      </w:r>
      <w:r>
        <w:t>担</w:t>
      </w:r>
      <w:r>
        <w:rPr>
          <w:rFonts w:hint="eastAsia"/>
        </w:rPr>
        <w:t>云南省德宏州芒市团结水电站工程</w:t>
      </w:r>
      <w:r>
        <w:rPr>
          <w:rFonts w:cstheme="minorBidi"/>
        </w:rPr>
        <w:t>环境影响评价工作。</w:t>
      </w:r>
      <w:r>
        <w:rPr>
          <w:rFonts w:hint="eastAsia" w:cstheme="minorBidi"/>
        </w:rPr>
        <w:t>评价</w:t>
      </w:r>
      <w:r>
        <w:rPr>
          <w:rFonts w:cstheme="minorBidi"/>
        </w:rPr>
        <w:t>单位接受委托后立即</w:t>
      </w:r>
      <w:r>
        <w:rPr>
          <w:rFonts w:hint="eastAsia" w:cstheme="minorBidi"/>
        </w:rPr>
        <w:t>成立</w:t>
      </w:r>
      <w:r>
        <w:rPr>
          <w:rFonts w:cstheme="minorBidi"/>
        </w:rPr>
        <w:t>了环评项目组，对拟建</w:t>
      </w:r>
      <w:r>
        <w:rPr>
          <w:rFonts w:hint="eastAsia" w:cstheme="minorBidi"/>
        </w:rPr>
        <w:t>项目</w:t>
      </w:r>
      <w:r>
        <w:rPr>
          <w:rFonts w:cstheme="minorBidi"/>
        </w:rPr>
        <w:t>评价区</w:t>
      </w:r>
      <w:r>
        <w:rPr>
          <w:rFonts w:hint="eastAsia" w:cstheme="minorBidi"/>
        </w:rPr>
        <w:t>域</w:t>
      </w:r>
      <w:r>
        <w:rPr>
          <w:rFonts w:cstheme="minorBidi"/>
        </w:rPr>
        <w:t>环境现状开展了实地勘察、调研、资</w:t>
      </w:r>
      <w:r>
        <w:t>料收集和现状监测等相关工作</w:t>
      </w:r>
      <w:r>
        <w:rPr>
          <w:rFonts w:hint="eastAsia"/>
        </w:rPr>
        <w:t>。</w:t>
      </w:r>
      <w:r>
        <w:rPr>
          <w:rFonts w:cstheme="minorBidi"/>
        </w:rPr>
        <w:t>根据国家有关要求和规定，按照有关技术规范，编制完成了《</w:t>
      </w:r>
      <w:r>
        <w:rPr>
          <w:rFonts w:hint="eastAsia"/>
        </w:rPr>
        <w:t>云南省德宏州芒市团结水电站工程</w:t>
      </w:r>
      <w:r>
        <w:rPr>
          <w:rFonts w:cstheme="minorBidi"/>
        </w:rPr>
        <w:t>环境影响报告书》，供建设单位上报审</w:t>
      </w:r>
      <w:r>
        <w:rPr>
          <w:rFonts w:hint="eastAsia" w:cstheme="minorBidi"/>
        </w:rPr>
        <w:t>查。</w:t>
      </w:r>
    </w:p>
    <w:p w14:paraId="72E2DE50">
      <w:pPr>
        <w:spacing w:line="336" w:lineRule="auto"/>
        <w:ind w:firstLine="480"/>
      </w:pPr>
      <w:r>
        <w:rPr>
          <w:rFonts w:hint="eastAsia"/>
        </w:rPr>
        <w:t>本次评价工作在现场踏勘的前提下，对周围环境质量现状及项目建设情况进行分析描述；对项目施工期及运行期对周围环境产生的不利影响进行分析评述，并提出相应的污染防治对策措施；提出施工期环境监理计划及运行期环境监测计划；得出综合结论。</w:t>
      </w:r>
    </w:p>
    <w:p w14:paraId="7075C53E">
      <w:pPr>
        <w:spacing w:line="336" w:lineRule="auto"/>
        <w:ind w:firstLine="480"/>
        <w:rPr>
          <w:szCs w:val="24"/>
        </w:rPr>
      </w:pPr>
      <w:r>
        <w:rPr>
          <w:rFonts w:hint="eastAsia"/>
        </w:rPr>
        <w:t>本次评价工作关注的主要问题为：</w:t>
      </w:r>
      <w:r>
        <w:fldChar w:fldCharType="begin"/>
      </w:r>
      <w:r>
        <w:instrText xml:space="preserve"> = 1 \* GB3 </w:instrText>
      </w:r>
      <w:r>
        <w:fldChar w:fldCharType="separate"/>
      </w:r>
      <w:r>
        <w:rPr>
          <w:rFonts w:hint="eastAsia" w:ascii="宋体" w:hAnsi="宋体" w:cs="宋体"/>
        </w:rPr>
        <w:t>①</w:t>
      </w:r>
      <w:r>
        <w:fldChar w:fldCharType="end"/>
      </w:r>
      <w:r>
        <w:rPr>
          <w:rFonts w:hint="eastAsia"/>
          <w:szCs w:val="24"/>
        </w:rPr>
        <w:t>施工期施工废水和生活污水对周围水环境的影响及运行期取水发电对评价河段水质、水文情势及水资源利用的影响；</w:t>
      </w:r>
      <w:r>
        <w:fldChar w:fldCharType="begin"/>
      </w:r>
      <w:r>
        <w:instrText xml:space="preserve"> = 2 \* GB3 </w:instrText>
      </w:r>
      <w:r>
        <w:fldChar w:fldCharType="separate"/>
      </w:r>
      <w:r>
        <w:rPr>
          <w:rFonts w:hint="eastAsia" w:ascii="宋体" w:hAnsi="宋体" w:cs="宋体"/>
        </w:rPr>
        <w:t>②</w:t>
      </w:r>
      <w:r>
        <w:fldChar w:fldCharType="end"/>
      </w:r>
      <w:r>
        <w:rPr>
          <w:rFonts w:hint="eastAsia"/>
        </w:rPr>
        <w:t>项目建设对区域植被、</w:t>
      </w:r>
      <w:r>
        <w:rPr>
          <w:rFonts w:hint="eastAsia"/>
          <w:szCs w:val="24"/>
        </w:rPr>
        <w:t>野生动植物的影响。</w:t>
      </w:r>
    </w:p>
    <w:p w14:paraId="60834C56">
      <w:pPr>
        <w:ind w:firstLine="480"/>
        <w:rPr>
          <w:highlight w:val="green"/>
        </w:rPr>
      </w:pPr>
      <w:r>
        <w:rPr>
          <w:rFonts w:hint="eastAsia"/>
        </w:rPr>
        <w:t>本项目符合国家产业政策和相关规划要求，工程建设不涉及移民安置问题，选址合理，只要建设单位切实落实本次评价提出的各项环境保护对策措施，项目施工期及运行期所产生的不利影响均可降低至最小程度，从环境保护的角度分析，本工程的建设是可行的。</w:t>
      </w:r>
      <w:r>
        <w:br w:type="page"/>
      </w:r>
    </w:p>
    <w:p w14:paraId="07F4C274">
      <w:pPr>
        <w:pStyle w:val="180"/>
        <w:ind w:firstLine="150" w:firstLineChars="50"/>
      </w:pPr>
      <w:bookmarkStart w:id="41" w:name="_Toc443655354"/>
      <w:bookmarkStart w:id="42" w:name="_Toc508642392"/>
      <w:bookmarkStart w:id="43" w:name="_Toc471737943"/>
      <w:bookmarkStart w:id="44" w:name="_Toc454046453"/>
      <w:r>
        <w:rPr>
          <w:rFonts w:hint="eastAsia"/>
        </w:rPr>
        <w:t>1总</w:t>
      </w:r>
      <w:bookmarkEnd w:id="41"/>
      <w:r>
        <w:rPr>
          <w:rFonts w:hint="eastAsia"/>
        </w:rPr>
        <w:t>则</w:t>
      </w:r>
      <w:bookmarkEnd w:id="42"/>
      <w:bookmarkEnd w:id="43"/>
      <w:bookmarkEnd w:id="44"/>
    </w:p>
    <w:p w14:paraId="467C1207">
      <w:pPr>
        <w:pStyle w:val="4"/>
      </w:pPr>
      <w:bookmarkStart w:id="45" w:name="_Toc352170624"/>
      <w:bookmarkStart w:id="46" w:name="_Toc508642393"/>
      <w:bookmarkStart w:id="47" w:name="_Toc471737944"/>
      <w:bookmarkStart w:id="48" w:name="_Toc443655355"/>
      <w:bookmarkStart w:id="49" w:name="_Toc385867770"/>
      <w:bookmarkStart w:id="50" w:name="_Toc454046454"/>
      <w:bookmarkStart w:id="51" w:name="_Toc397428252"/>
      <w:bookmarkStart w:id="52" w:name="_Toc346872378"/>
      <w:bookmarkStart w:id="53" w:name="_Toc343278805"/>
      <w:bookmarkStart w:id="54" w:name="_Toc333869916"/>
      <w:r>
        <w:t>1.</w:t>
      </w:r>
      <w:r>
        <w:rPr>
          <w:rFonts w:hint="eastAsia"/>
        </w:rPr>
        <w:t>1</w:t>
      </w:r>
      <w:r>
        <w:t>评价目的、评价原则</w:t>
      </w:r>
      <w:bookmarkEnd w:id="45"/>
      <w:bookmarkEnd w:id="46"/>
      <w:bookmarkEnd w:id="47"/>
      <w:bookmarkEnd w:id="48"/>
      <w:bookmarkEnd w:id="49"/>
      <w:bookmarkEnd w:id="50"/>
      <w:bookmarkEnd w:id="51"/>
      <w:bookmarkEnd w:id="52"/>
      <w:bookmarkEnd w:id="53"/>
      <w:bookmarkEnd w:id="54"/>
    </w:p>
    <w:p w14:paraId="3C031FED">
      <w:pPr>
        <w:pStyle w:val="113"/>
      </w:pPr>
      <w:bookmarkStart w:id="55" w:name="_Toc508642394"/>
      <w:bookmarkStart w:id="56" w:name="_Toc443655356"/>
      <w:bookmarkStart w:id="57" w:name="_Toc454046455"/>
      <w:bookmarkStart w:id="58" w:name="_Toc471737945"/>
      <w:bookmarkStart w:id="59" w:name="_Toc352170625"/>
      <w:bookmarkStart w:id="60" w:name="_Toc385867771"/>
      <w:bookmarkStart w:id="61" w:name="_Toc343278806"/>
      <w:bookmarkStart w:id="62" w:name="_Toc397428253"/>
      <w:bookmarkStart w:id="63" w:name="_Toc346872379"/>
      <w:bookmarkStart w:id="64" w:name="_Toc333869917"/>
      <w:r>
        <w:t>1.</w:t>
      </w:r>
      <w:r>
        <w:rPr>
          <w:rFonts w:hint="eastAsia"/>
        </w:rPr>
        <w:t>1</w:t>
      </w:r>
      <w:r>
        <w:t>.1评价目的</w:t>
      </w:r>
      <w:bookmarkEnd w:id="55"/>
      <w:bookmarkEnd w:id="56"/>
      <w:bookmarkEnd w:id="57"/>
      <w:bookmarkEnd w:id="58"/>
    </w:p>
    <w:p w14:paraId="2D9C44AC">
      <w:pPr>
        <w:ind w:firstLine="480"/>
        <w:rPr>
          <w:snapToGrid w:val="0"/>
        </w:rPr>
      </w:pPr>
      <w:r>
        <w:rPr>
          <w:rFonts w:hint="eastAsia"/>
          <w:snapToGrid w:val="0"/>
        </w:rPr>
        <w:t>本次</w:t>
      </w:r>
      <w:r>
        <w:rPr>
          <w:snapToGrid w:val="0"/>
        </w:rPr>
        <w:t>评价</w:t>
      </w:r>
      <w:r>
        <w:rPr>
          <w:rFonts w:hint="eastAsia"/>
          <w:snapToGrid w:val="0"/>
        </w:rPr>
        <w:t>工作</w:t>
      </w:r>
      <w:r>
        <w:rPr>
          <w:snapToGrid w:val="0"/>
        </w:rPr>
        <w:t>拟达到如下目的：</w:t>
      </w:r>
    </w:p>
    <w:bookmarkEnd w:id="59"/>
    <w:bookmarkEnd w:id="60"/>
    <w:bookmarkEnd w:id="61"/>
    <w:bookmarkEnd w:id="62"/>
    <w:bookmarkEnd w:id="63"/>
    <w:bookmarkEnd w:id="64"/>
    <w:p w14:paraId="50A56232">
      <w:pPr>
        <w:ind w:firstLine="480"/>
        <w:rPr>
          <w:lang w:val="zh-CN"/>
        </w:rPr>
      </w:pPr>
      <w:bookmarkStart w:id="65" w:name="_Toc333869918"/>
      <w:bookmarkStart w:id="66" w:name="_Toc343278807"/>
      <w:bookmarkStart w:id="67" w:name="_Toc352170626"/>
      <w:bookmarkStart w:id="68" w:name="_Toc346872380"/>
      <w:bookmarkStart w:id="69" w:name="_Toc397428254"/>
      <w:bookmarkStart w:id="70" w:name="_Toc385867772"/>
      <w:r>
        <w:rPr>
          <w:lang w:val="zh-CN"/>
        </w:rPr>
        <w:t>（1）在充分调查工程所在地（区域）环境现状的基础上，根据工程的总体布置及其开发利用方式</w:t>
      </w:r>
      <w:r>
        <w:rPr>
          <w:rFonts w:hint="eastAsia"/>
          <w:lang w:val="zh-CN"/>
        </w:rPr>
        <w:t>，</w:t>
      </w:r>
      <w:r>
        <w:rPr>
          <w:lang w:val="zh-CN"/>
        </w:rPr>
        <w:t>结合工程区域环境特点</w:t>
      </w:r>
      <w:r>
        <w:rPr>
          <w:rFonts w:hint="eastAsia"/>
          <w:lang w:val="zh-CN"/>
        </w:rPr>
        <w:t>，</w:t>
      </w:r>
      <w:r>
        <w:t>认真做好工程分析</w:t>
      </w:r>
      <w:r>
        <w:rPr>
          <w:rFonts w:hint="eastAsia"/>
        </w:rPr>
        <w:t>，</w:t>
      </w:r>
      <w:r>
        <w:t>弄清</w:t>
      </w:r>
      <w:r>
        <w:rPr>
          <w:rFonts w:hint="eastAsia"/>
        </w:rPr>
        <w:t>工程生态影响因素以及</w:t>
      </w:r>
      <w:r>
        <w:t>污染物排放点、排放量、排污特点等情况，</w:t>
      </w:r>
      <w:r>
        <w:rPr>
          <w:lang w:val="zh-CN"/>
        </w:rPr>
        <w:t>分析和预测拟建工程对当地的自然环境、生态环境可能造成的影响范围和程度。</w:t>
      </w:r>
    </w:p>
    <w:p w14:paraId="68082DF0">
      <w:pPr>
        <w:ind w:firstLine="480"/>
        <w:rPr>
          <w:szCs w:val="24"/>
          <w:lang w:val="zh-CN"/>
        </w:rPr>
      </w:pPr>
      <w:r>
        <w:rPr>
          <w:szCs w:val="24"/>
          <w:lang w:val="zh-CN"/>
        </w:rPr>
        <w:t>（2）针对不利影响</w:t>
      </w:r>
      <w:r>
        <w:t>提出有针对性、可操作性强的保护措施</w:t>
      </w:r>
      <w:r>
        <w:rPr>
          <w:rFonts w:hint="eastAsia"/>
        </w:rPr>
        <w:t>和</w:t>
      </w:r>
      <w:r>
        <w:t>污染治理措施</w:t>
      </w:r>
      <w:r>
        <w:rPr>
          <w:rFonts w:hint="eastAsia"/>
        </w:rPr>
        <w:t>，</w:t>
      </w:r>
      <w:r>
        <w:rPr>
          <w:szCs w:val="24"/>
          <w:lang w:val="zh-CN"/>
        </w:rPr>
        <w:t>确保工程建设对环境的影响降至最小</w:t>
      </w:r>
      <w:r>
        <w:rPr>
          <w:rFonts w:hint="eastAsia"/>
          <w:szCs w:val="24"/>
          <w:lang w:val="zh-CN"/>
        </w:rPr>
        <w:t>程度</w:t>
      </w:r>
      <w:r>
        <w:rPr>
          <w:szCs w:val="24"/>
          <w:lang w:val="zh-CN"/>
        </w:rPr>
        <w:t>，达到经济效益、社会效益及环境效益三者的和谐统一</w:t>
      </w:r>
      <w:r>
        <w:rPr>
          <w:rFonts w:hint="eastAsia"/>
          <w:szCs w:val="24"/>
          <w:lang w:val="zh-CN"/>
        </w:rPr>
        <w:t>。</w:t>
      </w:r>
    </w:p>
    <w:p w14:paraId="2C02CD0F">
      <w:pPr>
        <w:ind w:firstLine="480"/>
        <w:rPr>
          <w:szCs w:val="24"/>
          <w:lang w:val="zh-CN"/>
        </w:rPr>
      </w:pPr>
      <w:r>
        <w:rPr>
          <w:szCs w:val="24"/>
          <w:lang w:val="zh-CN"/>
        </w:rPr>
        <w:t>（3）从环境</w:t>
      </w:r>
      <w:r>
        <w:rPr>
          <w:rFonts w:hint="eastAsia"/>
          <w:szCs w:val="24"/>
          <w:lang w:val="zh-CN"/>
        </w:rPr>
        <w:t>保护的</w:t>
      </w:r>
      <w:r>
        <w:rPr>
          <w:szCs w:val="24"/>
          <w:lang w:val="zh-CN"/>
        </w:rPr>
        <w:t>角度论证工程建设的可行性，并对项目施工期、运</w:t>
      </w:r>
      <w:r>
        <w:rPr>
          <w:rFonts w:hint="eastAsia"/>
          <w:szCs w:val="24"/>
          <w:lang w:val="zh-CN"/>
        </w:rPr>
        <w:t>行</w:t>
      </w:r>
      <w:r>
        <w:rPr>
          <w:szCs w:val="24"/>
          <w:lang w:val="zh-CN"/>
        </w:rPr>
        <w:t>期</w:t>
      </w:r>
      <w:r>
        <w:rPr>
          <w:rFonts w:hint="eastAsia"/>
          <w:szCs w:val="24"/>
          <w:lang w:val="zh-CN"/>
        </w:rPr>
        <w:t>的</w:t>
      </w:r>
      <w:r>
        <w:rPr>
          <w:szCs w:val="24"/>
          <w:lang w:val="zh-CN"/>
        </w:rPr>
        <w:t>环境管理</w:t>
      </w:r>
      <w:r>
        <w:rPr>
          <w:rFonts w:hint="eastAsia"/>
          <w:szCs w:val="24"/>
          <w:lang w:val="zh-CN"/>
        </w:rPr>
        <w:t>、环境监理和环境监测</w:t>
      </w:r>
      <w:r>
        <w:rPr>
          <w:szCs w:val="24"/>
          <w:lang w:val="zh-CN"/>
        </w:rPr>
        <w:t>提出实施计划，为项目的</w:t>
      </w:r>
      <w:r>
        <w:rPr>
          <w:rFonts w:hint="eastAsia"/>
          <w:szCs w:val="24"/>
          <w:lang w:val="zh-CN"/>
        </w:rPr>
        <w:t>有效</w:t>
      </w:r>
      <w:r>
        <w:rPr>
          <w:szCs w:val="24"/>
          <w:lang w:val="zh-CN"/>
        </w:rPr>
        <w:t>实施、主管部门决策提供依据。</w:t>
      </w:r>
    </w:p>
    <w:p w14:paraId="09EA76C7">
      <w:pPr>
        <w:pStyle w:val="113"/>
      </w:pPr>
      <w:bookmarkStart w:id="71" w:name="_Toc471737946"/>
      <w:bookmarkStart w:id="72" w:name="_Toc454046456"/>
      <w:bookmarkStart w:id="73" w:name="_Toc443655357"/>
      <w:bookmarkStart w:id="74" w:name="_Toc508642395"/>
      <w:r>
        <w:t>1.</w:t>
      </w:r>
      <w:r>
        <w:rPr>
          <w:rFonts w:hint="eastAsia"/>
        </w:rPr>
        <w:t>1</w:t>
      </w:r>
      <w:r>
        <w:t>.2评价原则</w:t>
      </w:r>
      <w:bookmarkEnd w:id="71"/>
      <w:bookmarkEnd w:id="72"/>
      <w:bookmarkEnd w:id="73"/>
      <w:bookmarkEnd w:id="74"/>
    </w:p>
    <w:p w14:paraId="06C848E3">
      <w:pPr>
        <w:ind w:firstLine="480"/>
      </w:pPr>
      <w:r>
        <w:t>根据项目的建设内容、规模、施工和运行特点</w:t>
      </w:r>
      <w:r>
        <w:rPr>
          <w:rFonts w:hint="eastAsia"/>
        </w:rPr>
        <w:t>及</w:t>
      </w:r>
      <w:r>
        <w:t>对环境的影响情况，结合</w:t>
      </w:r>
      <w:r>
        <w:rPr>
          <w:rFonts w:hint="eastAsia"/>
        </w:rPr>
        <w:t>项目</w:t>
      </w:r>
      <w:r>
        <w:t>所在区域的环境现状和环境保护的政策法规，在进行评价工作时遵从以下原则：</w:t>
      </w:r>
    </w:p>
    <w:p w14:paraId="6E656889">
      <w:pPr>
        <w:ind w:firstLine="480"/>
        <w:rPr>
          <w:rFonts w:cs="宋体"/>
        </w:rPr>
      </w:pPr>
      <w:r>
        <w:rPr>
          <w:rFonts w:hint="eastAsia" w:cs="宋体"/>
        </w:rPr>
        <w:t>（1）符合产业政策和流域规划原则：科学、合理的开发和利用水资源，使项目开发与环境保护、流域资源开发、国家和地方其他相关规划、政策相协调；</w:t>
      </w:r>
    </w:p>
    <w:p w14:paraId="4A199639">
      <w:pPr>
        <w:ind w:firstLine="480"/>
      </w:pPr>
      <w:r>
        <w:rPr>
          <w:rFonts w:hint="eastAsia"/>
        </w:rPr>
        <w:t>（2</w:t>
      </w:r>
      <w:r>
        <w:t>）符合环境功能要求原则：</w:t>
      </w:r>
      <w:r>
        <w:rPr>
          <w:rFonts w:hint="eastAsia"/>
        </w:rPr>
        <w:t>项目建设应符合环境功能区划，维护环境功能</w:t>
      </w:r>
      <w:r>
        <w:t>；</w:t>
      </w:r>
    </w:p>
    <w:p w14:paraId="0497F0EF">
      <w:pPr>
        <w:ind w:firstLine="480"/>
        <w:rPr>
          <w:rFonts w:cs="宋体"/>
        </w:rPr>
      </w:pPr>
      <w:r>
        <w:rPr>
          <w:rFonts w:hint="eastAsia" w:cs="宋体"/>
        </w:rPr>
        <w:t>（3）保护生态稳定性原则：</w:t>
      </w:r>
      <w:r>
        <w:rPr>
          <w:rFonts w:hint="eastAsia"/>
          <w:lang w:val="zh-CN"/>
        </w:rPr>
        <w:t>水电站</w:t>
      </w:r>
      <w:r>
        <w:rPr>
          <w:rFonts w:hint="eastAsia"/>
        </w:rPr>
        <w:t>建设以生态影响为主，但项目建设应尽最大努力维护区域生态系统的完整性与稳定性</w:t>
      </w:r>
      <w:r>
        <w:rPr>
          <w:rFonts w:hint="eastAsia" w:cs="宋体"/>
        </w:rPr>
        <w:t>；</w:t>
      </w:r>
    </w:p>
    <w:p w14:paraId="7D444792">
      <w:pPr>
        <w:ind w:firstLine="480"/>
        <w:rPr>
          <w:lang w:val="zh-CN"/>
        </w:rPr>
      </w:pPr>
      <w:r>
        <w:rPr>
          <w:rFonts w:hint="eastAsia" w:cs="宋体"/>
        </w:rPr>
        <w:t>（4）保护生物多样性原则：协调好与生物多样性保护的关系，不对相关生态系统造成重大影响，不造成任何物种的灭绝</w:t>
      </w:r>
      <w:r>
        <w:rPr>
          <w:rFonts w:hint="eastAsia"/>
          <w:lang w:val="zh-CN"/>
        </w:rPr>
        <w:t>，避免对珍稀濒危物种的影响；</w:t>
      </w:r>
    </w:p>
    <w:p w14:paraId="59B84AF7">
      <w:pPr>
        <w:ind w:firstLine="480"/>
        <w:rPr>
          <w:rFonts w:cs="宋体"/>
        </w:rPr>
      </w:pPr>
      <w:r>
        <w:rPr>
          <w:rFonts w:hint="eastAsia" w:cs="宋体"/>
        </w:rPr>
        <w:t>（5）合理分配及利用水资源原则：</w:t>
      </w:r>
      <w:r>
        <w:rPr>
          <w:rFonts w:hint="eastAsia"/>
          <w:lang w:val="zh-CN"/>
        </w:rPr>
        <w:t>电站建设应保证河流一定的生态和农业灌溉用水，保证当地居民生产生活用水的需要，保障下游环境用水和生态用水</w:t>
      </w:r>
      <w:r>
        <w:rPr>
          <w:rFonts w:hint="eastAsia" w:cs="宋体"/>
        </w:rPr>
        <w:t>；</w:t>
      </w:r>
      <w:r>
        <w:rPr>
          <w:rFonts w:cs="宋体"/>
        </w:rPr>
        <w:t xml:space="preserve"> </w:t>
      </w:r>
    </w:p>
    <w:p w14:paraId="13F6284D">
      <w:pPr>
        <w:ind w:firstLine="480"/>
        <w:rPr>
          <w:rFonts w:cs="宋体"/>
        </w:rPr>
      </w:pPr>
      <w:r>
        <w:rPr>
          <w:rFonts w:hint="eastAsia" w:cs="宋体"/>
        </w:rPr>
        <w:t>（6）符合达标排放原则：</w:t>
      </w:r>
      <w:r>
        <w:rPr>
          <w:rFonts w:hint="eastAsia"/>
          <w:lang w:val="zh-CN"/>
        </w:rPr>
        <w:t>项目建设及运营过程中的污染排放，必须符合达标排放要求</w:t>
      </w:r>
      <w:r>
        <w:rPr>
          <w:rFonts w:hint="eastAsia" w:cs="宋体"/>
        </w:rPr>
        <w:t>；</w:t>
      </w:r>
    </w:p>
    <w:p w14:paraId="05D9251E">
      <w:pPr>
        <w:ind w:firstLine="480"/>
      </w:pPr>
      <w:r>
        <w:rPr>
          <w:rFonts w:hint="eastAsia"/>
        </w:rPr>
        <w:t>（7</w:t>
      </w:r>
      <w:r>
        <w:t>）评价力求遵循</w:t>
      </w:r>
      <w:r>
        <w:rPr>
          <w:rFonts w:hint="eastAsia"/>
        </w:rPr>
        <w:t>“</w:t>
      </w:r>
      <w:r>
        <w:t>简便、经济、实用、可靠</w:t>
      </w:r>
      <w:r>
        <w:rPr>
          <w:rFonts w:hint="eastAsia"/>
        </w:rPr>
        <w:t>”</w:t>
      </w:r>
      <w:r>
        <w:t>的原则，评价过程中要始终强调实用性，评价结果最终应落实在改善评价区环境和环境工程治理措施上</w:t>
      </w:r>
      <w:r>
        <w:rPr>
          <w:rFonts w:hint="eastAsia"/>
        </w:rPr>
        <w:t>。</w:t>
      </w:r>
    </w:p>
    <w:bookmarkEnd w:id="65"/>
    <w:bookmarkEnd w:id="66"/>
    <w:bookmarkEnd w:id="67"/>
    <w:bookmarkEnd w:id="68"/>
    <w:bookmarkEnd w:id="69"/>
    <w:bookmarkEnd w:id="70"/>
    <w:p w14:paraId="04FA33D3">
      <w:pPr>
        <w:pStyle w:val="4"/>
      </w:pPr>
      <w:bookmarkStart w:id="75" w:name="_Toc454046457"/>
      <w:bookmarkStart w:id="76" w:name="_Toc443655359"/>
      <w:bookmarkStart w:id="77" w:name="_Toc508642396"/>
      <w:bookmarkStart w:id="78" w:name="_Toc471737947"/>
      <w:r>
        <w:rPr>
          <w:rFonts w:hint="eastAsia"/>
        </w:rPr>
        <w:t>1.2评价依据</w:t>
      </w:r>
      <w:bookmarkEnd w:id="75"/>
      <w:bookmarkEnd w:id="76"/>
      <w:bookmarkEnd w:id="77"/>
      <w:bookmarkEnd w:id="78"/>
    </w:p>
    <w:p w14:paraId="16B97656">
      <w:pPr>
        <w:pStyle w:val="113"/>
      </w:pPr>
      <w:bookmarkStart w:id="79" w:name="_Toc443655360"/>
      <w:bookmarkStart w:id="80" w:name="_Toc471737948"/>
      <w:bookmarkStart w:id="81" w:name="_Toc508642397"/>
      <w:bookmarkStart w:id="82" w:name="_Toc454046458"/>
      <w:r>
        <w:rPr>
          <w:rFonts w:hint="eastAsia"/>
        </w:rPr>
        <w:t>1.2.1国家法律、法规和部门规章</w:t>
      </w:r>
      <w:bookmarkEnd w:id="79"/>
      <w:bookmarkEnd w:id="80"/>
      <w:bookmarkEnd w:id="81"/>
      <w:bookmarkEnd w:id="82"/>
    </w:p>
    <w:p w14:paraId="58999D1A">
      <w:pPr>
        <w:ind w:firstLine="480"/>
      </w:pPr>
      <w:bookmarkStart w:id="83" w:name="_Toc352170622"/>
      <w:bookmarkStart w:id="84" w:name="_Toc346872376"/>
      <w:bookmarkStart w:id="85" w:name="_Toc343278803"/>
      <w:bookmarkStart w:id="86" w:name="_Toc333869914"/>
      <w:bookmarkStart w:id="87" w:name="_Toc385867768"/>
      <w:r>
        <w:t>（1）《中华人民共和国环境保护法》（201</w:t>
      </w:r>
      <w:r>
        <w:rPr>
          <w:rFonts w:hint="eastAsia"/>
        </w:rPr>
        <w:t>4</w:t>
      </w:r>
      <w:r>
        <w:t>年</w:t>
      </w:r>
      <w:r>
        <w:rPr>
          <w:rFonts w:hint="eastAsia"/>
        </w:rPr>
        <w:t>4</w:t>
      </w:r>
      <w:r>
        <w:t>月2</w:t>
      </w:r>
      <w:r>
        <w:rPr>
          <w:rFonts w:hint="eastAsia"/>
        </w:rPr>
        <w:t>4</w:t>
      </w:r>
      <w:r>
        <w:t>日修订）</w:t>
      </w:r>
      <w:r>
        <w:rPr>
          <w:rFonts w:hint="eastAsia"/>
        </w:rPr>
        <w:t>；</w:t>
      </w:r>
    </w:p>
    <w:p w14:paraId="1AF9EC2B">
      <w:pPr>
        <w:ind w:firstLine="480"/>
        <w:rPr>
          <w:highlight w:val="green"/>
        </w:rPr>
      </w:pPr>
      <w:r>
        <w:t>（2）《中华人民共和国环境影响评价法》（20</w:t>
      </w:r>
      <w:r>
        <w:rPr>
          <w:rFonts w:hint="eastAsia"/>
        </w:rPr>
        <w:t>16</w:t>
      </w:r>
      <w:r>
        <w:t>年</w:t>
      </w:r>
      <w:r>
        <w:rPr>
          <w:rFonts w:hint="eastAsia"/>
        </w:rPr>
        <w:t>9</w:t>
      </w:r>
      <w:r>
        <w:t>月</w:t>
      </w:r>
      <w:r>
        <w:rPr>
          <w:rFonts w:hint="eastAsia"/>
        </w:rPr>
        <w:t>1</w:t>
      </w:r>
      <w:r>
        <w:t>日</w:t>
      </w:r>
      <w:r>
        <w:rPr>
          <w:rFonts w:hint="eastAsia"/>
        </w:rPr>
        <w:t>施行</w:t>
      </w:r>
      <w:r>
        <w:t>）</w:t>
      </w:r>
      <w:r>
        <w:rPr>
          <w:rFonts w:hint="eastAsia"/>
        </w:rPr>
        <w:t>；</w:t>
      </w:r>
    </w:p>
    <w:p w14:paraId="4FFAEF5B">
      <w:pPr>
        <w:ind w:firstLine="480"/>
      </w:pPr>
      <w:r>
        <w:t>（3）《中华人民共和国水法》（20</w:t>
      </w:r>
      <w:r>
        <w:rPr>
          <w:rFonts w:hint="eastAsia"/>
        </w:rPr>
        <w:t>16年7月2日</w:t>
      </w:r>
      <w:r>
        <w:t>修订）</w:t>
      </w:r>
      <w:r>
        <w:rPr>
          <w:rFonts w:hint="eastAsia"/>
        </w:rPr>
        <w:t>；</w:t>
      </w:r>
    </w:p>
    <w:p w14:paraId="47FA54B2">
      <w:pPr>
        <w:ind w:firstLine="480"/>
      </w:pPr>
      <w:r>
        <w:rPr>
          <w:rFonts w:hint="eastAsia"/>
        </w:rPr>
        <w:t>（4）</w:t>
      </w:r>
      <w:r>
        <w:t>《中华人民共和国土地管理法》（2004年8月28日第二次修订）</w:t>
      </w:r>
      <w:r>
        <w:rPr>
          <w:rFonts w:hint="eastAsia"/>
        </w:rPr>
        <w:t>；</w:t>
      </w:r>
    </w:p>
    <w:p w14:paraId="47FFB40F">
      <w:pPr>
        <w:ind w:firstLine="480"/>
      </w:pPr>
      <w:r>
        <w:t>（</w:t>
      </w:r>
      <w:r>
        <w:rPr>
          <w:rFonts w:hint="eastAsia"/>
        </w:rPr>
        <w:t>5</w:t>
      </w:r>
      <w:r>
        <w:t>）《中华人民共和国环境噪声污染防治法》（1996年10月29日颁布）</w:t>
      </w:r>
      <w:r>
        <w:rPr>
          <w:rFonts w:hint="eastAsia"/>
        </w:rPr>
        <w:t>；</w:t>
      </w:r>
    </w:p>
    <w:p w14:paraId="78625AB8">
      <w:pPr>
        <w:ind w:firstLine="480"/>
        <w:rPr>
          <w:color w:val="FF0000"/>
        </w:rPr>
      </w:pPr>
      <w:r>
        <w:rPr>
          <w:color w:val="FF0000"/>
        </w:rPr>
        <w:t>（</w:t>
      </w:r>
      <w:r>
        <w:rPr>
          <w:rFonts w:hint="eastAsia"/>
          <w:color w:val="FF0000"/>
        </w:rPr>
        <w:t>6</w:t>
      </w:r>
      <w:r>
        <w:rPr>
          <w:color w:val="FF0000"/>
        </w:rPr>
        <w:t>）《中华人民共和国水污染防治法》（20</w:t>
      </w:r>
      <w:r>
        <w:rPr>
          <w:rFonts w:hint="eastAsia"/>
          <w:color w:val="FF0000"/>
        </w:rPr>
        <w:t>17</w:t>
      </w:r>
      <w:r>
        <w:rPr>
          <w:color w:val="FF0000"/>
        </w:rPr>
        <w:t>年</w:t>
      </w:r>
      <w:r>
        <w:rPr>
          <w:rFonts w:hint="eastAsia"/>
          <w:color w:val="FF0000"/>
        </w:rPr>
        <w:t>6</w:t>
      </w:r>
      <w:r>
        <w:rPr>
          <w:color w:val="FF0000"/>
        </w:rPr>
        <w:t>月</w:t>
      </w:r>
      <w:r>
        <w:rPr>
          <w:rFonts w:hint="eastAsia"/>
          <w:color w:val="FF0000"/>
        </w:rPr>
        <w:t>27</w:t>
      </w:r>
      <w:r>
        <w:rPr>
          <w:color w:val="FF0000"/>
        </w:rPr>
        <w:t>日修订）</w:t>
      </w:r>
      <w:r>
        <w:rPr>
          <w:rFonts w:hint="eastAsia"/>
          <w:color w:val="FF0000"/>
        </w:rPr>
        <w:t>；</w:t>
      </w:r>
    </w:p>
    <w:p w14:paraId="65BF7F12">
      <w:pPr>
        <w:ind w:firstLine="480"/>
        <w:rPr>
          <w:color w:val="FF0000"/>
        </w:rPr>
      </w:pPr>
      <w:r>
        <w:rPr>
          <w:color w:val="FF0000"/>
        </w:rPr>
        <w:t>（</w:t>
      </w:r>
      <w:r>
        <w:rPr>
          <w:rFonts w:hint="eastAsia"/>
          <w:color w:val="FF0000"/>
        </w:rPr>
        <w:t>7</w:t>
      </w:r>
      <w:r>
        <w:rPr>
          <w:color w:val="FF0000"/>
        </w:rPr>
        <w:t>）《中华人民共和国大气污染防治法》（20</w:t>
      </w:r>
      <w:r>
        <w:rPr>
          <w:rFonts w:hint="eastAsia"/>
          <w:color w:val="FF0000"/>
        </w:rPr>
        <w:t>15</w:t>
      </w:r>
      <w:r>
        <w:rPr>
          <w:color w:val="FF0000"/>
        </w:rPr>
        <w:t>年</w:t>
      </w:r>
      <w:r>
        <w:rPr>
          <w:rFonts w:hint="eastAsia"/>
          <w:color w:val="FF0000"/>
        </w:rPr>
        <w:t>8</w:t>
      </w:r>
      <w:r>
        <w:rPr>
          <w:color w:val="FF0000"/>
        </w:rPr>
        <w:t>月29日</w:t>
      </w:r>
      <w:r>
        <w:rPr>
          <w:rFonts w:hint="eastAsia"/>
          <w:color w:val="FF0000"/>
        </w:rPr>
        <w:t>修订</w:t>
      </w:r>
      <w:r>
        <w:rPr>
          <w:color w:val="FF0000"/>
        </w:rPr>
        <w:t>）</w:t>
      </w:r>
      <w:r>
        <w:rPr>
          <w:rFonts w:hint="eastAsia"/>
          <w:color w:val="FF0000"/>
        </w:rPr>
        <w:t>；</w:t>
      </w:r>
    </w:p>
    <w:p w14:paraId="4203E611">
      <w:pPr>
        <w:ind w:firstLine="480"/>
        <w:rPr>
          <w:color w:val="FF0000"/>
        </w:rPr>
      </w:pPr>
      <w:r>
        <w:rPr>
          <w:color w:val="FF0000"/>
        </w:rPr>
        <w:t>（</w:t>
      </w:r>
      <w:r>
        <w:rPr>
          <w:rFonts w:hint="eastAsia"/>
          <w:color w:val="FF0000"/>
        </w:rPr>
        <w:t>8</w:t>
      </w:r>
      <w:r>
        <w:rPr>
          <w:color w:val="FF0000"/>
        </w:rPr>
        <w:t>）《中华人民共和国固体废物污染环境防治法》（20</w:t>
      </w:r>
      <w:r>
        <w:rPr>
          <w:rFonts w:hint="eastAsia"/>
          <w:color w:val="FF0000"/>
        </w:rPr>
        <w:t>16</w:t>
      </w:r>
      <w:r>
        <w:rPr>
          <w:color w:val="FF0000"/>
        </w:rPr>
        <w:t>年</w:t>
      </w:r>
      <w:r>
        <w:rPr>
          <w:rFonts w:hint="eastAsia"/>
          <w:color w:val="FF0000"/>
        </w:rPr>
        <w:t>11</w:t>
      </w:r>
      <w:r>
        <w:rPr>
          <w:color w:val="FF0000"/>
        </w:rPr>
        <w:t>月</w:t>
      </w:r>
      <w:r>
        <w:rPr>
          <w:rFonts w:hint="eastAsia"/>
          <w:color w:val="FF0000"/>
        </w:rPr>
        <w:t>7</w:t>
      </w:r>
      <w:r>
        <w:rPr>
          <w:color w:val="FF0000"/>
        </w:rPr>
        <w:t>日修</w:t>
      </w:r>
      <w:r>
        <w:rPr>
          <w:rFonts w:hint="eastAsia"/>
          <w:color w:val="FF0000"/>
        </w:rPr>
        <w:t>正</w:t>
      </w:r>
      <w:r>
        <w:rPr>
          <w:color w:val="FF0000"/>
        </w:rPr>
        <w:t>）</w:t>
      </w:r>
      <w:r>
        <w:rPr>
          <w:rFonts w:hint="eastAsia"/>
          <w:color w:val="FF0000"/>
        </w:rPr>
        <w:t>；</w:t>
      </w:r>
    </w:p>
    <w:p w14:paraId="55F7D245">
      <w:pPr>
        <w:ind w:firstLine="480"/>
        <w:rPr>
          <w:color w:val="FF0000"/>
        </w:rPr>
      </w:pPr>
      <w:r>
        <w:rPr>
          <w:color w:val="FF0000"/>
        </w:rPr>
        <w:t>（</w:t>
      </w:r>
      <w:r>
        <w:rPr>
          <w:rFonts w:hint="eastAsia"/>
          <w:color w:val="FF0000"/>
        </w:rPr>
        <w:t>9</w:t>
      </w:r>
      <w:r>
        <w:rPr>
          <w:color w:val="FF0000"/>
        </w:rPr>
        <w:t>）</w:t>
      </w:r>
      <w:r>
        <w:rPr>
          <w:rFonts w:hint="eastAsia"/>
          <w:color w:val="FF0000"/>
        </w:rPr>
        <w:t>《</w:t>
      </w:r>
      <w:r>
        <w:rPr>
          <w:color w:val="FF0000"/>
        </w:rPr>
        <w:t>中华人民共和国森林法》（</w:t>
      </w:r>
      <w:r>
        <w:rPr>
          <w:rFonts w:hint="eastAsia"/>
          <w:color w:val="FF0000"/>
        </w:rPr>
        <w:t>2009年修正本</w:t>
      </w:r>
      <w:r>
        <w:rPr>
          <w:color w:val="FF0000"/>
        </w:rPr>
        <w:t>）</w:t>
      </w:r>
      <w:r>
        <w:rPr>
          <w:rFonts w:hint="eastAsia"/>
          <w:color w:val="FF0000"/>
        </w:rPr>
        <w:t>；</w:t>
      </w:r>
    </w:p>
    <w:p w14:paraId="23B58C79">
      <w:pPr>
        <w:ind w:firstLine="480"/>
        <w:rPr>
          <w:color w:val="FF0000"/>
        </w:rPr>
      </w:pPr>
      <w:r>
        <w:rPr>
          <w:color w:val="FF0000"/>
        </w:rPr>
        <w:t>（1</w:t>
      </w:r>
      <w:r>
        <w:rPr>
          <w:rFonts w:hint="eastAsia"/>
          <w:color w:val="FF0000"/>
        </w:rPr>
        <w:t>0</w:t>
      </w:r>
      <w:r>
        <w:rPr>
          <w:color w:val="FF0000"/>
        </w:rPr>
        <w:t>《中华人民共和国野生动物保护法》（20</w:t>
      </w:r>
      <w:r>
        <w:rPr>
          <w:rFonts w:hint="eastAsia"/>
          <w:color w:val="FF0000"/>
        </w:rPr>
        <w:t>16年7月2日修订</w:t>
      </w:r>
      <w:r>
        <w:rPr>
          <w:color w:val="FF0000"/>
        </w:rPr>
        <w:t>）</w:t>
      </w:r>
      <w:r>
        <w:rPr>
          <w:rFonts w:hint="eastAsia"/>
          <w:color w:val="FF0000"/>
        </w:rPr>
        <w:t>；</w:t>
      </w:r>
    </w:p>
    <w:p w14:paraId="761564FB">
      <w:pPr>
        <w:ind w:firstLine="480"/>
      </w:pPr>
      <w:r>
        <w:rPr>
          <w:rFonts w:hint="eastAsia"/>
        </w:rPr>
        <w:t>（11）</w:t>
      </w:r>
      <w:r>
        <w:t>《中华人民共和国土地管理法实施条例》（2014年7月29日修正）</w:t>
      </w:r>
      <w:r>
        <w:rPr>
          <w:rFonts w:hint="eastAsia"/>
        </w:rPr>
        <w:t>；</w:t>
      </w:r>
    </w:p>
    <w:p w14:paraId="225FD32D">
      <w:pPr>
        <w:ind w:firstLine="480"/>
        <w:rPr>
          <w:highlight w:val="green"/>
        </w:rPr>
      </w:pPr>
      <w:r>
        <w:t>（1</w:t>
      </w:r>
      <w:r>
        <w:rPr>
          <w:rFonts w:hint="eastAsia"/>
        </w:rPr>
        <w:t>2</w:t>
      </w:r>
      <w:r>
        <w:t>）《中华人民共和国水污染防治法实施细则》（2000年3月20日颁布）</w:t>
      </w:r>
      <w:r>
        <w:rPr>
          <w:rFonts w:hint="eastAsia"/>
        </w:rPr>
        <w:t>；</w:t>
      </w:r>
    </w:p>
    <w:p w14:paraId="36C10E66">
      <w:pPr>
        <w:ind w:firstLine="480"/>
        <w:rPr>
          <w:color w:val="FF0000"/>
        </w:rPr>
      </w:pPr>
      <w:r>
        <w:rPr>
          <w:color w:val="FF0000"/>
        </w:rPr>
        <w:t>（</w:t>
      </w:r>
      <w:r>
        <w:rPr>
          <w:rFonts w:hint="eastAsia"/>
          <w:color w:val="FF0000"/>
        </w:rPr>
        <w:t>13</w:t>
      </w:r>
      <w:r>
        <w:rPr>
          <w:color w:val="FF0000"/>
        </w:rPr>
        <w:t>）《中华人民共和国森林法实施条例》（20</w:t>
      </w:r>
      <w:r>
        <w:rPr>
          <w:rFonts w:hint="eastAsia"/>
          <w:color w:val="FF0000"/>
        </w:rPr>
        <w:t>16</w:t>
      </w:r>
      <w:r>
        <w:rPr>
          <w:color w:val="FF0000"/>
        </w:rPr>
        <w:t>年</w:t>
      </w:r>
      <w:r>
        <w:rPr>
          <w:rFonts w:hint="eastAsia"/>
          <w:color w:val="FF0000"/>
        </w:rPr>
        <w:t>2</w:t>
      </w:r>
      <w:r>
        <w:rPr>
          <w:color w:val="FF0000"/>
        </w:rPr>
        <w:t>月</w:t>
      </w:r>
      <w:r>
        <w:rPr>
          <w:rFonts w:hint="eastAsia"/>
          <w:color w:val="FF0000"/>
        </w:rPr>
        <w:t>6</w:t>
      </w:r>
      <w:r>
        <w:rPr>
          <w:color w:val="FF0000"/>
        </w:rPr>
        <w:t>日</w:t>
      </w:r>
      <w:r>
        <w:rPr>
          <w:rFonts w:hint="eastAsia"/>
          <w:color w:val="FF0000"/>
        </w:rPr>
        <w:t>修订</w:t>
      </w:r>
      <w:r>
        <w:rPr>
          <w:color w:val="FF0000"/>
        </w:rPr>
        <w:t>）</w:t>
      </w:r>
      <w:r>
        <w:rPr>
          <w:rFonts w:hint="eastAsia"/>
          <w:color w:val="FF0000"/>
        </w:rPr>
        <w:t>；</w:t>
      </w:r>
    </w:p>
    <w:p w14:paraId="20ECC259">
      <w:pPr>
        <w:ind w:firstLine="480"/>
        <w:rPr>
          <w:color w:val="FF0000"/>
        </w:rPr>
      </w:pPr>
      <w:r>
        <w:rPr>
          <w:color w:val="FF0000"/>
        </w:rPr>
        <w:t>（</w:t>
      </w:r>
      <w:r>
        <w:rPr>
          <w:rFonts w:hint="eastAsia"/>
          <w:color w:val="FF0000"/>
        </w:rPr>
        <w:t>14</w:t>
      </w:r>
      <w:r>
        <w:rPr>
          <w:color w:val="FF0000"/>
        </w:rPr>
        <w:t>）</w:t>
      </w:r>
      <w:r>
        <w:rPr>
          <w:rFonts w:hint="eastAsia"/>
          <w:color w:val="FF0000"/>
        </w:rPr>
        <w:t>《中华人民共和国河道管理条例》（2017年10月7日修订）；</w:t>
      </w:r>
    </w:p>
    <w:p w14:paraId="17A4D828">
      <w:pPr>
        <w:ind w:firstLine="480"/>
        <w:rPr>
          <w:color w:val="FF0000"/>
        </w:rPr>
      </w:pPr>
      <w:r>
        <w:rPr>
          <w:color w:val="FF0000"/>
        </w:rPr>
        <w:t>（</w:t>
      </w:r>
      <w:r>
        <w:rPr>
          <w:rFonts w:hint="eastAsia"/>
          <w:color w:val="FF0000"/>
        </w:rPr>
        <w:t>15</w:t>
      </w:r>
      <w:r>
        <w:rPr>
          <w:color w:val="FF0000"/>
        </w:rPr>
        <w:t>）</w:t>
      </w:r>
      <w:r>
        <w:rPr>
          <w:rFonts w:hint="eastAsia"/>
          <w:color w:val="FF0000"/>
        </w:rPr>
        <w:t>《中华人民共和国渔业法》（主席令第二十五号，2013年12月28日修正）；</w:t>
      </w:r>
    </w:p>
    <w:p w14:paraId="21CC1DFA">
      <w:pPr>
        <w:ind w:firstLine="480"/>
        <w:rPr>
          <w:color w:val="FF0000"/>
        </w:rPr>
      </w:pPr>
      <w:r>
        <w:rPr>
          <w:rFonts w:hint="eastAsia"/>
          <w:color w:val="FF0000"/>
        </w:rPr>
        <w:t>（16）</w:t>
      </w:r>
      <w:r>
        <w:rPr>
          <w:color w:val="FF0000"/>
        </w:rPr>
        <w:t>《中华人民共和国陆生野生动物保护实施条例》（</w:t>
      </w:r>
      <w:r>
        <w:rPr>
          <w:rFonts w:hint="eastAsia"/>
          <w:color w:val="FF0000"/>
        </w:rPr>
        <w:t>2016</w:t>
      </w:r>
      <w:r>
        <w:rPr>
          <w:color w:val="FF0000"/>
        </w:rPr>
        <w:t>年</w:t>
      </w:r>
      <w:r>
        <w:rPr>
          <w:rFonts w:hint="eastAsia"/>
          <w:color w:val="FF0000"/>
        </w:rPr>
        <w:t>2</w:t>
      </w:r>
      <w:r>
        <w:rPr>
          <w:color w:val="FF0000"/>
        </w:rPr>
        <w:t>月</w:t>
      </w:r>
      <w:r>
        <w:rPr>
          <w:rFonts w:hint="eastAsia"/>
          <w:color w:val="FF0000"/>
        </w:rPr>
        <w:t>6</w:t>
      </w:r>
      <w:r>
        <w:rPr>
          <w:color w:val="FF0000"/>
        </w:rPr>
        <w:t>日</w:t>
      </w:r>
      <w:r>
        <w:rPr>
          <w:rFonts w:hint="eastAsia"/>
          <w:color w:val="FF0000"/>
        </w:rPr>
        <w:t>修订</w:t>
      </w:r>
      <w:r>
        <w:rPr>
          <w:color w:val="FF0000"/>
        </w:rPr>
        <w:t>）</w:t>
      </w:r>
      <w:r>
        <w:rPr>
          <w:rFonts w:hint="eastAsia"/>
          <w:color w:val="FF0000"/>
        </w:rPr>
        <w:t>；</w:t>
      </w:r>
    </w:p>
    <w:p w14:paraId="2F5E075A">
      <w:pPr>
        <w:ind w:firstLine="480"/>
        <w:rPr>
          <w:color w:val="FF0000"/>
        </w:rPr>
      </w:pPr>
      <w:r>
        <w:rPr>
          <w:color w:val="FF0000"/>
        </w:rPr>
        <w:t>（</w:t>
      </w:r>
      <w:r>
        <w:rPr>
          <w:rFonts w:hint="eastAsia"/>
          <w:color w:val="FF0000"/>
        </w:rPr>
        <w:t>17</w:t>
      </w:r>
      <w:r>
        <w:rPr>
          <w:color w:val="FF0000"/>
        </w:rPr>
        <w:t>）《中华人民共和国野生植物保护条例》（</w:t>
      </w:r>
      <w:r>
        <w:rPr>
          <w:rFonts w:hint="eastAsia"/>
          <w:color w:val="FF0000"/>
        </w:rPr>
        <w:t>2017</w:t>
      </w:r>
      <w:r>
        <w:rPr>
          <w:color w:val="FF0000"/>
        </w:rPr>
        <w:t>年</w:t>
      </w:r>
      <w:r>
        <w:rPr>
          <w:rFonts w:hint="eastAsia"/>
          <w:color w:val="FF0000"/>
        </w:rPr>
        <w:t>10</w:t>
      </w:r>
      <w:r>
        <w:rPr>
          <w:color w:val="FF0000"/>
        </w:rPr>
        <w:t>月</w:t>
      </w:r>
      <w:r>
        <w:rPr>
          <w:rFonts w:hint="eastAsia"/>
          <w:color w:val="FF0000"/>
        </w:rPr>
        <w:t>7</w:t>
      </w:r>
      <w:r>
        <w:rPr>
          <w:color w:val="FF0000"/>
        </w:rPr>
        <w:t>日</w:t>
      </w:r>
      <w:r>
        <w:rPr>
          <w:rFonts w:hint="eastAsia"/>
          <w:color w:val="FF0000"/>
        </w:rPr>
        <w:t>修订</w:t>
      </w:r>
      <w:r>
        <w:rPr>
          <w:color w:val="FF0000"/>
        </w:rPr>
        <w:t>）</w:t>
      </w:r>
      <w:r>
        <w:rPr>
          <w:rFonts w:hint="eastAsia"/>
          <w:color w:val="FF0000"/>
        </w:rPr>
        <w:t>；</w:t>
      </w:r>
    </w:p>
    <w:p w14:paraId="31293125">
      <w:pPr>
        <w:ind w:firstLine="480"/>
        <w:rPr>
          <w:color w:val="FF0000"/>
        </w:rPr>
      </w:pPr>
      <w:r>
        <w:rPr>
          <w:color w:val="FF0000"/>
        </w:rPr>
        <w:t>（</w:t>
      </w:r>
      <w:r>
        <w:rPr>
          <w:rFonts w:hint="eastAsia"/>
          <w:color w:val="FF0000"/>
        </w:rPr>
        <w:t>18</w:t>
      </w:r>
      <w:r>
        <w:rPr>
          <w:color w:val="FF0000"/>
        </w:rPr>
        <w:t>）《中华人民共和国水生野生动物保护实施条例》（</w:t>
      </w:r>
      <w:r>
        <w:rPr>
          <w:rFonts w:hint="eastAsia"/>
          <w:color w:val="FF0000"/>
        </w:rPr>
        <w:t>2011</w:t>
      </w:r>
      <w:r>
        <w:rPr>
          <w:color w:val="FF0000"/>
        </w:rPr>
        <w:t>年</w:t>
      </w:r>
      <w:r>
        <w:rPr>
          <w:rFonts w:hint="eastAsia"/>
          <w:color w:val="FF0000"/>
        </w:rPr>
        <w:t>1</w:t>
      </w:r>
      <w:r>
        <w:rPr>
          <w:color w:val="FF0000"/>
        </w:rPr>
        <w:t>月</w:t>
      </w:r>
      <w:r>
        <w:rPr>
          <w:rFonts w:hint="eastAsia"/>
          <w:color w:val="FF0000"/>
        </w:rPr>
        <w:t>8</w:t>
      </w:r>
      <w:r>
        <w:rPr>
          <w:color w:val="FF0000"/>
        </w:rPr>
        <w:t>日</w:t>
      </w:r>
      <w:r>
        <w:rPr>
          <w:rFonts w:hint="eastAsia"/>
          <w:color w:val="FF0000"/>
        </w:rPr>
        <w:t>修订</w:t>
      </w:r>
      <w:r>
        <w:rPr>
          <w:color w:val="FF0000"/>
        </w:rPr>
        <w:t>）</w:t>
      </w:r>
      <w:r>
        <w:rPr>
          <w:rFonts w:hint="eastAsia"/>
          <w:color w:val="FF0000"/>
        </w:rPr>
        <w:t>；</w:t>
      </w:r>
    </w:p>
    <w:p w14:paraId="602C0B6B">
      <w:pPr>
        <w:ind w:firstLine="480"/>
        <w:rPr>
          <w:color w:val="FF0000"/>
        </w:rPr>
      </w:pPr>
      <w:r>
        <w:rPr>
          <w:color w:val="FF0000"/>
        </w:rPr>
        <w:t>（</w:t>
      </w:r>
      <w:r>
        <w:rPr>
          <w:rFonts w:hint="eastAsia"/>
          <w:color w:val="FF0000"/>
        </w:rPr>
        <w:t>19</w:t>
      </w:r>
      <w:r>
        <w:rPr>
          <w:color w:val="FF0000"/>
        </w:rPr>
        <w:t>）《</w:t>
      </w:r>
      <w:r>
        <w:rPr>
          <w:rFonts w:hint="eastAsia"/>
          <w:color w:val="FF0000"/>
        </w:rPr>
        <w:t>中国</w:t>
      </w:r>
      <w:r>
        <w:rPr>
          <w:color w:val="FF0000"/>
        </w:rPr>
        <w:t>国家重点保护野生植物名录（第一批）》（国家林业局令第53号，</w:t>
      </w:r>
      <w:r>
        <w:rPr>
          <w:rFonts w:hint="eastAsia"/>
          <w:color w:val="FF0000"/>
        </w:rPr>
        <w:t>2001</w:t>
      </w:r>
      <w:r>
        <w:rPr>
          <w:color w:val="FF0000"/>
        </w:rPr>
        <w:t>年8月4日）</w:t>
      </w:r>
      <w:r>
        <w:rPr>
          <w:rFonts w:hint="eastAsia"/>
          <w:color w:val="FF0000"/>
        </w:rPr>
        <w:t>；</w:t>
      </w:r>
    </w:p>
    <w:p w14:paraId="6C8D4BFF">
      <w:pPr>
        <w:ind w:firstLine="480"/>
      </w:pPr>
      <w:r>
        <w:t>（</w:t>
      </w:r>
      <w:r>
        <w:rPr>
          <w:rFonts w:hint="eastAsia"/>
        </w:rPr>
        <w:t>20</w:t>
      </w:r>
      <w:r>
        <w:t>）《国家重点保护野生动物名录》（</w:t>
      </w:r>
      <w:r>
        <w:rPr>
          <w:rFonts w:hint="eastAsia"/>
        </w:rPr>
        <w:t>1989</w:t>
      </w:r>
      <w:r>
        <w:t>年</w:t>
      </w:r>
      <w:r>
        <w:rPr>
          <w:rFonts w:hint="eastAsia"/>
        </w:rPr>
        <w:t>1</w:t>
      </w:r>
      <w:r>
        <w:t>月</w:t>
      </w:r>
      <w:r>
        <w:rPr>
          <w:rFonts w:hint="eastAsia"/>
        </w:rPr>
        <w:t>14</w:t>
      </w:r>
      <w:r>
        <w:t>日</w:t>
      </w:r>
      <w:r>
        <w:rPr>
          <w:rFonts w:hint="eastAsia"/>
        </w:rPr>
        <w:t>颁布</w:t>
      </w:r>
      <w:r>
        <w:t>）</w:t>
      </w:r>
      <w:r>
        <w:rPr>
          <w:rFonts w:hint="eastAsia"/>
        </w:rPr>
        <w:t>；</w:t>
      </w:r>
    </w:p>
    <w:p w14:paraId="61C91AB6">
      <w:pPr>
        <w:ind w:firstLine="480"/>
        <w:rPr>
          <w:color w:val="FF0000"/>
        </w:rPr>
      </w:pPr>
      <w:r>
        <w:rPr>
          <w:color w:val="FF0000"/>
        </w:rPr>
        <w:t>（</w:t>
      </w:r>
      <w:r>
        <w:rPr>
          <w:rFonts w:hint="eastAsia"/>
          <w:color w:val="FF0000"/>
        </w:rPr>
        <w:t>21</w:t>
      </w:r>
      <w:r>
        <w:rPr>
          <w:color w:val="FF0000"/>
        </w:rPr>
        <w:t>）《建设项目环境影响评价分类管理名录》（环境保护部令第</w:t>
      </w:r>
      <w:r>
        <w:rPr>
          <w:rFonts w:hint="eastAsia"/>
          <w:color w:val="FF0000"/>
        </w:rPr>
        <w:t>44</w:t>
      </w:r>
      <w:r>
        <w:rPr>
          <w:color w:val="FF0000"/>
        </w:rPr>
        <w:t>号，</w:t>
      </w:r>
      <w:r>
        <w:rPr>
          <w:rFonts w:hint="eastAsia"/>
          <w:color w:val="FF0000"/>
        </w:rPr>
        <w:t>2017</w:t>
      </w:r>
      <w:r>
        <w:rPr>
          <w:color w:val="FF0000"/>
        </w:rPr>
        <w:t>年</w:t>
      </w:r>
      <w:r>
        <w:rPr>
          <w:rFonts w:hint="eastAsia"/>
          <w:color w:val="FF0000"/>
        </w:rPr>
        <w:t>9月1日施行</w:t>
      </w:r>
      <w:r>
        <w:rPr>
          <w:color w:val="FF0000"/>
        </w:rPr>
        <w:t>）</w:t>
      </w:r>
      <w:r>
        <w:rPr>
          <w:rFonts w:hint="eastAsia"/>
          <w:color w:val="FF0000"/>
        </w:rPr>
        <w:t>；</w:t>
      </w:r>
    </w:p>
    <w:p w14:paraId="17B46880">
      <w:pPr>
        <w:ind w:firstLine="480"/>
      </w:pPr>
      <w:r>
        <w:rPr>
          <w:rFonts w:hint="eastAsia"/>
        </w:rPr>
        <w:t>（22）</w:t>
      </w:r>
      <w:r>
        <w:t>《国务院关于落实科学发展观加强环境保护的决定》（国务院文件，国发〔20</w:t>
      </w:r>
      <w:r>
        <w:rPr>
          <w:rFonts w:hint="eastAsia"/>
        </w:rPr>
        <w:t>05</w:t>
      </w:r>
      <w:r>
        <w:t>〕39号，2005年12月3日）</w:t>
      </w:r>
      <w:r>
        <w:rPr>
          <w:rFonts w:hint="eastAsia"/>
        </w:rPr>
        <w:t>；</w:t>
      </w:r>
    </w:p>
    <w:p w14:paraId="653725E2">
      <w:pPr>
        <w:ind w:firstLine="480"/>
        <w:rPr>
          <w:highlight w:val="green"/>
        </w:rPr>
      </w:pPr>
      <w:r>
        <w:rPr>
          <w:rFonts w:hint="eastAsia"/>
        </w:rPr>
        <w:t>（23）</w:t>
      </w:r>
      <w:r>
        <w:t>《</w:t>
      </w:r>
      <w:r>
        <w:rPr>
          <w:rFonts w:hint="eastAsia"/>
        </w:rPr>
        <w:t>产业结构调整指导目录（2011年本）</w:t>
      </w:r>
      <w:r>
        <w:t>》</w:t>
      </w:r>
      <w:r>
        <w:rPr>
          <w:rFonts w:hint="eastAsia"/>
        </w:rPr>
        <w:t>（2013年修正）；</w:t>
      </w:r>
    </w:p>
    <w:p w14:paraId="6BCCB66A">
      <w:pPr>
        <w:ind w:firstLine="480"/>
      </w:pPr>
      <w:r>
        <w:t>（</w:t>
      </w:r>
      <w:r>
        <w:rPr>
          <w:rFonts w:hint="eastAsia"/>
        </w:rPr>
        <w:t>24</w:t>
      </w:r>
      <w:r>
        <w:t>）</w:t>
      </w:r>
      <w:r>
        <w:rPr>
          <w:rFonts w:hint="eastAsia"/>
        </w:rPr>
        <w:t>环境保护部关于《建设项目环境影响评价政府信息公开工作规程（试行）》的通知，环办</w:t>
      </w:r>
      <w:r>
        <w:t>〔20</w:t>
      </w:r>
      <w:r>
        <w:rPr>
          <w:rFonts w:hint="eastAsia"/>
        </w:rPr>
        <w:t>13</w:t>
      </w:r>
      <w:r>
        <w:t>〕</w:t>
      </w:r>
      <w:r>
        <w:rPr>
          <w:rFonts w:hint="eastAsia"/>
        </w:rPr>
        <w:t>103号；</w:t>
      </w:r>
    </w:p>
    <w:p w14:paraId="655F43B5">
      <w:pPr>
        <w:ind w:firstLine="480"/>
      </w:pPr>
      <w:r>
        <w:rPr>
          <w:rFonts w:hint="eastAsia"/>
        </w:rPr>
        <w:t>（25）</w:t>
      </w:r>
      <w:r>
        <w:t>《关于西部大开发中加强建设项目环境保护管理的若干意见》（环发〔2001〕4号</w:t>
      </w:r>
      <w:r>
        <w:rPr>
          <w:rFonts w:hint="eastAsia"/>
        </w:rPr>
        <w:t>，</w:t>
      </w:r>
      <w:r>
        <w:t>2001年1月）</w:t>
      </w:r>
      <w:r>
        <w:rPr>
          <w:rFonts w:hint="eastAsia"/>
        </w:rPr>
        <w:t>；</w:t>
      </w:r>
    </w:p>
    <w:p w14:paraId="6875CCA2">
      <w:pPr>
        <w:ind w:firstLine="480"/>
      </w:pPr>
      <w:r>
        <w:rPr>
          <w:rFonts w:hint="eastAsia"/>
        </w:rPr>
        <w:t>（26）</w:t>
      </w:r>
      <w:r>
        <w:t>《关于加强资源开发生态环境保护监管工作的意见》（国务院国发〔2004〕24号</w:t>
      </w:r>
      <w:r>
        <w:rPr>
          <w:rFonts w:hint="eastAsia"/>
        </w:rPr>
        <w:t>，</w:t>
      </w:r>
      <w:r>
        <w:t>2004年2月）</w:t>
      </w:r>
      <w:r>
        <w:rPr>
          <w:rFonts w:hint="eastAsia"/>
        </w:rPr>
        <w:t>；</w:t>
      </w:r>
    </w:p>
    <w:p w14:paraId="267691AC">
      <w:pPr>
        <w:ind w:firstLine="480"/>
      </w:pPr>
      <w:r>
        <w:rPr>
          <w:rFonts w:hint="eastAsia"/>
        </w:rPr>
        <w:t>（27）</w:t>
      </w:r>
      <w:r>
        <w:t>关于印发《水电水利建设项目河道生态用水、低温水和过鱼设施环境影响评价技术指南（试行）的函》（国家环保总局环评函〔2006〕4号）</w:t>
      </w:r>
      <w:r>
        <w:rPr>
          <w:rFonts w:hint="eastAsia"/>
        </w:rPr>
        <w:t>；</w:t>
      </w:r>
    </w:p>
    <w:p w14:paraId="3BC7DCDB">
      <w:pPr>
        <w:ind w:firstLine="480"/>
      </w:pPr>
      <w:r>
        <w:rPr>
          <w:rFonts w:hint="eastAsia"/>
        </w:rPr>
        <w:t>（28）《</w:t>
      </w:r>
      <w:r>
        <w:t>关于加强水电建设环境保护工作的通知</w:t>
      </w:r>
      <w:r>
        <w:rPr>
          <w:rFonts w:hint="eastAsia"/>
        </w:rPr>
        <w:t>》（</w:t>
      </w:r>
      <w:r>
        <w:t>国家环保总局、国家发改委环发〔20</w:t>
      </w:r>
      <w:r>
        <w:rPr>
          <w:rFonts w:hint="eastAsia"/>
        </w:rPr>
        <w:t>05</w:t>
      </w:r>
      <w:r>
        <w:t>〕13号文</w:t>
      </w:r>
      <w:r>
        <w:rPr>
          <w:rFonts w:hint="eastAsia"/>
        </w:rPr>
        <w:t>）；</w:t>
      </w:r>
    </w:p>
    <w:p w14:paraId="55A08848">
      <w:pPr>
        <w:ind w:firstLine="480"/>
      </w:pPr>
      <w:r>
        <w:rPr>
          <w:rFonts w:hint="eastAsia"/>
        </w:rPr>
        <w:t>（29）</w:t>
      </w:r>
      <w:r>
        <w:t>《关于进一步加强环境影响评价管理防范环境风险的通知》（环发〔20</w:t>
      </w:r>
      <w:r>
        <w:rPr>
          <w:rFonts w:hint="eastAsia"/>
        </w:rPr>
        <w:t>12</w:t>
      </w:r>
      <w:r>
        <w:t>〕77号）</w:t>
      </w:r>
      <w:r>
        <w:rPr>
          <w:rFonts w:hint="eastAsia"/>
        </w:rPr>
        <w:t>；</w:t>
      </w:r>
    </w:p>
    <w:p w14:paraId="1DD7E29F">
      <w:pPr>
        <w:ind w:firstLine="480"/>
      </w:pPr>
      <w:r>
        <w:t>（</w:t>
      </w:r>
      <w:r>
        <w:rPr>
          <w:rFonts w:hint="eastAsia"/>
        </w:rPr>
        <w:t>30</w:t>
      </w:r>
      <w:r>
        <w:t>）《关于切实加强风险防范严格环境影响评价管理的通知》（环发〔20</w:t>
      </w:r>
      <w:r>
        <w:rPr>
          <w:rFonts w:hint="eastAsia"/>
        </w:rPr>
        <w:t>12</w:t>
      </w:r>
      <w:r>
        <w:t>〕98号）</w:t>
      </w:r>
      <w:r>
        <w:rPr>
          <w:rFonts w:hint="eastAsia"/>
        </w:rPr>
        <w:t>；</w:t>
      </w:r>
    </w:p>
    <w:p w14:paraId="1E201002">
      <w:pPr>
        <w:ind w:firstLine="480"/>
      </w:pPr>
      <w:r>
        <w:rPr>
          <w:rFonts w:hint="eastAsia"/>
        </w:rPr>
        <w:t>（31）</w:t>
      </w:r>
      <w:r>
        <w:t>《</w:t>
      </w:r>
      <w:r>
        <w:rPr>
          <w:bCs/>
        </w:rPr>
        <w:t>关于进一步加强环境保护信息公开工作的通知</w:t>
      </w:r>
      <w:r>
        <w:t>》（环办〔20</w:t>
      </w:r>
      <w:r>
        <w:rPr>
          <w:rFonts w:hint="eastAsia"/>
        </w:rPr>
        <w:t>12</w:t>
      </w:r>
      <w:r>
        <w:t>〕134号）</w:t>
      </w:r>
      <w:r>
        <w:rPr>
          <w:rFonts w:hint="eastAsia"/>
        </w:rPr>
        <w:t>；</w:t>
      </w:r>
    </w:p>
    <w:p w14:paraId="6C258E03">
      <w:pPr>
        <w:ind w:firstLine="480"/>
      </w:pPr>
      <w:r>
        <w:rPr>
          <w:rFonts w:hint="eastAsia"/>
        </w:rPr>
        <w:t>（32）《关于进一步加强水利规划环境影响评价工作的通知》</w:t>
      </w:r>
      <w:r>
        <w:t>（环</w:t>
      </w:r>
      <w:r>
        <w:rPr>
          <w:rFonts w:hint="eastAsia"/>
        </w:rPr>
        <w:t>发</w:t>
      </w:r>
      <w:r>
        <w:t>〔20</w:t>
      </w:r>
      <w:r>
        <w:rPr>
          <w:rFonts w:hint="eastAsia"/>
        </w:rPr>
        <w:t>14</w:t>
      </w:r>
      <w:r>
        <w:t>〕</w:t>
      </w:r>
      <w:r>
        <w:rPr>
          <w:rFonts w:hint="eastAsia"/>
        </w:rPr>
        <w:t>43</w:t>
      </w:r>
      <w:r>
        <w:t>号）</w:t>
      </w:r>
      <w:r>
        <w:rPr>
          <w:rFonts w:hint="eastAsia"/>
        </w:rPr>
        <w:t>；</w:t>
      </w:r>
    </w:p>
    <w:p w14:paraId="2E01E271">
      <w:pPr>
        <w:ind w:firstLine="480"/>
      </w:pPr>
      <w:r>
        <w:rPr>
          <w:rFonts w:hint="eastAsia"/>
        </w:rPr>
        <w:t>（33）</w:t>
      </w:r>
      <w:r>
        <w:t>《关于进一步加强水电建设环境保护工作的通知》（环办〔2012〕4号）；</w:t>
      </w:r>
    </w:p>
    <w:p w14:paraId="0BC28A3C">
      <w:pPr>
        <w:ind w:firstLine="480"/>
      </w:pPr>
      <w:r>
        <w:rPr>
          <w:rFonts w:hint="eastAsia"/>
        </w:rPr>
        <w:t>（34）</w:t>
      </w:r>
      <w:r>
        <w:t>《关于深化落实水电开发生态环境保护措施的通知》（环境保护部国家能源局文件，环发〔2014〕65号）</w:t>
      </w:r>
      <w:r>
        <w:rPr>
          <w:rFonts w:hint="eastAsia"/>
        </w:rPr>
        <w:t>；</w:t>
      </w:r>
    </w:p>
    <w:p w14:paraId="6DE3AFF1">
      <w:pPr>
        <w:ind w:firstLine="480"/>
      </w:pPr>
      <w:r>
        <w:t>（3</w:t>
      </w:r>
      <w:r>
        <w:rPr>
          <w:rFonts w:hint="eastAsia"/>
        </w:rPr>
        <w:t>5</w:t>
      </w:r>
      <w:r>
        <w:t>）</w:t>
      </w:r>
      <w:r>
        <w:rPr>
          <w:rFonts w:hint="eastAsia"/>
        </w:rPr>
        <w:t>《关于加强小水电代燃料和水电农村电气化建设与管理的通知》（发改农经</w:t>
      </w:r>
      <w:r>
        <w:t>〔</w:t>
      </w:r>
      <w:r>
        <w:rPr>
          <w:rFonts w:hint="eastAsia"/>
        </w:rPr>
        <w:t>2009</w:t>
      </w:r>
      <w:r>
        <w:t>〕</w:t>
      </w:r>
      <w:r>
        <w:rPr>
          <w:rFonts w:hint="eastAsia"/>
        </w:rPr>
        <w:t>1937</w:t>
      </w:r>
      <w:r>
        <w:t>号</w:t>
      </w:r>
      <w:r>
        <w:rPr>
          <w:rFonts w:hint="eastAsia"/>
        </w:rPr>
        <w:t>）。</w:t>
      </w:r>
    </w:p>
    <w:p w14:paraId="2F3EC860">
      <w:pPr>
        <w:pStyle w:val="113"/>
      </w:pPr>
      <w:bookmarkStart w:id="88" w:name="_Toc443655361"/>
      <w:bookmarkStart w:id="89" w:name="_Toc508642398"/>
      <w:bookmarkStart w:id="90" w:name="_Toc397428249"/>
      <w:bookmarkStart w:id="91" w:name="_Toc262464323"/>
      <w:bookmarkStart w:id="92" w:name="_Toc471737949"/>
      <w:bookmarkStart w:id="93" w:name="_Toc454046459"/>
      <w:r>
        <w:t>1.2.</w:t>
      </w:r>
      <w:r>
        <w:rPr>
          <w:rFonts w:hint="eastAsia"/>
        </w:rPr>
        <w:t>2</w:t>
      </w:r>
      <w:r>
        <w:t>地方法规、规章</w:t>
      </w:r>
      <w:bookmarkEnd w:id="88"/>
      <w:bookmarkEnd w:id="89"/>
      <w:bookmarkEnd w:id="90"/>
      <w:bookmarkEnd w:id="91"/>
      <w:bookmarkEnd w:id="92"/>
      <w:bookmarkEnd w:id="93"/>
    </w:p>
    <w:p w14:paraId="5B6E835C">
      <w:pPr>
        <w:tabs>
          <w:tab w:val="left" w:pos="720"/>
          <w:tab w:val="left" w:pos="900"/>
        </w:tabs>
        <w:ind w:firstLine="480"/>
      </w:pPr>
      <w:r>
        <w:t>（1）《云南省环境保护条例（第二次修正）》（云南省人大常委会，2004年6月29日）</w:t>
      </w:r>
      <w:r>
        <w:rPr>
          <w:rFonts w:hint="eastAsia"/>
        </w:rPr>
        <w:t>；</w:t>
      </w:r>
    </w:p>
    <w:p w14:paraId="33B61A76">
      <w:pPr>
        <w:tabs>
          <w:tab w:val="left" w:pos="720"/>
          <w:tab w:val="left" w:pos="900"/>
        </w:tabs>
        <w:ind w:firstLine="480"/>
      </w:pPr>
      <w:r>
        <w:t>（2）《云南省土地管理条例》（云南省人大常委会，1999年9月24日）</w:t>
      </w:r>
      <w:r>
        <w:rPr>
          <w:rFonts w:hint="eastAsia"/>
        </w:rPr>
        <w:t>；</w:t>
      </w:r>
    </w:p>
    <w:p w14:paraId="6A6AAEA2">
      <w:pPr>
        <w:tabs>
          <w:tab w:val="left" w:pos="720"/>
          <w:tab w:val="left" w:pos="900"/>
        </w:tabs>
        <w:ind w:firstLine="480"/>
      </w:pPr>
      <w:r>
        <w:t>（3）《云南省森林条例》（云南省人大常委会，2002年11月29日）</w:t>
      </w:r>
      <w:r>
        <w:rPr>
          <w:rFonts w:hint="eastAsia"/>
        </w:rPr>
        <w:t>；</w:t>
      </w:r>
    </w:p>
    <w:p w14:paraId="156A404F">
      <w:pPr>
        <w:tabs>
          <w:tab w:val="left" w:pos="720"/>
        </w:tabs>
        <w:ind w:firstLine="480"/>
      </w:pPr>
      <w:r>
        <w:t>（</w:t>
      </w:r>
      <w:r>
        <w:rPr>
          <w:rFonts w:hint="eastAsia"/>
        </w:rPr>
        <w:t>4</w:t>
      </w:r>
      <w:r>
        <w:t>）《云南省陆生野生动物保护条例》（云南省人大常委会，1996年11月19日）</w:t>
      </w:r>
      <w:r>
        <w:rPr>
          <w:rFonts w:hint="eastAsia"/>
        </w:rPr>
        <w:t>；</w:t>
      </w:r>
    </w:p>
    <w:p w14:paraId="5EE20630">
      <w:pPr>
        <w:tabs>
          <w:tab w:val="left" w:pos="720"/>
          <w:tab w:val="left" w:pos="900"/>
        </w:tabs>
        <w:ind w:firstLine="480"/>
      </w:pPr>
      <w:r>
        <w:t>（</w:t>
      </w:r>
      <w:r>
        <w:rPr>
          <w:rFonts w:hint="eastAsia"/>
        </w:rPr>
        <w:t>5</w:t>
      </w:r>
      <w:r>
        <w:t>）《云南省珍稀动物保护目录》（1989年）；</w:t>
      </w:r>
    </w:p>
    <w:p w14:paraId="1704C171">
      <w:pPr>
        <w:tabs>
          <w:tab w:val="left" w:pos="720"/>
          <w:tab w:val="left" w:pos="900"/>
        </w:tabs>
        <w:ind w:firstLine="480"/>
      </w:pPr>
      <w:r>
        <w:t>（</w:t>
      </w:r>
      <w:r>
        <w:rPr>
          <w:rFonts w:hint="eastAsia"/>
        </w:rPr>
        <w:t>6</w:t>
      </w:r>
      <w:r>
        <w:t>）《云南省第一批省级重点保护野生植物名录》（1989年）；</w:t>
      </w:r>
    </w:p>
    <w:p w14:paraId="6C8B8E06">
      <w:pPr>
        <w:tabs>
          <w:tab w:val="left" w:pos="720"/>
          <w:tab w:val="left" w:pos="900"/>
        </w:tabs>
        <w:ind w:firstLine="480"/>
      </w:pPr>
      <w:r>
        <w:t>（</w:t>
      </w:r>
      <w:r>
        <w:rPr>
          <w:rFonts w:hint="eastAsia"/>
        </w:rPr>
        <w:t>7</w:t>
      </w:r>
      <w:r>
        <w:t>）《云南省建设项目环境保护管理规定》（云南省人民政府令第105号，2001年10月22日）</w:t>
      </w:r>
      <w:r>
        <w:rPr>
          <w:rFonts w:hint="eastAsia"/>
        </w:rPr>
        <w:t>；</w:t>
      </w:r>
    </w:p>
    <w:p w14:paraId="6654268A">
      <w:pPr>
        <w:tabs>
          <w:tab w:val="left" w:pos="720"/>
          <w:tab w:val="left" w:pos="900"/>
        </w:tabs>
        <w:ind w:firstLine="480"/>
        <w:rPr>
          <w:szCs w:val="24"/>
        </w:rPr>
      </w:pPr>
      <w:r>
        <w:t>（</w:t>
      </w:r>
      <w:r>
        <w:rPr>
          <w:rFonts w:hint="eastAsia"/>
        </w:rPr>
        <w:t>8</w:t>
      </w:r>
      <w:r>
        <w:t>）</w:t>
      </w:r>
      <w:r>
        <w:rPr>
          <w:rFonts w:hint="eastAsia"/>
          <w:szCs w:val="24"/>
        </w:rPr>
        <w:t>《云南省地表水水环境功能区划》（2010-2020年）；</w:t>
      </w:r>
    </w:p>
    <w:p w14:paraId="24EF2F20">
      <w:pPr>
        <w:tabs>
          <w:tab w:val="left" w:pos="720"/>
          <w:tab w:val="left" w:pos="900"/>
        </w:tabs>
        <w:ind w:firstLine="480"/>
      </w:pPr>
      <w:r>
        <w:rPr>
          <w:rFonts w:hint="eastAsia"/>
          <w:szCs w:val="24"/>
        </w:rPr>
        <w:t>（9）</w:t>
      </w:r>
      <w:r>
        <w:rPr>
          <w:szCs w:val="24"/>
        </w:rPr>
        <w:t>《云南省人民政府关于印发云南省主体功能区规划的通知》</w:t>
      </w:r>
      <w:r>
        <w:t>（</w:t>
      </w:r>
      <w:r>
        <w:rPr>
          <w:rFonts w:hint="eastAsia"/>
        </w:rPr>
        <w:t>云政发</w:t>
      </w:r>
      <w:r>
        <w:t>〔201</w:t>
      </w:r>
      <w:r>
        <w:rPr>
          <w:rFonts w:hint="eastAsia"/>
        </w:rPr>
        <w:t>4</w:t>
      </w:r>
      <w:r>
        <w:t>〕</w:t>
      </w:r>
      <w:r>
        <w:rPr>
          <w:rFonts w:hint="eastAsia"/>
        </w:rPr>
        <w:t>1</w:t>
      </w:r>
      <w:r>
        <w:t>号）</w:t>
      </w:r>
      <w:r>
        <w:rPr>
          <w:rFonts w:hint="eastAsia"/>
        </w:rPr>
        <w:t>；</w:t>
      </w:r>
    </w:p>
    <w:p w14:paraId="6A4C9736">
      <w:pPr>
        <w:ind w:firstLine="480"/>
      </w:pPr>
      <w:r>
        <w:t>（</w:t>
      </w:r>
      <w:r>
        <w:rPr>
          <w:rFonts w:hint="eastAsia"/>
        </w:rPr>
        <w:t>10</w:t>
      </w:r>
      <w:r>
        <w:t>）</w:t>
      </w:r>
      <w:r>
        <w:rPr>
          <w:rFonts w:hint="eastAsia"/>
        </w:rPr>
        <w:t>《云南省生物多样性保护战略与行动计划（2012-2030年）》（2013年2月）；</w:t>
      </w:r>
    </w:p>
    <w:p w14:paraId="6F83055D">
      <w:pPr>
        <w:ind w:firstLine="480"/>
      </w:pPr>
      <w:r>
        <w:rPr>
          <w:rFonts w:hint="eastAsia"/>
        </w:rPr>
        <w:t>（11）</w:t>
      </w:r>
      <w:r>
        <w:rPr>
          <w:szCs w:val="24"/>
        </w:rPr>
        <w:t>《关于进一步加强水生生物资源保护严格环境影响评价管理的通知》（云环发</w:t>
      </w:r>
      <w:r>
        <w:t>〔20</w:t>
      </w:r>
      <w:r>
        <w:rPr>
          <w:rFonts w:hint="eastAsia"/>
        </w:rPr>
        <w:t>13</w:t>
      </w:r>
      <w:r>
        <w:t>〕</w:t>
      </w:r>
      <w:r>
        <w:rPr>
          <w:szCs w:val="24"/>
        </w:rPr>
        <w:t>110号）；</w:t>
      </w:r>
    </w:p>
    <w:p w14:paraId="32C7821F">
      <w:pPr>
        <w:ind w:firstLine="480"/>
        <w:rPr>
          <w:szCs w:val="24"/>
        </w:rPr>
      </w:pPr>
      <w:r>
        <w:rPr>
          <w:szCs w:val="24"/>
        </w:rPr>
        <w:t>（1</w:t>
      </w:r>
      <w:r>
        <w:rPr>
          <w:rFonts w:hint="eastAsia"/>
          <w:szCs w:val="24"/>
        </w:rPr>
        <w:t>2</w:t>
      </w:r>
      <w:r>
        <w:rPr>
          <w:szCs w:val="24"/>
        </w:rPr>
        <w:t>）</w:t>
      </w:r>
      <w:r>
        <w:rPr>
          <w:rFonts w:hint="eastAsia"/>
        </w:rPr>
        <w:t>《关于加强水电新农村电气化和小水电代燃料项目日常监管的通知》（云水电</w:t>
      </w:r>
      <w:r>
        <w:t>〔20</w:t>
      </w:r>
      <w:r>
        <w:rPr>
          <w:rFonts w:hint="eastAsia"/>
        </w:rPr>
        <w:t>14</w:t>
      </w:r>
      <w:r>
        <w:t>〕</w:t>
      </w:r>
      <w:r>
        <w:rPr>
          <w:rFonts w:hint="eastAsia"/>
          <w:szCs w:val="24"/>
        </w:rPr>
        <w:t>32</w:t>
      </w:r>
      <w:r>
        <w:rPr>
          <w:szCs w:val="24"/>
        </w:rPr>
        <w:t>号</w:t>
      </w:r>
      <w:r>
        <w:rPr>
          <w:rFonts w:hint="eastAsia"/>
        </w:rPr>
        <w:t>）。</w:t>
      </w:r>
    </w:p>
    <w:p w14:paraId="52BC5A3D">
      <w:pPr>
        <w:pStyle w:val="113"/>
      </w:pPr>
      <w:bookmarkStart w:id="94" w:name="_Toc443655362"/>
      <w:bookmarkStart w:id="95" w:name="_Toc508642399"/>
      <w:bookmarkStart w:id="96" w:name="_Toc454046460"/>
      <w:bookmarkStart w:id="97" w:name="_Toc397428250"/>
      <w:bookmarkStart w:id="98" w:name="_Toc471737950"/>
      <w:r>
        <w:t>1.2.</w:t>
      </w:r>
      <w:r>
        <w:rPr>
          <w:rFonts w:hint="eastAsia"/>
        </w:rPr>
        <w:t>3</w:t>
      </w:r>
      <w:r>
        <w:rPr>
          <w:rStyle w:val="75"/>
          <w:rFonts w:eastAsia="黑体"/>
          <w:b w:val="0"/>
          <w:bCs/>
          <w:sz w:val="24"/>
        </w:rPr>
        <w:t>技术导则</w:t>
      </w:r>
      <w:r>
        <w:rPr>
          <w:rStyle w:val="75"/>
          <w:rFonts w:hint="eastAsia" w:eastAsia="黑体"/>
          <w:b w:val="0"/>
          <w:bCs/>
          <w:sz w:val="24"/>
        </w:rPr>
        <w:t>与</w:t>
      </w:r>
      <w:r>
        <w:rPr>
          <w:rStyle w:val="75"/>
          <w:rFonts w:eastAsia="黑体"/>
          <w:b w:val="0"/>
          <w:bCs/>
          <w:sz w:val="24"/>
        </w:rPr>
        <w:t>规范</w:t>
      </w:r>
      <w:bookmarkEnd w:id="83"/>
      <w:bookmarkEnd w:id="84"/>
      <w:bookmarkEnd w:id="85"/>
      <w:bookmarkEnd w:id="86"/>
      <w:bookmarkEnd w:id="87"/>
      <w:bookmarkEnd w:id="94"/>
      <w:bookmarkEnd w:id="95"/>
      <w:bookmarkEnd w:id="96"/>
      <w:bookmarkEnd w:id="97"/>
      <w:bookmarkEnd w:id="98"/>
    </w:p>
    <w:p w14:paraId="19C55AEE">
      <w:pPr>
        <w:ind w:firstLine="480"/>
      </w:pPr>
      <w:r>
        <w:rPr>
          <w:rFonts w:hint="eastAsia"/>
        </w:rPr>
        <w:t>（1）</w:t>
      </w:r>
      <w:r>
        <w:t>《</w:t>
      </w:r>
      <w:r>
        <w:rPr>
          <w:rFonts w:hint="eastAsia"/>
        </w:rPr>
        <w:t>建设项目</w:t>
      </w:r>
      <w:r>
        <w:t>环境影响评价技术导则 总纲》（</w:t>
      </w:r>
      <w:r>
        <w:rPr>
          <w:snapToGrid w:val="0"/>
          <w:spacing w:val="14"/>
          <w:kern w:val="0"/>
          <w:szCs w:val="20"/>
        </w:rPr>
        <w:t>HJ2.1</w:t>
      </w:r>
      <w:r>
        <w:rPr>
          <w:rFonts w:hint="eastAsia"/>
          <w:snapToGrid w:val="0"/>
          <w:spacing w:val="14"/>
          <w:kern w:val="0"/>
          <w:szCs w:val="20"/>
        </w:rPr>
        <w:t>-2016</w:t>
      </w:r>
      <w:r>
        <w:t>）；</w:t>
      </w:r>
    </w:p>
    <w:p w14:paraId="5B2B8A3D">
      <w:pPr>
        <w:ind w:firstLine="480"/>
      </w:pPr>
      <w:r>
        <w:rPr>
          <w:rFonts w:hint="eastAsia"/>
        </w:rPr>
        <w:t>（2）</w:t>
      </w:r>
      <w:r>
        <w:t>《环境影响评价技术导则 大气环境》（</w:t>
      </w:r>
      <w:r>
        <w:rPr>
          <w:snapToGrid w:val="0"/>
          <w:spacing w:val="14"/>
          <w:kern w:val="0"/>
          <w:szCs w:val="20"/>
        </w:rPr>
        <w:t>HJ2.2</w:t>
      </w:r>
      <w:r>
        <w:rPr>
          <w:rFonts w:hint="eastAsia"/>
          <w:snapToGrid w:val="0"/>
          <w:spacing w:val="14"/>
          <w:kern w:val="0"/>
          <w:szCs w:val="20"/>
        </w:rPr>
        <w:t>-</w:t>
      </w:r>
      <w:r>
        <w:rPr>
          <w:snapToGrid w:val="0"/>
          <w:spacing w:val="14"/>
          <w:kern w:val="0"/>
          <w:szCs w:val="20"/>
        </w:rPr>
        <w:t>2008</w:t>
      </w:r>
      <w:r>
        <w:t>）；</w:t>
      </w:r>
    </w:p>
    <w:p w14:paraId="62B91E98">
      <w:pPr>
        <w:ind w:firstLine="480"/>
      </w:pPr>
      <w:r>
        <w:rPr>
          <w:rFonts w:hint="eastAsia"/>
        </w:rPr>
        <w:t>（3）</w:t>
      </w:r>
      <w:r>
        <w:t>《环境影响评价技术导则 地面水环境》（HJ/T2.3-93）；</w:t>
      </w:r>
    </w:p>
    <w:p w14:paraId="121DF399">
      <w:pPr>
        <w:ind w:firstLine="480"/>
      </w:pPr>
      <w:r>
        <w:rPr>
          <w:rFonts w:hint="eastAsia"/>
        </w:rPr>
        <w:t>（4）</w:t>
      </w:r>
      <w:r>
        <w:t>《环境影响评价技术导则 地</w:t>
      </w:r>
      <w:r>
        <w:rPr>
          <w:rFonts w:hint="eastAsia"/>
        </w:rPr>
        <w:t>下</w:t>
      </w:r>
      <w:r>
        <w:t>水环境》（HJ</w:t>
      </w:r>
      <w:r>
        <w:rPr>
          <w:rFonts w:hint="eastAsia"/>
        </w:rPr>
        <w:t>610-2016</w:t>
      </w:r>
      <w:r>
        <w:t>）；</w:t>
      </w:r>
    </w:p>
    <w:p w14:paraId="05DA4932">
      <w:pPr>
        <w:ind w:firstLine="480"/>
      </w:pPr>
      <w:r>
        <w:rPr>
          <w:rFonts w:hint="eastAsia"/>
        </w:rPr>
        <w:t>（5）</w:t>
      </w:r>
      <w:r>
        <w:t xml:space="preserve">《环境影响评价技术导则 </w:t>
      </w:r>
      <w:r>
        <w:rPr>
          <w:rFonts w:hint="eastAsia"/>
        </w:rPr>
        <w:t xml:space="preserve"> </w:t>
      </w:r>
      <w:r>
        <w:t>声环境》（HJ2.4-2009）；</w:t>
      </w:r>
    </w:p>
    <w:p w14:paraId="0FEA10EE">
      <w:pPr>
        <w:ind w:firstLine="480"/>
      </w:pPr>
      <w:r>
        <w:rPr>
          <w:rFonts w:hint="eastAsia"/>
        </w:rPr>
        <w:t>（6）</w:t>
      </w:r>
      <w:r>
        <w:t>《环境影响评价技术导则</w:t>
      </w:r>
      <w:r>
        <w:rPr>
          <w:rFonts w:hint="eastAsia"/>
        </w:rPr>
        <w:t xml:space="preserve"> </w:t>
      </w:r>
      <w:r>
        <w:t xml:space="preserve"> 生态影响》（HJ19-2011）；</w:t>
      </w:r>
    </w:p>
    <w:p w14:paraId="77B09598">
      <w:pPr>
        <w:ind w:firstLine="480"/>
      </w:pPr>
      <w:r>
        <w:rPr>
          <w:rFonts w:hint="eastAsia"/>
        </w:rPr>
        <w:t>（7）</w:t>
      </w:r>
      <w:r>
        <w:t xml:space="preserve">《环境影响评价技术导则 </w:t>
      </w:r>
      <w:r>
        <w:rPr>
          <w:rFonts w:hint="eastAsia"/>
        </w:rPr>
        <w:t xml:space="preserve"> </w:t>
      </w:r>
      <w:r>
        <w:t>水利水电工程》</w:t>
      </w:r>
      <w:r>
        <w:rPr>
          <w:rFonts w:hint="eastAsia"/>
        </w:rPr>
        <w:t>（</w:t>
      </w:r>
      <w:r>
        <w:t>HJ/T88-2003</w:t>
      </w:r>
      <w:r>
        <w:rPr>
          <w:rFonts w:hint="eastAsia"/>
        </w:rPr>
        <w:t>）</w:t>
      </w:r>
      <w:r>
        <w:t>；</w:t>
      </w:r>
    </w:p>
    <w:p w14:paraId="1121D922">
      <w:pPr>
        <w:ind w:firstLine="480"/>
      </w:pPr>
      <w:r>
        <w:rPr>
          <w:rFonts w:hint="eastAsia"/>
        </w:rPr>
        <w:t>（8）</w:t>
      </w:r>
      <w:r>
        <w:t>《建设</w:t>
      </w:r>
      <w:r>
        <w:rPr>
          <w:rFonts w:hint="eastAsia"/>
        </w:rPr>
        <w:t>项目</w:t>
      </w:r>
      <w:r>
        <w:t>环境风险评价技术导则》（HJ/T169</w:t>
      </w:r>
      <w:r>
        <w:rPr>
          <w:rFonts w:hint="eastAsia"/>
        </w:rPr>
        <w:t>-</w:t>
      </w:r>
      <w:r>
        <w:t>2004）</w:t>
      </w:r>
      <w:r>
        <w:rPr>
          <w:rFonts w:hint="eastAsia"/>
        </w:rPr>
        <w:t>；</w:t>
      </w:r>
    </w:p>
    <w:p w14:paraId="11360730">
      <w:pPr>
        <w:ind w:firstLine="480"/>
      </w:pPr>
      <w:r>
        <w:rPr>
          <w:rFonts w:hint="eastAsia"/>
        </w:rPr>
        <w:t>（9）《</w:t>
      </w:r>
      <w:r>
        <w:t>水电水利建设项目河道生态用水、低温水和过鱼设施环境影响评价技术指南（试行）</w:t>
      </w:r>
      <w:r>
        <w:rPr>
          <w:rFonts w:hint="eastAsia"/>
        </w:rPr>
        <w:t>》。</w:t>
      </w:r>
    </w:p>
    <w:p w14:paraId="2FD41F14">
      <w:pPr>
        <w:pStyle w:val="113"/>
      </w:pPr>
      <w:bookmarkStart w:id="99" w:name="_Toc352170623"/>
      <w:bookmarkStart w:id="100" w:name="_Toc346872377"/>
      <w:bookmarkStart w:id="101" w:name="_Toc443655363"/>
      <w:bookmarkStart w:id="102" w:name="_Toc471737951"/>
      <w:bookmarkStart w:id="103" w:name="_Toc508642400"/>
      <w:bookmarkStart w:id="104" w:name="_Toc385867769"/>
      <w:bookmarkStart w:id="105" w:name="_Toc333869915"/>
      <w:bookmarkStart w:id="106" w:name="_Toc397428251"/>
      <w:bookmarkStart w:id="107" w:name="_Toc343278804"/>
      <w:bookmarkStart w:id="108" w:name="_Toc454046461"/>
      <w:r>
        <w:t>1.2.</w:t>
      </w:r>
      <w:r>
        <w:rPr>
          <w:rFonts w:hint="eastAsia"/>
        </w:rPr>
        <w:t>4相关</w:t>
      </w:r>
      <w:r>
        <w:t>技术资料</w:t>
      </w:r>
      <w:bookmarkEnd w:id="99"/>
      <w:bookmarkEnd w:id="100"/>
      <w:bookmarkEnd w:id="101"/>
      <w:bookmarkEnd w:id="102"/>
      <w:bookmarkEnd w:id="103"/>
      <w:bookmarkEnd w:id="104"/>
      <w:bookmarkEnd w:id="105"/>
      <w:bookmarkEnd w:id="106"/>
      <w:bookmarkEnd w:id="107"/>
      <w:bookmarkEnd w:id="108"/>
    </w:p>
    <w:p w14:paraId="7ABED149">
      <w:pPr>
        <w:ind w:firstLine="480"/>
      </w:pPr>
      <w:bookmarkStart w:id="109" w:name="_Toc277778208"/>
      <w:r>
        <w:t>（</w:t>
      </w:r>
      <w:r>
        <w:rPr>
          <w:rFonts w:hint="eastAsia"/>
        </w:rPr>
        <w:t>1</w:t>
      </w:r>
      <w:r>
        <w:t>）</w:t>
      </w:r>
      <w:r>
        <w:rPr>
          <w:rFonts w:hint="eastAsia"/>
        </w:rPr>
        <w:t>委托书；</w:t>
      </w:r>
    </w:p>
    <w:p w14:paraId="2FA5C5B6">
      <w:pPr>
        <w:ind w:firstLine="480"/>
      </w:pPr>
      <w:r>
        <w:rPr>
          <w:rFonts w:hint="eastAsia"/>
        </w:rPr>
        <w:t>（2）《潞西市芒里水电站环境影响报告书》</w:t>
      </w:r>
      <w:r>
        <w:t>（20</w:t>
      </w:r>
      <w:r>
        <w:rPr>
          <w:rFonts w:hint="eastAsia"/>
        </w:rPr>
        <w:t>05年10月</w:t>
      </w:r>
      <w:r>
        <w:t>）</w:t>
      </w:r>
      <w:r>
        <w:rPr>
          <w:rFonts w:hint="eastAsia"/>
        </w:rPr>
        <w:t>；</w:t>
      </w:r>
    </w:p>
    <w:p w14:paraId="0BFF5966">
      <w:pPr>
        <w:ind w:firstLine="480"/>
      </w:pPr>
      <w:r>
        <w:t>（</w:t>
      </w:r>
      <w:r>
        <w:rPr>
          <w:rFonts w:hint="eastAsia"/>
        </w:rPr>
        <w:t>3</w:t>
      </w:r>
      <w:r>
        <w:t>）</w:t>
      </w:r>
      <w:r>
        <w:rPr>
          <w:rFonts w:hint="eastAsia"/>
        </w:rPr>
        <w:t>《云南省德宏州芒市团结水电站工程初步设计报告（报告稿）》</w:t>
      </w:r>
      <w:r>
        <w:t>（20</w:t>
      </w:r>
      <w:r>
        <w:rPr>
          <w:rFonts w:hint="eastAsia"/>
        </w:rPr>
        <w:t>15年6月</w:t>
      </w:r>
      <w:r>
        <w:t>）</w:t>
      </w:r>
      <w:r>
        <w:rPr>
          <w:rFonts w:hint="eastAsia"/>
        </w:rPr>
        <w:t>；</w:t>
      </w:r>
    </w:p>
    <w:p w14:paraId="73F2EE28">
      <w:pPr>
        <w:ind w:firstLine="480"/>
      </w:pPr>
      <w:r>
        <w:t>（</w:t>
      </w:r>
      <w:r>
        <w:rPr>
          <w:rFonts w:hint="eastAsia"/>
        </w:rPr>
        <w:t>4</w:t>
      </w:r>
      <w:r>
        <w:t>）《</w:t>
      </w:r>
      <w:r>
        <w:rPr>
          <w:rFonts w:hint="eastAsia"/>
        </w:rPr>
        <w:t>云南省德宏州芒市团结水电站工程</w:t>
      </w:r>
      <w:r>
        <w:t>水资源论证报告</w:t>
      </w:r>
      <w:r>
        <w:rPr>
          <w:rFonts w:hint="eastAsia"/>
        </w:rPr>
        <w:t>书（报批稿）</w:t>
      </w:r>
      <w:r>
        <w:t>》（201</w:t>
      </w:r>
      <w:r>
        <w:rPr>
          <w:rFonts w:hint="eastAsia"/>
        </w:rPr>
        <w:t>6年</w:t>
      </w:r>
      <w:r>
        <w:t>1</w:t>
      </w:r>
      <w:r>
        <w:rPr>
          <w:rFonts w:hint="eastAsia"/>
        </w:rPr>
        <w:t>0月</w:t>
      </w:r>
      <w:r>
        <w:t>）</w:t>
      </w:r>
      <w:r>
        <w:rPr>
          <w:rFonts w:hint="eastAsia"/>
        </w:rPr>
        <w:t>。</w:t>
      </w:r>
    </w:p>
    <w:bookmarkEnd w:id="109"/>
    <w:p w14:paraId="224C5101">
      <w:pPr>
        <w:pStyle w:val="4"/>
      </w:pPr>
      <w:bookmarkStart w:id="110" w:name="_Toc277778209"/>
      <w:bookmarkStart w:id="111" w:name="_Toc333869920"/>
      <w:bookmarkStart w:id="112" w:name="_Toc508642401"/>
      <w:bookmarkStart w:id="113" w:name="_Toc471737952"/>
      <w:bookmarkStart w:id="114" w:name="_Toc343278809"/>
      <w:bookmarkStart w:id="115" w:name="_Toc397428256"/>
      <w:bookmarkStart w:id="116" w:name="_Toc385867774"/>
      <w:bookmarkStart w:id="117" w:name="_Toc346826083"/>
      <w:bookmarkStart w:id="118" w:name="_Toc443655364"/>
      <w:bookmarkStart w:id="119" w:name="_Toc352170628"/>
      <w:bookmarkStart w:id="120" w:name="_Toc454046462"/>
      <w:bookmarkStart w:id="121" w:name="_Toc346872382"/>
      <w:r>
        <w:t>1.</w:t>
      </w:r>
      <w:r>
        <w:rPr>
          <w:rFonts w:hint="eastAsia"/>
        </w:rPr>
        <w:t>3</w:t>
      </w:r>
      <w:r>
        <w:t>评价标准</w:t>
      </w:r>
      <w:bookmarkEnd w:id="110"/>
      <w:bookmarkEnd w:id="111"/>
      <w:bookmarkEnd w:id="112"/>
      <w:bookmarkEnd w:id="113"/>
      <w:bookmarkEnd w:id="114"/>
      <w:bookmarkEnd w:id="115"/>
      <w:bookmarkEnd w:id="116"/>
      <w:bookmarkEnd w:id="117"/>
      <w:bookmarkEnd w:id="118"/>
      <w:bookmarkEnd w:id="119"/>
      <w:bookmarkEnd w:id="120"/>
      <w:bookmarkEnd w:id="121"/>
    </w:p>
    <w:p w14:paraId="77019C45">
      <w:pPr>
        <w:ind w:firstLine="480"/>
      </w:pPr>
      <w:r>
        <w:rPr>
          <w:rFonts w:hint="eastAsia"/>
        </w:rPr>
        <w:t>为使环评工作满足国家现行环境保护法规和标准要求，本次评价根据工程环境影响特性、工程区环境质量现状和保护目标初步拟了评价标准，并请求芒市环境保护局确认。2016年1月25日，芒市环境保护局以《关于</w:t>
      </w:r>
      <w:r>
        <w:rPr>
          <w:rFonts w:ascii="宋体" w:hAnsi="宋体"/>
        </w:rPr>
        <w:t>云南省</w:t>
      </w:r>
      <w:r>
        <w:rPr>
          <w:rFonts w:hint="eastAsia" w:ascii="宋体" w:hAnsi="宋体"/>
        </w:rPr>
        <w:t>德宏</w:t>
      </w:r>
      <w:r>
        <w:rPr>
          <w:rFonts w:ascii="宋体" w:hAnsi="宋体"/>
        </w:rPr>
        <w:t>州</w:t>
      </w:r>
      <w:r>
        <w:rPr>
          <w:rFonts w:hint="eastAsia" w:ascii="宋体" w:hAnsi="宋体"/>
        </w:rPr>
        <w:t>芒市团结</w:t>
      </w:r>
      <w:r>
        <w:rPr>
          <w:rFonts w:ascii="宋体" w:hAnsi="宋体"/>
        </w:rPr>
        <w:t>水电站工程</w:t>
      </w:r>
      <w:r>
        <w:rPr>
          <w:rFonts w:hint="eastAsia" w:ascii="宋体" w:hAnsi="宋体"/>
        </w:rPr>
        <w:t>建设项目环境影响评价执行标准确认的函</w:t>
      </w:r>
      <w:r>
        <w:rPr>
          <w:rFonts w:hint="eastAsia"/>
        </w:rPr>
        <w:t>》（芒环函</w:t>
      </w:r>
      <w:r>
        <w:t>〔201</w:t>
      </w:r>
      <w:r>
        <w:rPr>
          <w:rFonts w:hint="eastAsia"/>
        </w:rPr>
        <w:t>6</w:t>
      </w:r>
      <w:r>
        <w:t>〕</w:t>
      </w:r>
      <w:r>
        <w:rPr>
          <w:rFonts w:hint="eastAsia"/>
        </w:rPr>
        <w:t>6号）确认标准如下：</w:t>
      </w:r>
    </w:p>
    <w:p w14:paraId="44F4187F">
      <w:pPr>
        <w:pStyle w:val="113"/>
      </w:pPr>
      <w:bookmarkStart w:id="122" w:name="_Toc454046463"/>
      <w:bookmarkStart w:id="123" w:name="_Toc443655365"/>
      <w:bookmarkStart w:id="124" w:name="_Toc471737953"/>
      <w:bookmarkStart w:id="125" w:name="_Toc508642402"/>
      <w:r>
        <w:rPr>
          <w:rFonts w:hint="eastAsia"/>
        </w:rPr>
        <w:t>1.3.1环境质量标准</w:t>
      </w:r>
      <w:bookmarkEnd w:id="122"/>
      <w:bookmarkEnd w:id="123"/>
      <w:bookmarkEnd w:id="124"/>
      <w:bookmarkEnd w:id="125"/>
    </w:p>
    <w:p w14:paraId="7EC9249F">
      <w:pPr>
        <w:ind w:firstLine="482"/>
        <w:jc w:val="left"/>
        <w:rPr>
          <w:b/>
        </w:rPr>
      </w:pPr>
      <w:bookmarkStart w:id="126" w:name="_Toc454046464"/>
      <w:bookmarkStart w:id="127" w:name="_Toc343278811"/>
      <w:bookmarkStart w:id="128" w:name="_Toc352170630"/>
      <w:bookmarkStart w:id="129" w:name="_Toc443655366"/>
      <w:bookmarkStart w:id="130" w:name="_Toc346872384"/>
      <w:bookmarkStart w:id="131" w:name="_Toc333869922"/>
      <w:bookmarkStart w:id="132" w:name="_Toc385867776"/>
      <w:bookmarkStart w:id="133" w:name="_Toc397428258"/>
      <w:r>
        <w:rPr>
          <w:b/>
        </w:rPr>
        <w:t>1</w:t>
      </w:r>
      <w:r>
        <w:rPr>
          <w:rFonts w:hint="eastAsia"/>
          <w:b/>
        </w:rPr>
        <w:t>、地表水</w:t>
      </w:r>
    </w:p>
    <w:p w14:paraId="6465EDC4">
      <w:pPr>
        <w:ind w:firstLine="480"/>
      </w:pPr>
      <w:r>
        <w:rPr>
          <w:rFonts w:hint="eastAsia" w:hAnsi="宋体"/>
        </w:rPr>
        <w:t>团结水电站位于云南省德宏州芒市遮放镇的芒市河。</w:t>
      </w:r>
      <w:r>
        <w:rPr>
          <w:rFonts w:hint="eastAsia"/>
        </w:rPr>
        <w:t>芒市河为瑞丽江一级支流，根据《云南省地表水环境功能区划》（</w:t>
      </w:r>
      <w:r>
        <w:t>2010-2020</w:t>
      </w:r>
      <w:r>
        <w:rPr>
          <w:rFonts w:hint="eastAsia"/>
        </w:rPr>
        <w:t>），芒市河“木康断面</w:t>
      </w:r>
      <w:r>
        <w:t>—</w:t>
      </w:r>
      <w:r>
        <w:rPr>
          <w:rFonts w:hint="eastAsia"/>
        </w:rPr>
        <w:t>入瑞丽江口”段水环境功能为农业用水、工业用水，水质类别为</w:t>
      </w:r>
      <w:r>
        <w:fldChar w:fldCharType="begin"/>
      </w:r>
      <w:r>
        <w:instrText xml:space="preserve"> = 3 \* ROMAN </w:instrText>
      </w:r>
      <w:r>
        <w:fldChar w:fldCharType="separate"/>
      </w:r>
      <w:r>
        <w:t>III</w:t>
      </w:r>
      <w:r>
        <w:fldChar w:fldCharType="end"/>
      </w:r>
      <w:r>
        <w:rPr>
          <w:rFonts w:hint="eastAsia"/>
        </w:rPr>
        <w:t>类。因此本次评价水体执行《地表水环境质量标准》（</w:t>
      </w:r>
      <w:r>
        <w:t>GB3838-2002</w:t>
      </w:r>
      <w:r>
        <w:rPr>
          <w:rFonts w:hint="eastAsia"/>
        </w:rPr>
        <w:t>）</w:t>
      </w:r>
      <w:r>
        <w:fldChar w:fldCharType="begin"/>
      </w:r>
      <w:r>
        <w:instrText xml:space="preserve"> = 3 \* ROMAN </w:instrText>
      </w:r>
      <w:r>
        <w:fldChar w:fldCharType="separate"/>
      </w:r>
      <w:r>
        <w:t>III</w:t>
      </w:r>
      <w:r>
        <w:fldChar w:fldCharType="end"/>
      </w:r>
      <w:r>
        <w:rPr>
          <w:rFonts w:hint="eastAsia"/>
        </w:rPr>
        <w:t>类标准：</w:t>
      </w:r>
    </w:p>
    <w:p w14:paraId="6A73C9D7">
      <w:pPr>
        <w:pStyle w:val="82"/>
        <w:framePr w:hSpace="0" w:wrap="auto" w:vAnchor="margin" w:hAnchor="text" w:xAlign="left" w:yAlign="inline"/>
        <w:rPr>
          <w:b/>
        </w:rPr>
      </w:pPr>
      <w:r>
        <w:rPr>
          <w:rFonts w:hint="eastAsia"/>
          <w:b/>
        </w:rPr>
        <w:t>表</w:t>
      </w:r>
      <w:r>
        <w:rPr>
          <w:b/>
        </w:rPr>
        <w:t>1-</w:t>
      </w:r>
      <w:r>
        <w:rPr>
          <w:rFonts w:hint="eastAsia"/>
          <w:b/>
        </w:rPr>
        <w:t>3-</w:t>
      </w:r>
      <w:r>
        <w:rPr>
          <w:b/>
        </w:rPr>
        <w:t xml:space="preserve">1  </w:t>
      </w:r>
      <w:r>
        <w:rPr>
          <w:rFonts w:hint="eastAsia"/>
        </w:rPr>
        <w:t>地表水环境质量标准（</w:t>
      </w:r>
      <w:r>
        <w:t>GB3838-2002</w:t>
      </w:r>
      <w:r>
        <w:rPr>
          <w:rFonts w:hint="eastAsia"/>
        </w:rPr>
        <w:t>）（摘录）</w:t>
      </w:r>
      <w:r>
        <w:t xml:space="preserve"> </w:t>
      </w:r>
      <w:r>
        <w:rPr>
          <w:rFonts w:hint="eastAsia"/>
        </w:rPr>
        <w:t>（单位：</w:t>
      </w:r>
      <w:r>
        <w:t>mg/L</w:t>
      </w:r>
      <w:r>
        <w:rPr>
          <w:rFonts w:hint="eastAsia"/>
        </w:rPr>
        <w:t>）</w:t>
      </w:r>
    </w:p>
    <w:tbl>
      <w:tblPr>
        <w:tblStyle w:val="56"/>
        <w:tblW w:w="875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797"/>
        <w:gridCol w:w="731"/>
        <w:gridCol w:w="741"/>
        <w:gridCol w:w="811"/>
        <w:gridCol w:w="716"/>
        <w:gridCol w:w="639"/>
        <w:gridCol w:w="689"/>
        <w:gridCol w:w="804"/>
        <w:gridCol w:w="1000"/>
        <w:gridCol w:w="1125"/>
      </w:tblGrid>
      <w:tr w14:paraId="2E1288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tblHeader/>
          <w:jc w:val="center"/>
        </w:trPr>
        <w:tc>
          <w:tcPr>
            <w:tcW w:w="706" w:type="dxa"/>
            <w:tcBorders>
              <w:top w:val="single" w:color="auto" w:sz="4" w:space="0"/>
              <w:left w:val="nil"/>
              <w:bottom w:val="single" w:color="auto" w:sz="4" w:space="0"/>
              <w:right w:val="single" w:color="auto" w:sz="4" w:space="0"/>
            </w:tcBorders>
            <w:vAlign w:val="center"/>
          </w:tcPr>
          <w:p w14:paraId="6A0DDC21">
            <w:pPr>
              <w:pStyle w:val="84"/>
            </w:pPr>
            <w:r>
              <w:rPr>
                <w:rFonts w:hint="eastAsia"/>
              </w:rPr>
              <w:t>项目</w:t>
            </w:r>
          </w:p>
        </w:tc>
        <w:tc>
          <w:tcPr>
            <w:tcW w:w="797" w:type="dxa"/>
            <w:tcBorders>
              <w:top w:val="single" w:color="auto" w:sz="4" w:space="0"/>
              <w:left w:val="single" w:color="auto" w:sz="4" w:space="0"/>
              <w:bottom w:val="single" w:color="auto" w:sz="4" w:space="0"/>
              <w:right w:val="single" w:color="auto" w:sz="4" w:space="0"/>
            </w:tcBorders>
            <w:vAlign w:val="center"/>
          </w:tcPr>
          <w:p w14:paraId="2180FE57">
            <w:pPr>
              <w:pStyle w:val="84"/>
            </w:pPr>
            <w:r>
              <w:t>pH</w:t>
            </w:r>
          </w:p>
        </w:tc>
        <w:tc>
          <w:tcPr>
            <w:tcW w:w="731" w:type="dxa"/>
            <w:tcBorders>
              <w:top w:val="single" w:color="auto" w:sz="4" w:space="0"/>
              <w:left w:val="single" w:color="auto" w:sz="4" w:space="0"/>
              <w:bottom w:val="single" w:color="auto" w:sz="4" w:space="0"/>
              <w:right w:val="single" w:color="auto" w:sz="4" w:space="0"/>
            </w:tcBorders>
            <w:vAlign w:val="center"/>
          </w:tcPr>
          <w:p w14:paraId="5BD81CF9">
            <w:pPr>
              <w:pStyle w:val="84"/>
            </w:pPr>
            <w:r>
              <w:t>COD</w:t>
            </w:r>
          </w:p>
        </w:tc>
        <w:tc>
          <w:tcPr>
            <w:tcW w:w="741" w:type="dxa"/>
            <w:tcBorders>
              <w:top w:val="single" w:color="auto" w:sz="4" w:space="0"/>
              <w:left w:val="single" w:color="auto" w:sz="4" w:space="0"/>
              <w:bottom w:val="single" w:color="auto" w:sz="4" w:space="0"/>
              <w:right w:val="single" w:color="auto" w:sz="4" w:space="0"/>
            </w:tcBorders>
            <w:vAlign w:val="center"/>
          </w:tcPr>
          <w:p w14:paraId="0A730F3A">
            <w:pPr>
              <w:pStyle w:val="84"/>
            </w:pPr>
            <w:r>
              <w:t>BOD</w:t>
            </w:r>
            <w:r>
              <w:rPr>
                <w:vertAlign w:val="subscript"/>
              </w:rPr>
              <w:t>5</w:t>
            </w:r>
          </w:p>
        </w:tc>
        <w:tc>
          <w:tcPr>
            <w:tcW w:w="811" w:type="dxa"/>
            <w:tcBorders>
              <w:top w:val="single" w:color="auto" w:sz="4" w:space="0"/>
              <w:left w:val="single" w:color="auto" w:sz="4" w:space="0"/>
              <w:bottom w:val="single" w:color="auto" w:sz="4" w:space="0"/>
              <w:right w:val="single" w:color="auto" w:sz="4" w:space="0"/>
            </w:tcBorders>
            <w:vAlign w:val="center"/>
          </w:tcPr>
          <w:p w14:paraId="57CC7353">
            <w:pPr>
              <w:pStyle w:val="84"/>
            </w:pPr>
            <w:r>
              <w:t>NH</w:t>
            </w:r>
            <w:r>
              <w:rPr>
                <w:vertAlign w:val="subscript"/>
              </w:rPr>
              <w:t>3</w:t>
            </w:r>
            <w:r>
              <w:t>-N</w:t>
            </w:r>
          </w:p>
        </w:tc>
        <w:tc>
          <w:tcPr>
            <w:tcW w:w="716" w:type="dxa"/>
            <w:tcBorders>
              <w:top w:val="single" w:color="auto" w:sz="4" w:space="0"/>
              <w:left w:val="single" w:color="auto" w:sz="4" w:space="0"/>
              <w:bottom w:val="single" w:color="auto" w:sz="4" w:space="0"/>
              <w:right w:val="single" w:color="auto" w:sz="4" w:space="0"/>
            </w:tcBorders>
            <w:vAlign w:val="center"/>
          </w:tcPr>
          <w:p w14:paraId="6C6E044A">
            <w:pPr>
              <w:pStyle w:val="84"/>
            </w:pPr>
            <w:r>
              <w:t>DO</w:t>
            </w:r>
          </w:p>
        </w:tc>
        <w:tc>
          <w:tcPr>
            <w:tcW w:w="639" w:type="dxa"/>
            <w:tcBorders>
              <w:top w:val="single" w:color="auto" w:sz="4" w:space="0"/>
              <w:left w:val="single" w:color="auto" w:sz="4" w:space="0"/>
              <w:bottom w:val="single" w:color="auto" w:sz="4" w:space="0"/>
              <w:right w:val="single" w:color="auto" w:sz="4" w:space="0"/>
            </w:tcBorders>
            <w:vAlign w:val="center"/>
          </w:tcPr>
          <w:p w14:paraId="0887BD12">
            <w:pPr>
              <w:pStyle w:val="84"/>
            </w:pPr>
            <w:r>
              <w:t>SS</w:t>
            </w:r>
          </w:p>
        </w:tc>
        <w:tc>
          <w:tcPr>
            <w:tcW w:w="689" w:type="dxa"/>
            <w:tcBorders>
              <w:top w:val="single" w:color="auto" w:sz="4" w:space="0"/>
              <w:left w:val="single" w:color="auto" w:sz="4" w:space="0"/>
              <w:bottom w:val="single" w:color="auto" w:sz="4" w:space="0"/>
              <w:right w:val="single" w:color="auto" w:sz="4" w:space="0"/>
            </w:tcBorders>
            <w:vAlign w:val="center"/>
          </w:tcPr>
          <w:p w14:paraId="3DC8C0B3">
            <w:pPr>
              <w:pStyle w:val="84"/>
            </w:pPr>
            <w:r>
              <w:t>TN</w:t>
            </w:r>
          </w:p>
        </w:tc>
        <w:tc>
          <w:tcPr>
            <w:tcW w:w="804" w:type="dxa"/>
            <w:tcBorders>
              <w:top w:val="single" w:color="auto" w:sz="4" w:space="0"/>
              <w:left w:val="single" w:color="auto" w:sz="4" w:space="0"/>
              <w:bottom w:val="single" w:color="auto" w:sz="4" w:space="0"/>
              <w:right w:val="single" w:color="auto" w:sz="4" w:space="0"/>
            </w:tcBorders>
            <w:vAlign w:val="center"/>
          </w:tcPr>
          <w:p w14:paraId="268D017F">
            <w:pPr>
              <w:pStyle w:val="84"/>
            </w:pPr>
            <w:r>
              <w:t>TP</w:t>
            </w:r>
          </w:p>
        </w:tc>
        <w:tc>
          <w:tcPr>
            <w:tcW w:w="1000" w:type="dxa"/>
            <w:tcBorders>
              <w:top w:val="single" w:color="auto" w:sz="4" w:space="0"/>
              <w:left w:val="single" w:color="auto" w:sz="4" w:space="0"/>
              <w:bottom w:val="single" w:color="auto" w:sz="4" w:space="0"/>
              <w:right w:val="single" w:color="auto" w:sz="4" w:space="0"/>
            </w:tcBorders>
            <w:vAlign w:val="center"/>
          </w:tcPr>
          <w:p w14:paraId="40910E90">
            <w:pPr>
              <w:pStyle w:val="84"/>
            </w:pPr>
            <w:r>
              <w:rPr>
                <w:rFonts w:hint="eastAsia"/>
              </w:rPr>
              <w:t>石油类</w:t>
            </w:r>
          </w:p>
        </w:tc>
        <w:tc>
          <w:tcPr>
            <w:tcW w:w="1125" w:type="dxa"/>
            <w:tcBorders>
              <w:top w:val="single" w:color="auto" w:sz="4" w:space="0"/>
              <w:left w:val="single" w:color="auto" w:sz="4" w:space="0"/>
              <w:bottom w:val="single" w:color="auto" w:sz="4" w:space="0"/>
              <w:right w:val="nil"/>
            </w:tcBorders>
            <w:vAlign w:val="center"/>
          </w:tcPr>
          <w:p w14:paraId="102CFDDE">
            <w:pPr>
              <w:pStyle w:val="84"/>
            </w:pPr>
            <w:r>
              <w:rPr>
                <w:rFonts w:hint="eastAsia"/>
              </w:rPr>
              <w:t>粪大肠菌</w:t>
            </w:r>
          </w:p>
        </w:tc>
      </w:tr>
      <w:tr w14:paraId="594375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blHeader/>
          <w:jc w:val="center"/>
        </w:trPr>
        <w:tc>
          <w:tcPr>
            <w:tcW w:w="706" w:type="dxa"/>
            <w:tcBorders>
              <w:top w:val="single" w:color="auto" w:sz="4" w:space="0"/>
              <w:left w:val="nil"/>
              <w:bottom w:val="single" w:color="auto" w:sz="4" w:space="0"/>
              <w:right w:val="single" w:color="auto" w:sz="4" w:space="0"/>
            </w:tcBorders>
            <w:vAlign w:val="center"/>
          </w:tcPr>
          <w:p w14:paraId="0065E99E">
            <w:pPr>
              <w:pStyle w:val="84"/>
            </w:pPr>
            <w:r>
              <w:fldChar w:fldCharType="begin"/>
            </w:r>
            <w:r>
              <w:instrText xml:space="preserve"> = 3 \* ROMAN </w:instrText>
            </w:r>
            <w:r>
              <w:fldChar w:fldCharType="separate"/>
            </w:r>
            <w:r>
              <w:t>III</w:t>
            </w:r>
            <w:r>
              <w:fldChar w:fldCharType="end"/>
            </w:r>
            <w:r>
              <w:rPr>
                <w:rFonts w:hint="eastAsia"/>
              </w:rPr>
              <w:t>类标准</w:t>
            </w:r>
          </w:p>
        </w:tc>
        <w:tc>
          <w:tcPr>
            <w:tcW w:w="797" w:type="dxa"/>
            <w:tcBorders>
              <w:top w:val="single" w:color="auto" w:sz="4" w:space="0"/>
              <w:left w:val="single" w:color="auto" w:sz="4" w:space="0"/>
              <w:bottom w:val="single" w:color="auto" w:sz="4" w:space="0"/>
              <w:right w:val="single" w:color="auto" w:sz="4" w:space="0"/>
            </w:tcBorders>
            <w:vAlign w:val="center"/>
          </w:tcPr>
          <w:p w14:paraId="52B17833">
            <w:pPr>
              <w:pStyle w:val="84"/>
            </w:pPr>
            <w:r>
              <w:t>6</w:t>
            </w:r>
            <w:r>
              <w:rPr>
                <w:rFonts w:hint="eastAsia"/>
              </w:rPr>
              <w:t>～</w:t>
            </w:r>
            <w:r>
              <w:t>9</w:t>
            </w:r>
          </w:p>
        </w:tc>
        <w:tc>
          <w:tcPr>
            <w:tcW w:w="731" w:type="dxa"/>
            <w:tcBorders>
              <w:top w:val="single" w:color="auto" w:sz="4" w:space="0"/>
              <w:left w:val="single" w:color="auto" w:sz="4" w:space="0"/>
              <w:bottom w:val="single" w:color="auto" w:sz="4" w:space="0"/>
              <w:right w:val="single" w:color="auto" w:sz="4" w:space="0"/>
            </w:tcBorders>
            <w:vAlign w:val="center"/>
          </w:tcPr>
          <w:p w14:paraId="29939E49">
            <w:pPr>
              <w:pStyle w:val="84"/>
            </w:pPr>
            <w:r>
              <w:t>≤20</w:t>
            </w:r>
          </w:p>
        </w:tc>
        <w:tc>
          <w:tcPr>
            <w:tcW w:w="741" w:type="dxa"/>
            <w:tcBorders>
              <w:top w:val="single" w:color="auto" w:sz="4" w:space="0"/>
              <w:left w:val="single" w:color="auto" w:sz="4" w:space="0"/>
              <w:bottom w:val="single" w:color="auto" w:sz="4" w:space="0"/>
              <w:right w:val="single" w:color="auto" w:sz="4" w:space="0"/>
            </w:tcBorders>
            <w:vAlign w:val="center"/>
          </w:tcPr>
          <w:p w14:paraId="675DE824">
            <w:pPr>
              <w:pStyle w:val="84"/>
            </w:pPr>
            <w:r>
              <w:t>≤4</w:t>
            </w:r>
          </w:p>
        </w:tc>
        <w:tc>
          <w:tcPr>
            <w:tcW w:w="811" w:type="dxa"/>
            <w:tcBorders>
              <w:top w:val="single" w:color="auto" w:sz="4" w:space="0"/>
              <w:left w:val="single" w:color="auto" w:sz="4" w:space="0"/>
              <w:bottom w:val="single" w:color="auto" w:sz="4" w:space="0"/>
              <w:right w:val="single" w:color="auto" w:sz="4" w:space="0"/>
            </w:tcBorders>
            <w:vAlign w:val="center"/>
          </w:tcPr>
          <w:p w14:paraId="2AF315E2">
            <w:pPr>
              <w:pStyle w:val="84"/>
            </w:pPr>
            <w:r>
              <w:t>≤1.0</w:t>
            </w:r>
          </w:p>
        </w:tc>
        <w:tc>
          <w:tcPr>
            <w:tcW w:w="716" w:type="dxa"/>
            <w:tcBorders>
              <w:top w:val="single" w:color="auto" w:sz="4" w:space="0"/>
              <w:left w:val="single" w:color="auto" w:sz="4" w:space="0"/>
              <w:bottom w:val="single" w:color="auto" w:sz="4" w:space="0"/>
              <w:right w:val="single" w:color="auto" w:sz="4" w:space="0"/>
            </w:tcBorders>
            <w:vAlign w:val="center"/>
          </w:tcPr>
          <w:p w14:paraId="38FDE221">
            <w:pPr>
              <w:pStyle w:val="84"/>
            </w:pPr>
            <w:r>
              <w:t>≥5</w:t>
            </w:r>
          </w:p>
        </w:tc>
        <w:tc>
          <w:tcPr>
            <w:tcW w:w="639" w:type="dxa"/>
            <w:tcBorders>
              <w:top w:val="single" w:color="auto" w:sz="4" w:space="0"/>
              <w:left w:val="single" w:color="auto" w:sz="4" w:space="0"/>
              <w:bottom w:val="single" w:color="auto" w:sz="4" w:space="0"/>
              <w:right w:val="single" w:color="auto" w:sz="4" w:space="0"/>
            </w:tcBorders>
            <w:vAlign w:val="center"/>
          </w:tcPr>
          <w:p w14:paraId="2F23F65D">
            <w:pPr>
              <w:pStyle w:val="84"/>
            </w:pPr>
            <w:r>
              <w:t>≤30</w:t>
            </w:r>
          </w:p>
        </w:tc>
        <w:tc>
          <w:tcPr>
            <w:tcW w:w="689" w:type="dxa"/>
            <w:tcBorders>
              <w:top w:val="single" w:color="auto" w:sz="4" w:space="0"/>
              <w:left w:val="single" w:color="auto" w:sz="4" w:space="0"/>
              <w:bottom w:val="single" w:color="auto" w:sz="4" w:space="0"/>
              <w:right w:val="single" w:color="auto" w:sz="4" w:space="0"/>
            </w:tcBorders>
            <w:vAlign w:val="center"/>
          </w:tcPr>
          <w:p w14:paraId="11D60C73">
            <w:pPr>
              <w:pStyle w:val="84"/>
            </w:pPr>
            <w:r>
              <w:t>≤1.0</w:t>
            </w:r>
          </w:p>
        </w:tc>
        <w:tc>
          <w:tcPr>
            <w:tcW w:w="804" w:type="dxa"/>
            <w:tcBorders>
              <w:top w:val="single" w:color="auto" w:sz="4" w:space="0"/>
              <w:left w:val="single" w:color="auto" w:sz="4" w:space="0"/>
              <w:bottom w:val="single" w:color="auto" w:sz="4" w:space="0"/>
              <w:right w:val="single" w:color="auto" w:sz="4" w:space="0"/>
            </w:tcBorders>
            <w:vAlign w:val="center"/>
          </w:tcPr>
          <w:p w14:paraId="0B47AFF3">
            <w:pPr>
              <w:pStyle w:val="84"/>
            </w:pPr>
            <w:r>
              <w:t>≤0.2</w:t>
            </w:r>
          </w:p>
        </w:tc>
        <w:tc>
          <w:tcPr>
            <w:tcW w:w="1000" w:type="dxa"/>
            <w:tcBorders>
              <w:top w:val="single" w:color="auto" w:sz="4" w:space="0"/>
              <w:left w:val="single" w:color="auto" w:sz="4" w:space="0"/>
              <w:bottom w:val="single" w:color="auto" w:sz="4" w:space="0"/>
              <w:right w:val="single" w:color="auto" w:sz="4" w:space="0"/>
            </w:tcBorders>
            <w:vAlign w:val="center"/>
          </w:tcPr>
          <w:p w14:paraId="347250B6">
            <w:pPr>
              <w:pStyle w:val="84"/>
            </w:pPr>
            <w:r>
              <w:t>≤0.05</w:t>
            </w:r>
          </w:p>
        </w:tc>
        <w:tc>
          <w:tcPr>
            <w:tcW w:w="1125" w:type="dxa"/>
            <w:tcBorders>
              <w:top w:val="single" w:color="auto" w:sz="4" w:space="0"/>
              <w:left w:val="single" w:color="auto" w:sz="4" w:space="0"/>
              <w:bottom w:val="single" w:color="auto" w:sz="4" w:space="0"/>
              <w:right w:val="nil"/>
            </w:tcBorders>
            <w:vAlign w:val="center"/>
          </w:tcPr>
          <w:p w14:paraId="7E9F536C">
            <w:pPr>
              <w:pStyle w:val="84"/>
            </w:pPr>
            <w:r>
              <w:t>≤10000</w:t>
            </w:r>
          </w:p>
        </w:tc>
      </w:tr>
    </w:tbl>
    <w:p w14:paraId="26BE2EDB">
      <w:pPr>
        <w:pStyle w:val="82"/>
        <w:framePr w:hSpace="0" w:wrap="auto" w:vAnchor="margin" w:hAnchor="text" w:xAlign="left" w:yAlign="inline"/>
        <w:jc w:val="left"/>
      </w:pPr>
      <w:r>
        <w:rPr>
          <w:rFonts w:hint="eastAsia"/>
        </w:rPr>
        <w:t>注：</w:t>
      </w:r>
      <w:r>
        <w:t>SS</w:t>
      </w:r>
      <w:r>
        <w:rPr>
          <w:rFonts w:hint="eastAsia"/>
        </w:rPr>
        <w:t>参照执行水利部《地表水资源质量标准》（</w:t>
      </w:r>
      <w:r>
        <w:t>SL63-94</w:t>
      </w:r>
      <w:r>
        <w:rPr>
          <w:rFonts w:hint="eastAsia"/>
        </w:rPr>
        <w:t>）中三级标准。</w:t>
      </w:r>
    </w:p>
    <w:p w14:paraId="4485B5FF">
      <w:pPr>
        <w:ind w:firstLine="482"/>
        <w:jc w:val="left"/>
        <w:rPr>
          <w:b/>
        </w:rPr>
      </w:pPr>
      <w:r>
        <w:rPr>
          <w:b/>
        </w:rPr>
        <w:t>2</w:t>
      </w:r>
      <w:r>
        <w:rPr>
          <w:rFonts w:hint="eastAsia"/>
          <w:b/>
        </w:rPr>
        <w:t>、环境空气</w:t>
      </w:r>
    </w:p>
    <w:p w14:paraId="36C9FAD8">
      <w:pPr>
        <w:ind w:firstLine="480"/>
      </w:pPr>
      <w:r>
        <w:rPr>
          <w:rFonts w:hint="eastAsia"/>
        </w:rPr>
        <w:t>拟建项目所在地属于环境空气质量功能二类区，环境空气质量执行《环境空气质量标准》（</w:t>
      </w:r>
      <w:r>
        <w:t>GB3095-2012</w:t>
      </w:r>
      <w:r>
        <w:rPr>
          <w:rFonts w:hint="eastAsia"/>
        </w:rPr>
        <w:t>）二级标准，相关标准值见下表：</w:t>
      </w:r>
    </w:p>
    <w:p w14:paraId="1F9739E7">
      <w:pPr>
        <w:pStyle w:val="82"/>
        <w:framePr w:hSpace="0" w:wrap="auto" w:vAnchor="margin" w:hAnchor="text" w:xAlign="left" w:yAlign="inline"/>
      </w:pPr>
      <w:r>
        <w:rPr>
          <w:rFonts w:hint="eastAsia"/>
        </w:rPr>
        <w:t>表</w:t>
      </w:r>
      <w:r>
        <w:t>1-</w:t>
      </w:r>
      <w:r>
        <w:rPr>
          <w:rFonts w:hint="eastAsia"/>
        </w:rPr>
        <w:t>3-</w:t>
      </w:r>
      <w:r>
        <w:t xml:space="preserve">2  </w:t>
      </w:r>
      <w:r>
        <w:rPr>
          <w:rFonts w:hint="eastAsia"/>
        </w:rPr>
        <w:t>环境空气质量标准（</w:t>
      </w:r>
      <w:r>
        <w:t>GB3095-2012</w:t>
      </w:r>
      <w:r>
        <w:rPr>
          <w:rFonts w:hint="eastAsia"/>
        </w:rPr>
        <w:t>）（摘录）</w:t>
      </w:r>
      <w:r>
        <w:t xml:space="preserve">  </w:t>
      </w:r>
      <w:r>
        <w:rPr>
          <w:rFonts w:hint="eastAsia"/>
        </w:rPr>
        <w:t>（单位：</w:t>
      </w:r>
      <w:r>
        <w:t>µg/m</w:t>
      </w:r>
      <w:r>
        <w:rPr>
          <w:vertAlign w:val="superscript"/>
        </w:rPr>
        <w:t>3</w:t>
      </w:r>
      <w:r>
        <w:rPr>
          <w:rFonts w:hint="eastAsia"/>
        </w:rPr>
        <w:t>）</w:t>
      </w:r>
    </w:p>
    <w:tbl>
      <w:tblPr>
        <w:tblStyle w:val="56"/>
        <w:tblW w:w="871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81"/>
        <w:gridCol w:w="2693"/>
        <w:gridCol w:w="3544"/>
      </w:tblGrid>
      <w:tr w14:paraId="135B29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81" w:type="dxa"/>
            <w:tcBorders>
              <w:top w:val="single" w:color="auto" w:sz="4" w:space="0"/>
              <w:left w:val="nil"/>
              <w:bottom w:val="single" w:color="auto" w:sz="4" w:space="0"/>
              <w:right w:val="single" w:color="auto" w:sz="4" w:space="0"/>
            </w:tcBorders>
            <w:vAlign w:val="center"/>
          </w:tcPr>
          <w:p w14:paraId="68C66527">
            <w:pPr>
              <w:pStyle w:val="84"/>
            </w:pPr>
            <w:r>
              <w:rPr>
                <w:rFonts w:hint="eastAsia"/>
              </w:rPr>
              <w:t>污染物名称</w:t>
            </w:r>
          </w:p>
        </w:tc>
        <w:tc>
          <w:tcPr>
            <w:tcW w:w="2693" w:type="dxa"/>
            <w:tcBorders>
              <w:top w:val="single" w:color="auto" w:sz="4" w:space="0"/>
              <w:left w:val="single" w:color="auto" w:sz="4" w:space="0"/>
              <w:bottom w:val="single" w:color="auto" w:sz="4" w:space="0"/>
              <w:right w:val="single" w:color="auto" w:sz="4" w:space="0"/>
            </w:tcBorders>
            <w:vAlign w:val="center"/>
          </w:tcPr>
          <w:p w14:paraId="502D4B7E">
            <w:pPr>
              <w:pStyle w:val="84"/>
            </w:pPr>
            <w:r>
              <w:rPr>
                <w:rFonts w:hint="eastAsia"/>
              </w:rPr>
              <w:t>取值时间</w:t>
            </w:r>
          </w:p>
        </w:tc>
        <w:tc>
          <w:tcPr>
            <w:tcW w:w="3544" w:type="dxa"/>
            <w:tcBorders>
              <w:top w:val="single" w:color="auto" w:sz="4" w:space="0"/>
              <w:left w:val="single" w:color="auto" w:sz="4" w:space="0"/>
              <w:bottom w:val="single" w:color="auto" w:sz="4" w:space="0"/>
              <w:right w:val="nil"/>
            </w:tcBorders>
            <w:vAlign w:val="center"/>
          </w:tcPr>
          <w:p w14:paraId="4EAF198E">
            <w:pPr>
              <w:pStyle w:val="84"/>
            </w:pPr>
            <w:r>
              <w:rPr>
                <w:rFonts w:hint="eastAsia"/>
              </w:rPr>
              <w:t>二级标准浓度限值</w:t>
            </w:r>
          </w:p>
        </w:tc>
      </w:tr>
      <w:tr w14:paraId="3D83AA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vMerge w:val="restart"/>
            <w:tcBorders>
              <w:top w:val="single" w:color="auto" w:sz="4" w:space="0"/>
              <w:left w:val="nil"/>
              <w:bottom w:val="single" w:color="auto" w:sz="4" w:space="0"/>
              <w:right w:val="single" w:color="auto" w:sz="4" w:space="0"/>
            </w:tcBorders>
            <w:vAlign w:val="center"/>
          </w:tcPr>
          <w:p w14:paraId="3516FE75">
            <w:pPr>
              <w:pStyle w:val="84"/>
            </w:pPr>
            <w:r>
              <w:t>TSP</w:t>
            </w:r>
          </w:p>
        </w:tc>
        <w:tc>
          <w:tcPr>
            <w:tcW w:w="2693" w:type="dxa"/>
            <w:tcBorders>
              <w:top w:val="single" w:color="auto" w:sz="4" w:space="0"/>
              <w:left w:val="single" w:color="auto" w:sz="4" w:space="0"/>
              <w:bottom w:val="single" w:color="auto" w:sz="4" w:space="0"/>
              <w:right w:val="single" w:color="auto" w:sz="4" w:space="0"/>
            </w:tcBorders>
            <w:vAlign w:val="center"/>
          </w:tcPr>
          <w:p w14:paraId="0E954DA9">
            <w:pPr>
              <w:pStyle w:val="84"/>
            </w:pPr>
            <w:r>
              <w:rPr>
                <w:rFonts w:hint="eastAsia"/>
              </w:rPr>
              <w:t>年平均</w:t>
            </w:r>
          </w:p>
        </w:tc>
        <w:tc>
          <w:tcPr>
            <w:tcW w:w="3544" w:type="dxa"/>
            <w:tcBorders>
              <w:top w:val="single" w:color="auto" w:sz="4" w:space="0"/>
              <w:left w:val="single" w:color="auto" w:sz="4" w:space="0"/>
              <w:bottom w:val="single" w:color="auto" w:sz="4" w:space="0"/>
              <w:right w:val="nil"/>
            </w:tcBorders>
            <w:vAlign w:val="center"/>
          </w:tcPr>
          <w:p w14:paraId="18677EE0">
            <w:pPr>
              <w:pStyle w:val="84"/>
            </w:pPr>
            <w:r>
              <w:t>200</w:t>
            </w:r>
          </w:p>
        </w:tc>
      </w:tr>
      <w:tr w14:paraId="1EAB13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vMerge w:val="continue"/>
            <w:tcBorders>
              <w:top w:val="single" w:color="auto" w:sz="4" w:space="0"/>
              <w:left w:val="nil"/>
              <w:bottom w:val="single" w:color="auto" w:sz="4" w:space="0"/>
              <w:right w:val="single" w:color="auto" w:sz="4" w:space="0"/>
            </w:tcBorders>
            <w:vAlign w:val="center"/>
          </w:tcPr>
          <w:p w14:paraId="5FEDE8A4">
            <w:pPr>
              <w:pStyle w:val="84"/>
            </w:pPr>
          </w:p>
        </w:tc>
        <w:tc>
          <w:tcPr>
            <w:tcW w:w="2693" w:type="dxa"/>
            <w:tcBorders>
              <w:top w:val="single" w:color="auto" w:sz="4" w:space="0"/>
              <w:left w:val="single" w:color="auto" w:sz="4" w:space="0"/>
              <w:bottom w:val="single" w:color="auto" w:sz="4" w:space="0"/>
              <w:right w:val="single" w:color="auto" w:sz="4" w:space="0"/>
            </w:tcBorders>
            <w:vAlign w:val="center"/>
          </w:tcPr>
          <w:p w14:paraId="0D2D330D">
            <w:pPr>
              <w:pStyle w:val="84"/>
            </w:pPr>
            <w:r>
              <w:rPr>
                <w:rFonts w:hint="eastAsia"/>
              </w:rPr>
              <w:t>日平均</w:t>
            </w:r>
          </w:p>
        </w:tc>
        <w:tc>
          <w:tcPr>
            <w:tcW w:w="3544" w:type="dxa"/>
            <w:tcBorders>
              <w:top w:val="single" w:color="auto" w:sz="4" w:space="0"/>
              <w:left w:val="single" w:color="auto" w:sz="4" w:space="0"/>
              <w:bottom w:val="single" w:color="auto" w:sz="4" w:space="0"/>
              <w:right w:val="nil"/>
            </w:tcBorders>
            <w:vAlign w:val="center"/>
          </w:tcPr>
          <w:p w14:paraId="2B7DC9D8">
            <w:pPr>
              <w:pStyle w:val="84"/>
            </w:pPr>
            <w:r>
              <w:t>300</w:t>
            </w:r>
          </w:p>
        </w:tc>
      </w:tr>
      <w:tr w14:paraId="10CA08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vMerge w:val="restart"/>
            <w:tcBorders>
              <w:top w:val="single" w:color="auto" w:sz="4" w:space="0"/>
              <w:left w:val="nil"/>
              <w:bottom w:val="single" w:color="auto" w:sz="4" w:space="0"/>
              <w:right w:val="single" w:color="auto" w:sz="4" w:space="0"/>
            </w:tcBorders>
            <w:vAlign w:val="center"/>
          </w:tcPr>
          <w:p w14:paraId="7BB66153">
            <w:pPr>
              <w:pStyle w:val="84"/>
            </w:pPr>
            <w:r>
              <w:t>PM</w:t>
            </w:r>
            <w:r>
              <w:rPr>
                <w:vertAlign w:val="subscript"/>
              </w:rPr>
              <w:t>10</w:t>
            </w:r>
          </w:p>
        </w:tc>
        <w:tc>
          <w:tcPr>
            <w:tcW w:w="2693" w:type="dxa"/>
            <w:tcBorders>
              <w:top w:val="single" w:color="auto" w:sz="4" w:space="0"/>
              <w:left w:val="single" w:color="auto" w:sz="4" w:space="0"/>
              <w:bottom w:val="single" w:color="auto" w:sz="4" w:space="0"/>
              <w:right w:val="single" w:color="auto" w:sz="4" w:space="0"/>
            </w:tcBorders>
            <w:vAlign w:val="center"/>
          </w:tcPr>
          <w:p w14:paraId="16F1D8DC">
            <w:pPr>
              <w:pStyle w:val="84"/>
            </w:pPr>
            <w:r>
              <w:rPr>
                <w:rFonts w:hint="eastAsia"/>
              </w:rPr>
              <w:t>年平均</w:t>
            </w:r>
          </w:p>
        </w:tc>
        <w:tc>
          <w:tcPr>
            <w:tcW w:w="3544" w:type="dxa"/>
            <w:tcBorders>
              <w:top w:val="single" w:color="auto" w:sz="4" w:space="0"/>
              <w:left w:val="single" w:color="auto" w:sz="4" w:space="0"/>
              <w:bottom w:val="single" w:color="auto" w:sz="4" w:space="0"/>
              <w:right w:val="nil"/>
            </w:tcBorders>
            <w:vAlign w:val="center"/>
          </w:tcPr>
          <w:p w14:paraId="27C8F46E">
            <w:pPr>
              <w:pStyle w:val="84"/>
            </w:pPr>
            <w:r>
              <w:t>70</w:t>
            </w:r>
          </w:p>
        </w:tc>
      </w:tr>
      <w:tr w14:paraId="7EE7D3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vMerge w:val="continue"/>
            <w:tcBorders>
              <w:top w:val="single" w:color="auto" w:sz="4" w:space="0"/>
              <w:left w:val="nil"/>
              <w:bottom w:val="single" w:color="auto" w:sz="4" w:space="0"/>
              <w:right w:val="single" w:color="auto" w:sz="4" w:space="0"/>
            </w:tcBorders>
            <w:vAlign w:val="center"/>
          </w:tcPr>
          <w:p w14:paraId="5D907E33">
            <w:pPr>
              <w:pStyle w:val="84"/>
            </w:pPr>
          </w:p>
        </w:tc>
        <w:tc>
          <w:tcPr>
            <w:tcW w:w="2693" w:type="dxa"/>
            <w:tcBorders>
              <w:top w:val="single" w:color="auto" w:sz="4" w:space="0"/>
              <w:left w:val="single" w:color="auto" w:sz="4" w:space="0"/>
              <w:bottom w:val="single" w:color="auto" w:sz="4" w:space="0"/>
              <w:right w:val="single" w:color="auto" w:sz="4" w:space="0"/>
            </w:tcBorders>
            <w:vAlign w:val="center"/>
          </w:tcPr>
          <w:p w14:paraId="6F5E9D42">
            <w:pPr>
              <w:pStyle w:val="84"/>
            </w:pPr>
            <w:r>
              <w:rPr>
                <w:rFonts w:hint="eastAsia"/>
              </w:rPr>
              <w:t>日平均</w:t>
            </w:r>
          </w:p>
        </w:tc>
        <w:tc>
          <w:tcPr>
            <w:tcW w:w="3544" w:type="dxa"/>
            <w:tcBorders>
              <w:top w:val="single" w:color="auto" w:sz="4" w:space="0"/>
              <w:left w:val="single" w:color="auto" w:sz="4" w:space="0"/>
              <w:bottom w:val="single" w:color="auto" w:sz="4" w:space="0"/>
              <w:right w:val="nil"/>
            </w:tcBorders>
            <w:vAlign w:val="center"/>
          </w:tcPr>
          <w:p w14:paraId="3A6FF62B">
            <w:pPr>
              <w:pStyle w:val="84"/>
            </w:pPr>
            <w:r>
              <w:t>150</w:t>
            </w:r>
          </w:p>
        </w:tc>
      </w:tr>
      <w:tr w14:paraId="3DDBFB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vMerge w:val="restart"/>
            <w:tcBorders>
              <w:top w:val="single" w:color="auto" w:sz="4" w:space="0"/>
              <w:left w:val="nil"/>
              <w:bottom w:val="single" w:color="auto" w:sz="4" w:space="0"/>
              <w:right w:val="single" w:color="auto" w:sz="4" w:space="0"/>
            </w:tcBorders>
            <w:vAlign w:val="center"/>
          </w:tcPr>
          <w:p w14:paraId="071FEF12">
            <w:pPr>
              <w:pStyle w:val="84"/>
            </w:pPr>
            <w:r>
              <w:t>PM</w:t>
            </w:r>
            <w:r>
              <w:rPr>
                <w:vertAlign w:val="subscript"/>
              </w:rPr>
              <w:t>2.5</w:t>
            </w:r>
          </w:p>
        </w:tc>
        <w:tc>
          <w:tcPr>
            <w:tcW w:w="2693" w:type="dxa"/>
            <w:tcBorders>
              <w:top w:val="single" w:color="auto" w:sz="4" w:space="0"/>
              <w:left w:val="single" w:color="auto" w:sz="4" w:space="0"/>
              <w:bottom w:val="single" w:color="auto" w:sz="4" w:space="0"/>
              <w:right w:val="single" w:color="auto" w:sz="4" w:space="0"/>
            </w:tcBorders>
            <w:vAlign w:val="center"/>
          </w:tcPr>
          <w:p w14:paraId="7DFBC186">
            <w:pPr>
              <w:pStyle w:val="84"/>
            </w:pPr>
            <w:r>
              <w:rPr>
                <w:rFonts w:hint="eastAsia"/>
              </w:rPr>
              <w:t>年平均</w:t>
            </w:r>
          </w:p>
        </w:tc>
        <w:tc>
          <w:tcPr>
            <w:tcW w:w="3544" w:type="dxa"/>
            <w:tcBorders>
              <w:top w:val="single" w:color="auto" w:sz="4" w:space="0"/>
              <w:left w:val="single" w:color="auto" w:sz="4" w:space="0"/>
              <w:bottom w:val="single" w:color="auto" w:sz="4" w:space="0"/>
              <w:right w:val="nil"/>
            </w:tcBorders>
            <w:vAlign w:val="center"/>
          </w:tcPr>
          <w:p w14:paraId="0872F2C1">
            <w:pPr>
              <w:pStyle w:val="84"/>
            </w:pPr>
            <w:r>
              <w:t>35</w:t>
            </w:r>
          </w:p>
        </w:tc>
      </w:tr>
      <w:tr w14:paraId="6F775D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vMerge w:val="continue"/>
            <w:tcBorders>
              <w:top w:val="single" w:color="auto" w:sz="4" w:space="0"/>
              <w:left w:val="nil"/>
              <w:bottom w:val="single" w:color="auto" w:sz="4" w:space="0"/>
              <w:right w:val="single" w:color="auto" w:sz="4" w:space="0"/>
            </w:tcBorders>
            <w:vAlign w:val="center"/>
          </w:tcPr>
          <w:p w14:paraId="19C10993">
            <w:pPr>
              <w:pStyle w:val="84"/>
            </w:pPr>
          </w:p>
        </w:tc>
        <w:tc>
          <w:tcPr>
            <w:tcW w:w="2693" w:type="dxa"/>
            <w:tcBorders>
              <w:top w:val="single" w:color="auto" w:sz="4" w:space="0"/>
              <w:left w:val="single" w:color="auto" w:sz="4" w:space="0"/>
              <w:bottom w:val="single" w:color="auto" w:sz="4" w:space="0"/>
              <w:right w:val="single" w:color="auto" w:sz="4" w:space="0"/>
            </w:tcBorders>
            <w:vAlign w:val="center"/>
          </w:tcPr>
          <w:p w14:paraId="4243C3D5">
            <w:pPr>
              <w:pStyle w:val="84"/>
            </w:pPr>
            <w:r>
              <w:rPr>
                <w:rFonts w:hint="eastAsia"/>
              </w:rPr>
              <w:t>日平均</w:t>
            </w:r>
          </w:p>
        </w:tc>
        <w:tc>
          <w:tcPr>
            <w:tcW w:w="3544" w:type="dxa"/>
            <w:tcBorders>
              <w:top w:val="single" w:color="auto" w:sz="4" w:space="0"/>
              <w:left w:val="single" w:color="auto" w:sz="4" w:space="0"/>
              <w:bottom w:val="single" w:color="auto" w:sz="4" w:space="0"/>
              <w:right w:val="nil"/>
            </w:tcBorders>
            <w:vAlign w:val="center"/>
          </w:tcPr>
          <w:p w14:paraId="562093B5">
            <w:pPr>
              <w:pStyle w:val="84"/>
            </w:pPr>
            <w:r>
              <w:t>75</w:t>
            </w:r>
          </w:p>
        </w:tc>
      </w:tr>
      <w:tr w14:paraId="431D83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vMerge w:val="restart"/>
            <w:tcBorders>
              <w:top w:val="single" w:color="auto" w:sz="4" w:space="0"/>
              <w:left w:val="nil"/>
              <w:bottom w:val="single" w:color="auto" w:sz="4" w:space="0"/>
              <w:right w:val="single" w:color="auto" w:sz="4" w:space="0"/>
            </w:tcBorders>
            <w:vAlign w:val="center"/>
          </w:tcPr>
          <w:p w14:paraId="714AE2CE">
            <w:pPr>
              <w:pStyle w:val="84"/>
            </w:pPr>
            <w:r>
              <w:t>SO</w:t>
            </w:r>
            <w:r>
              <w:rPr>
                <w:vertAlign w:val="subscript"/>
              </w:rPr>
              <w:t>2</w:t>
            </w:r>
          </w:p>
        </w:tc>
        <w:tc>
          <w:tcPr>
            <w:tcW w:w="2693" w:type="dxa"/>
            <w:tcBorders>
              <w:top w:val="single" w:color="auto" w:sz="4" w:space="0"/>
              <w:left w:val="single" w:color="auto" w:sz="4" w:space="0"/>
              <w:bottom w:val="single" w:color="auto" w:sz="4" w:space="0"/>
              <w:right w:val="single" w:color="auto" w:sz="4" w:space="0"/>
            </w:tcBorders>
            <w:vAlign w:val="center"/>
          </w:tcPr>
          <w:p w14:paraId="2B3665C4">
            <w:pPr>
              <w:pStyle w:val="84"/>
            </w:pPr>
            <w:r>
              <w:rPr>
                <w:rFonts w:hint="eastAsia"/>
              </w:rPr>
              <w:t>年平均</w:t>
            </w:r>
          </w:p>
        </w:tc>
        <w:tc>
          <w:tcPr>
            <w:tcW w:w="3544" w:type="dxa"/>
            <w:tcBorders>
              <w:top w:val="single" w:color="auto" w:sz="4" w:space="0"/>
              <w:left w:val="single" w:color="auto" w:sz="4" w:space="0"/>
              <w:bottom w:val="single" w:color="auto" w:sz="4" w:space="0"/>
              <w:right w:val="nil"/>
            </w:tcBorders>
            <w:vAlign w:val="center"/>
          </w:tcPr>
          <w:p w14:paraId="3EF396AB">
            <w:pPr>
              <w:pStyle w:val="84"/>
            </w:pPr>
            <w:r>
              <w:t>60</w:t>
            </w:r>
          </w:p>
        </w:tc>
      </w:tr>
      <w:tr w14:paraId="181D6B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vMerge w:val="continue"/>
            <w:tcBorders>
              <w:top w:val="single" w:color="auto" w:sz="4" w:space="0"/>
              <w:left w:val="nil"/>
              <w:bottom w:val="single" w:color="auto" w:sz="4" w:space="0"/>
              <w:right w:val="single" w:color="auto" w:sz="4" w:space="0"/>
            </w:tcBorders>
            <w:vAlign w:val="center"/>
          </w:tcPr>
          <w:p w14:paraId="42859F7B">
            <w:pPr>
              <w:pStyle w:val="84"/>
            </w:pPr>
          </w:p>
        </w:tc>
        <w:tc>
          <w:tcPr>
            <w:tcW w:w="2693" w:type="dxa"/>
            <w:tcBorders>
              <w:top w:val="single" w:color="auto" w:sz="4" w:space="0"/>
              <w:left w:val="single" w:color="auto" w:sz="4" w:space="0"/>
              <w:bottom w:val="single" w:color="auto" w:sz="4" w:space="0"/>
              <w:right w:val="single" w:color="auto" w:sz="4" w:space="0"/>
            </w:tcBorders>
            <w:vAlign w:val="center"/>
          </w:tcPr>
          <w:p w14:paraId="5ADC4110">
            <w:pPr>
              <w:pStyle w:val="84"/>
            </w:pPr>
            <w:r>
              <w:rPr>
                <w:rFonts w:hint="eastAsia"/>
              </w:rPr>
              <w:t>日平均</w:t>
            </w:r>
          </w:p>
        </w:tc>
        <w:tc>
          <w:tcPr>
            <w:tcW w:w="3544" w:type="dxa"/>
            <w:tcBorders>
              <w:top w:val="single" w:color="auto" w:sz="4" w:space="0"/>
              <w:left w:val="single" w:color="auto" w:sz="4" w:space="0"/>
              <w:bottom w:val="single" w:color="auto" w:sz="4" w:space="0"/>
              <w:right w:val="nil"/>
            </w:tcBorders>
            <w:vAlign w:val="center"/>
          </w:tcPr>
          <w:p w14:paraId="65B0A8E0">
            <w:pPr>
              <w:pStyle w:val="84"/>
            </w:pPr>
            <w:r>
              <w:t>150</w:t>
            </w:r>
          </w:p>
        </w:tc>
      </w:tr>
      <w:tr w14:paraId="57F76C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vMerge w:val="continue"/>
            <w:tcBorders>
              <w:top w:val="single" w:color="auto" w:sz="4" w:space="0"/>
              <w:left w:val="nil"/>
              <w:bottom w:val="single" w:color="auto" w:sz="4" w:space="0"/>
              <w:right w:val="single" w:color="auto" w:sz="4" w:space="0"/>
            </w:tcBorders>
            <w:vAlign w:val="center"/>
          </w:tcPr>
          <w:p w14:paraId="3658F648">
            <w:pPr>
              <w:pStyle w:val="84"/>
            </w:pPr>
          </w:p>
        </w:tc>
        <w:tc>
          <w:tcPr>
            <w:tcW w:w="2693" w:type="dxa"/>
            <w:tcBorders>
              <w:top w:val="single" w:color="auto" w:sz="4" w:space="0"/>
              <w:left w:val="single" w:color="auto" w:sz="4" w:space="0"/>
              <w:bottom w:val="single" w:color="auto" w:sz="4" w:space="0"/>
              <w:right w:val="single" w:color="auto" w:sz="4" w:space="0"/>
            </w:tcBorders>
            <w:vAlign w:val="center"/>
          </w:tcPr>
          <w:p w14:paraId="2B71091D">
            <w:pPr>
              <w:pStyle w:val="84"/>
            </w:pPr>
            <w:r>
              <w:t>1</w:t>
            </w:r>
            <w:r>
              <w:rPr>
                <w:rFonts w:hint="eastAsia"/>
              </w:rPr>
              <w:t>小时平均</w:t>
            </w:r>
          </w:p>
        </w:tc>
        <w:tc>
          <w:tcPr>
            <w:tcW w:w="3544" w:type="dxa"/>
            <w:tcBorders>
              <w:top w:val="single" w:color="auto" w:sz="4" w:space="0"/>
              <w:left w:val="single" w:color="auto" w:sz="4" w:space="0"/>
              <w:bottom w:val="single" w:color="auto" w:sz="4" w:space="0"/>
              <w:right w:val="nil"/>
            </w:tcBorders>
            <w:vAlign w:val="center"/>
          </w:tcPr>
          <w:p w14:paraId="56EF1A45">
            <w:pPr>
              <w:pStyle w:val="84"/>
            </w:pPr>
            <w:r>
              <w:t>500</w:t>
            </w:r>
          </w:p>
        </w:tc>
      </w:tr>
      <w:tr w14:paraId="7F9235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vMerge w:val="restart"/>
            <w:tcBorders>
              <w:top w:val="single" w:color="auto" w:sz="4" w:space="0"/>
              <w:left w:val="nil"/>
              <w:bottom w:val="single" w:color="auto" w:sz="4" w:space="0"/>
              <w:right w:val="single" w:color="auto" w:sz="4" w:space="0"/>
            </w:tcBorders>
            <w:vAlign w:val="center"/>
          </w:tcPr>
          <w:p w14:paraId="7D51FE06">
            <w:pPr>
              <w:pStyle w:val="84"/>
            </w:pPr>
            <w:r>
              <w:t>NO</w:t>
            </w:r>
            <w:r>
              <w:rPr>
                <w:vertAlign w:val="subscript"/>
              </w:rPr>
              <w:t>2</w:t>
            </w:r>
          </w:p>
        </w:tc>
        <w:tc>
          <w:tcPr>
            <w:tcW w:w="2693" w:type="dxa"/>
            <w:tcBorders>
              <w:top w:val="single" w:color="auto" w:sz="4" w:space="0"/>
              <w:left w:val="single" w:color="auto" w:sz="4" w:space="0"/>
              <w:bottom w:val="single" w:color="auto" w:sz="4" w:space="0"/>
              <w:right w:val="single" w:color="auto" w:sz="4" w:space="0"/>
            </w:tcBorders>
            <w:vAlign w:val="center"/>
          </w:tcPr>
          <w:p w14:paraId="0EA717BA">
            <w:pPr>
              <w:pStyle w:val="84"/>
            </w:pPr>
            <w:r>
              <w:rPr>
                <w:rFonts w:hint="eastAsia"/>
              </w:rPr>
              <w:t>年平均</w:t>
            </w:r>
          </w:p>
        </w:tc>
        <w:tc>
          <w:tcPr>
            <w:tcW w:w="3544" w:type="dxa"/>
            <w:tcBorders>
              <w:top w:val="single" w:color="auto" w:sz="4" w:space="0"/>
              <w:left w:val="single" w:color="auto" w:sz="4" w:space="0"/>
              <w:bottom w:val="single" w:color="auto" w:sz="4" w:space="0"/>
              <w:right w:val="nil"/>
            </w:tcBorders>
            <w:vAlign w:val="center"/>
          </w:tcPr>
          <w:p w14:paraId="32071756">
            <w:pPr>
              <w:pStyle w:val="84"/>
            </w:pPr>
            <w:r>
              <w:t>40</w:t>
            </w:r>
          </w:p>
        </w:tc>
      </w:tr>
      <w:tr w14:paraId="176B20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vMerge w:val="continue"/>
            <w:tcBorders>
              <w:top w:val="single" w:color="auto" w:sz="4" w:space="0"/>
              <w:left w:val="nil"/>
              <w:bottom w:val="single" w:color="auto" w:sz="4" w:space="0"/>
              <w:right w:val="single" w:color="auto" w:sz="4" w:space="0"/>
            </w:tcBorders>
            <w:vAlign w:val="center"/>
          </w:tcPr>
          <w:p w14:paraId="488ECC83">
            <w:pPr>
              <w:pStyle w:val="84"/>
            </w:pPr>
          </w:p>
        </w:tc>
        <w:tc>
          <w:tcPr>
            <w:tcW w:w="2693" w:type="dxa"/>
            <w:tcBorders>
              <w:top w:val="single" w:color="auto" w:sz="4" w:space="0"/>
              <w:left w:val="single" w:color="auto" w:sz="4" w:space="0"/>
              <w:bottom w:val="single" w:color="auto" w:sz="4" w:space="0"/>
              <w:right w:val="single" w:color="auto" w:sz="4" w:space="0"/>
            </w:tcBorders>
            <w:vAlign w:val="center"/>
          </w:tcPr>
          <w:p w14:paraId="452F8B4A">
            <w:pPr>
              <w:pStyle w:val="84"/>
            </w:pPr>
            <w:r>
              <w:rPr>
                <w:rFonts w:hint="eastAsia"/>
              </w:rPr>
              <w:t>日平均</w:t>
            </w:r>
          </w:p>
        </w:tc>
        <w:tc>
          <w:tcPr>
            <w:tcW w:w="3544" w:type="dxa"/>
            <w:tcBorders>
              <w:top w:val="single" w:color="auto" w:sz="4" w:space="0"/>
              <w:left w:val="single" w:color="auto" w:sz="4" w:space="0"/>
              <w:bottom w:val="single" w:color="auto" w:sz="4" w:space="0"/>
              <w:right w:val="nil"/>
            </w:tcBorders>
            <w:vAlign w:val="center"/>
          </w:tcPr>
          <w:p w14:paraId="47BCE64B">
            <w:pPr>
              <w:pStyle w:val="84"/>
            </w:pPr>
            <w:r>
              <w:t>80</w:t>
            </w:r>
          </w:p>
        </w:tc>
      </w:tr>
      <w:tr w14:paraId="6B003D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vMerge w:val="continue"/>
            <w:tcBorders>
              <w:top w:val="single" w:color="auto" w:sz="4" w:space="0"/>
              <w:left w:val="nil"/>
              <w:bottom w:val="single" w:color="auto" w:sz="4" w:space="0"/>
              <w:right w:val="single" w:color="auto" w:sz="4" w:space="0"/>
            </w:tcBorders>
            <w:vAlign w:val="center"/>
          </w:tcPr>
          <w:p w14:paraId="65D2D237">
            <w:pPr>
              <w:pStyle w:val="84"/>
            </w:pPr>
          </w:p>
        </w:tc>
        <w:tc>
          <w:tcPr>
            <w:tcW w:w="2693" w:type="dxa"/>
            <w:tcBorders>
              <w:top w:val="single" w:color="auto" w:sz="4" w:space="0"/>
              <w:left w:val="single" w:color="auto" w:sz="4" w:space="0"/>
              <w:bottom w:val="single" w:color="auto" w:sz="4" w:space="0"/>
              <w:right w:val="single" w:color="auto" w:sz="4" w:space="0"/>
            </w:tcBorders>
            <w:vAlign w:val="center"/>
          </w:tcPr>
          <w:p w14:paraId="41716A86">
            <w:pPr>
              <w:pStyle w:val="84"/>
            </w:pPr>
            <w:r>
              <w:t>1</w:t>
            </w:r>
            <w:r>
              <w:rPr>
                <w:rFonts w:hint="eastAsia"/>
              </w:rPr>
              <w:t>小时平均</w:t>
            </w:r>
          </w:p>
        </w:tc>
        <w:tc>
          <w:tcPr>
            <w:tcW w:w="3544" w:type="dxa"/>
            <w:tcBorders>
              <w:top w:val="single" w:color="auto" w:sz="4" w:space="0"/>
              <w:left w:val="single" w:color="auto" w:sz="4" w:space="0"/>
              <w:bottom w:val="single" w:color="auto" w:sz="4" w:space="0"/>
              <w:right w:val="nil"/>
            </w:tcBorders>
            <w:vAlign w:val="center"/>
          </w:tcPr>
          <w:p w14:paraId="151EC994">
            <w:pPr>
              <w:pStyle w:val="84"/>
            </w:pPr>
            <w:r>
              <w:t>200</w:t>
            </w:r>
          </w:p>
        </w:tc>
      </w:tr>
    </w:tbl>
    <w:p w14:paraId="25B9394C">
      <w:pPr>
        <w:spacing w:before="120" w:beforeLines="50"/>
        <w:ind w:firstLine="482"/>
        <w:jc w:val="left"/>
        <w:rPr>
          <w:b/>
          <w:szCs w:val="24"/>
        </w:rPr>
      </w:pPr>
      <w:r>
        <w:rPr>
          <w:b/>
        </w:rPr>
        <w:t>3</w:t>
      </w:r>
      <w:r>
        <w:rPr>
          <w:rFonts w:hint="eastAsia"/>
          <w:b/>
        </w:rPr>
        <w:t>、声环境</w:t>
      </w:r>
    </w:p>
    <w:p w14:paraId="4036DB5A">
      <w:pPr>
        <w:ind w:firstLine="480"/>
      </w:pPr>
      <w:r>
        <w:rPr>
          <w:rFonts w:hint="eastAsia"/>
          <w:color w:val="FF0000"/>
        </w:rPr>
        <w:t>拟建项目所在地属于</w:t>
      </w:r>
      <w:r>
        <w:rPr>
          <w:color w:val="FF0000"/>
        </w:rPr>
        <w:t>2</w:t>
      </w:r>
      <w:r>
        <w:rPr>
          <w:rFonts w:hint="eastAsia"/>
          <w:color w:val="FF0000"/>
        </w:rPr>
        <w:t>类声环境功能区，电站主厂房南侧39.3m处为龙瑞高速，东北侧约54.5m处为芒瑞大道，</w:t>
      </w:r>
      <w:r>
        <w:rPr>
          <w:rFonts w:hint="eastAsia"/>
        </w:rPr>
        <w:t>区域声环境质量执行《声环境质量标准》</w:t>
      </w:r>
      <w:r>
        <w:t>(GB3096-2008)</w:t>
      </w:r>
      <w:r>
        <w:rPr>
          <w:rFonts w:hint="eastAsia"/>
        </w:rPr>
        <w:t>表</w:t>
      </w:r>
      <w:r>
        <w:t>1</w:t>
      </w:r>
      <w:r>
        <w:rPr>
          <w:rFonts w:hint="eastAsia"/>
        </w:rPr>
        <w:t>中的</w:t>
      </w:r>
      <w:r>
        <w:t>2</w:t>
      </w:r>
      <w:r>
        <w:rPr>
          <w:rFonts w:hint="eastAsia"/>
        </w:rPr>
        <w:t>类和4a类标准，相关标准值见下表：</w:t>
      </w:r>
    </w:p>
    <w:p w14:paraId="155628E0">
      <w:pPr>
        <w:pStyle w:val="82"/>
        <w:framePr w:hSpace="0" w:wrap="auto" w:vAnchor="margin" w:hAnchor="text" w:xAlign="left" w:yAlign="inline"/>
      </w:pPr>
      <w:r>
        <w:rPr>
          <w:rFonts w:hint="eastAsia"/>
        </w:rPr>
        <w:t>表</w:t>
      </w:r>
      <w:r>
        <w:t>1-</w:t>
      </w:r>
      <w:r>
        <w:rPr>
          <w:rFonts w:hint="eastAsia"/>
        </w:rPr>
        <w:t>3-</w:t>
      </w:r>
      <w:r>
        <w:t xml:space="preserve">3  </w:t>
      </w:r>
      <w:r>
        <w:rPr>
          <w:rFonts w:hint="eastAsia"/>
        </w:rPr>
        <w:t>声环境质量标准（</w:t>
      </w:r>
      <w:r>
        <w:t>GB3096-2008</w:t>
      </w:r>
      <w:r>
        <w:rPr>
          <w:rFonts w:hint="eastAsia"/>
        </w:rPr>
        <w:t>）（摘录）</w:t>
      </w:r>
      <w:r>
        <w:t xml:space="preserve">  </w:t>
      </w:r>
      <w:r>
        <w:rPr>
          <w:rFonts w:hint="eastAsia"/>
        </w:rPr>
        <w:t>（单位：</w:t>
      </w:r>
      <w:r>
        <w:t>dB</w:t>
      </w:r>
      <w:r>
        <w:rPr>
          <w:rFonts w:hint="eastAsia"/>
        </w:rPr>
        <w:t>（</w:t>
      </w:r>
      <w:r>
        <w:t>A</w:t>
      </w:r>
      <w:r>
        <w:rPr>
          <w:rFonts w:hint="eastAsia"/>
        </w:rPr>
        <w:t>））</w:t>
      </w:r>
    </w:p>
    <w:tbl>
      <w:tblPr>
        <w:tblStyle w:val="5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61"/>
        <w:gridCol w:w="2113"/>
        <w:gridCol w:w="1382"/>
        <w:gridCol w:w="1418"/>
      </w:tblGrid>
      <w:tr w14:paraId="4CB3B7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261" w:type="dxa"/>
            <w:vMerge w:val="restart"/>
            <w:tcBorders>
              <w:top w:val="single" w:color="auto" w:sz="4" w:space="0"/>
              <w:left w:val="nil"/>
              <w:right w:val="single" w:color="auto" w:sz="4" w:space="0"/>
            </w:tcBorders>
            <w:vAlign w:val="center"/>
          </w:tcPr>
          <w:p w14:paraId="39C49447">
            <w:pPr>
              <w:pStyle w:val="84"/>
            </w:pPr>
            <w:r>
              <w:rPr>
                <w:rFonts w:hint="eastAsia"/>
              </w:rPr>
              <w:t>区域</w:t>
            </w:r>
          </w:p>
        </w:tc>
        <w:tc>
          <w:tcPr>
            <w:tcW w:w="2113" w:type="dxa"/>
            <w:vMerge w:val="restart"/>
            <w:tcBorders>
              <w:top w:val="single" w:color="auto" w:sz="4" w:space="0"/>
              <w:left w:val="nil"/>
              <w:bottom w:val="single" w:color="auto" w:sz="4" w:space="0"/>
              <w:right w:val="single" w:color="auto" w:sz="4" w:space="0"/>
            </w:tcBorders>
            <w:vAlign w:val="center"/>
          </w:tcPr>
          <w:p w14:paraId="393D26DA">
            <w:pPr>
              <w:pStyle w:val="84"/>
            </w:pPr>
            <w:r>
              <w:rPr>
                <w:rFonts w:hint="eastAsia"/>
              </w:rPr>
              <w:t>声环境功能区类别</w:t>
            </w:r>
          </w:p>
        </w:tc>
        <w:tc>
          <w:tcPr>
            <w:tcW w:w="2800" w:type="dxa"/>
            <w:gridSpan w:val="2"/>
            <w:tcBorders>
              <w:top w:val="single" w:color="auto" w:sz="4" w:space="0"/>
              <w:left w:val="single" w:color="auto" w:sz="4" w:space="0"/>
              <w:bottom w:val="single" w:color="auto" w:sz="4" w:space="0"/>
              <w:right w:val="nil"/>
            </w:tcBorders>
            <w:vAlign w:val="center"/>
          </w:tcPr>
          <w:p w14:paraId="2A7CF5A1">
            <w:pPr>
              <w:pStyle w:val="84"/>
            </w:pPr>
            <w:r>
              <w:rPr>
                <w:rFonts w:hint="eastAsia"/>
              </w:rPr>
              <w:t>等效声级</w:t>
            </w:r>
          </w:p>
        </w:tc>
      </w:tr>
      <w:tr w14:paraId="1B5990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261" w:type="dxa"/>
            <w:vMerge w:val="continue"/>
            <w:tcBorders>
              <w:left w:val="nil"/>
              <w:bottom w:val="single" w:color="auto" w:sz="4" w:space="0"/>
              <w:right w:val="single" w:color="auto" w:sz="4" w:space="0"/>
            </w:tcBorders>
            <w:vAlign w:val="center"/>
          </w:tcPr>
          <w:p w14:paraId="1A392D72">
            <w:pPr>
              <w:pStyle w:val="84"/>
            </w:pPr>
          </w:p>
        </w:tc>
        <w:tc>
          <w:tcPr>
            <w:tcW w:w="2113" w:type="dxa"/>
            <w:vMerge w:val="continue"/>
            <w:tcBorders>
              <w:top w:val="single" w:color="auto" w:sz="4" w:space="0"/>
              <w:left w:val="nil"/>
              <w:bottom w:val="single" w:color="auto" w:sz="4" w:space="0"/>
              <w:right w:val="single" w:color="auto" w:sz="4" w:space="0"/>
            </w:tcBorders>
            <w:vAlign w:val="center"/>
          </w:tcPr>
          <w:p w14:paraId="5A364749">
            <w:pPr>
              <w:pStyle w:val="84"/>
            </w:pPr>
          </w:p>
        </w:tc>
        <w:tc>
          <w:tcPr>
            <w:tcW w:w="1382" w:type="dxa"/>
            <w:tcBorders>
              <w:top w:val="single" w:color="auto" w:sz="4" w:space="0"/>
              <w:left w:val="single" w:color="auto" w:sz="4" w:space="0"/>
              <w:bottom w:val="single" w:color="auto" w:sz="4" w:space="0"/>
              <w:right w:val="single" w:color="auto" w:sz="4" w:space="0"/>
            </w:tcBorders>
            <w:vAlign w:val="center"/>
          </w:tcPr>
          <w:p w14:paraId="1E31C42A">
            <w:pPr>
              <w:pStyle w:val="84"/>
            </w:pPr>
            <w:r>
              <w:rPr>
                <w:rFonts w:hint="eastAsia"/>
              </w:rPr>
              <w:t>昼间</w:t>
            </w:r>
          </w:p>
        </w:tc>
        <w:tc>
          <w:tcPr>
            <w:tcW w:w="1418" w:type="dxa"/>
            <w:tcBorders>
              <w:top w:val="single" w:color="auto" w:sz="4" w:space="0"/>
              <w:left w:val="single" w:color="auto" w:sz="4" w:space="0"/>
              <w:bottom w:val="single" w:color="auto" w:sz="4" w:space="0"/>
              <w:right w:val="nil"/>
            </w:tcBorders>
            <w:vAlign w:val="center"/>
          </w:tcPr>
          <w:p w14:paraId="12C315A0">
            <w:pPr>
              <w:pStyle w:val="84"/>
            </w:pPr>
            <w:r>
              <w:rPr>
                <w:rFonts w:hint="eastAsia"/>
              </w:rPr>
              <w:t>夜间</w:t>
            </w:r>
          </w:p>
        </w:tc>
      </w:tr>
      <w:tr w14:paraId="0E84E5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tblHeader/>
          <w:jc w:val="center"/>
        </w:trPr>
        <w:tc>
          <w:tcPr>
            <w:tcW w:w="3261" w:type="dxa"/>
            <w:tcBorders>
              <w:top w:val="single" w:color="auto" w:sz="4" w:space="0"/>
              <w:left w:val="nil"/>
              <w:bottom w:val="single" w:color="auto" w:sz="4" w:space="0"/>
              <w:right w:val="single" w:color="auto" w:sz="4" w:space="0"/>
            </w:tcBorders>
            <w:vAlign w:val="center"/>
          </w:tcPr>
          <w:p w14:paraId="66D9DA04">
            <w:pPr>
              <w:pStyle w:val="84"/>
            </w:pPr>
            <w:r>
              <w:rPr>
                <w:rFonts w:hint="eastAsia"/>
              </w:rPr>
              <w:t>除龙瑞高速及芒瑞大道道路边界线外35</w:t>
            </w:r>
            <w:r>
              <w:t>±</w:t>
            </w:r>
            <w:r>
              <w:rPr>
                <w:rFonts w:hint="eastAsia"/>
              </w:rPr>
              <w:t>5m的范围</w:t>
            </w:r>
          </w:p>
        </w:tc>
        <w:tc>
          <w:tcPr>
            <w:tcW w:w="2113" w:type="dxa"/>
            <w:tcBorders>
              <w:top w:val="single" w:color="auto" w:sz="4" w:space="0"/>
              <w:left w:val="nil"/>
              <w:bottom w:val="single" w:color="auto" w:sz="4" w:space="0"/>
              <w:right w:val="single" w:color="auto" w:sz="4" w:space="0"/>
            </w:tcBorders>
            <w:vAlign w:val="center"/>
          </w:tcPr>
          <w:p w14:paraId="31E7AD4E">
            <w:pPr>
              <w:pStyle w:val="84"/>
            </w:pPr>
            <w:r>
              <w:t>2</w:t>
            </w:r>
            <w:r>
              <w:rPr>
                <w:rFonts w:hint="eastAsia"/>
              </w:rPr>
              <w:t>类</w:t>
            </w:r>
          </w:p>
        </w:tc>
        <w:tc>
          <w:tcPr>
            <w:tcW w:w="1382" w:type="dxa"/>
            <w:tcBorders>
              <w:top w:val="single" w:color="auto" w:sz="4" w:space="0"/>
              <w:left w:val="single" w:color="auto" w:sz="4" w:space="0"/>
              <w:bottom w:val="single" w:color="auto" w:sz="4" w:space="0"/>
              <w:right w:val="single" w:color="auto" w:sz="4" w:space="0"/>
            </w:tcBorders>
            <w:vAlign w:val="center"/>
          </w:tcPr>
          <w:p w14:paraId="6D4CF18C">
            <w:pPr>
              <w:pStyle w:val="84"/>
            </w:pPr>
            <w:r>
              <w:t>60</w:t>
            </w:r>
          </w:p>
        </w:tc>
        <w:tc>
          <w:tcPr>
            <w:tcW w:w="1418" w:type="dxa"/>
            <w:tcBorders>
              <w:top w:val="single" w:color="auto" w:sz="4" w:space="0"/>
              <w:left w:val="single" w:color="auto" w:sz="4" w:space="0"/>
              <w:bottom w:val="single" w:color="auto" w:sz="4" w:space="0"/>
              <w:right w:val="nil"/>
            </w:tcBorders>
            <w:vAlign w:val="center"/>
          </w:tcPr>
          <w:p w14:paraId="1E36DAC4">
            <w:pPr>
              <w:pStyle w:val="84"/>
            </w:pPr>
            <w:r>
              <w:t>50</w:t>
            </w:r>
          </w:p>
        </w:tc>
      </w:tr>
      <w:tr w14:paraId="2BFED2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tblHeader/>
          <w:jc w:val="center"/>
        </w:trPr>
        <w:tc>
          <w:tcPr>
            <w:tcW w:w="3261" w:type="dxa"/>
            <w:tcBorders>
              <w:top w:val="single" w:color="auto" w:sz="4" w:space="0"/>
              <w:left w:val="nil"/>
              <w:bottom w:val="single" w:color="auto" w:sz="4" w:space="0"/>
              <w:right w:val="single" w:color="auto" w:sz="4" w:space="0"/>
            </w:tcBorders>
            <w:vAlign w:val="center"/>
          </w:tcPr>
          <w:p w14:paraId="40734B42">
            <w:pPr>
              <w:pStyle w:val="84"/>
            </w:pPr>
            <w:r>
              <w:rPr>
                <w:rFonts w:hint="eastAsia"/>
              </w:rPr>
              <w:t>龙瑞高速及芒瑞大道道路边界线外35</w:t>
            </w:r>
            <w:r>
              <w:t>±</w:t>
            </w:r>
            <w:r>
              <w:rPr>
                <w:rFonts w:hint="eastAsia"/>
              </w:rPr>
              <w:t>5m的范围内</w:t>
            </w:r>
          </w:p>
        </w:tc>
        <w:tc>
          <w:tcPr>
            <w:tcW w:w="2113" w:type="dxa"/>
            <w:tcBorders>
              <w:top w:val="single" w:color="auto" w:sz="4" w:space="0"/>
              <w:left w:val="nil"/>
              <w:bottom w:val="single" w:color="auto" w:sz="4" w:space="0"/>
              <w:right w:val="single" w:color="auto" w:sz="4" w:space="0"/>
            </w:tcBorders>
            <w:vAlign w:val="center"/>
          </w:tcPr>
          <w:p w14:paraId="2A0569A7">
            <w:pPr>
              <w:pStyle w:val="84"/>
            </w:pPr>
            <w:r>
              <w:rPr>
                <w:rFonts w:hint="eastAsia"/>
              </w:rPr>
              <w:t>4a类</w:t>
            </w:r>
          </w:p>
        </w:tc>
        <w:tc>
          <w:tcPr>
            <w:tcW w:w="1382" w:type="dxa"/>
            <w:tcBorders>
              <w:top w:val="single" w:color="auto" w:sz="4" w:space="0"/>
              <w:left w:val="single" w:color="auto" w:sz="4" w:space="0"/>
              <w:bottom w:val="single" w:color="auto" w:sz="4" w:space="0"/>
              <w:right w:val="single" w:color="auto" w:sz="4" w:space="0"/>
            </w:tcBorders>
            <w:vAlign w:val="center"/>
          </w:tcPr>
          <w:p w14:paraId="786629EA">
            <w:pPr>
              <w:pStyle w:val="84"/>
            </w:pPr>
            <w:r>
              <w:rPr>
                <w:rFonts w:hint="eastAsia"/>
              </w:rPr>
              <w:t>70</w:t>
            </w:r>
          </w:p>
        </w:tc>
        <w:tc>
          <w:tcPr>
            <w:tcW w:w="1418" w:type="dxa"/>
            <w:tcBorders>
              <w:top w:val="single" w:color="auto" w:sz="4" w:space="0"/>
              <w:left w:val="single" w:color="auto" w:sz="4" w:space="0"/>
              <w:bottom w:val="single" w:color="auto" w:sz="4" w:space="0"/>
              <w:right w:val="nil"/>
            </w:tcBorders>
            <w:vAlign w:val="center"/>
          </w:tcPr>
          <w:p w14:paraId="37CBAD17">
            <w:pPr>
              <w:pStyle w:val="84"/>
            </w:pPr>
            <w:r>
              <w:rPr>
                <w:rFonts w:hint="eastAsia"/>
              </w:rPr>
              <w:t>55</w:t>
            </w:r>
          </w:p>
        </w:tc>
      </w:tr>
    </w:tbl>
    <w:p w14:paraId="45C7B22B">
      <w:pPr>
        <w:spacing w:before="120" w:beforeLines="50"/>
        <w:ind w:firstLine="482"/>
        <w:jc w:val="left"/>
        <w:rPr>
          <w:b/>
        </w:rPr>
      </w:pPr>
      <w:r>
        <w:rPr>
          <w:b/>
        </w:rPr>
        <w:t>4</w:t>
      </w:r>
      <w:r>
        <w:rPr>
          <w:rFonts w:hint="eastAsia"/>
          <w:b/>
        </w:rPr>
        <w:t>、地下水</w:t>
      </w:r>
    </w:p>
    <w:p w14:paraId="049B8854">
      <w:pPr>
        <w:ind w:firstLine="480"/>
        <w:rPr>
          <w:szCs w:val="20"/>
        </w:rPr>
      </w:pPr>
      <w:r>
        <w:rPr>
          <w:rFonts w:hint="eastAsia" w:hAnsi="宋体"/>
        </w:rPr>
        <w:t>评价区地下水环境执行《地下水质量标准》（</w:t>
      </w:r>
      <w:r>
        <w:t>GB/T14848-93</w:t>
      </w:r>
      <w:r>
        <w:rPr>
          <w:rFonts w:hint="eastAsia" w:hAnsi="宋体"/>
        </w:rPr>
        <w:t>）Ⅲ类标准，具体标准值见下表：</w:t>
      </w:r>
    </w:p>
    <w:p w14:paraId="2ACA9BF2">
      <w:pPr>
        <w:pStyle w:val="82"/>
        <w:framePr w:hSpace="0" w:wrap="auto" w:vAnchor="margin" w:hAnchor="text" w:xAlign="left" w:yAlign="inline"/>
      </w:pPr>
      <w:r>
        <w:rPr>
          <w:rFonts w:hint="eastAsia"/>
        </w:rPr>
        <w:t>表</w:t>
      </w:r>
      <w:r>
        <w:t>1-</w:t>
      </w:r>
      <w:r>
        <w:rPr>
          <w:rFonts w:hint="eastAsia"/>
        </w:rPr>
        <w:t>3-</w:t>
      </w:r>
      <w:r>
        <w:t xml:space="preserve">4  </w:t>
      </w:r>
      <w:r>
        <w:rPr>
          <w:rFonts w:hint="eastAsia"/>
        </w:rPr>
        <w:t>　地下水质量标准值（</w:t>
      </w:r>
      <w:r>
        <w:t>GB/T14848-93</w:t>
      </w:r>
      <w:r>
        <w:rPr>
          <w:rFonts w:hint="eastAsia"/>
        </w:rPr>
        <w:t>）（摘录）</w:t>
      </w:r>
      <w:r>
        <w:t xml:space="preserve"> </w:t>
      </w:r>
      <w:r>
        <w:rPr>
          <w:rFonts w:hint="eastAsia"/>
        </w:rPr>
        <w:t>（单位：</w:t>
      </w:r>
      <w:r>
        <w:t>mg/L</w:t>
      </w:r>
      <w:r>
        <w:rPr>
          <w:rFonts w:hint="eastAsia"/>
        </w:rPr>
        <w:t>）</w:t>
      </w:r>
    </w:p>
    <w:tbl>
      <w:tblPr>
        <w:tblStyle w:val="56"/>
        <w:tblW w:w="897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528"/>
        <w:gridCol w:w="1483"/>
        <w:gridCol w:w="1766"/>
        <w:gridCol w:w="1481"/>
        <w:gridCol w:w="1873"/>
      </w:tblGrid>
      <w:tr w14:paraId="424F81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op w:val="single" w:color="auto" w:sz="4" w:space="0"/>
              <w:left w:val="nil"/>
              <w:bottom w:val="single" w:color="auto" w:sz="4" w:space="0"/>
              <w:right w:val="single" w:color="auto" w:sz="4" w:space="0"/>
            </w:tcBorders>
            <w:vAlign w:val="center"/>
          </w:tcPr>
          <w:p w14:paraId="3E8C7476">
            <w:pPr>
              <w:pStyle w:val="84"/>
            </w:pPr>
            <w:r>
              <w:rPr>
                <w:rFonts w:hint="eastAsia"/>
              </w:rPr>
              <w:t>项目</w:t>
            </w:r>
          </w:p>
        </w:tc>
        <w:tc>
          <w:tcPr>
            <w:tcW w:w="1527" w:type="dxa"/>
            <w:tcBorders>
              <w:top w:val="single" w:color="auto" w:sz="4" w:space="0"/>
              <w:left w:val="single" w:color="auto" w:sz="4" w:space="0"/>
              <w:bottom w:val="single" w:color="auto" w:sz="4" w:space="0"/>
              <w:right w:val="single" w:color="auto" w:sz="4" w:space="0"/>
            </w:tcBorders>
            <w:vAlign w:val="center"/>
          </w:tcPr>
          <w:p w14:paraId="73FE346A">
            <w:pPr>
              <w:pStyle w:val="84"/>
            </w:pPr>
            <w:r>
              <w:t>pH</w:t>
            </w:r>
            <w:r>
              <w:rPr>
                <w:rFonts w:hint="eastAsia"/>
              </w:rPr>
              <w:t>（无量纲）</w:t>
            </w:r>
          </w:p>
        </w:tc>
        <w:tc>
          <w:tcPr>
            <w:tcW w:w="1483" w:type="dxa"/>
            <w:tcBorders>
              <w:top w:val="single" w:color="auto" w:sz="4" w:space="0"/>
              <w:left w:val="single" w:color="auto" w:sz="4" w:space="0"/>
              <w:bottom w:val="single" w:color="auto" w:sz="4" w:space="0"/>
              <w:right w:val="single" w:color="auto" w:sz="4" w:space="0"/>
            </w:tcBorders>
            <w:vAlign w:val="center"/>
          </w:tcPr>
          <w:p w14:paraId="383BB810">
            <w:pPr>
              <w:pStyle w:val="84"/>
            </w:pPr>
            <w:r>
              <w:t>NH</w:t>
            </w:r>
            <w:r>
              <w:rPr>
                <w:vertAlign w:val="subscript"/>
              </w:rPr>
              <w:t>3</w:t>
            </w:r>
            <w:r>
              <w:t>-N</w:t>
            </w:r>
          </w:p>
        </w:tc>
        <w:tc>
          <w:tcPr>
            <w:tcW w:w="1766" w:type="dxa"/>
            <w:tcBorders>
              <w:top w:val="single" w:color="auto" w:sz="4" w:space="0"/>
              <w:left w:val="single" w:color="auto" w:sz="4" w:space="0"/>
              <w:bottom w:val="single" w:color="auto" w:sz="4" w:space="0"/>
              <w:right w:val="single" w:color="auto" w:sz="4" w:space="0"/>
            </w:tcBorders>
            <w:vAlign w:val="center"/>
          </w:tcPr>
          <w:p w14:paraId="1A364F8F">
            <w:pPr>
              <w:pStyle w:val="84"/>
            </w:pPr>
            <w:r>
              <w:rPr>
                <w:rFonts w:hint="eastAsia"/>
              </w:rPr>
              <w:t>挥发酚</w:t>
            </w:r>
          </w:p>
        </w:tc>
        <w:tc>
          <w:tcPr>
            <w:tcW w:w="1481" w:type="dxa"/>
            <w:tcBorders>
              <w:top w:val="single" w:color="auto" w:sz="4" w:space="0"/>
              <w:left w:val="single" w:color="auto" w:sz="4" w:space="0"/>
              <w:bottom w:val="single" w:color="auto" w:sz="4" w:space="0"/>
              <w:right w:val="single" w:color="auto" w:sz="4" w:space="0"/>
            </w:tcBorders>
            <w:vAlign w:val="center"/>
          </w:tcPr>
          <w:p w14:paraId="45099025">
            <w:pPr>
              <w:pStyle w:val="84"/>
            </w:pPr>
            <w:r>
              <w:rPr>
                <w:rFonts w:hint="eastAsia"/>
              </w:rPr>
              <w:t>硝酸盐</w:t>
            </w:r>
          </w:p>
        </w:tc>
        <w:tc>
          <w:tcPr>
            <w:tcW w:w="1873" w:type="dxa"/>
            <w:tcBorders>
              <w:top w:val="single" w:color="auto" w:sz="4" w:space="0"/>
              <w:left w:val="single" w:color="auto" w:sz="4" w:space="0"/>
              <w:bottom w:val="single" w:color="auto" w:sz="4" w:space="0"/>
              <w:right w:val="nil"/>
            </w:tcBorders>
            <w:vAlign w:val="center"/>
          </w:tcPr>
          <w:p w14:paraId="664C0EA3">
            <w:pPr>
              <w:pStyle w:val="84"/>
            </w:pPr>
            <w:r>
              <w:rPr>
                <w:rFonts w:hint="eastAsia"/>
              </w:rPr>
              <w:t>亚硝酸盐</w:t>
            </w:r>
          </w:p>
        </w:tc>
      </w:tr>
      <w:tr w14:paraId="5B095F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38" w:type="dxa"/>
            <w:tcBorders>
              <w:top w:val="single" w:color="auto" w:sz="4" w:space="0"/>
              <w:left w:val="nil"/>
              <w:bottom w:val="single" w:color="auto" w:sz="4" w:space="0"/>
              <w:right w:val="single" w:color="auto" w:sz="4" w:space="0"/>
            </w:tcBorders>
            <w:vAlign w:val="center"/>
          </w:tcPr>
          <w:p w14:paraId="2B2E3D94">
            <w:pPr>
              <w:pStyle w:val="84"/>
            </w:pPr>
            <w:r>
              <w:rPr>
                <w:rFonts w:hint="eastAsia" w:ascii="宋体" w:hAnsi="宋体" w:eastAsia="宋体" w:cs="宋体"/>
              </w:rPr>
              <w:t>Ⅲ</w:t>
            </w:r>
            <w:r>
              <w:rPr>
                <w:rFonts w:hint="eastAsia"/>
              </w:rPr>
              <w:t>类</w:t>
            </w:r>
          </w:p>
        </w:tc>
        <w:tc>
          <w:tcPr>
            <w:tcW w:w="1527" w:type="dxa"/>
            <w:tcBorders>
              <w:top w:val="single" w:color="auto" w:sz="4" w:space="0"/>
              <w:left w:val="single" w:color="auto" w:sz="4" w:space="0"/>
              <w:bottom w:val="single" w:color="auto" w:sz="4" w:space="0"/>
              <w:right w:val="single" w:color="auto" w:sz="4" w:space="0"/>
            </w:tcBorders>
            <w:vAlign w:val="center"/>
          </w:tcPr>
          <w:p w14:paraId="51EDD12E">
            <w:pPr>
              <w:pStyle w:val="84"/>
            </w:pPr>
            <w:r>
              <w:t>6.5~8.5</w:t>
            </w:r>
          </w:p>
        </w:tc>
        <w:tc>
          <w:tcPr>
            <w:tcW w:w="1483" w:type="dxa"/>
            <w:tcBorders>
              <w:top w:val="single" w:color="auto" w:sz="4" w:space="0"/>
              <w:left w:val="single" w:color="auto" w:sz="4" w:space="0"/>
              <w:bottom w:val="single" w:color="auto" w:sz="4" w:space="0"/>
              <w:right w:val="single" w:color="auto" w:sz="4" w:space="0"/>
            </w:tcBorders>
            <w:vAlign w:val="center"/>
          </w:tcPr>
          <w:p w14:paraId="3FEAB524">
            <w:pPr>
              <w:pStyle w:val="84"/>
            </w:pPr>
            <w:r>
              <w:t>≤0.2</w:t>
            </w:r>
          </w:p>
        </w:tc>
        <w:tc>
          <w:tcPr>
            <w:tcW w:w="1766" w:type="dxa"/>
            <w:tcBorders>
              <w:top w:val="single" w:color="auto" w:sz="4" w:space="0"/>
              <w:left w:val="single" w:color="auto" w:sz="4" w:space="0"/>
              <w:bottom w:val="single" w:color="auto" w:sz="4" w:space="0"/>
              <w:right w:val="single" w:color="auto" w:sz="4" w:space="0"/>
            </w:tcBorders>
            <w:vAlign w:val="center"/>
          </w:tcPr>
          <w:p w14:paraId="77CD47DA">
            <w:pPr>
              <w:pStyle w:val="84"/>
            </w:pPr>
            <w:r>
              <w:t>≤0.002</w:t>
            </w:r>
          </w:p>
        </w:tc>
        <w:tc>
          <w:tcPr>
            <w:tcW w:w="1481" w:type="dxa"/>
            <w:tcBorders>
              <w:top w:val="single" w:color="auto" w:sz="4" w:space="0"/>
              <w:left w:val="single" w:color="auto" w:sz="4" w:space="0"/>
              <w:bottom w:val="single" w:color="auto" w:sz="4" w:space="0"/>
              <w:right w:val="single" w:color="auto" w:sz="4" w:space="0"/>
            </w:tcBorders>
            <w:vAlign w:val="center"/>
          </w:tcPr>
          <w:p w14:paraId="2AA54F28">
            <w:pPr>
              <w:pStyle w:val="84"/>
            </w:pPr>
            <w:r>
              <w:t>≤20</w:t>
            </w:r>
          </w:p>
        </w:tc>
        <w:tc>
          <w:tcPr>
            <w:tcW w:w="1873" w:type="dxa"/>
            <w:tcBorders>
              <w:top w:val="single" w:color="auto" w:sz="4" w:space="0"/>
              <w:left w:val="single" w:color="auto" w:sz="4" w:space="0"/>
              <w:bottom w:val="single" w:color="auto" w:sz="4" w:space="0"/>
              <w:right w:val="nil"/>
            </w:tcBorders>
            <w:vAlign w:val="center"/>
          </w:tcPr>
          <w:p w14:paraId="592E2038">
            <w:pPr>
              <w:pStyle w:val="84"/>
            </w:pPr>
            <w:r>
              <w:t>≤0.02</w:t>
            </w:r>
          </w:p>
        </w:tc>
      </w:tr>
      <w:tr w14:paraId="64AE8D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838" w:type="dxa"/>
            <w:tcBorders>
              <w:top w:val="single" w:color="auto" w:sz="4" w:space="0"/>
              <w:left w:val="nil"/>
              <w:bottom w:val="single" w:color="auto" w:sz="4" w:space="0"/>
              <w:right w:val="single" w:color="auto" w:sz="4" w:space="0"/>
            </w:tcBorders>
            <w:vAlign w:val="center"/>
          </w:tcPr>
          <w:p w14:paraId="59366B8D">
            <w:pPr>
              <w:pStyle w:val="84"/>
            </w:pPr>
            <w:r>
              <w:rPr>
                <w:rFonts w:hint="eastAsia"/>
              </w:rPr>
              <w:t>项目</w:t>
            </w:r>
          </w:p>
        </w:tc>
        <w:tc>
          <w:tcPr>
            <w:tcW w:w="1527" w:type="dxa"/>
            <w:tcBorders>
              <w:top w:val="single" w:color="auto" w:sz="4" w:space="0"/>
              <w:left w:val="single" w:color="auto" w:sz="4" w:space="0"/>
              <w:bottom w:val="single" w:color="auto" w:sz="4" w:space="0"/>
              <w:right w:val="single" w:color="auto" w:sz="4" w:space="0"/>
            </w:tcBorders>
            <w:vAlign w:val="center"/>
          </w:tcPr>
          <w:p w14:paraId="40F46F7D">
            <w:pPr>
              <w:pStyle w:val="84"/>
            </w:pPr>
            <w:r>
              <w:rPr>
                <w:rFonts w:hint="eastAsia"/>
              </w:rPr>
              <w:t>色（度）</w:t>
            </w:r>
          </w:p>
        </w:tc>
        <w:tc>
          <w:tcPr>
            <w:tcW w:w="1483" w:type="dxa"/>
            <w:tcBorders>
              <w:top w:val="single" w:color="auto" w:sz="4" w:space="0"/>
              <w:left w:val="single" w:color="auto" w:sz="4" w:space="0"/>
              <w:bottom w:val="single" w:color="auto" w:sz="4" w:space="0"/>
              <w:right w:val="single" w:color="auto" w:sz="4" w:space="0"/>
            </w:tcBorders>
            <w:vAlign w:val="center"/>
          </w:tcPr>
          <w:p w14:paraId="40F5AE08">
            <w:pPr>
              <w:pStyle w:val="84"/>
            </w:pPr>
            <w:r>
              <w:rPr>
                <w:rFonts w:hint="eastAsia"/>
              </w:rPr>
              <w:t>浑浊度（度）</w:t>
            </w:r>
          </w:p>
        </w:tc>
        <w:tc>
          <w:tcPr>
            <w:tcW w:w="1766" w:type="dxa"/>
            <w:tcBorders>
              <w:top w:val="single" w:color="auto" w:sz="4" w:space="0"/>
              <w:left w:val="single" w:color="auto" w:sz="4" w:space="0"/>
              <w:bottom w:val="single" w:color="auto" w:sz="4" w:space="0"/>
              <w:right w:val="single" w:color="auto" w:sz="4" w:space="0"/>
            </w:tcBorders>
            <w:vAlign w:val="center"/>
          </w:tcPr>
          <w:p w14:paraId="56B5331D">
            <w:pPr>
              <w:pStyle w:val="84"/>
            </w:pPr>
            <w:r>
              <w:rPr>
                <w:rFonts w:hint="eastAsia"/>
              </w:rPr>
              <w:t>高锰酸盐指数</w:t>
            </w:r>
          </w:p>
        </w:tc>
        <w:tc>
          <w:tcPr>
            <w:tcW w:w="1481" w:type="dxa"/>
            <w:tcBorders>
              <w:top w:val="single" w:color="auto" w:sz="4" w:space="0"/>
              <w:left w:val="single" w:color="auto" w:sz="4" w:space="0"/>
              <w:bottom w:val="single" w:color="auto" w:sz="4" w:space="0"/>
              <w:right w:val="single" w:color="auto" w:sz="4" w:space="0"/>
            </w:tcBorders>
            <w:vAlign w:val="center"/>
          </w:tcPr>
          <w:p w14:paraId="5640A8DA">
            <w:pPr>
              <w:pStyle w:val="84"/>
            </w:pPr>
            <w:r>
              <w:rPr>
                <w:rFonts w:hint="eastAsia"/>
              </w:rPr>
              <w:t>溶解性总固体</w:t>
            </w:r>
          </w:p>
        </w:tc>
        <w:tc>
          <w:tcPr>
            <w:tcW w:w="1873" w:type="dxa"/>
            <w:tcBorders>
              <w:top w:val="single" w:color="auto" w:sz="4" w:space="0"/>
              <w:left w:val="single" w:color="auto" w:sz="4" w:space="0"/>
              <w:bottom w:val="single" w:color="auto" w:sz="4" w:space="0"/>
              <w:right w:val="nil"/>
            </w:tcBorders>
            <w:vAlign w:val="center"/>
          </w:tcPr>
          <w:p w14:paraId="697BDDE9">
            <w:pPr>
              <w:pStyle w:val="84"/>
            </w:pPr>
            <w:r>
              <w:rPr>
                <w:rFonts w:hint="eastAsia"/>
              </w:rPr>
              <w:t>细菌总数（个</w:t>
            </w:r>
            <w:r>
              <w:t>/L</w:t>
            </w:r>
            <w:r>
              <w:rPr>
                <w:rFonts w:hint="eastAsia"/>
              </w:rPr>
              <w:t>）</w:t>
            </w:r>
          </w:p>
        </w:tc>
      </w:tr>
      <w:tr w14:paraId="43FD47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38" w:type="dxa"/>
            <w:tcBorders>
              <w:top w:val="single" w:color="auto" w:sz="4" w:space="0"/>
              <w:left w:val="nil"/>
              <w:bottom w:val="single" w:color="auto" w:sz="4" w:space="0"/>
              <w:right w:val="single" w:color="auto" w:sz="4" w:space="0"/>
            </w:tcBorders>
            <w:vAlign w:val="center"/>
          </w:tcPr>
          <w:p w14:paraId="5D59F3CB">
            <w:pPr>
              <w:pStyle w:val="84"/>
            </w:pPr>
            <w:r>
              <w:rPr>
                <w:rFonts w:hint="eastAsia" w:ascii="宋体" w:hAnsi="宋体" w:eastAsia="宋体" w:cs="宋体"/>
              </w:rPr>
              <w:t>Ⅲ</w:t>
            </w:r>
            <w:r>
              <w:rPr>
                <w:rFonts w:hint="eastAsia"/>
              </w:rPr>
              <w:t>类</w:t>
            </w:r>
          </w:p>
        </w:tc>
        <w:tc>
          <w:tcPr>
            <w:tcW w:w="1527" w:type="dxa"/>
            <w:tcBorders>
              <w:top w:val="single" w:color="auto" w:sz="4" w:space="0"/>
              <w:left w:val="single" w:color="auto" w:sz="4" w:space="0"/>
              <w:bottom w:val="single" w:color="auto" w:sz="4" w:space="0"/>
              <w:right w:val="single" w:color="auto" w:sz="4" w:space="0"/>
            </w:tcBorders>
            <w:vAlign w:val="center"/>
          </w:tcPr>
          <w:p w14:paraId="68CE2284">
            <w:pPr>
              <w:pStyle w:val="84"/>
            </w:pPr>
            <w:r>
              <w:t>≤15</w:t>
            </w:r>
          </w:p>
        </w:tc>
        <w:tc>
          <w:tcPr>
            <w:tcW w:w="1483" w:type="dxa"/>
            <w:tcBorders>
              <w:top w:val="single" w:color="auto" w:sz="4" w:space="0"/>
              <w:left w:val="single" w:color="auto" w:sz="4" w:space="0"/>
              <w:bottom w:val="single" w:color="auto" w:sz="4" w:space="0"/>
              <w:right w:val="single" w:color="auto" w:sz="4" w:space="0"/>
            </w:tcBorders>
            <w:vAlign w:val="center"/>
          </w:tcPr>
          <w:p w14:paraId="132BCAA4">
            <w:pPr>
              <w:pStyle w:val="84"/>
            </w:pPr>
            <w:r>
              <w:t>≤3</w:t>
            </w:r>
          </w:p>
        </w:tc>
        <w:tc>
          <w:tcPr>
            <w:tcW w:w="1766" w:type="dxa"/>
            <w:tcBorders>
              <w:top w:val="single" w:color="auto" w:sz="4" w:space="0"/>
              <w:left w:val="single" w:color="auto" w:sz="4" w:space="0"/>
              <w:bottom w:val="single" w:color="auto" w:sz="4" w:space="0"/>
              <w:right w:val="single" w:color="auto" w:sz="4" w:space="0"/>
            </w:tcBorders>
            <w:vAlign w:val="center"/>
          </w:tcPr>
          <w:p w14:paraId="1FE531CE">
            <w:pPr>
              <w:pStyle w:val="84"/>
            </w:pPr>
            <w:r>
              <w:t>≤3.0</w:t>
            </w:r>
          </w:p>
        </w:tc>
        <w:tc>
          <w:tcPr>
            <w:tcW w:w="1481" w:type="dxa"/>
            <w:tcBorders>
              <w:top w:val="single" w:color="auto" w:sz="4" w:space="0"/>
              <w:left w:val="single" w:color="auto" w:sz="4" w:space="0"/>
              <w:bottom w:val="single" w:color="auto" w:sz="4" w:space="0"/>
              <w:right w:val="single" w:color="auto" w:sz="4" w:space="0"/>
            </w:tcBorders>
            <w:vAlign w:val="center"/>
          </w:tcPr>
          <w:p w14:paraId="794305EB">
            <w:pPr>
              <w:pStyle w:val="84"/>
            </w:pPr>
            <w:r>
              <w:t>≤1000</w:t>
            </w:r>
          </w:p>
        </w:tc>
        <w:tc>
          <w:tcPr>
            <w:tcW w:w="1873" w:type="dxa"/>
            <w:tcBorders>
              <w:top w:val="single" w:color="auto" w:sz="4" w:space="0"/>
              <w:left w:val="single" w:color="auto" w:sz="4" w:space="0"/>
              <w:bottom w:val="single" w:color="auto" w:sz="4" w:space="0"/>
              <w:right w:val="nil"/>
            </w:tcBorders>
            <w:vAlign w:val="center"/>
          </w:tcPr>
          <w:p w14:paraId="0BDA6C94">
            <w:pPr>
              <w:pStyle w:val="84"/>
            </w:pPr>
            <w:r>
              <w:t>≤100</w:t>
            </w:r>
          </w:p>
        </w:tc>
      </w:tr>
    </w:tbl>
    <w:p w14:paraId="2991F67B">
      <w:pPr>
        <w:pStyle w:val="113"/>
      </w:pPr>
      <w:bookmarkStart w:id="134" w:name="_Toc471737954"/>
      <w:bookmarkStart w:id="135" w:name="_Toc508642403"/>
      <w:r>
        <w:t>1.</w:t>
      </w:r>
      <w:r>
        <w:rPr>
          <w:rFonts w:hint="eastAsia"/>
        </w:rPr>
        <w:t>3</w:t>
      </w:r>
      <w:r>
        <w:t>.2污染排放标准</w:t>
      </w:r>
      <w:bookmarkEnd w:id="126"/>
      <w:bookmarkEnd w:id="127"/>
      <w:bookmarkEnd w:id="128"/>
      <w:bookmarkEnd w:id="129"/>
      <w:bookmarkEnd w:id="130"/>
      <w:bookmarkEnd w:id="131"/>
      <w:bookmarkEnd w:id="132"/>
      <w:bookmarkEnd w:id="133"/>
      <w:bookmarkEnd w:id="134"/>
      <w:bookmarkEnd w:id="135"/>
    </w:p>
    <w:p w14:paraId="6B3E0E21">
      <w:pPr>
        <w:ind w:firstLine="482"/>
        <w:jc w:val="left"/>
        <w:rPr>
          <w:b/>
        </w:rPr>
      </w:pPr>
      <w:bookmarkStart w:id="136" w:name="_Toc346872385"/>
      <w:bookmarkStart w:id="137" w:name="_Toc344010222"/>
      <w:bookmarkStart w:id="138" w:name="_Toc344011831"/>
      <w:bookmarkStart w:id="139" w:name="_Toc344012061"/>
      <w:bookmarkStart w:id="140" w:name="_Toc344008031"/>
      <w:bookmarkStart w:id="141" w:name="_Toc346810204"/>
      <w:bookmarkStart w:id="142" w:name="_Toc346826086"/>
      <w:bookmarkStart w:id="143" w:name="_Toc346872389"/>
      <w:bookmarkStart w:id="144" w:name="_Toc343278813"/>
      <w:bookmarkStart w:id="145" w:name="_Toc333869924"/>
      <w:bookmarkStart w:id="146" w:name="_Toc277778211"/>
      <w:bookmarkStart w:id="147" w:name="_Toc397428259"/>
      <w:bookmarkStart w:id="148" w:name="_Toc454046465"/>
      <w:bookmarkStart w:id="149" w:name="_Toc443655367"/>
      <w:bookmarkStart w:id="150" w:name="_Toc352170631"/>
      <w:bookmarkStart w:id="151" w:name="_Toc385867777"/>
      <w:r>
        <w:rPr>
          <w:b/>
        </w:rPr>
        <w:t>1</w:t>
      </w:r>
      <w:r>
        <w:rPr>
          <w:rFonts w:hint="eastAsia"/>
          <w:b/>
        </w:rPr>
        <w:t>、水污染物</w:t>
      </w:r>
      <w:bookmarkEnd w:id="136"/>
      <w:bookmarkEnd w:id="137"/>
      <w:bookmarkEnd w:id="138"/>
      <w:bookmarkEnd w:id="139"/>
      <w:bookmarkEnd w:id="140"/>
      <w:bookmarkEnd w:id="141"/>
      <w:bookmarkEnd w:id="142"/>
    </w:p>
    <w:p w14:paraId="01302521">
      <w:pPr>
        <w:ind w:firstLine="480"/>
        <w:jc w:val="left"/>
      </w:pPr>
      <w:r>
        <w:rPr>
          <w:rFonts w:hint="eastAsia"/>
        </w:rPr>
        <w:t>拟建项目污水排放执行《污水综合排放标准》（</w:t>
      </w:r>
      <w:r>
        <w:t>GB8978</w:t>
      </w:r>
      <w:r>
        <w:rPr>
          <w:rFonts w:hint="eastAsia"/>
        </w:rPr>
        <w:t>-</w:t>
      </w:r>
      <w:r>
        <w:t>1996</w:t>
      </w:r>
      <w:r>
        <w:rPr>
          <w:rFonts w:hint="eastAsia"/>
        </w:rPr>
        <w:t>）一级标准，详情见下表：</w:t>
      </w:r>
    </w:p>
    <w:p w14:paraId="2CFC5A0A">
      <w:pPr>
        <w:pStyle w:val="82"/>
        <w:framePr w:hSpace="0" w:wrap="auto" w:vAnchor="margin" w:hAnchor="text" w:xAlign="left" w:yAlign="inline"/>
      </w:pPr>
      <w:r>
        <w:rPr>
          <w:rFonts w:hint="eastAsia"/>
        </w:rPr>
        <w:t>表1-3-5</w:t>
      </w:r>
      <w:r>
        <w:t xml:space="preserve">   </w:t>
      </w:r>
      <w:r>
        <w:rPr>
          <w:rFonts w:hint="eastAsia"/>
        </w:rPr>
        <w:t>污水综合排放标准（</w:t>
      </w:r>
      <w:r>
        <w:t>GB8978</w:t>
      </w:r>
      <w:r>
        <w:rPr>
          <w:rFonts w:hint="eastAsia"/>
        </w:rPr>
        <w:t>—</w:t>
      </w:r>
      <w:r>
        <w:t>1996</w:t>
      </w:r>
      <w:r>
        <w:rPr>
          <w:rFonts w:hint="eastAsia"/>
        </w:rPr>
        <w:t>）（摘录）</w:t>
      </w:r>
      <w:r>
        <w:t xml:space="preserve">  </w:t>
      </w:r>
      <w:r>
        <w:rPr>
          <w:rFonts w:hint="eastAsia"/>
        </w:rPr>
        <w:t>（单位：</w:t>
      </w:r>
      <w:r>
        <w:t>mg/L</w:t>
      </w:r>
      <w:r>
        <w:rPr>
          <w:rFonts w:hint="eastAsia"/>
        </w:rPr>
        <w:t>）</w:t>
      </w:r>
    </w:p>
    <w:tbl>
      <w:tblPr>
        <w:tblStyle w:val="5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850"/>
        <w:gridCol w:w="809"/>
        <w:gridCol w:w="851"/>
        <w:gridCol w:w="850"/>
        <w:gridCol w:w="851"/>
        <w:gridCol w:w="1134"/>
        <w:gridCol w:w="850"/>
      </w:tblGrid>
      <w:tr w14:paraId="600A8B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5" w:type="dxa"/>
            <w:tcBorders>
              <w:top w:val="single" w:color="auto" w:sz="4" w:space="0"/>
              <w:left w:val="nil"/>
              <w:bottom w:val="single" w:color="auto" w:sz="4" w:space="0"/>
              <w:right w:val="single" w:color="auto" w:sz="4" w:space="0"/>
            </w:tcBorders>
            <w:vAlign w:val="center"/>
          </w:tcPr>
          <w:p w14:paraId="01764841">
            <w:pPr>
              <w:pStyle w:val="84"/>
            </w:pPr>
            <w:r>
              <w:rPr>
                <w:rFonts w:hint="eastAsia"/>
              </w:rPr>
              <w:t>污染物名称</w:t>
            </w:r>
          </w:p>
        </w:tc>
        <w:tc>
          <w:tcPr>
            <w:tcW w:w="850" w:type="dxa"/>
            <w:tcBorders>
              <w:top w:val="single" w:color="auto" w:sz="4" w:space="0"/>
              <w:left w:val="single" w:color="auto" w:sz="4" w:space="0"/>
              <w:bottom w:val="single" w:color="auto" w:sz="4" w:space="0"/>
              <w:right w:val="single" w:color="auto" w:sz="4" w:space="0"/>
            </w:tcBorders>
            <w:vAlign w:val="center"/>
          </w:tcPr>
          <w:p w14:paraId="322C1B4D">
            <w:pPr>
              <w:pStyle w:val="84"/>
            </w:pPr>
            <w:r>
              <w:t>pH</w:t>
            </w:r>
          </w:p>
        </w:tc>
        <w:tc>
          <w:tcPr>
            <w:tcW w:w="809" w:type="dxa"/>
            <w:tcBorders>
              <w:top w:val="single" w:color="auto" w:sz="4" w:space="0"/>
              <w:left w:val="single" w:color="auto" w:sz="4" w:space="0"/>
              <w:bottom w:val="single" w:color="auto" w:sz="4" w:space="0"/>
              <w:right w:val="single" w:color="auto" w:sz="4" w:space="0"/>
            </w:tcBorders>
            <w:vAlign w:val="center"/>
          </w:tcPr>
          <w:p w14:paraId="5C62BDB1">
            <w:pPr>
              <w:pStyle w:val="84"/>
            </w:pPr>
            <w:r>
              <w:t>SS</w:t>
            </w:r>
          </w:p>
        </w:tc>
        <w:tc>
          <w:tcPr>
            <w:tcW w:w="851" w:type="dxa"/>
            <w:tcBorders>
              <w:top w:val="single" w:color="auto" w:sz="4" w:space="0"/>
              <w:left w:val="single" w:color="auto" w:sz="4" w:space="0"/>
              <w:bottom w:val="single" w:color="auto" w:sz="4" w:space="0"/>
              <w:right w:val="single" w:color="auto" w:sz="4" w:space="0"/>
            </w:tcBorders>
            <w:vAlign w:val="center"/>
          </w:tcPr>
          <w:p w14:paraId="5638977F">
            <w:pPr>
              <w:pStyle w:val="84"/>
            </w:pPr>
            <w:r>
              <w:t>COD</w:t>
            </w:r>
          </w:p>
        </w:tc>
        <w:tc>
          <w:tcPr>
            <w:tcW w:w="850" w:type="dxa"/>
            <w:tcBorders>
              <w:top w:val="single" w:color="auto" w:sz="4" w:space="0"/>
              <w:left w:val="single" w:color="auto" w:sz="4" w:space="0"/>
              <w:bottom w:val="single" w:color="auto" w:sz="4" w:space="0"/>
              <w:right w:val="single" w:color="auto" w:sz="4" w:space="0"/>
            </w:tcBorders>
            <w:vAlign w:val="center"/>
          </w:tcPr>
          <w:p w14:paraId="7D1AD69C">
            <w:pPr>
              <w:pStyle w:val="84"/>
            </w:pPr>
            <w:r>
              <w:t>BOD</w:t>
            </w:r>
            <w:r>
              <w:rPr>
                <w:vertAlign w:val="subscript"/>
              </w:rPr>
              <w:t>5</w:t>
            </w:r>
          </w:p>
        </w:tc>
        <w:tc>
          <w:tcPr>
            <w:tcW w:w="851" w:type="dxa"/>
            <w:tcBorders>
              <w:top w:val="single" w:color="auto" w:sz="4" w:space="0"/>
              <w:left w:val="single" w:color="auto" w:sz="4" w:space="0"/>
              <w:bottom w:val="single" w:color="auto" w:sz="4" w:space="0"/>
              <w:right w:val="single" w:color="auto" w:sz="4" w:space="0"/>
            </w:tcBorders>
            <w:vAlign w:val="center"/>
          </w:tcPr>
          <w:p w14:paraId="51808952">
            <w:pPr>
              <w:pStyle w:val="84"/>
            </w:pPr>
            <w:r>
              <w:t>NH</w:t>
            </w:r>
            <w:r>
              <w:rPr>
                <w:vertAlign w:val="subscript"/>
              </w:rPr>
              <w:t>3</w:t>
            </w:r>
            <w:r>
              <w:t>-N</w:t>
            </w:r>
          </w:p>
        </w:tc>
        <w:tc>
          <w:tcPr>
            <w:tcW w:w="1134"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14:paraId="42F09321">
            <w:pPr>
              <w:pStyle w:val="84"/>
            </w:pPr>
            <w:r>
              <w:rPr>
                <w:rFonts w:hint="eastAsia"/>
              </w:rPr>
              <w:t>动植物油</w:t>
            </w:r>
          </w:p>
        </w:tc>
        <w:tc>
          <w:tcPr>
            <w:tcW w:w="850" w:type="dxa"/>
            <w:tcBorders>
              <w:top w:val="single" w:color="auto" w:sz="4" w:space="0"/>
              <w:left w:val="single" w:color="auto" w:sz="4" w:space="0"/>
              <w:bottom w:val="single" w:color="auto" w:sz="4" w:space="0"/>
              <w:right w:val="nil"/>
            </w:tcBorders>
            <w:tcMar>
              <w:top w:w="57" w:type="dxa"/>
              <w:left w:w="57" w:type="dxa"/>
              <w:bottom w:w="57" w:type="dxa"/>
              <w:right w:w="57" w:type="dxa"/>
            </w:tcMar>
            <w:vAlign w:val="center"/>
          </w:tcPr>
          <w:p w14:paraId="2AD3C956">
            <w:pPr>
              <w:pStyle w:val="84"/>
            </w:pPr>
            <w:r>
              <w:rPr>
                <w:rFonts w:hint="eastAsia"/>
              </w:rPr>
              <w:t>石油类</w:t>
            </w:r>
          </w:p>
        </w:tc>
      </w:tr>
      <w:tr w14:paraId="218B1E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5" w:type="dxa"/>
            <w:tcBorders>
              <w:top w:val="single" w:color="auto" w:sz="4" w:space="0"/>
              <w:left w:val="nil"/>
              <w:bottom w:val="single" w:color="auto" w:sz="4" w:space="0"/>
              <w:right w:val="single" w:color="auto" w:sz="4" w:space="0"/>
            </w:tcBorders>
            <w:vAlign w:val="center"/>
          </w:tcPr>
          <w:p w14:paraId="31D201B4">
            <w:pPr>
              <w:pStyle w:val="84"/>
            </w:pPr>
            <w:r>
              <w:rPr>
                <w:rFonts w:hint="eastAsia"/>
              </w:rPr>
              <w:t>一级标准</w:t>
            </w:r>
          </w:p>
        </w:tc>
        <w:tc>
          <w:tcPr>
            <w:tcW w:w="850" w:type="dxa"/>
            <w:tcBorders>
              <w:top w:val="single" w:color="auto" w:sz="4" w:space="0"/>
              <w:left w:val="single" w:color="auto" w:sz="4" w:space="0"/>
              <w:bottom w:val="single" w:color="auto" w:sz="4" w:space="0"/>
              <w:right w:val="single" w:color="auto" w:sz="4" w:space="0"/>
            </w:tcBorders>
            <w:vAlign w:val="center"/>
          </w:tcPr>
          <w:p w14:paraId="34DF5342">
            <w:pPr>
              <w:pStyle w:val="84"/>
            </w:pPr>
            <w:r>
              <w:t>6~9</w:t>
            </w:r>
          </w:p>
        </w:tc>
        <w:tc>
          <w:tcPr>
            <w:tcW w:w="809" w:type="dxa"/>
            <w:tcBorders>
              <w:top w:val="single" w:color="auto" w:sz="4" w:space="0"/>
              <w:left w:val="single" w:color="auto" w:sz="4" w:space="0"/>
              <w:bottom w:val="single" w:color="auto" w:sz="4" w:space="0"/>
              <w:right w:val="single" w:color="auto" w:sz="4" w:space="0"/>
            </w:tcBorders>
            <w:vAlign w:val="center"/>
          </w:tcPr>
          <w:p w14:paraId="0636F091">
            <w:pPr>
              <w:pStyle w:val="84"/>
            </w:pPr>
            <w:r>
              <w:t>70</w:t>
            </w:r>
          </w:p>
        </w:tc>
        <w:tc>
          <w:tcPr>
            <w:tcW w:w="851" w:type="dxa"/>
            <w:tcBorders>
              <w:top w:val="single" w:color="auto" w:sz="4" w:space="0"/>
              <w:left w:val="single" w:color="auto" w:sz="4" w:space="0"/>
              <w:bottom w:val="single" w:color="auto" w:sz="4" w:space="0"/>
              <w:right w:val="single" w:color="auto" w:sz="4" w:space="0"/>
            </w:tcBorders>
            <w:vAlign w:val="center"/>
          </w:tcPr>
          <w:p w14:paraId="5AE8C387">
            <w:pPr>
              <w:pStyle w:val="84"/>
            </w:pPr>
            <w:r>
              <w:t>100</w:t>
            </w:r>
          </w:p>
        </w:tc>
        <w:tc>
          <w:tcPr>
            <w:tcW w:w="850" w:type="dxa"/>
            <w:tcBorders>
              <w:top w:val="single" w:color="auto" w:sz="4" w:space="0"/>
              <w:left w:val="single" w:color="auto" w:sz="4" w:space="0"/>
              <w:bottom w:val="single" w:color="auto" w:sz="4" w:space="0"/>
              <w:right w:val="single" w:color="auto" w:sz="4" w:space="0"/>
            </w:tcBorders>
            <w:vAlign w:val="center"/>
          </w:tcPr>
          <w:p w14:paraId="46757848">
            <w:pPr>
              <w:pStyle w:val="84"/>
            </w:pPr>
            <w:r>
              <w:t>20</w:t>
            </w:r>
          </w:p>
        </w:tc>
        <w:tc>
          <w:tcPr>
            <w:tcW w:w="851" w:type="dxa"/>
            <w:tcBorders>
              <w:top w:val="single" w:color="auto" w:sz="4" w:space="0"/>
              <w:left w:val="single" w:color="auto" w:sz="4" w:space="0"/>
              <w:bottom w:val="single" w:color="auto" w:sz="4" w:space="0"/>
              <w:right w:val="single" w:color="auto" w:sz="4" w:space="0"/>
            </w:tcBorders>
            <w:vAlign w:val="center"/>
          </w:tcPr>
          <w:p w14:paraId="4737AB2F">
            <w:pPr>
              <w:pStyle w:val="84"/>
            </w:pPr>
            <w:r>
              <w:t>15</w:t>
            </w:r>
          </w:p>
        </w:tc>
        <w:tc>
          <w:tcPr>
            <w:tcW w:w="1134" w:type="dxa"/>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14:paraId="1CF2B1AC">
            <w:pPr>
              <w:pStyle w:val="84"/>
            </w:pPr>
            <w:r>
              <w:t>10</w:t>
            </w:r>
          </w:p>
        </w:tc>
        <w:tc>
          <w:tcPr>
            <w:tcW w:w="850" w:type="dxa"/>
            <w:tcBorders>
              <w:top w:val="single" w:color="auto" w:sz="4" w:space="0"/>
              <w:left w:val="single" w:color="auto" w:sz="4" w:space="0"/>
              <w:bottom w:val="single" w:color="auto" w:sz="4" w:space="0"/>
              <w:right w:val="nil"/>
            </w:tcBorders>
            <w:tcMar>
              <w:top w:w="57" w:type="dxa"/>
              <w:left w:w="57" w:type="dxa"/>
              <w:bottom w:w="57" w:type="dxa"/>
              <w:right w:w="57" w:type="dxa"/>
            </w:tcMar>
            <w:vAlign w:val="center"/>
          </w:tcPr>
          <w:p w14:paraId="350855D4">
            <w:pPr>
              <w:pStyle w:val="84"/>
            </w:pPr>
            <w:r>
              <w:t>5</w:t>
            </w:r>
          </w:p>
        </w:tc>
      </w:tr>
    </w:tbl>
    <w:p w14:paraId="57C518CA">
      <w:pPr>
        <w:spacing w:before="240"/>
        <w:ind w:firstLine="482"/>
        <w:jc w:val="left"/>
        <w:rPr>
          <w:b/>
        </w:rPr>
      </w:pPr>
      <w:r>
        <w:rPr>
          <w:b/>
        </w:rPr>
        <w:t>2</w:t>
      </w:r>
      <w:r>
        <w:rPr>
          <w:rFonts w:hint="eastAsia"/>
          <w:b/>
        </w:rPr>
        <w:t>、大气污染物</w:t>
      </w:r>
    </w:p>
    <w:p w14:paraId="1A868F1E">
      <w:pPr>
        <w:ind w:firstLine="480"/>
      </w:pPr>
      <w:r>
        <w:rPr>
          <w:rFonts w:hint="eastAsia"/>
        </w:rPr>
        <w:t>拟建项目施工期大气污染物排放执行《大气污染物综合排放标准》（</w:t>
      </w:r>
      <w:r>
        <w:t>GB16297-1996</w:t>
      </w:r>
      <w:r>
        <w:rPr>
          <w:rFonts w:hint="eastAsia"/>
        </w:rPr>
        <w:t>）表</w:t>
      </w:r>
      <w:r>
        <w:t>2</w:t>
      </w:r>
      <w:r>
        <w:rPr>
          <w:rFonts w:hint="eastAsia"/>
        </w:rPr>
        <w:t>中无组织排放监控浓度限值，详见下表：</w:t>
      </w:r>
    </w:p>
    <w:p w14:paraId="18A5489A">
      <w:pPr>
        <w:ind w:firstLine="480"/>
      </w:pPr>
    </w:p>
    <w:p w14:paraId="64964350">
      <w:pPr>
        <w:pStyle w:val="82"/>
        <w:framePr w:hSpace="0" w:wrap="auto" w:vAnchor="margin" w:hAnchor="text" w:xAlign="left" w:yAlign="inline"/>
      </w:pPr>
      <w:r>
        <w:rPr>
          <w:rFonts w:hint="eastAsia"/>
        </w:rPr>
        <w:t>表1-3-6</w:t>
      </w:r>
      <w:r>
        <w:t xml:space="preserve">  </w:t>
      </w:r>
      <w:r>
        <w:rPr>
          <w:rFonts w:hint="eastAsia"/>
        </w:rPr>
        <w:t>大气污染物综合排放标准（</w:t>
      </w:r>
      <w:r>
        <w:t>GB16297-1996</w:t>
      </w:r>
      <w:r>
        <w:rPr>
          <w:rFonts w:hint="eastAsia"/>
        </w:rPr>
        <w:t>）（摘录）</w:t>
      </w:r>
      <w:r>
        <w:t xml:space="preserve">  </w:t>
      </w:r>
      <w:r>
        <w:rPr>
          <w:rFonts w:hint="eastAsia"/>
        </w:rPr>
        <w:t>（单位：</w:t>
      </w:r>
      <w:r>
        <w:t>mg/m</w:t>
      </w:r>
      <w:r>
        <w:rPr>
          <w:vertAlign w:val="superscript"/>
        </w:rPr>
        <w:t>3</w:t>
      </w:r>
      <w:r>
        <w:rPr>
          <w:rFonts w:hint="eastAsia"/>
        </w:rPr>
        <w:t>）</w:t>
      </w:r>
    </w:p>
    <w:tbl>
      <w:tblPr>
        <w:tblStyle w:val="56"/>
        <w:tblW w:w="825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04"/>
        <w:gridCol w:w="1843"/>
        <w:gridCol w:w="1843"/>
        <w:gridCol w:w="1668"/>
      </w:tblGrid>
      <w:tr w14:paraId="00C227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04" w:type="dxa"/>
            <w:tcBorders>
              <w:top w:val="single" w:color="auto" w:sz="4" w:space="0"/>
              <w:left w:val="nil"/>
              <w:bottom w:val="single" w:color="auto" w:sz="4" w:space="0"/>
              <w:right w:val="single" w:color="auto" w:sz="4" w:space="0"/>
            </w:tcBorders>
            <w:vAlign w:val="center"/>
          </w:tcPr>
          <w:p w14:paraId="217AB128">
            <w:pPr>
              <w:pStyle w:val="84"/>
            </w:pPr>
            <w:r>
              <w:rPr>
                <w:rFonts w:hint="eastAsia"/>
              </w:rPr>
              <w:t>污染物</w:t>
            </w:r>
          </w:p>
        </w:tc>
        <w:tc>
          <w:tcPr>
            <w:tcW w:w="1843" w:type="dxa"/>
            <w:tcBorders>
              <w:top w:val="single" w:color="auto" w:sz="4" w:space="0"/>
              <w:left w:val="single" w:color="auto" w:sz="4" w:space="0"/>
              <w:bottom w:val="single" w:color="auto" w:sz="4" w:space="0"/>
              <w:right w:val="single" w:color="auto" w:sz="4" w:space="0"/>
            </w:tcBorders>
            <w:vAlign w:val="center"/>
          </w:tcPr>
          <w:p w14:paraId="5BD4DD66">
            <w:pPr>
              <w:pStyle w:val="84"/>
            </w:pPr>
            <w:r>
              <w:t>TSP</w:t>
            </w:r>
          </w:p>
        </w:tc>
        <w:tc>
          <w:tcPr>
            <w:tcW w:w="1843" w:type="dxa"/>
            <w:tcBorders>
              <w:top w:val="single" w:color="auto" w:sz="4" w:space="0"/>
              <w:left w:val="single" w:color="auto" w:sz="4" w:space="0"/>
              <w:bottom w:val="single" w:color="auto" w:sz="4" w:space="0"/>
              <w:right w:val="single" w:color="auto" w:sz="4" w:space="0"/>
            </w:tcBorders>
            <w:vAlign w:val="center"/>
          </w:tcPr>
          <w:p w14:paraId="20AA59FE">
            <w:pPr>
              <w:pStyle w:val="84"/>
            </w:pPr>
            <w:r>
              <w:t>SO</w:t>
            </w:r>
            <w:r>
              <w:rPr>
                <w:vertAlign w:val="subscript"/>
              </w:rPr>
              <w:t>2</w:t>
            </w:r>
          </w:p>
        </w:tc>
        <w:tc>
          <w:tcPr>
            <w:tcW w:w="1668" w:type="dxa"/>
            <w:tcBorders>
              <w:top w:val="single" w:color="auto" w:sz="4" w:space="0"/>
              <w:left w:val="single" w:color="auto" w:sz="4" w:space="0"/>
              <w:bottom w:val="single" w:color="auto" w:sz="4" w:space="0"/>
              <w:right w:val="nil"/>
            </w:tcBorders>
            <w:vAlign w:val="center"/>
          </w:tcPr>
          <w:p w14:paraId="7DC3C230">
            <w:pPr>
              <w:pStyle w:val="84"/>
            </w:pPr>
            <w:r>
              <w:t>NO</w:t>
            </w:r>
            <w:r>
              <w:rPr>
                <w:vertAlign w:val="subscript"/>
              </w:rPr>
              <w:t>X</w:t>
            </w:r>
          </w:p>
        </w:tc>
      </w:tr>
      <w:tr w14:paraId="376C87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904" w:type="dxa"/>
            <w:tcBorders>
              <w:top w:val="single" w:color="auto" w:sz="4" w:space="0"/>
              <w:left w:val="nil"/>
              <w:bottom w:val="single" w:color="auto" w:sz="4" w:space="0"/>
              <w:right w:val="single" w:color="auto" w:sz="4" w:space="0"/>
            </w:tcBorders>
            <w:vAlign w:val="center"/>
          </w:tcPr>
          <w:p w14:paraId="23B8B6DF">
            <w:pPr>
              <w:pStyle w:val="84"/>
            </w:pPr>
            <w:r>
              <w:rPr>
                <w:rFonts w:hint="eastAsia"/>
              </w:rPr>
              <w:t>无组织排放监控浓度限值</w:t>
            </w:r>
          </w:p>
        </w:tc>
        <w:tc>
          <w:tcPr>
            <w:tcW w:w="1843" w:type="dxa"/>
            <w:tcBorders>
              <w:top w:val="single" w:color="auto" w:sz="4" w:space="0"/>
              <w:left w:val="single" w:color="auto" w:sz="4" w:space="0"/>
              <w:bottom w:val="single" w:color="auto" w:sz="4" w:space="0"/>
              <w:right w:val="single" w:color="auto" w:sz="4" w:space="0"/>
            </w:tcBorders>
            <w:vAlign w:val="center"/>
          </w:tcPr>
          <w:p w14:paraId="19A076C9">
            <w:pPr>
              <w:pStyle w:val="84"/>
            </w:pPr>
            <w:r>
              <w:t>1.0</w:t>
            </w:r>
          </w:p>
        </w:tc>
        <w:tc>
          <w:tcPr>
            <w:tcW w:w="1843" w:type="dxa"/>
            <w:tcBorders>
              <w:top w:val="single" w:color="auto" w:sz="4" w:space="0"/>
              <w:left w:val="single" w:color="auto" w:sz="4" w:space="0"/>
              <w:bottom w:val="single" w:color="auto" w:sz="4" w:space="0"/>
              <w:right w:val="single" w:color="auto" w:sz="4" w:space="0"/>
            </w:tcBorders>
            <w:vAlign w:val="center"/>
          </w:tcPr>
          <w:p w14:paraId="5A156040">
            <w:pPr>
              <w:pStyle w:val="84"/>
            </w:pPr>
            <w:r>
              <w:t>0.40</w:t>
            </w:r>
          </w:p>
        </w:tc>
        <w:tc>
          <w:tcPr>
            <w:tcW w:w="1668" w:type="dxa"/>
            <w:tcBorders>
              <w:top w:val="single" w:color="auto" w:sz="4" w:space="0"/>
              <w:left w:val="single" w:color="auto" w:sz="4" w:space="0"/>
              <w:bottom w:val="single" w:color="auto" w:sz="4" w:space="0"/>
              <w:right w:val="nil"/>
            </w:tcBorders>
            <w:vAlign w:val="center"/>
          </w:tcPr>
          <w:p w14:paraId="5EB55A73">
            <w:pPr>
              <w:pStyle w:val="84"/>
            </w:pPr>
            <w:r>
              <w:t>0.12</w:t>
            </w:r>
          </w:p>
        </w:tc>
      </w:tr>
    </w:tbl>
    <w:p w14:paraId="4DE9872A">
      <w:pPr>
        <w:spacing w:before="120" w:beforeLines="50"/>
        <w:ind w:firstLine="482"/>
        <w:jc w:val="left"/>
        <w:rPr>
          <w:b/>
        </w:rPr>
      </w:pPr>
      <w:r>
        <w:rPr>
          <w:b/>
        </w:rPr>
        <w:t>3</w:t>
      </w:r>
      <w:r>
        <w:rPr>
          <w:rFonts w:hint="eastAsia"/>
          <w:b/>
        </w:rPr>
        <w:t>、噪声</w:t>
      </w:r>
    </w:p>
    <w:p w14:paraId="2C9D753B">
      <w:pPr>
        <w:ind w:firstLine="480"/>
      </w:pPr>
      <w:r>
        <w:rPr>
          <w:rFonts w:hint="eastAsia"/>
        </w:rPr>
        <w:t>（</w:t>
      </w:r>
      <w:r>
        <w:t>1</w:t>
      </w:r>
      <w:r>
        <w:rPr>
          <w:rFonts w:hint="eastAsia"/>
        </w:rPr>
        <w:t>）施工期</w:t>
      </w:r>
    </w:p>
    <w:p w14:paraId="7EE6BBFF">
      <w:pPr>
        <w:ind w:firstLine="480"/>
      </w:pPr>
      <w:r>
        <w:rPr>
          <w:rFonts w:hint="eastAsia"/>
        </w:rPr>
        <w:t>拟建项目施工期噪声执行《建筑施工场界环境噪声排放标准》（</w:t>
      </w:r>
      <w:r>
        <w:t>GB12523-2011</w:t>
      </w:r>
      <w:r>
        <w:rPr>
          <w:rFonts w:hint="eastAsia"/>
        </w:rPr>
        <w:t>），标准值见下表：</w:t>
      </w:r>
    </w:p>
    <w:p w14:paraId="2E6DC5E7">
      <w:pPr>
        <w:pStyle w:val="82"/>
        <w:framePr w:hSpace="0" w:wrap="auto" w:vAnchor="margin" w:hAnchor="text" w:xAlign="left" w:yAlign="inline"/>
      </w:pPr>
      <w:r>
        <w:rPr>
          <w:rFonts w:hint="eastAsia"/>
        </w:rPr>
        <w:t>表1-3-7</w:t>
      </w:r>
      <w:r>
        <w:t xml:space="preserve">  </w:t>
      </w:r>
      <w:r>
        <w:rPr>
          <w:rFonts w:hint="eastAsia"/>
        </w:rPr>
        <w:t>建筑施工场界环境噪声排放标准（</w:t>
      </w:r>
      <w:r>
        <w:t>GB12523-2011</w:t>
      </w:r>
      <w:r>
        <w:rPr>
          <w:rFonts w:hint="eastAsia"/>
        </w:rPr>
        <w:t>）（摘录）</w:t>
      </w:r>
      <w:r>
        <w:t xml:space="preserve"> </w:t>
      </w:r>
      <w:r>
        <w:rPr>
          <w:rFonts w:hint="eastAsia"/>
        </w:rPr>
        <w:t>（单位：</w:t>
      </w:r>
      <w:r>
        <w:t>dB</w:t>
      </w:r>
      <w:r>
        <w:rPr>
          <w:rFonts w:hint="eastAsia"/>
        </w:rPr>
        <w:t>（</w:t>
      </w:r>
      <w:r>
        <w:t>A</w:t>
      </w:r>
      <w:r>
        <w:rPr>
          <w:rFonts w:hint="eastAsia"/>
        </w:rPr>
        <w:t>））</w:t>
      </w:r>
    </w:p>
    <w:tbl>
      <w:tblPr>
        <w:tblStyle w:val="5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11"/>
        <w:gridCol w:w="2515"/>
        <w:gridCol w:w="2696"/>
      </w:tblGrid>
      <w:tr w14:paraId="5B19BD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362" w:type="dxa"/>
            <w:tcBorders>
              <w:top w:val="single" w:color="auto" w:sz="4" w:space="0"/>
              <w:left w:val="nil"/>
              <w:bottom w:val="single" w:color="auto" w:sz="4" w:space="0"/>
              <w:right w:val="single" w:color="auto" w:sz="4" w:space="0"/>
            </w:tcBorders>
          </w:tcPr>
          <w:p w14:paraId="16CD1080">
            <w:pPr>
              <w:pStyle w:val="84"/>
              <w:rPr>
                <w:b/>
              </w:rPr>
            </w:pPr>
            <w:r>
              <w:rPr>
                <w:rFonts w:hint="eastAsia"/>
              </w:rPr>
              <w:t>时段</w:t>
            </w:r>
          </w:p>
        </w:tc>
        <w:tc>
          <w:tcPr>
            <w:tcW w:w="2552" w:type="dxa"/>
            <w:tcBorders>
              <w:top w:val="single" w:color="auto" w:sz="4" w:space="0"/>
              <w:left w:val="single" w:color="auto" w:sz="4" w:space="0"/>
              <w:bottom w:val="single" w:color="auto" w:sz="4" w:space="0"/>
              <w:right w:val="single" w:color="auto" w:sz="4" w:space="0"/>
            </w:tcBorders>
            <w:vAlign w:val="center"/>
          </w:tcPr>
          <w:p w14:paraId="4B63FF82">
            <w:pPr>
              <w:pStyle w:val="84"/>
              <w:rPr>
                <w:b/>
              </w:rPr>
            </w:pPr>
            <w:r>
              <w:rPr>
                <w:rFonts w:hint="eastAsia"/>
              </w:rPr>
              <w:t>昼间</w:t>
            </w:r>
          </w:p>
        </w:tc>
        <w:tc>
          <w:tcPr>
            <w:tcW w:w="2735" w:type="dxa"/>
            <w:tcBorders>
              <w:top w:val="single" w:color="auto" w:sz="4" w:space="0"/>
              <w:left w:val="single" w:color="auto" w:sz="4" w:space="0"/>
              <w:bottom w:val="single" w:color="auto" w:sz="4" w:space="0"/>
              <w:right w:val="nil"/>
            </w:tcBorders>
            <w:vAlign w:val="center"/>
          </w:tcPr>
          <w:p w14:paraId="01841357">
            <w:pPr>
              <w:pStyle w:val="84"/>
              <w:rPr>
                <w:b/>
              </w:rPr>
            </w:pPr>
            <w:r>
              <w:rPr>
                <w:rFonts w:hint="eastAsia"/>
              </w:rPr>
              <w:t>夜间</w:t>
            </w:r>
          </w:p>
        </w:tc>
      </w:tr>
      <w:tr w14:paraId="085FE3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62" w:type="dxa"/>
            <w:tcBorders>
              <w:top w:val="single" w:color="auto" w:sz="4" w:space="0"/>
              <w:left w:val="nil"/>
              <w:bottom w:val="single" w:color="auto" w:sz="4" w:space="0"/>
              <w:right w:val="single" w:color="auto" w:sz="4" w:space="0"/>
            </w:tcBorders>
          </w:tcPr>
          <w:p w14:paraId="675C9328">
            <w:pPr>
              <w:pStyle w:val="84"/>
            </w:pPr>
            <w:r>
              <w:rPr>
                <w:rFonts w:hint="eastAsia"/>
              </w:rPr>
              <w:t>噪声限值</w:t>
            </w:r>
          </w:p>
        </w:tc>
        <w:tc>
          <w:tcPr>
            <w:tcW w:w="2552" w:type="dxa"/>
            <w:tcBorders>
              <w:top w:val="single" w:color="auto" w:sz="4" w:space="0"/>
              <w:left w:val="single" w:color="auto" w:sz="4" w:space="0"/>
              <w:bottom w:val="single" w:color="auto" w:sz="4" w:space="0"/>
              <w:right w:val="single" w:color="auto" w:sz="4" w:space="0"/>
            </w:tcBorders>
            <w:vAlign w:val="center"/>
          </w:tcPr>
          <w:p w14:paraId="08D79FE9">
            <w:pPr>
              <w:pStyle w:val="84"/>
            </w:pPr>
            <w:r>
              <w:t>70</w:t>
            </w:r>
          </w:p>
        </w:tc>
        <w:tc>
          <w:tcPr>
            <w:tcW w:w="2735" w:type="dxa"/>
            <w:tcBorders>
              <w:top w:val="single" w:color="auto" w:sz="4" w:space="0"/>
              <w:left w:val="single" w:color="auto" w:sz="4" w:space="0"/>
              <w:bottom w:val="single" w:color="auto" w:sz="4" w:space="0"/>
              <w:right w:val="nil"/>
            </w:tcBorders>
            <w:vAlign w:val="center"/>
          </w:tcPr>
          <w:p w14:paraId="39B99511">
            <w:pPr>
              <w:pStyle w:val="84"/>
            </w:pPr>
            <w:r>
              <w:t>55</w:t>
            </w:r>
          </w:p>
        </w:tc>
      </w:tr>
    </w:tbl>
    <w:p w14:paraId="67F58741">
      <w:pPr>
        <w:ind w:firstLine="480"/>
      </w:pPr>
      <w:r>
        <w:rPr>
          <w:rFonts w:hint="eastAsia"/>
        </w:rPr>
        <w:t>（</w:t>
      </w:r>
      <w:r>
        <w:t>2</w:t>
      </w:r>
      <w:r>
        <w:rPr>
          <w:rFonts w:hint="eastAsia"/>
        </w:rPr>
        <w:t>）运行期</w:t>
      </w:r>
    </w:p>
    <w:p w14:paraId="306F5F05">
      <w:pPr>
        <w:ind w:firstLine="480"/>
      </w:pPr>
      <w:r>
        <w:rPr>
          <w:rFonts w:hint="eastAsia"/>
        </w:rPr>
        <w:t>根据《工业企业厂界环境噪声排放标准》（</w:t>
      </w:r>
      <w:r>
        <w:t>GB12348-2008</w:t>
      </w:r>
      <w:r>
        <w:rPr>
          <w:rFonts w:hint="eastAsia"/>
        </w:rPr>
        <w:t>），本项目厂界环境噪声排放限值见下表：</w:t>
      </w:r>
    </w:p>
    <w:p w14:paraId="12405678">
      <w:pPr>
        <w:pStyle w:val="82"/>
        <w:framePr w:hSpace="0" w:wrap="auto" w:vAnchor="margin" w:hAnchor="text" w:xAlign="left" w:yAlign="inline"/>
      </w:pPr>
      <w:r>
        <w:rPr>
          <w:rFonts w:hint="eastAsia"/>
        </w:rPr>
        <w:t>表1-3-8</w:t>
      </w:r>
      <w:r>
        <w:t xml:space="preserve">  </w:t>
      </w:r>
      <w:r>
        <w:rPr>
          <w:rFonts w:hint="eastAsia"/>
        </w:rPr>
        <w:t>工业企业厂界环境噪声排放标准（</w:t>
      </w:r>
      <w:r>
        <w:t>GB12348-2008</w:t>
      </w:r>
      <w:r>
        <w:rPr>
          <w:rFonts w:hint="eastAsia"/>
        </w:rPr>
        <w:t>）（摘录）</w:t>
      </w:r>
      <w:r>
        <w:t xml:space="preserve">  </w:t>
      </w:r>
      <w:r>
        <w:rPr>
          <w:rFonts w:hint="eastAsia"/>
        </w:rPr>
        <w:t>（单位：</w:t>
      </w:r>
      <w:r>
        <w:t>dB</w:t>
      </w:r>
      <w:r>
        <w:rPr>
          <w:rFonts w:hint="eastAsia"/>
        </w:rPr>
        <w:t>（</w:t>
      </w:r>
      <w:r>
        <w:t>A</w:t>
      </w:r>
      <w:r>
        <w:rPr>
          <w:rFonts w:hint="eastAsia"/>
        </w:rPr>
        <w:t>））</w:t>
      </w:r>
    </w:p>
    <w:tbl>
      <w:tblPr>
        <w:tblStyle w:val="5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81"/>
        <w:gridCol w:w="2113"/>
        <w:gridCol w:w="1508"/>
        <w:gridCol w:w="1482"/>
      </w:tblGrid>
      <w:tr w14:paraId="78C254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881" w:type="dxa"/>
            <w:vMerge w:val="restart"/>
            <w:tcBorders>
              <w:top w:val="single" w:color="auto" w:sz="4" w:space="0"/>
              <w:left w:val="nil"/>
              <w:right w:val="single" w:color="auto" w:sz="4" w:space="0"/>
            </w:tcBorders>
            <w:vAlign w:val="center"/>
          </w:tcPr>
          <w:p w14:paraId="22541790">
            <w:pPr>
              <w:pStyle w:val="84"/>
            </w:pPr>
            <w:r>
              <w:rPr>
                <w:rFonts w:hint="eastAsia"/>
              </w:rPr>
              <w:t>区域</w:t>
            </w:r>
          </w:p>
        </w:tc>
        <w:tc>
          <w:tcPr>
            <w:tcW w:w="2113" w:type="dxa"/>
            <w:vMerge w:val="restart"/>
            <w:tcBorders>
              <w:top w:val="single" w:color="auto" w:sz="4" w:space="0"/>
              <w:left w:val="nil"/>
              <w:bottom w:val="single" w:color="auto" w:sz="4" w:space="0"/>
              <w:right w:val="single" w:color="auto" w:sz="4" w:space="0"/>
            </w:tcBorders>
            <w:vAlign w:val="center"/>
          </w:tcPr>
          <w:p w14:paraId="6107BC3B">
            <w:pPr>
              <w:pStyle w:val="84"/>
            </w:pPr>
            <w:r>
              <w:rPr>
                <w:rFonts w:hint="eastAsia"/>
              </w:rPr>
              <w:t>厂界外声环境功能区类别</w:t>
            </w:r>
          </w:p>
        </w:tc>
        <w:tc>
          <w:tcPr>
            <w:tcW w:w="2990" w:type="dxa"/>
            <w:gridSpan w:val="2"/>
            <w:tcBorders>
              <w:top w:val="single" w:color="auto" w:sz="4" w:space="0"/>
              <w:left w:val="single" w:color="auto" w:sz="4" w:space="0"/>
              <w:bottom w:val="single" w:color="auto" w:sz="4" w:space="0"/>
              <w:right w:val="nil"/>
            </w:tcBorders>
            <w:vAlign w:val="center"/>
          </w:tcPr>
          <w:p w14:paraId="43506D5B">
            <w:pPr>
              <w:pStyle w:val="84"/>
            </w:pPr>
            <w:r>
              <w:rPr>
                <w:rFonts w:hint="eastAsia"/>
              </w:rPr>
              <w:t>时段</w:t>
            </w:r>
          </w:p>
        </w:tc>
      </w:tr>
      <w:tr w14:paraId="067CFA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881" w:type="dxa"/>
            <w:vMerge w:val="continue"/>
            <w:tcBorders>
              <w:left w:val="nil"/>
              <w:bottom w:val="single" w:color="auto" w:sz="4" w:space="0"/>
              <w:right w:val="single" w:color="auto" w:sz="4" w:space="0"/>
            </w:tcBorders>
            <w:vAlign w:val="center"/>
          </w:tcPr>
          <w:p w14:paraId="3C6D26AB">
            <w:pPr>
              <w:pStyle w:val="84"/>
            </w:pPr>
          </w:p>
        </w:tc>
        <w:tc>
          <w:tcPr>
            <w:tcW w:w="2113" w:type="dxa"/>
            <w:vMerge w:val="continue"/>
            <w:tcBorders>
              <w:top w:val="single" w:color="auto" w:sz="4" w:space="0"/>
              <w:left w:val="nil"/>
              <w:bottom w:val="single" w:color="auto" w:sz="4" w:space="0"/>
              <w:right w:val="single" w:color="auto" w:sz="4" w:space="0"/>
            </w:tcBorders>
            <w:vAlign w:val="center"/>
          </w:tcPr>
          <w:p w14:paraId="4848AB2F">
            <w:pPr>
              <w:pStyle w:val="84"/>
            </w:pPr>
          </w:p>
        </w:tc>
        <w:tc>
          <w:tcPr>
            <w:tcW w:w="1508" w:type="dxa"/>
            <w:tcBorders>
              <w:top w:val="single" w:color="auto" w:sz="4" w:space="0"/>
              <w:left w:val="single" w:color="auto" w:sz="4" w:space="0"/>
              <w:bottom w:val="single" w:color="auto" w:sz="4" w:space="0"/>
              <w:right w:val="single" w:color="auto" w:sz="4" w:space="0"/>
            </w:tcBorders>
            <w:vAlign w:val="center"/>
          </w:tcPr>
          <w:p w14:paraId="2758AE3D">
            <w:pPr>
              <w:pStyle w:val="84"/>
            </w:pPr>
            <w:r>
              <w:rPr>
                <w:rFonts w:hint="eastAsia"/>
              </w:rPr>
              <w:t>昼间</w:t>
            </w:r>
          </w:p>
        </w:tc>
        <w:tc>
          <w:tcPr>
            <w:tcW w:w="1482" w:type="dxa"/>
            <w:tcBorders>
              <w:top w:val="single" w:color="auto" w:sz="4" w:space="0"/>
              <w:left w:val="single" w:color="auto" w:sz="4" w:space="0"/>
              <w:bottom w:val="single" w:color="auto" w:sz="4" w:space="0"/>
              <w:right w:val="nil"/>
            </w:tcBorders>
            <w:vAlign w:val="center"/>
          </w:tcPr>
          <w:p w14:paraId="5F51D5C5">
            <w:pPr>
              <w:pStyle w:val="84"/>
            </w:pPr>
            <w:r>
              <w:rPr>
                <w:rFonts w:hint="eastAsia"/>
              </w:rPr>
              <w:t>夜间</w:t>
            </w:r>
          </w:p>
        </w:tc>
      </w:tr>
      <w:tr w14:paraId="486A26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tblHeader/>
          <w:jc w:val="center"/>
        </w:trPr>
        <w:tc>
          <w:tcPr>
            <w:tcW w:w="2881" w:type="dxa"/>
            <w:tcBorders>
              <w:top w:val="single" w:color="auto" w:sz="4" w:space="0"/>
              <w:left w:val="nil"/>
              <w:bottom w:val="single" w:color="auto" w:sz="4" w:space="0"/>
              <w:right w:val="single" w:color="auto" w:sz="4" w:space="0"/>
            </w:tcBorders>
            <w:vAlign w:val="center"/>
          </w:tcPr>
          <w:p w14:paraId="6E95234A">
            <w:pPr>
              <w:pStyle w:val="84"/>
            </w:pPr>
            <w:r>
              <w:rPr>
                <w:rFonts w:hint="eastAsia"/>
              </w:rPr>
              <w:t>除龙瑞高速及芒瑞大道道路边界线外35</w:t>
            </w:r>
            <w:r>
              <w:t>±</w:t>
            </w:r>
            <w:r>
              <w:rPr>
                <w:rFonts w:hint="eastAsia"/>
              </w:rPr>
              <w:t>5m的范围</w:t>
            </w:r>
          </w:p>
        </w:tc>
        <w:tc>
          <w:tcPr>
            <w:tcW w:w="2113" w:type="dxa"/>
            <w:tcBorders>
              <w:top w:val="single" w:color="auto" w:sz="4" w:space="0"/>
              <w:left w:val="nil"/>
              <w:bottom w:val="single" w:color="auto" w:sz="4" w:space="0"/>
              <w:right w:val="single" w:color="auto" w:sz="4" w:space="0"/>
            </w:tcBorders>
            <w:vAlign w:val="center"/>
          </w:tcPr>
          <w:p w14:paraId="105AB0BF">
            <w:pPr>
              <w:pStyle w:val="84"/>
            </w:pPr>
            <w:r>
              <w:t>2</w:t>
            </w:r>
            <w:r>
              <w:rPr>
                <w:rFonts w:hint="eastAsia"/>
              </w:rPr>
              <w:t>类</w:t>
            </w:r>
          </w:p>
        </w:tc>
        <w:tc>
          <w:tcPr>
            <w:tcW w:w="1508" w:type="dxa"/>
            <w:tcBorders>
              <w:top w:val="single" w:color="auto" w:sz="4" w:space="0"/>
              <w:left w:val="single" w:color="auto" w:sz="4" w:space="0"/>
              <w:bottom w:val="single" w:color="auto" w:sz="4" w:space="0"/>
              <w:right w:val="single" w:color="auto" w:sz="4" w:space="0"/>
            </w:tcBorders>
            <w:vAlign w:val="center"/>
          </w:tcPr>
          <w:p w14:paraId="0BB9553C">
            <w:pPr>
              <w:pStyle w:val="84"/>
            </w:pPr>
            <w:r>
              <w:t>60</w:t>
            </w:r>
          </w:p>
        </w:tc>
        <w:tc>
          <w:tcPr>
            <w:tcW w:w="1482" w:type="dxa"/>
            <w:tcBorders>
              <w:top w:val="single" w:color="auto" w:sz="4" w:space="0"/>
              <w:left w:val="single" w:color="auto" w:sz="4" w:space="0"/>
              <w:bottom w:val="single" w:color="auto" w:sz="4" w:space="0"/>
              <w:right w:val="nil"/>
            </w:tcBorders>
            <w:vAlign w:val="center"/>
          </w:tcPr>
          <w:p w14:paraId="08732D25">
            <w:pPr>
              <w:pStyle w:val="84"/>
            </w:pPr>
            <w:r>
              <w:t>50</w:t>
            </w:r>
          </w:p>
        </w:tc>
      </w:tr>
      <w:tr w14:paraId="166452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tblHeader/>
          <w:jc w:val="center"/>
        </w:trPr>
        <w:tc>
          <w:tcPr>
            <w:tcW w:w="2881" w:type="dxa"/>
            <w:tcBorders>
              <w:top w:val="single" w:color="auto" w:sz="4" w:space="0"/>
              <w:left w:val="nil"/>
              <w:bottom w:val="single" w:color="auto" w:sz="4" w:space="0"/>
              <w:right w:val="single" w:color="auto" w:sz="4" w:space="0"/>
            </w:tcBorders>
            <w:vAlign w:val="center"/>
          </w:tcPr>
          <w:p w14:paraId="13CB1EE2">
            <w:pPr>
              <w:pStyle w:val="84"/>
            </w:pPr>
            <w:r>
              <w:rPr>
                <w:rFonts w:hint="eastAsia"/>
              </w:rPr>
              <w:t>龙瑞高速及芒瑞大道道路边界线外35</w:t>
            </w:r>
            <w:r>
              <w:t>±</w:t>
            </w:r>
            <w:r>
              <w:rPr>
                <w:rFonts w:hint="eastAsia"/>
              </w:rPr>
              <w:t>5m的范围内</w:t>
            </w:r>
          </w:p>
        </w:tc>
        <w:tc>
          <w:tcPr>
            <w:tcW w:w="2113" w:type="dxa"/>
            <w:tcBorders>
              <w:top w:val="single" w:color="auto" w:sz="4" w:space="0"/>
              <w:left w:val="nil"/>
              <w:bottom w:val="single" w:color="auto" w:sz="4" w:space="0"/>
              <w:right w:val="single" w:color="auto" w:sz="4" w:space="0"/>
            </w:tcBorders>
            <w:vAlign w:val="center"/>
          </w:tcPr>
          <w:p w14:paraId="40D97D3D">
            <w:pPr>
              <w:pStyle w:val="84"/>
            </w:pPr>
            <w:r>
              <w:rPr>
                <w:rFonts w:hint="eastAsia"/>
              </w:rPr>
              <w:t>4a类</w:t>
            </w:r>
          </w:p>
        </w:tc>
        <w:tc>
          <w:tcPr>
            <w:tcW w:w="1508" w:type="dxa"/>
            <w:tcBorders>
              <w:top w:val="single" w:color="auto" w:sz="4" w:space="0"/>
              <w:left w:val="single" w:color="auto" w:sz="4" w:space="0"/>
              <w:bottom w:val="single" w:color="auto" w:sz="4" w:space="0"/>
              <w:right w:val="single" w:color="auto" w:sz="4" w:space="0"/>
            </w:tcBorders>
            <w:vAlign w:val="center"/>
          </w:tcPr>
          <w:p w14:paraId="093B5DBE">
            <w:pPr>
              <w:pStyle w:val="84"/>
            </w:pPr>
            <w:r>
              <w:rPr>
                <w:rFonts w:hint="eastAsia"/>
              </w:rPr>
              <w:t>70</w:t>
            </w:r>
          </w:p>
        </w:tc>
        <w:tc>
          <w:tcPr>
            <w:tcW w:w="1482" w:type="dxa"/>
            <w:tcBorders>
              <w:top w:val="single" w:color="auto" w:sz="4" w:space="0"/>
              <w:left w:val="single" w:color="auto" w:sz="4" w:space="0"/>
              <w:bottom w:val="single" w:color="auto" w:sz="4" w:space="0"/>
              <w:right w:val="nil"/>
            </w:tcBorders>
            <w:vAlign w:val="center"/>
          </w:tcPr>
          <w:p w14:paraId="7D105AC9">
            <w:pPr>
              <w:pStyle w:val="84"/>
            </w:pPr>
            <w:r>
              <w:rPr>
                <w:rFonts w:hint="eastAsia"/>
              </w:rPr>
              <w:t>55</w:t>
            </w:r>
          </w:p>
        </w:tc>
      </w:tr>
      <w:bookmarkEnd w:id="143"/>
      <w:bookmarkEnd w:id="144"/>
      <w:bookmarkEnd w:id="145"/>
      <w:bookmarkEnd w:id="146"/>
      <w:bookmarkEnd w:id="147"/>
      <w:bookmarkEnd w:id="148"/>
      <w:bookmarkEnd w:id="149"/>
      <w:bookmarkEnd w:id="150"/>
      <w:bookmarkEnd w:id="151"/>
    </w:tbl>
    <w:p w14:paraId="3A326905">
      <w:pPr>
        <w:pStyle w:val="4"/>
        <w:rPr>
          <w:color w:val="FF0000"/>
        </w:rPr>
      </w:pPr>
      <w:bookmarkStart w:id="152" w:name="_Toc443655368"/>
      <w:bookmarkStart w:id="153" w:name="_Toc397428268"/>
      <w:bookmarkStart w:id="154" w:name="_Toc475043895"/>
      <w:bookmarkStart w:id="155" w:name="_Toc471738003"/>
      <w:bookmarkStart w:id="156" w:name="_Toc454046466"/>
      <w:bookmarkStart w:id="157" w:name="_Toc508642404"/>
      <w:bookmarkStart w:id="158" w:name="_Toc454046469"/>
      <w:bookmarkStart w:id="159" w:name="_Toc443655374"/>
      <w:bookmarkStart w:id="160" w:name="_Toc471737956"/>
      <w:bookmarkStart w:id="161" w:name="_Toc397428265"/>
      <w:bookmarkStart w:id="162" w:name="_Toc343278816"/>
      <w:bookmarkStart w:id="163" w:name="_Toc333869928"/>
      <w:bookmarkStart w:id="164" w:name="_Toc277778212"/>
      <w:bookmarkStart w:id="165" w:name="_Toc385867784"/>
      <w:bookmarkStart w:id="166" w:name="_Toc352170638"/>
      <w:bookmarkStart w:id="167" w:name="_Toc346872392"/>
      <w:r>
        <w:rPr>
          <w:rFonts w:hint="eastAsia"/>
          <w:color w:val="FF0000"/>
        </w:rPr>
        <w:t>1.4</w:t>
      </w:r>
      <w:r>
        <w:rPr>
          <w:color w:val="FF0000"/>
        </w:rPr>
        <w:t>环境影响要素识别</w:t>
      </w:r>
      <w:r>
        <w:rPr>
          <w:rFonts w:hint="eastAsia"/>
          <w:color w:val="FF0000"/>
        </w:rPr>
        <w:t>与评价因子</w:t>
      </w:r>
      <w:bookmarkEnd w:id="152"/>
      <w:bookmarkEnd w:id="153"/>
      <w:r>
        <w:rPr>
          <w:rFonts w:hint="eastAsia"/>
          <w:color w:val="FF0000"/>
        </w:rPr>
        <w:t>选择</w:t>
      </w:r>
      <w:bookmarkEnd w:id="154"/>
      <w:bookmarkEnd w:id="155"/>
      <w:bookmarkEnd w:id="156"/>
      <w:bookmarkEnd w:id="157"/>
    </w:p>
    <w:p w14:paraId="6CF1BB71">
      <w:pPr>
        <w:pStyle w:val="113"/>
        <w:rPr>
          <w:color w:val="FF0000"/>
        </w:rPr>
      </w:pPr>
      <w:bookmarkStart w:id="168" w:name="_Toc454046467"/>
      <w:bookmarkStart w:id="169" w:name="_Toc397428269"/>
      <w:bookmarkStart w:id="170" w:name="_Toc443655369"/>
      <w:bookmarkStart w:id="171" w:name="_Toc475043896"/>
      <w:bookmarkStart w:id="172" w:name="_Toc471738004"/>
      <w:bookmarkStart w:id="173" w:name="_Toc508642405"/>
      <w:r>
        <w:rPr>
          <w:rFonts w:hint="eastAsia"/>
          <w:color w:val="FF0000"/>
        </w:rPr>
        <w:t>1.4.1</w:t>
      </w:r>
      <w:r>
        <w:rPr>
          <w:color w:val="FF0000"/>
        </w:rPr>
        <w:t>环境影响要素识别</w:t>
      </w:r>
      <w:bookmarkEnd w:id="168"/>
      <w:bookmarkEnd w:id="169"/>
      <w:bookmarkEnd w:id="170"/>
      <w:bookmarkEnd w:id="171"/>
      <w:bookmarkEnd w:id="172"/>
      <w:bookmarkEnd w:id="173"/>
    </w:p>
    <w:p w14:paraId="1FBCF763">
      <w:pPr>
        <w:spacing w:line="336" w:lineRule="auto"/>
        <w:ind w:firstLine="480"/>
        <w:rPr>
          <w:color w:val="FF0000"/>
        </w:rPr>
      </w:pPr>
      <w:r>
        <w:rPr>
          <w:rFonts w:hint="eastAsia"/>
          <w:color w:val="FF0000"/>
        </w:rPr>
        <w:t>本次</w:t>
      </w:r>
      <w:r>
        <w:rPr>
          <w:color w:val="FF0000"/>
        </w:rPr>
        <w:t>评价</w:t>
      </w:r>
      <w:r>
        <w:rPr>
          <w:rFonts w:hint="eastAsia"/>
          <w:color w:val="FF0000"/>
        </w:rPr>
        <w:t>工作</w:t>
      </w:r>
      <w:r>
        <w:rPr>
          <w:color w:val="FF0000"/>
        </w:rPr>
        <w:t>分施工期</w:t>
      </w:r>
      <w:r>
        <w:rPr>
          <w:rFonts w:hint="eastAsia"/>
          <w:color w:val="FF0000"/>
        </w:rPr>
        <w:t>和</w:t>
      </w:r>
      <w:r>
        <w:rPr>
          <w:color w:val="FF0000"/>
        </w:rPr>
        <w:t>运</w:t>
      </w:r>
      <w:r>
        <w:rPr>
          <w:rFonts w:hint="eastAsia"/>
          <w:color w:val="FF0000"/>
        </w:rPr>
        <w:t>行</w:t>
      </w:r>
      <w:r>
        <w:rPr>
          <w:color w:val="FF0000"/>
        </w:rPr>
        <w:t>期两个阶段进行。根据</w:t>
      </w:r>
      <w:r>
        <w:rPr>
          <w:rFonts w:hint="eastAsia"/>
          <w:color w:val="FF0000"/>
        </w:rPr>
        <w:t>以上分析结果</w:t>
      </w:r>
      <w:r>
        <w:rPr>
          <w:color w:val="FF0000"/>
        </w:rPr>
        <w:t>，结合社会环境现状，对</w:t>
      </w:r>
      <w:r>
        <w:rPr>
          <w:rFonts w:hint="eastAsia"/>
          <w:color w:val="FF0000"/>
        </w:rPr>
        <w:t>拟建</w:t>
      </w:r>
      <w:r>
        <w:rPr>
          <w:color w:val="FF0000"/>
        </w:rPr>
        <w:t>项目的环境影响因素设置主要环境问题识别矩阵，具体见</w:t>
      </w:r>
      <w:r>
        <w:rPr>
          <w:rFonts w:hint="eastAsia"/>
          <w:color w:val="FF0000"/>
        </w:rPr>
        <w:t>下表：</w:t>
      </w:r>
    </w:p>
    <w:p w14:paraId="003C511C">
      <w:pPr>
        <w:pStyle w:val="82"/>
        <w:framePr w:hSpace="0" w:wrap="auto" w:vAnchor="margin" w:hAnchor="text" w:xAlign="left" w:yAlign="inline"/>
        <w:ind w:firstLine="360"/>
        <w:rPr>
          <w:color w:val="FF0000"/>
        </w:rPr>
      </w:pPr>
      <w:r>
        <w:rPr>
          <w:color w:val="FF0000"/>
        </w:rPr>
        <w:t>表</w:t>
      </w:r>
      <w:r>
        <w:rPr>
          <w:rFonts w:hint="eastAsia"/>
          <w:color w:val="FF0000"/>
        </w:rPr>
        <w:t>1</w:t>
      </w:r>
      <w:r>
        <w:rPr>
          <w:color w:val="FF0000"/>
        </w:rPr>
        <w:t>-</w:t>
      </w:r>
      <w:r>
        <w:rPr>
          <w:rFonts w:hint="eastAsia"/>
          <w:color w:val="FF0000"/>
        </w:rPr>
        <w:t>4-1</w:t>
      </w:r>
      <w:r>
        <w:rPr>
          <w:color w:val="FF0000"/>
        </w:rPr>
        <w:t xml:space="preserve">   环境影响因子识别表</w:t>
      </w:r>
    </w:p>
    <w:tbl>
      <w:tblPr>
        <w:tblStyle w:val="56"/>
        <w:tblW w:w="510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3"/>
        <w:gridCol w:w="1987"/>
        <w:gridCol w:w="2749"/>
        <w:gridCol w:w="2689"/>
      </w:tblGrid>
      <w:tr w14:paraId="42928A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874" w:type="pct"/>
            <w:gridSpan w:val="2"/>
            <w:vMerge w:val="restart"/>
            <w:vAlign w:val="center"/>
          </w:tcPr>
          <w:p w14:paraId="25BB11A8">
            <w:pPr>
              <w:pStyle w:val="84"/>
              <w:rPr>
                <w:snapToGrid w:val="0"/>
                <w:color w:val="FF0000"/>
              </w:rPr>
            </w:pPr>
            <w:r>
              <w:rPr>
                <w:snapToGrid w:val="0"/>
                <w:color w:val="FF0000"/>
              </w:rPr>
              <w:t>环境组成与环境要素</w:t>
            </w:r>
          </w:p>
        </w:tc>
        <w:tc>
          <w:tcPr>
            <w:tcW w:w="1580" w:type="pct"/>
            <w:vAlign w:val="center"/>
          </w:tcPr>
          <w:p w14:paraId="1862F5B0">
            <w:pPr>
              <w:pStyle w:val="84"/>
              <w:rPr>
                <w:snapToGrid w:val="0"/>
                <w:color w:val="FF0000"/>
              </w:rPr>
            </w:pPr>
            <w:r>
              <w:rPr>
                <w:snapToGrid w:val="0"/>
                <w:color w:val="FF0000"/>
              </w:rPr>
              <w:t>施工期</w:t>
            </w:r>
          </w:p>
        </w:tc>
        <w:tc>
          <w:tcPr>
            <w:tcW w:w="1546" w:type="pct"/>
            <w:vAlign w:val="center"/>
          </w:tcPr>
          <w:p w14:paraId="66EB0C53">
            <w:pPr>
              <w:pStyle w:val="84"/>
              <w:rPr>
                <w:snapToGrid w:val="0"/>
                <w:color w:val="FF0000"/>
              </w:rPr>
            </w:pPr>
            <w:r>
              <w:rPr>
                <w:snapToGrid w:val="0"/>
                <w:color w:val="FF0000"/>
              </w:rPr>
              <w:t>运</w:t>
            </w:r>
            <w:r>
              <w:rPr>
                <w:rFonts w:hint="eastAsia"/>
                <w:snapToGrid w:val="0"/>
                <w:color w:val="FF0000"/>
              </w:rPr>
              <w:t>行</w:t>
            </w:r>
            <w:r>
              <w:rPr>
                <w:snapToGrid w:val="0"/>
                <w:color w:val="FF0000"/>
              </w:rPr>
              <w:t>期</w:t>
            </w:r>
          </w:p>
        </w:tc>
      </w:tr>
      <w:tr w14:paraId="1AF97D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874" w:type="pct"/>
            <w:gridSpan w:val="2"/>
            <w:vMerge w:val="continue"/>
            <w:vAlign w:val="center"/>
          </w:tcPr>
          <w:p w14:paraId="2AF88D5F">
            <w:pPr>
              <w:pStyle w:val="84"/>
              <w:rPr>
                <w:snapToGrid w:val="0"/>
                <w:color w:val="FF0000"/>
              </w:rPr>
            </w:pPr>
          </w:p>
        </w:tc>
        <w:tc>
          <w:tcPr>
            <w:tcW w:w="1580" w:type="pct"/>
            <w:vAlign w:val="center"/>
          </w:tcPr>
          <w:p w14:paraId="5D52C5C9">
            <w:pPr>
              <w:pStyle w:val="84"/>
              <w:rPr>
                <w:snapToGrid w:val="0"/>
                <w:color w:val="FF0000"/>
              </w:rPr>
            </w:pPr>
            <w:r>
              <w:rPr>
                <w:snapToGrid w:val="0"/>
                <w:color w:val="FF0000"/>
              </w:rPr>
              <w:t>枢纽施工</w:t>
            </w:r>
          </w:p>
        </w:tc>
        <w:tc>
          <w:tcPr>
            <w:tcW w:w="1546" w:type="pct"/>
            <w:vAlign w:val="center"/>
          </w:tcPr>
          <w:p w14:paraId="582604B3">
            <w:pPr>
              <w:pStyle w:val="84"/>
              <w:rPr>
                <w:snapToGrid w:val="0"/>
                <w:color w:val="FF0000"/>
              </w:rPr>
            </w:pPr>
            <w:r>
              <w:rPr>
                <w:snapToGrid w:val="0"/>
                <w:color w:val="FF0000"/>
              </w:rPr>
              <w:t>电站运行</w:t>
            </w:r>
          </w:p>
        </w:tc>
      </w:tr>
      <w:tr w14:paraId="530AB3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pct"/>
            <w:vMerge w:val="restart"/>
            <w:vAlign w:val="center"/>
          </w:tcPr>
          <w:p w14:paraId="43FE23AF">
            <w:pPr>
              <w:pStyle w:val="84"/>
              <w:rPr>
                <w:snapToGrid w:val="0"/>
                <w:color w:val="FF0000"/>
              </w:rPr>
            </w:pPr>
            <w:r>
              <w:rPr>
                <w:snapToGrid w:val="0"/>
                <w:color w:val="FF0000"/>
              </w:rPr>
              <w:t>自然环境</w:t>
            </w:r>
          </w:p>
        </w:tc>
        <w:tc>
          <w:tcPr>
            <w:tcW w:w="1142" w:type="pct"/>
            <w:vAlign w:val="center"/>
          </w:tcPr>
          <w:p w14:paraId="3932596C">
            <w:pPr>
              <w:pStyle w:val="84"/>
              <w:rPr>
                <w:snapToGrid w:val="0"/>
                <w:color w:val="FF0000"/>
              </w:rPr>
            </w:pPr>
            <w:r>
              <w:rPr>
                <w:snapToGrid w:val="0"/>
                <w:color w:val="FF0000"/>
              </w:rPr>
              <w:t>地质地貌</w:t>
            </w:r>
          </w:p>
        </w:tc>
        <w:tc>
          <w:tcPr>
            <w:tcW w:w="1580" w:type="pct"/>
            <w:vAlign w:val="center"/>
          </w:tcPr>
          <w:p w14:paraId="492CF10C">
            <w:pPr>
              <w:pStyle w:val="84"/>
              <w:rPr>
                <w:snapToGrid w:val="0"/>
                <w:color w:val="FF0000"/>
              </w:rPr>
            </w:pPr>
            <w:r>
              <w:rPr>
                <w:rFonts w:hint="eastAsia"/>
                <w:snapToGrid w:val="0"/>
                <w:color w:val="FF0000"/>
              </w:rPr>
              <w:t>◆</w:t>
            </w:r>
          </w:p>
        </w:tc>
        <w:tc>
          <w:tcPr>
            <w:tcW w:w="1546" w:type="pct"/>
            <w:vAlign w:val="center"/>
          </w:tcPr>
          <w:p w14:paraId="1D8A3F3C">
            <w:pPr>
              <w:pStyle w:val="84"/>
              <w:rPr>
                <w:snapToGrid w:val="0"/>
                <w:color w:val="FF0000"/>
              </w:rPr>
            </w:pPr>
            <w:r>
              <w:rPr>
                <w:snapToGrid w:val="0"/>
                <w:color w:val="FF0000"/>
              </w:rPr>
              <w:t>－</w:t>
            </w:r>
          </w:p>
        </w:tc>
      </w:tr>
      <w:tr w14:paraId="5051EF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pct"/>
            <w:vMerge w:val="continue"/>
            <w:vAlign w:val="center"/>
          </w:tcPr>
          <w:p w14:paraId="20BF852F">
            <w:pPr>
              <w:pStyle w:val="84"/>
              <w:rPr>
                <w:snapToGrid w:val="0"/>
                <w:color w:val="FF0000"/>
              </w:rPr>
            </w:pPr>
          </w:p>
        </w:tc>
        <w:tc>
          <w:tcPr>
            <w:tcW w:w="1142" w:type="pct"/>
            <w:vAlign w:val="center"/>
          </w:tcPr>
          <w:p w14:paraId="61BF2344">
            <w:pPr>
              <w:pStyle w:val="84"/>
              <w:rPr>
                <w:snapToGrid w:val="0"/>
                <w:color w:val="FF0000"/>
              </w:rPr>
            </w:pPr>
            <w:r>
              <w:rPr>
                <w:snapToGrid w:val="0"/>
                <w:color w:val="FF0000"/>
              </w:rPr>
              <w:t>地表水文</w:t>
            </w:r>
          </w:p>
        </w:tc>
        <w:tc>
          <w:tcPr>
            <w:tcW w:w="1580" w:type="pct"/>
            <w:vAlign w:val="center"/>
          </w:tcPr>
          <w:p w14:paraId="3FA496BC">
            <w:pPr>
              <w:pStyle w:val="84"/>
              <w:rPr>
                <w:snapToGrid w:val="0"/>
                <w:color w:val="FF0000"/>
              </w:rPr>
            </w:pPr>
            <w:r>
              <w:rPr>
                <w:rFonts w:hint="eastAsia"/>
                <w:snapToGrid w:val="0"/>
                <w:color w:val="FF0000"/>
              </w:rPr>
              <w:t>◆</w:t>
            </w:r>
          </w:p>
        </w:tc>
        <w:tc>
          <w:tcPr>
            <w:tcW w:w="1546" w:type="pct"/>
            <w:vAlign w:val="center"/>
          </w:tcPr>
          <w:p w14:paraId="1B4BD93E">
            <w:pPr>
              <w:pStyle w:val="84"/>
              <w:rPr>
                <w:snapToGrid w:val="0"/>
                <w:color w:val="FF0000"/>
              </w:rPr>
            </w:pPr>
            <w:r>
              <w:rPr>
                <w:rFonts w:hint="eastAsia"/>
                <w:snapToGrid w:val="0"/>
                <w:color w:val="FF0000"/>
              </w:rPr>
              <w:t>◎</w:t>
            </w:r>
          </w:p>
        </w:tc>
      </w:tr>
      <w:tr w14:paraId="2A6830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pct"/>
            <w:vMerge w:val="continue"/>
            <w:vAlign w:val="center"/>
          </w:tcPr>
          <w:p w14:paraId="6F3C2C6A">
            <w:pPr>
              <w:pStyle w:val="84"/>
              <w:rPr>
                <w:snapToGrid w:val="0"/>
                <w:color w:val="FF0000"/>
              </w:rPr>
            </w:pPr>
          </w:p>
        </w:tc>
        <w:tc>
          <w:tcPr>
            <w:tcW w:w="1142" w:type="pct"/>
            <w:vAlign w:val="center"/>
          </w:tcPr>
          <w:p w14:paraId="59372FFD">
            <w:pPr>
              <w:pStyle w:val="84"/>
              <w:rPr>
                <w:snapToGrid w:val="0"/>
                <w:color w:val="FF0000"/>
              </w:rPr>
            </w:pPr>
            <w:r>
              <w:rPr>
                <w:snapToGrid w:val="0"/>
                <w:color w:val="FF0000"/>
              </w:rPr>
              <w:t>泥沙冲淤</w:t>
            </w:r>
          </w:p>
        </w:tc>
        <w:tc>
          <w:tcPr>
            <w:tcW w:w="1580" w:type="pct"/>
            <w:vAlign w:val="center"/>
          </w:tcPr>
          <w:p w14:paraId="3A924504">
            <w:pPr>
              <w:pStyle w:val="84"/>
              <w:rPr>
                <w:snapToGrid w:val="0"/>
                <w:color w:val="FF0000"/>
              </w:rPr>
            </w:pPr>
            <w:r>
              <w:rPr>
                <w:snapToGrid w:val="0"/>
                <w:color w:val="FF0000"/>
              </w:rPr>
              <w:t>●</w:t>
            </w:r>
          </w:p>
        </w:tc>
        <w:tc>
          <w:tcPr>
            <w:tcW w:w="1546" w:type="pct"/>
            <w:vAlign w:val="center"/>
          </w:tcPr>
          <w:p w14:paraId="3EF7F4DC">
            <w:pPr>
              <w:pStyle w:val="84"/>
              <w:rPr>
                <w:snapToGrid w:val="0"/>
                <w:color w:val="FF0000"/>
              </w:rPr>
            </w:pPr>
            <w:r>
              <w:rPr>
                <w:rFonts w:hint="eastAsia"/>
                <w:snapToGrid w:val="0"/>
                <w:color w:val="FF0000"/>
              </w:rPr>
              <w:t>◎</w:t>
            </w:r>
          </w:p>
        </w:tc>
      </w:tr>
      <w:tr w14:paraId="50B1EF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pct"/>
            <w:vMerge w:val="continue"/>
            <w:vAlign w:val="center"/>
          </w:tcPr>
          <w:p w14:paraId="197C8A86">
            <w:pPr>
              <w:pStyle w:val="84"/>
              <w:rPr>
                <w:snapToGrid w:val="0"/>
                <w:color w:val="FF0000"/>
              </w:rPr>
            </w:pPr>
          </w:p>
        </w:tc>
        <w:tc>
          <w:tcPr>
            <w:tcW w:w="1142" w:type="pct"/>
            <w:vAlign w:val="center"/>
          </w:tcPr>
          <w:p w14:paraId="7EA92B85">
            <w:pPr>
              <w:pStyle w:val="84"/>
              <w:rPr>
                <w:snapToGrid w:val="0"/>
                <w:color w:val="FF0000"/>
              </w:rPr>
            </w:pPr>
            <w:r>
              <w:rPr>
                <w:snapToGrid w:val="0"/>
                <w:color w:val="FF0000"/>
              </w:rPr>
              <w:t xml:space="preserve">水 </w:t>
            </w:r>
            <w:r>
              <w:rPr>
                <w:rFonts w:hint="eastAsia"/>
                <w:snapToGrid w:val="0"/>
                <w:color w:val="FF0000"/>
              </w:rPr>
              <w:t xml:space="preserve">  </w:t>
            </w:r>
            <w:r>
              <w:rPr>
                <w:snapToGrid w:val="0"/>
                <w:color w:val="FF0000"/>
              </w:rPr>
              <w:t xml:space="preserve"> 质</w:t>
            </w:r>
          </w:p>
        </w:tc>
        <w:tc>
          <w:tcPr>
            <w:tcW w:w="1580" w:type="pct"/>
            <w:vAlign w:val="center"/>
          </w:tcPr>
          <w:p w14:paraId="28117D57">
            <w:pPr>
              <w:pStyle w:val="84"/>
              <w:rPr>
                <w:snapToGrid w:val="0"/>
                <w:color w:val="FF0000"/>
              </w:rPr>
            </w:pPr>
            <w:r>
              <w:rPr>
                <w:rFonts w:hint="eastAsia"/>
                <w:snapToGrid w:val="0"/>
                <w:color w:val="FF0000"/>
              </w:rPr>
              <w:t>◆</w:t>
            </w:r>
          </w:p>
        </w:tc>
        <w:tc>
          <w:tcPr>
            <w:tcW w:w="1546" w:type="pct"/>
            <w:vAlign w:val="center"/>
          </w:tcPr>
          <w:p w14:paraId="4455B66C">
            <w:pPr>
              <w:pStyle w:val="84"/>
              <w:rPr>
                <w:snapToGrid w:val="0"/>
                <w:color w:val="FF0000"/>
              </w:rPr>
            </w:pPr>
            <w:r>
              <w:rPr>
                <w:snapToGrid w:val="0"/>
                <w:color w:val="FF0000"/>
              </w:rPr>
              <w:t>－</w:t>
            </w:r>
          </w:p>
        </w:tc>
      </w:tr>
      <w:tr w14:paraId="3F9EC1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pct"/>
            <w:vMerge w:val="continue"/>
            <w:vAlign w:val="center"/>
          </w:tcPr>
          <w:p w14:paraId="2CFE7506">
            <w:pPr>
              <w:pStyle w:val="84"/>
              <w:rPr>
                <w:snapToGrid w:val="0"/>
                <w:color w:val="FF0000"/>
              </w:rPr>
            </w:pPr>
          </w:p>
        </w:tc>
        <w:tc>
          <w:tcPr>
            <w:tcW w:w="1142" w:type="pct"/>
            <w:vAlign w:val="center"/>
          </w:tcPr>
          <w:p w14:paraId="1CEF5CE8">
            <w:pPr>
              <w:pStyle w:val="84"/>
              <w:rPr>
                <w:snapToGrid w:val="0"/>
                <w:color w:val="FF0000"/>
              </w:rPr>
            </w:pPr>
            <w:r>
              <w:rPr>
                <w:snapToGrid w:val="0"/>
                <w:color w:val="FF0000"/>
              </w:rPr>
              <w:t>声环境</w:t>
            </w:r>
          </w:p>
        </w:tc>
        <w:tc>
          <w:tcPr>
            <w:tcW w:w="1580" w:type="pct"/>
            <w:vAlign w:val="center"/>
          </w:tcPr>
          <w:p w14:paraId="35BC7EAB">
            <w:pPr>
              <w:pStyle w:val="84"/>
              <w:rPr>
                <w:snapToGrid w:val="0"/>
                <w:color w:val="FF0000"/>
              </w:rPr>
            </w:pPr>
            <w:r>
              <w:rPr>
                <w:rFonts w:hint="eastAsia"/>
                <w:snapToGrid w:val="0"/>
                <w:color w:val="FF0000"/>
              </w:rPr>
              <w:t>◆</w:t>
            </w:r>
          </w:p>
        </w:tc>
        <w:tc>
          <w:tcPr>
            <w:tcW w:w="1546" w:type="pct"/>
            <w:vAlign w:val="center"/>
          </w:tcPr>
          <w:p w14:paraId="79775A61">
            <w:pPr>
              <w:pStyle w:val="84"/>
              <w:rPr>
                <w:snapToGrid w:val="0"/>
                <w:color w:val="FF0000"/>
              </w:rPr>
            </w:pPr>
            <w:r>
              <w:rPr>
                <w:snapToGrid w:val="0"/>
                <w:color w:val="FF0000"/>
              </w:rPr>
              <w:t>●</w:t>
            </w:r>
          </w:p>
        </w:tc>
      </w:tr>
      <w:tr w14:paraId="622BD5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pct"/>
            <w:vMerge w:val="continue"/>
            <w:vAlign w:val="center"/>
          </w:tcPr>
          <w:p w14:paraId="4B716A44">
            <w:pPr>
              <w:pStyle w:val="84"/>
              <w:rPr>
                <w:snapToGrid w:val="0"/>
                <w:color w:val="FF0000"/>
              </w:rPr>
            </w:pPr>
          </w:p>
        </w:tc>
        <w:tc>
          <w:tcPr>
            <w:tcW w:w="1142" w:type="pct"/>
            <w:vAlign w:val="center"/>
          </w:tcPr>
          <w:p w14:paraId="649FA02E">
            <w:pPr>
              <w:pStyle w:val="84"/>
              <w:rPr>
                <w:snapToGrid w:val="0"/>
                <w:color w:val="FF0000"/>
              </w:rPr>
            </w:pPr>
            <w:r>
              <w:rPr>
                <w:snapToGrid w:val="0"/>
                <w:color w:val="FF0000"/>
              </w:rPr>
              <w:t>环境空气</w:t>
            </w:r>
          </w:p>
        </w:tc>
        <w:tc>
          <w:tcPr>
            <w:tcW w:w="1580" w:type="pct"/>
            <w:vAlign w:val="center"/>
          </w:tcPr>
          <w:p w14:paraId="68259317">
            <w:pPr>
              <w:pStyle w:val="84"/>
              <w:rPr>
                <w:snapToGrid w:val="0"/>
                <w:color w:val="FF0000"/>
              </w:rPr>
            </w:pPr>
            <w:r>
              <w:rPr>
                <w:rFonts w:hint="eastAsia"/>
                <w:snapToGrid w:val="0"/>
                <w:color w:val="FF0000"/>
              </w:rPr>
              <w:t>◆</w:t>
            </w:r>
          </w:p>
        </w:tc>
        <w:tc>
          <w:tcPr>
            <w:tcW w:w="1546" w:type="pct"/>
            <w:vAlign w:val="center"/>
          </w:tcPr>
          <w:p w14:paraId="0463EC2D">
            <w:pPr>
              <w:pStyle w:val="84"/>
              <w:rPr>
                <w:snapToGrid w:val="0"/>
                <w:color w:val="FF0000"/>
              </w:rPr>
            </w:pPr>
            <w:r>
              <w:rPr>
                <w:snapToGrid w:val="0"/>
                <w:color w:val="FF0000"/>
              </w:rPr>
              <w:t>－</w:t>
            </w:r>
          </w:p>
        </w:tc>
      </w:tr>
      <w:tr w14:paraId="417C82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pct"/>
            <w:vMerge w:val="continue"/>
            <w:vAlign w:val="center"/>
          </w:tcPr>
          <w:p w14:paraId="4CB34D9A">
            <w:pPr>
              <w:pStyle w:val="84"/>
              <w:rPr>
                <w:snapToGrid w:val="0"/>
                <w:color w:val="FF0000"/>
              </w:rPr>
            </w:pPr>
          </w:p>
        </w:tc>
        <w:tc>
          <w:tcPr>
            <w:tcW w:w="1142" w:type="pct"/>
            <w:vAlign w:val="center"/>
          </w:tcPr>
          <w:p w14:paraId="58810F17">
            <w:pPr>
              <w:pStyle w:val="84"/>
              <w:rPr>
                <w:snapToGrid w:val="0"/>
                <w:color w:val="FF0000"/>
              </w:rPr>
            </w:pPr>
            <w:r>
              <w:rPr>
                <w:snapToGrid w:val="0"/>
                <w:color w:val="FF0000"/>
              </w:rPr>
              <w:t>植</w:t>
            </w:r>
            <w:r>
              <w:rPr>
                <w:rFonts w:hint="eastAsia"/>
                <w:snapToGrid w:val="0"/>
                <w:color w:val="FF0000"/>
              </w:rPr>
              <w:t xml:space="preserve">    </w:t>
            </w:r>
            <w:r>
              <w:rPr>
                <w:snapToGrid w:val="0"/>
                <w:color w:val="FF0000"/>
              </w:rPr>
              <w:t>被</w:t>
            </w:r>
          </w:p>
        </w:tc>
        <w:tc>
          <w:tcPr>
            <w:tcW w:w="1580" w:type="pct"/>
            <w:vAlign w:val="center"/>
          </w:tcPr>
          <w:p w14:paraId="420C568A">
            <w:pPr>
              <w:pStyle w:val="84"/>
              <w:rPr>
                <w:snapToGrid w:val="0"/>
                <w:color w:val="FF0000"/>
              </w:rPr>
            </w:pPr>
            <w:r>
              <w:rPr>
                <w:snapToGrid w:val="0"/>
                <w:color w:val="FF0000"/>
              </w:rPr>
              <w:t>●</w:t>
            </w:r>
          </w:p>
        </w:tc>
        <w:tc>
          <w:tcPr>
            <w:tcW w:w="1546" w:type="pct"/>
            <w:vAlign w:val="center"/>
          </w:tcPr>
          <w:p w14:paraId="5EFAB82F">
            <w:pPr>
              <w:pStyle w:val="84"/>
              <w:rPr>
                <w:snapToGrid w:val="0"/>
                <w:color w:val="FF0000"/>
              </w:rPr>
            </w:pPr>
            <w:r>
              <w:rPr>
                <w:snapToGrid w:val="0"/>
                <w:color w:val="FF0000"/>
              </w:rPr>
              <w:t>－</w:t>
            </w:r>
          </w:p>
        </w:tc>
      </w:tr>
      <w:tr w14:paraId="676A08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pct"/>
            <w:vMerge w:val="continue"/>
            <w:vAlign w:val="center"/>
          </w:tcPr>
          <w:p w14:paraId="14902751">
            <w:pPr>
              <w:pStyle w:val="84"/>
              <w:rPr>
                <w:snapToGrid w:val="0"/>
                <w:color w:val="FF0000"/>
              </w:rPr>
            </w:pPr>
          </w:p>
        </w:tc>
        <w:tc>
          <w:tcPr>
            <w:tcW w:w="1142" w:type="pct"/>
            <w:vAlign w:val="center"/>
          </w:tcPr>
          <w:p w14:paraId="00B6FF6F">
            <w:pPr>
              <w:pStyle w:val="84"/>
              <w:rPr>
                <w:snapToGrid w:val="0"/>
                <w:color w:val="FF0000"/>
              </w:rPr>
            </w:pPr>
            <w:r>
              <w:rPr>
                <w:snapToGrid w:val="0"/>
                <w:color w:val="FF0000"/>
              </w:rPr>
              <w:t>陆生生物</w:t>
            </w:r>
          </w:p>
        </w:tc>
        <w:tc>
          <w:tcPr>
            <w:tcW w:w="1580" w:type="pct"/>
            <w:vAlign w:val="center"/>
          </w:tcPr>
          <w:p w14:paraId="2613B243">
            <w:pPr>
              <w:pStyle w:val="84"/>
              <w:rPr>
                <w:snapToGrid w:val="0"/>
                <w:color w:val="FF0000"/>
              </w:rPr>
            </w:pPr>
            <w:r>
              <w:rPr>
                <w:rFonts w:hint="eastAsia"/>
                <w:snapToGrid w:val="0"/>
                <w:color w:val="FF0000"/>
              </w:rPr>
              <w:t>◆</w:t>
            </w:r>
          </w:p>
        </w:tc>
        <w:tc>
          <w:tcPr>
            <w:tcW w:w="1546" w:type="pct"/>
            <w:vAlign w:val="center"/>
          </w:tcPr>
          <w:p w14:paraId="759C2AD4">
            <w:pPr>
              <w:pStyle w:val="84"/>
              <w:rPr>
                <w:snapToGrid w:val="0"/>
                <w:color w:val="FF0000"/>
              </w:rPr>
            </w:pPr>
            <w:r>
              <w:rPr>
                <w:snapToGrid w:val="0"/>
                <w:color w:val="FF0000"/>
              </w:rPr>
              <w:t>－</w:t>
            </w:r>
          </w:p>
        </w:tc>
      </w:tr>
      <w:tr w14:paraId="242456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pct"/>
            <w:vMerge w:val="continue"/>
            <w:vAlign w:val="center"/>
          </w:tcPr>
          <w:p w14:paraId="0010789E">
            <w:pPr>
              <w:pStyle w:val="84"/>
              <w:rPr>
                <w:snapToGrid w:val="0"/>
                <w:color w:val="FF0000"/>
              </w:rPr>
            </w:pPr>
          </w:p>
        </w:tc>
        <w:tc>
          <w:tcPr>
            <w:tcW w:w="1142" w:type="pct"/>
            <w:vAlign w:val="center"/>
          </w:tcPr>
          <w:p w14:paraId="5962B722">
            <w:pPr>
              <w:pStyle w:val="84"/>
              <w:rPr>
                <w:snapToGrid w:val="0"/>
                <w:color w:val="FF0000"/>
              </w:rPr>
            </w:pPr>
            <w:r>
              <w:rPr>
                <w:rFonts w:hint="eastAsia"/>
                <w:snapToGrid w:val="0"/>
                <w:color w:val="FF0000"/>
              </w:rPr>
              <w:t>水生生物</w:t>
            </w:r>
          </w:p>
        </w:tc>
        <w:tc>
          <w:tcPr>
            <w:tcW w:w="1580" w:type="pct"/>
            <w:vAlign w:val="center"/>
          </w:tcPr>
          <w:p w14:paraId="400FE88D">
            <w:pPr>
              <w:pStyle w:val="84"/>
              <w:rPr>
                <w:snapToGrid w:val="0"/>
                <w:color w:val="FF0000"/>
              </w:rPr>
            </w:pPr>
            <w:r>
              <w:rPr>
                <w:rFonts w:hint="eastAsia"/>
                <w:snapToGrid w:val="0"/>
                <w:color w:val="FF0000"/>
              </w:rPr>
              <w:t>◆</w:t>
            </w:r>
          </w:p>
        </w:tc>
        <w:tc>
          <w:tcPr>
            <w:tcW w:w="1546" w:type="pct"/>
            <w:vAlign w:val="center"/>
          </w:tcPr>
          <w:p w14:paraId="40E993F2">
            <w:pPr>
              <w:pStyle w:val="84"/>
              <w:rPr>
                <w:snapToGrid w:val="0"/>
                <w:color w:val="FF0000"/>
              </w:rPr>
            </w:pPr>
            <w:r>
              <w:rPr>
                <w:snapToGrid w:val="0"/>
                <w:color w:val="FF0000"/>
              </w:rPr>
              <w:t>●</w:t>
            </w:r>
          </w:p>
        </w:tc>
      </w:tr>
    </w:tbl>
    <w:p w14:paraId="7AA74E29">
      <w:pPr>
        <w:ind w:firstLine="420"/>
        <w:rPr>
          <w:rFonts w:eastAsia="黑体"/>
          <w:color w:val="FF0000"/>
          <w:sz w:val="21"/>
          <w:szCs w:val="21"/>
        </w:rPr>
      </w:pPr>
      <w:r>
        <w:rPr>
          <w:rFonts w:eastAsia="黑体"/>
          <w:color w:val="FF0000"/>
          <w:sz w:val="21"/>
          <w:szCs w:val="21"/>
        </w:rPr>
        <w:t>注：表中</w:t>
      </w:r>
      <w:r>
        <w:rPr>
          <w:rFonts w:hint="eastAsia" w:ascii="宋体" w:hAnsi="宋体"/>
          <w:color w:val="FF0000"/>
          <w:sz w:val="21"/>
          <w:szCs w:val="21"/>
        </w:rPr>
        <w:t>“</w:t>
      </w:r>
      <w:r>
        <w:rPr>
          <w:rFonts w:eastAsia="黑体"/>
          <w:color w:val="FF0000"/>
          <w:sz w:val="21"/>
          <w:szCs w:val="21"/>
        </w:rPr>
        <w:t>▲</w:t>
      </w:r>
      <w:r>
        <w:rPr>
          <w:rFonts w:hint="eastAsia" w:ascii="宋体" w:hAnsi="宋体"/>
          <w:color w:val="FF0000"/>
          <w:sz w:val="21"/>
          <w:szCs w:val="21"/>
        </w:rPr>
        <w:t>”</w:t>
      </w:r>
      <w:r>
        <w:rPr>
          <w:rFonts w:eastAsia="黑体"/>
          <w:color w:val="FF0000"/>
          <w:sz w:val="21"/>
          <w:szCs w:val="21"/>
        </w:rPr>
        <w:t>表示较大不利</w:t>
      </w:r>
      <w:r>
        <w:rPr>
          <w:rFonts w:hint="eastAsia" w:eastAsia="黑体"/>
          <w:color w:val="FF0000"/>
          <w:sz w:val="21"/>
          <w:szCs w:val="21"/>
        </w:rPr>
        <w:t>影响；“</w:t>
      </w:r>
      <w:r>
        <w:rPr>
          <w:rFonts w:ascii="Cambria Math" w:hAnsi="Cambria Math" w:eastAsia="黑体" w:cs="Cambria Math"/>
          <w:color w:val="FF0000"/>
          <w:sz w:val="21"/>
          <w:szCs w:val="21"/>
        </w:rPr>
        <w:t>△</w:t>
      </w:r>
      <w:r>
        <w:rPr>
          <w:rFonts w:hint="eastAsia" w:eastAsia="黑体"/>
          <w:color w:val="FF0000"/>
          <w:sz w:val="21"/>
          <w:szCs w:val="21"/>
        </w:rPr>
        <w:t>”表示较大</w:t>
      </w:r>
      <w:r>
        <w:rPr>
          <w:rFonts w:eastAsia="黑体"/>
          <w:color w:val="FF0000"/>
          <w:sz w:val="21"/>
          <w:szCs w:val="21"/>
        </w:rPr>
        <w:t>有利影响；</w:t>
      </w:r>
      <w:r>
        <w:rPr>
          <w:rFonts w:hint="eastAsia" w:ascii="宋体" w:hAnsi="宋体"/>
          <w:color w:val="FF0000"/>
          <w:sz w:val="21"/>
          <w:szCs w:val="21"/>
        </w:rPr>
        <w:t>“</w:t>
      </w:r>
      <w:r>
        <w:rPr>
          <w:rFonts w:hint="eastAsia" w:ascii="宋体" w:hAnsi="宋体" w:cs="宋体"/>
          <w:color w:val="FF0000"/>
          <w:sz w:val="21"/>
          <w:szCs w:val="21"/>
        </w:rPr>
        <w:t>◆”</w:t>
      </w:r>
      <w:r>
        <w:rPr>
          <w:rFonts w:eastAsia="黑体"/>
          <w:color w:val="FF0000"/>
          <w:sz w:val="21"/>
          <w:szCs w:val="21"/>
        </w:rPr>
        <w:t>表示中等不利</w:t>
      </w:r>
      <w:r>
        <w:rPr>
          <w:rFonts w:hint="eastAsia" w:eastAsia="黑体"/>
          <w:color w:val="FF0000"/>
          <w:sz w:val="21"/>
          <w:szCs w:val="21"/>
        </w:rPr>
        <w:t>影响；“</w:t>
      </w:r>
      <w:r>
        <w:rPr>
          <w:rFonts w:hint="eastAsia" w:ascii="宋体" w:hAnsi="宋体" w:cs="宋体"/>
          <w:color w:val="FF0000"/>
          <w:sz w:val="21"/>
          <w:szCs w:val="21"/>
        </w:rPr>
        <w:t>◇</w:t>
      </w:r>
      <w:r>
        <w:rPr>
          <w:rFonts w:hint="eastAsia" w:ascii="宋体" w:hAnsi="宋体"/>
          <w:color w:val="FF0000"/>
          <w:sz w:val="21"/>
          <w:szCs w:val="21"/>
        </w:rPr>
        <w:t>”</w:t>
      </w:r>
      <w:r>
        <w:rPr>
          <w:rFonts w:hint="eastAsia" w:eastAsia="黑体"/>
          <w:color w:val="FF0000"/>
          <w:sz w:val="21"/>
          <w:szCs w:val="21"/>
        </w:rPr>
        <w:t>表示中等</w:t>
      </w:r>
      <w:r>
        <w:rPr>
          <w:rFonts w:eastAsia="黑体"/>
          <w:color w:val="FF0000"/>
          <w:sz w:val="21"/>
          <w:szCs w:val="21"/>
        </w:rPr>
        <w:t>有利影响；</w:t>
      </w:r>
      <w:r>
        <w:rPr>
          <w:rFonts w:hint="eastAsia" w:ascii="宋体" w:hAnsi="宋体"/>
          <w:color w:val="FF0000"/>
          <w:sz w:val="21"/>
          <w:szCs w:val="21"/>
        </w:rPr>
        <w:t>“</w:t>
      </w:r>
      <w:r>
        <w:rPr>
          <w:rFonts w:eastAsia="黑体"/>
          <w:color w:val="FF0000"/>
          <w:sz w:val="21"/>
          <w:szCs w:val="21"/>
        </w:rPr>
        <w:t>●</w:t>
      </w:r>
      <w:r>
        <w:rPr>
          <w:rFonts w:hint="eastAsia" w:eastAsia="黑体"/>
          <w:color w:val="FF0000"/>
          <w:sz w:val="21"/>
          <w:szCs w:val="21"/>
        </w:rPr>
        <w:t>”</w:t>
      </w:r>
      <w:r>
        <w:rPr>
          <w:rFonts w:eastAsia="黑体"/>
          <w:color w:val="FF0000"/>
          <w:sz w:val="21"/>
          <w:szCs w:val="21"/>
        </w:rPr>
        <w:t>表示轻微不利</w:t>
      </w:r>
      <w:r>
        <w:rPr>
          <w:rFonts w:hint="eastAsia" w:eastAsia="黑体"/>
          <w:color w:val="FF0000"/>
          <w:sz w:val="21"/>
          <w:szCs w:val="21"/>
        </w:rPr>
        <w:t>影响；</w:t>
      </w:r>
      <w:r>
        <w:rPr>
          <w:rFonts w:hint="eastAsia" w:asciiTheme="minorEastAsia" w:hAnsiTheme="minorEastAsia" w:eastAsiaTheme="minorEastAsia"/>
          <w:color w:val="FF0000"/>
          <w:sz w:val="21"/>
          <w:szCs w:val="21"/>
        </w:rPr>
        <w:t>“</w:t>
      </w:r>
      <w:r>
        <w:rPr>
          <w:rFonts w:eastAsia="黑体"/>
          <w:color w:val="FF0000"/>
          <w:sz w:val="21"/>
          <w:szCs w:val="21"/>
        </w:rPr>
        <w:t>○</w:t>
      </w:r>
      <w:r>
        <w:rPr>
          <w:rFonts w:hint="eastAsia" w:ascii="宋体" w:hAnsi="宋体"/>
          <w:color w:val="FF0000"/>
          <w:sz w:val="21"/>
          <w:szCs w:val="21"/>
        </w:rPr>
        <w:t>”</w:t>
      </w:r>
      <w:r>
        <w:rPr>
          <w:rFonts w:hint="eastAsia" w:eastAsia="黑体"/>
          <w:color w:val="FF0000"/>
          <w:sz w:val="21"/>
          <w:szCs w:val="21"/>
        </w:rPr>
        <w:t>表示</w:t>
      </w:r>
      <w:r>
        <w:rPr>
          <w:rFonts w:eastAsia="黑体"/>
          <w:color w:val="FF0000"/>
          <w:sz w:val="21"/>
          <w:szCs w:val="21"/>
        </w:rPr>
        <w:t>轻微有利影响；</w:t>
      </w:r>
      <w:r>
        <w:rPr>
          <w:rFonts w:hint="eastAsia" w:ascii="宋体" w:hAnsi="宋体"/>
          <w:color w:val="FF0000"/>
          <w:sz w:val="21"/>
          <w:szCs w:val="21"/>
        </w:rPr>
        <w:t>“</w:t>
      </w:r>
      <w:r>
        <w:rPr>
          <w:rFonts w:eastAsia="黑体"/>
          <w:color w:val="FF0000"/>
          <w:sz w:val="21"/>
          <w:szCs w:val="21"/>
        </w:rPr>
        <w:t>—</w:t>
      </w:r>
      <w:r>
        <w:rPr>
          <w:rFonts w:hint="eastAsia" w:ascii="宋体" w:hAnsi="宋体"/>
          <w:color w:val="FF0000"/>
          <w:sz w:val="21"/>
          <w:szCs w:val="21"/>
        </w:rPr>
        <w:t>”</w:t>
      </w:r>
      <w:r>
        <w:rPr>
          <w:rFonts w:eastAsia="黑体"/>
          <w:color w:val="FF0000"/>
          <w:sz w:val="21"/>
          <w:szCs w:val="21"/>
        </w:rPr>
        <w:t>表示无明显影响；</w:t>
      </w:r>
      <w:r>
        <w:rPr>
          <w:rFonts w:hint="eastAsia" w:ascii="宋体" w:hAnsi="宋体"/>
          <w:color w:val="FF0000"/>
          <w:sz w:val="21"/>
          <w:szCs w:val="21"/>
        </w:rPr>
        <w:t>“</w:t>
      </w:r>
      <w:r>
        <w:rPr>
          <w:rFonts w:hint="eastAsia" w:ascii="宋体" w:hAnsi="宋体" w:cs="宋体"/>
          <w:color w:val="FF0000"/>
          <w:sz w:val="21"/>
          <w:szCs w:val="21"/>
        </w:rPr>
        <w:t>◎</w:t>
      </w:r>
      <w:r>
        <w:rPr>
          <w:rFonts w:hint="eastAsia" w:ascii="宋体" w:hAnsi="宋体"/>
          <w:color w:val="FF0000"/>
          <w:sz w:val="21"/>
          <w:szCs w:val="21"/>
        </w:rPr>
        <w:t>”</w:t>
      </w:r>
      <w:r>
        <w:rPr>
          <w:rFonts w:eastAsia="黑体"/>
          <w:color w:val="FF0000"/>
          <w:sz w:val="21"/>
          <w:szCs w:val="21"/>
        </w:rPr>
        <w:t>表示有利和不利影响兼有。</w:t>
      </w:r>
    </w:p>
    <w:p w14:paraId="1F04176E">
      <w:pPr>
        <w:spacing w:before="120"/>
        <w:ind w:firstLine="480"/>
        <w:rPr>
          <w:color w:val="FF0000"/>
        </w:rPr>
      </w:pPr>
      <w:r>
        <w:rPr>
          <w:color w:val="FF0000"/>
        </w:rPr>
        <w:t>从</w:t>
      </w:r>
      <w:r>
        <w:rPr>
          <w:rFonts w:hint="eastAsia"/>
          <w:color w:val="FF0000"/>
        </w:rPr>
        <w:t>上表</w:t>
      </w:r>
      <w:r>
        <w:rPr>
          <w:color w:val="FF0000"/>
        </w:rPr>
        <w:t>可以看出，</w:t>
      </w:r>
      <w:r>
        <w:rPr>
          <w:rFonts w:hint="eastAsia"/>
          <w:color w:val="FF0000"/>
        </w:rPr>
        <w:t>拟建项目</w:t>
      </w:r>
      <w:r>
        <w:rPr>
          <w:color w:val="FF0000"/>
        </w:rPr>
        <w:t>施工期的环境影响主要表现在枢纽施工活动以及施工人员</w:t>
      </w:r>
      <w:r>
        <w:rPr>
          <w:rFonts w:hint="eastAsia"/>
          <w:color w:val="FF0000"/>
        </w:rPr>
        <w:t>生活</w:t>
      </w:r>
      <w:r>
        <w:rPr>
          <w:color w:val="FF0000"/>
        </w:rPr>
        <w:t>产生的污染物对</w:t>
      </w:r>
      <w:r>
        <w:rPr>
          <w:rFonts w:hint="eastAsia"/>
          <w:color w:val="FF0000"/>
        </w:rPr>
        <w:t>周围</w:t>
      </w:r>
      <w:r>
        <w:rPr>
          <w:color w:val="FF0000"/>
        </w:rPr>
        <w:t>环境的影响。运</w:t>
      </w:r>
      <w:r>
        <w:rPr>
          <w:rFonts w:hint="eastAsia"/>
          <w:color w:val="FF0000"/>
        </w:rPr>
        <w:t>行</w:t>
      </w:r>
      <w:r>
        <w:rPr>
          <w:color w:val="FF0000"/>
        </w:rPr>
        <w:t>期对环境的影响主要体现在电站运行对环境的影响。</w:t>
      </w:r>
    </w:p>
    <w:p w14:paraId="1B124DC5">
      <w:pPr>
        <w:ind w:firstLine="480"/>
        <w:rPr>
          <w:color w:val="FF0000"/>
        </w:rPr>
      </w:pPr>
      <w:r>
        <w:rPr>
          <w:color w:val="FF0000"/>
        </w:rPr>
        <w:t>从受影响的环境要素来看，主要表现在工程建设和运</w:t>
      </w:r>
      <w:r>
        <w:rPr>
          <w:rFonts w:hint="eastAsia"/>
          <w:color w:val="FF0000"/>
        </w:rPr>
        <w:t>营</w:t>
      </w:r>
      <w:r>
        <w:rPr>
          <w:color w:val="FF0000"/>
        </w:rPr>
        <w:t>对</w:t>
      </w:r>
      <w:r>
        <w:rPr>
          <w:rFonts w:hint="eastAsia"/>
          <w:color w:val="FF0000"/>
        </w:rPr>
        <w:t>环境空气、</w:t>
      </w:r>
      <w:r>
        <w:rPr>
          <w:color w:val="FF0000"/>
        </w:rPr>
        <w:t>地表水环境</w:t>
      </w:r>
      <w:r>
        <w:rPr>
          <w:rFonts w:hint="eastAsia"/>
          <w:color w:val="FF0000"/>
        </w:rPr>
        <w:t>、声环境和</w:t>
      </w:r>
      <w:r>
        <w:rPr>
          <w:color w:val="FF0000"/>
        </w:rPr>
        <w:t>生态环境的影响。</w:t>
      </w:r>
    </w:p>
    <w:p w14:paraId="4E194FA4">
      <w:pPr>
        <w:pStyle w:val="113"/>
        <w:rPr>
          <w:color w:val="FF0000"/>
        </w:rPr>
      </w:pPr>
      <w:bookmarkStart w:id="174" w:name="_Toc866"/>
      <w:bookmarkStart w:id="175" w:name="_Toc443655370"/>
      <w:bookmarkStart w:id="176" w:name="_Toc471738005"/>
      <w:bookmarkStart w:id="177" w:name="_Toc365812566"/>
      <w:bookmarkStart w:id="178" w:name="_Toc475043897"/>
      <w:bookmarkStart w:id="179" w:name="_Toc508642406"/>
      <w:bookmarkStart w:id="180" w:name="_Toc355784199"/>
      <w:bookmarkStart w:id="181" w:name="_Toc397428270"/>
      <w:bookmarkStart w:id="182" w:name="_Toc355708912"/>
      <w:bookmarkStart w:id="183" w:name="_Toc356556615"/>
      <w:bookmarkStart w:id="184" w:name="_Toc355784440"/>
      <w:bookmarkStart w:id="185" w:name="_Toc454046468"/>
      <w:r>
        <w:rPr>
          <w:rFonts w:hint="eastAsia"/>
          <w:color w:val="FF0000"/>
        </w:rPr>
        <w:t>1.4.2评价因子的确定</w:t>
      </w:r>
      <w:bookmarkEnd w:id="174"/>
      <w:bookmarkEnd w:id="175"/>
      <w:bookmarkEnd w:id="176"/>
      <w:bookmarkEnd w:id="177"/>
      <w:bookmarkEnd w:id="178"/>
      <w:bookmarkEnd w:id="179"/>
      <w:bookmarkEnd w:id="180"/>
      <w:bookmarkEnd w:id="181"/>
      <w:bookmarkEnd w:id="182"/>
      <w:bookmarkEnd w:id="183"/>
      <w:bookmarkEnd w:id="184"/>
      <w:bookmarkEnd w:id="185"/>
    </w:p>
    <w:p w14:paraId="72C7A543">
      <w:pPr>
        <w:spacing w:line="336" w:lineRule="auto"/>
        <w:ind w:firstLine="480"/>
        <w:jc w:val="left"/>
        <w:rPr>
          <w:color w:val="FF0000"/>
          <w:szCs w:val="24"/>
        </w:rPr>
      </w:pPr>
      <w:r>
        <w:rPr>
          <w:rFonts w:hint="eastAsia"/>
          <w:color w:val="FF0000"/>
          <w:szCs w:val="24"/>
        </w:rPr>
        <w:t>通过环境影响因子识别矩阵，确定评价因子如下：</w:t>
      </w:r>
    </w:p>
    <w:p w14:paraId="43D2405F">
      <w:pPr>
        <w:spacing w:line="336" w:lineRule="auto"/>
        <w:ind w:firstLine="480"/>
        <w:jc w:val="left"/>
        <w:rPr>
          <w:color w:val="FF0000"/>
          <w:szCs w:val="24"/>
        </w:rPr>
      </w:pPr>
      <w:r>
        <w:rPr>
          <w:rFonts w:hint="eastAsia"/>
          <w:color w:val="FF0000"/>
          <w:szCs w:val="24"/>
        </w:rPr>
        <w:t>环境空气：TSP；</w:t>
      </w:r>
    </w:p>
    <w:p w14:paraId="47C19CB7">
      <w:pPr>
        <w:spacing w:line="336" w:lineRule="auto"/>
        <w:ind w:firstLine="480"/>
        <w:rPr>
          <w:color w:val="FF0000"/>
          <w:szCs w:val="24"/>
        </w:rPr>
      </w:pPr>
      <w:r>
        <w:rPr>
          <w:rFonts w:hint="eastAsia"/>
          <w:color w:val="FF0000"/>
          <w:szCs w:val="24"/>
        </w:rPr>
        <w:t>地表水环境：</w:t>
      </w:r>
      <w:r>
        <w:rPr>
          <w:snapToGrid w:val="0"/>
          <w:color w:val="FF0000"/>
        </w:rPr>
        <w:t>pH、SS、COD、BOD</w:t>
      </w:r>
      <w:r>
        <w:rPr>
          <w:snapToGrid w:val="0"/>
          <w:color w:val="FF0000"/>
          <w:vertAlign w:val="subscript"/>
        </w:rPr>
        <w:t>5</w:t>
      </w:r>
      <w:r>
        <w:rPr>
          <w:snapToGrid w:val="0"/>
          <w:color w:val="FF0000"/>
        </w:rPr>
        <w:t>、TP、</w:t>
      </w:r>
      <w:r>
        <w:rPr>
          <w:color w:val="FF0000"/>
        </w:rPr>
        <w:t>NH</w:t>
      </w:r>
      <w:r>
        <w:rPr>
          <w:color w:val="FF0000"/>
          <w:vertAlign w:val="subscript"/>
        </w:rPr>
        <w:t>3</w:t>
      </w:r>
      <w:r>
        <w:rPr>
          <w:color w:val="FF0000"/>
        </w:rPr>
        <w:t>-N</w:t>
      </w:r>
      <w:r>
        <w:rPr>
          <w:snapToGrid w:val="0"/>
          <w:color w:val="FF0000"/>
        </w:rPr>
        <w:t>、石油类</w:t>
      </w:r>
      <w:r>
        <w:rPr>
          <w:rFonts w:hint="eastAsia"/>
          <w:color w:val="FF0000"/>
          <w:szCs w:val="24"/>
        </w:rPr>
        <w:t>；</w:t>
      </w:r>
    </w:p>
    <w:p w14:paraId="014ACC57">
      <w:pPr>
        <w:spacing w:line="336" w:lineRule="auto"/>
        <w:ind w:firstLine="480"/>
        <w:jc w:val="left"/>
        <w:rPr>
          <w:color w:val="FF0000"/>
          <w:szCs w:val="24"/>
        </w:rPr>
      </w:pPr>
      <w:r>
        <w:rPr>
          <w:rFonts w:hint="eastAsia"/>
          <w:color w:val="FF0000"/>
          <w:szCs w:val="24"/>
        </w:rPr>
        <w:t>声环境：等效连续A声级；</w:t>
      </w:r>
    </w:p>
    <w:p w14:paraId="794A5905">
      <w:pPr>
        <w:spacing w:line="336" w:lineRule="auto"/>
        <w:ind w:firstLine="480"/>
        <w:jc w:val="left"/>
        <w:rPr>
          <w:color w:val="FF0000"/>
          <w:szCs w:val="24"/>
        </w:rPr>
      </w:pPr>
      <w:r>
        <w:rPr>
          <w:rFonts w:hint="eastAsia"/>
          <w:color w:val="FF0000"/>
          <w:szCs w:val="24"/>
        </w:rPr>
        <w:t>生态环境：土地利用、植被、评价区野生动植物。</w:t>
      </w:r>
    </w:p>
    <w:p w14:paraId="352805AF">
      <w:pPr>
        <w:pStyle w:val="82"/>
        <w:framePr w:hSpace="0" w:wrap="auto" w:vAnchor="margin" w:hAnchor="text" w:xAlign="left" w:yAlign="inline"/>
        <w:ind w:firstLine="360"/>
        <w:rPr>
          <w:color w:val="FF0000"/>
        </w:rPr>
      </w:pPr>
      <w:r>
        <w:rPr>
          <w:color w:val="FF0000"/>
        </w:rPr>
        <w:t>表</w:t>
      </w:r>
      <w:r>
        <w:rPr>
          <w:rFonts w:hint="eastAsia"/>
          <w:color w:val="FF0000"/>
        </w:rPr>
        <w:t>1</w:t>
      </w:r>
      <w:r>
        <w:rPr>
          <w:color w:val="FF0000"/>
        </w:rPr>
        <w:t>-</w:t>
      </w:r>
      <w:r>
        <w:rPr>
          <w:rFonts w:hint="eastAsia"/>
          <w:color w:val="FF0000"/>
        </w:rPr>
        <w:t xml:space="preserve">4-2 </w:t>
      </w:r>
      <w:r>
        <w:rPr>
          <w:color w:val="FF0000"/>
        </w:rPr>
        <w:t xml:space="preserve"> 环境影响因子</w:t>
      </w:r>
      <w:r>
        <w:rPr>
          <w:rFonts w:hint="eastAsia"/>
          <w:color w:val="FF0000"/>
        </w:rPr>
        <w:t>筛选</w:t>
      </w:r>
      <w:r>
        <w:rPr>
          <w:color w:val="FF0000"/>
        </w:rPr>
        <w:t>表</w:t>
      </w:r>
    </w:p>
    <w:tbl>
      <w:tblPr>
        <w:tblStyle w:val="5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503"/>
        <w:gridCol w:w="6266"/>
      </w:tblGrid>
      <w:tr w14:paraId="02E383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blHeader/>
          <w:jc w:val="center"/>
        </w:trPr>
        <w:tc>
          <w:tcPr>
            <w:tcW w:w="2292" w:type="dxa"/>
            <w:gridSpan w:val="2"/>
            <w:vAlign w:val="center"/>
          </w:tcPr>
          <w:p w14:paraId="5D25253B">
            <w:pPr>
              <w:pStyle w:val="84"/>
              <w:rPr>
                <w:color w:val="FF0000"/>
              </w:rPr>
            </w:pPr>
            <w:r>
              <w:rPr>
                <w:color w:val="FF0000"/>
              </w:rPr>
              <w:t>环境组成与环境要素</w:t>
            </w:r>
          </w:p>
        </w:tc>
        <w:tc>
          <w:tcPr>
            <w:tcW w:w="6266" w:type="dxa"/>
            <w:vAlign w:val="center"/>
          </w:tcPr>
          <w:p w14:paraId="05D33A97">
            <w:pPr>
              <w:pStyle w:val="84"/>
              <w:rPr>
                <w:color w:val="FF0000"/>
              </w:rPr>
            </w:pPr>
            <w:r>
              <w:rPr>
                <w:color w:val="FF0000"/>
              </w:rPr>
              <w:t>环境因子</w:t>
            </w:r>
          </w:p>
        </w:tc>
      </w:tr>
      <w:tr w14:paraId="6A2A7A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9" w:type="dxa"/>
            <w:vMerge w:val="restart"/>
            <w:vAlign w:val="center"/>
          </w:tcPr>
          <w:p w14:paraId="424730BC">
            <w:pPr>
              <w:pStyle w:val="84"/>
              <w:rPr>
                <w:color w:val="FF0000"/>
              </w:rPr>
            </w:pPr>
            <w:r>
              <w:rPr>
                <w:color w:val="FF0000"/>
              </w:rPr>
              <w:t>自然环境</w:t>
            </w:r>
          </w:p>
        </w:tc>
        <w:tc>
          <w:tcPr>
            <w:tcW w:w="1503" w:type="dxa"/>
            <w:vAlign w:val="center"/>
          </w:tcPr>
          <w:p w14:paraId="600C05C5">
            <w:pPr>
              <w:pStyle w:val="84"/>
              <w:rPr>
                <w:color w:val="FF0000"/>
              </w:rPr>
            </w:pPr>
            <w:r>
              <w:rPr>
                <w:color w:val="FF0000"/>
              </w:rPr>
              <w:t>地质地貌</w:t>
            </w:r>
          </w:p>
        </w:tc>
        <w:tc>
          <w:tcPr>
            <w:tcW w:w="6266" w:type="dxa"/>
            <w:vAlign w:val="center"/>
          </w:tcPr>
          <w:p w14:paraId="50C4A140">
            <w:pPr>
              <w:pStyle w:val="84"/>
              <w:rPr>
                <w:color w:val="FF0000"/>
              </w:rPr>
            </w:pPr>
            <w:r>
              <w:rPr>
                <w:color w:val="FF0000"/>
              </w:rPr>
              <w:t>地形地貌</w:t>
            </w:r>
          </w:p>
        </w:tc>
      </w:tr>
      <w:tr w14:paraId="6E7483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9" w:type="dxa"/>
            <w:vMerge w:val="continue"/>
            <w:vAlign w:val="center"/>
          </w:tcPr>
          <w:p w14:paraId="2F27D9B2">
            <w:pPr>
              <w:pStyle w:val="84"/>
              <w:rPr>
                <w:color w:val="FF0000"/>
              </w:rPr>
            </w:pPr>
          </w:p>
        </w:tc>
        <w:tc>
          <w:tcPr>
            <w:tcW w:w="1503" w:type="dxa"/>
            <w:vAlign w:val="center"/>
          </w:tcPr>
          <w:p w14:paraId="48484180">
            <w:pPr>
              <w:pStyle w:val="84"/>
              <w:rPr>
                <w:color w:val="FF0000"/>
              </w:rPr>
            </w:pPr>
            <w:r>
              <w:rPr>
                <w:color w:val="FF0000"/>
              </w:rPr>
              <w:t>地表水文</w:t>
            </w:r>
          </w:p>
        </w:tc>
        <w:tc>
          <w:tcPr>
            <w:tcW w:w="6266" w:type="dxa"/>
            <w:vAlign w:val="center"/>
          </w:tcPr>
          <w:p w14:paraId="6F0CE438">
            <w:pPr>
              <w:pStyle w:val="84"/>
              <w:rPr>
                <w:color w:val="FF0000"/>
              </w:rPr>
            </w:pPr>
            <w:r>
              <w:rPr>
                <w:color w:val="FF0000"/>
              </w:rPr>
              <w:t>径流、水位、洪水</w:t>
            </w:r>
          </w:p>
        </w:tc>
      </w:tr>
      <w:tr w14:paraId="452C4C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9" w:type="dxa"/>
            <w:vMerge w:val="continue"/>
            <w:vAlign w:val="center"/>
          </w:tcPr>
          <w:p w14:paraId="606D5623">
            <w:pPr>
              <w:pStyle w:val="84"/>
              <w:rPr>
                <w:color w:val="FF0000"/>
              </w:rPr>
            </w:pPr>
          </w:p>
        </w:tc>
        <w:tc>
          <w:tcPr>
            <w:tcW w:w="1503" w:type="dxa"/>
            <w:vAlign w:val="center"/>
          </w:tcPr>
          <w:p w14:paraId="09E4AB86">
            <w:pPr>
              <w:pStyle w:val="84"/>
              <w:rPr>
                <w:color w:val="FF0000"/>
              </w:rPr>
            </w:pPr>
            <w:r>
              <w:rPr>
                <w:color w:val="FF0000"/>
              </w:rPr>
              <w:t>泥沙冲淤</w:t>
            </w:r>
          </w:p>
        </w:tc>
        <w:tc>
          <w:tcPr>
            <w:tcW w:w="6266" w:type="dxa"/>
            <w:vAlign w:val="center"/>
          </w:tcPr>
          <w:p w14:paraId="198DE4F0">
            <w:pPr>
              <w:pStyle w:val="84"/>
              <w:rPr>
                <w:color w:val="FF0000"/>
              </w:rPr>
            </w:pPr>
            <w:r>
              <w:rPr>
                <w:color w:val="FF0000"/>
              </w:rPr>
              <w:t>含沙量、输沙量</w:t>
            </w:r>
          </w:p>
        </w:tc>
      </w:tr>
      <w:tr w14:paraId="0C9D22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9" w:type="dxa"/>
            <w:vMerge w:val="continue"/>
            <w:vAlign w:val="center"/>
          </w:tcPr>
          <w:p w14:paraId="48A29CE3">
            <w:pPr>
              <w:pStyle w:val="84"/>
              <w:rPr>
                <w:color w:val="FF0000"/>
              </w:rPr>
            </w:pPr>
          </w:p>
        </w:tc>
        <w:tc>
          <w:tcPr>
            <w:tcW w:w="1503" w:type="dxa"/>
            <w:vAlign w:val="center"/>
          </w:tcPr>
          <w:p w14:paraId="2E764106">
            <w:pPr>
              <w:pStyle w:val="84"/>
              <w:rPr>
                <w:color w:val="FF0000"/>
              </w:rPr>
            </w:pPr>
            <w:r>
              <w:rPr>
                <w:color w:val="FF0000"/>
              </w:rPr>
              <w:t>水</w:t>
            </w:r>
            <w:r>
              <w:rPr>
                <w:rFonts w:hint="eastAsia"/>
                <w:color w:val="FF0000"/>
              </w:rPr>
              <w:t xml:space="preserve">  </w:t>
            </w:r>
            <w:r>
              <w:rPr>
                <w:color w:val="FF0000"/>
              </w:rPr>
              <w:t xml:space="preserve">  质</w:t>
            </w:r>
          </w:p>
        </w:tc>
        <w:tc>
          <w:tcPr>
            <w:tcW w:w="6266" w:type="dxa"/>
            <w:vAlign w:val="center"/>
          </w:tcPr>
          <w:p w14:paraId="1F307F4A">
            <w:pPr>
              <w:pStyle w:val="84"/>
              <w:rPr>
                <w:color w:val="FF0000"/>
              </w:rPr>
            </w:pPr>
            <w:r>
              <w:rPr>
                <w:snapToGrid w:val="0"/>
                <w:color w:val="FF0000"/>
              </w:rPr>
              <w:t>pH、SS、COD、BOD</w:t>
            </w:r>
            <w:r>
              <w:rPr>
                <w:snapToGrid w:val="0"/>
                <w:color w:val="FF0000"/>
                <w:vertAlign w:val="subscript"/>
              </w:rPr>
              <w:t>5</w:t>
            </w:r>
            <w:r>
              <w:rPr>
                <w:snapToGrid w:val="0"/>
                <w:color w:val="FF0000"/>
              </w:rPr>
              <w:t>、TP、</w:t>
            </w:r>
            <w:r>
              <w:rPr>
                <w:color w:val="FF0000"/>
              </w:rPr>
              <w:t>NH</w:t>
            </w:r>
            <w:r>
              <w:rPr>
                <w:color w:val="FF0000"/>
                <w:vertAlign w:val="subscript"/>
              </w:rPr>
              <w:t>3</w:t>
            </w:r>
            <w:r>
              <w:rPr>
                <w:color w:val="FF0000"/>
              </w:rPr>
              <w:t>-N</w:t>
            </w:r>
            <w:r>
              <w:rPr>
                <w:snapToGrid w:val="0"/>
                <w:color w:val="FF0000"/>
              </w:rPr>
              <w:t>、石油类</w:t>
            </w:r>
          </w:p>
        </w:tc>
      </w:tr>
      <w:tr w14:paraId="1FDF07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9" w:type="dxa"/>
            <w:vMerge w:val="continue"/>
            <w:vAlign w:val="center"/>
          </w:tcPr>
          <w:p w14:paraId="480C6D87">
            <w:pPr>
              <w:pStyle w:val="84"/>
              <w:rPr>
                <w:color w:val="FF0000"/>
              </w:rPr>
            </w:pPr>
          </w:p>
        </w:tc>
        <w:tc>
          <w:tcPr>
            <w:tcW w:w="1503" w:type="dxa"/>
            <w:vAlign w:val="center"/>
          </w:tcPr>
          <w:p w14:paraId="7A231574">
            <w:pPr>
              <w:pStyle w:val="84"/>
              <w:rPr>
                <w:color w:val="FF0000"/>
              </w:rPr>
            </w:pPr>
            <w:r>
              <w:rPr>
                <w:color w:val="FF0000"/>
              </w:rPr>
              <w:t>声环境</w:t>
            </w:r>
          </w:p>
        </w:tc>
        <w:tc>
          <w:tcPr>
            <w:tcW w:w="6266" w:type="dxa"/>
            <w:vAlign w:val="center"/>
          </w:tcPr>
          <w:p w14:paraId="6BE3CCED">
            <w:pPr>
              <w:pStyle w:val="84"/>
              <w:rPr>
                <w:color w:val="FF0000"/>
              </w:rPr>
            </w:pPr>
            <w:r>
              <w:rPr>
                <w:color w:val="FF0000"/>
              </w:rPr>
              <w:t>施工机械噪声、交通噪声、电站设备</w:t>
            </w:r>
            <w:r>
              <w:rPr>
                <w:rFonts w:hint="eastAsia"/>
                <w:color w:val="FF0000"/>
              </w:rPr>
              <w:t>运行</w:t>
            </w:r>
            <w:r>
              <w:rPr>
                <w:color w:val="FF0000"/>
              </w:rPr>
              <w:t>噪声</w:t>
            </w:r>
          </w:p>
        </w:tc>
      </w:tr>
      <w:tr w14:paraId="2BC944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9" w:type="dxa"/>
            <w:vMerge w:val="continue"/>
            <w:vAlign w:val="center"/>
          </w:tcPr>
          <w:p w14:paraId="577E42F8">
            <w:pPr>
              <w:pStyle w:val="84"/>
              <w:rPr>
                <w:color w:val="FF0000"/>
              </w:rPr>
            </w:pPr>
          </w:p>
        </w:tc>
        <w:tc>
          <w:tcPr>
            <w:tcW w:w="1503" w:type="dxa"/>
            <w:vAlign w:val="center"/>
          </w:tcPr>
          <w:p w14:paraId="2479D92E">
            <w:pPr>
              <w:pStyle w:val="84"/>
              <w:rPr>
                <w:color w:val="FF0000"/>
              </w:rPr>
            </w:pPr>
            <w:r>
              <w:rPr>
                <w:color w:val="FF0000"/>
              </w:rPr>
              <w:t>环境空气</w:t>
            </w:r>
          </w:p>
        </w:tc>
        <w:tc>
          <w:tcPr>
            <w:tcW w:w="6266" w:type="dxa"/>
            <w:vAlign w:val="center"/>
          </w:tcPr>
          <w:p w14:paraId="35D83B64">
            <w:pPr>
              <w:pStyle w:val="84"/>
              <w:rPr>
                <w:color w:val="FF0000"/>
              </w:rPr>
            </w:pPr>
            <w:r>
              <w:rPr>
                <w:color w:val="FF0000"/>
              </w:rPr>
              <w:t>粉尘、有害气体</w:t>
            </w:r>
          </w:p>
        </w:tc>
      </w:tr>
      <w:tr w14:paraId="5C3227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9" w:type="dxa"/>
            <w:vMerge w:val="continue"/>
            <w:vAlign w:val="center"/>
          </w:tcPr>
          <w:p w14:paraId="215020F2">
            <w:pPr>
              <w:pStyle w:val="84"/>
              <w:rPr>
                <w:color w:val="FF0000"/>
              </w:rPr>
            </w:pPr>
          </w:p>
        </w:tc>
        <w:tc>
          <w:tcPr>
            <w:tcW w:w="1503" w:type="dxa"/>
            <w:vAlign w:val="center"/>
          </w:tcPr>
          <w:p w14:paraId="60BB4DF5">
            <w:pPr>
              <w:pStyle w:val="84"/>
              <w:rPr>
                <w:color w:val="FF0000"/>
              </w:rPr>
            </w:pPr>
            <w:r>
              <w:rPr>
                <w:color w:val="FF0000"/>
              </w:rPr>
              <w:t>植</w:t>
            </w:r>
            <w:r>
              <w:rPr>
                <w:rFonts w:hint="eastAsia"/>
                <w:color w:val="FF0000"/>
              </w:rPr>
              <w:t xml:space="preserve">    </w:t>
            </w:r>
            <w:r>
              <w:rPr>
                <w:color w:val="FF0000"/>
              </w:rPr>
              <w:t>被</w:t>
            </w:r>
          </w:p>
        </w:tc>
        <w:tc>
          <w:tcPr>
            <w:tcW w:w="6266" w:type="dxa"/>
            <w:vAlign w:val="center"/>
          </w:tcPr>
          <w:p w14:paraId="108562B4">
            <w:pPr>
              <w:pStyle w:val="84"/>
              <w:rPr>
                <w:color w:val="FF0000"/>
              </w:rPr>
            </w:pPr>
            <w:r>
              <w:rPr>
                <w:color w:val="FF0000"/>
              </w:rPr>
              <w:t>植被类型、分布、植被覆盖、面积</w:t>
            </w:r>
          </w:p>
        </w:tc>
      </w:tr>
      <w:tr w14:paraId="34AB78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5" w:hRule="atLeast"/>
          <w:jc w:val="center"/>
        </w:trPr>
        <w:tc>
          <w:tcPr>
            <w:tcW w:w="789" w:type="dxa"/>
            <w:vMerge w:val="continue"/>
            <w:vAlign w:val="center"/>
          </w:tcPr>
          <w:p w14:paraId="1D5F5E03">
            <w:pPr>
              <w:pStyle w:val="84"/>
              <w:rPr>
                <w:color w:val="FF0000"/>
              </w:rPr>
            </w:pPr>
          </w:p>
        </w:tc>
        <w:tc>
          <w:tcPr>
            <w:tcW w:w="1503" w:type="dxa"/>
            <w:vAlign w:val="center"/>
          </w:tcPr>
          <w:p w14:paraId="0C949FBD">
            <w:pPr>
              <w:pStyle w:val="84"/>
              <w:rPr>
                <w:color w:val="FF0000"/>
              </w:rPr>
            </w:pPr>
            <w:r>
              <w:rPr>
                <w:color w:val="FF0000"/>
              </w:rPr>
              <w:t>陆生生物</w:t>
            </w:r>
          </w:p>
        </w:tc>
        <w:tc>
          <w:tcPr>
            <w:tcW w:w="6266" w:type="dxa"/>
            <w:vAlign w:val="center"/>
          </w:tcPr>
          <w:p w14:paraId="455B8E8F">
            <w:pPr>
              <w:pStyle w:val="84"/>
              <w:rPr>
                <w:color w:val="FF0000"/>
              </w:rPr>
            </w:pPr>
            <w:r>
              <w:rPr>
                <w:color w:val="FF0000"/>
              </w:rPr>
              <w:t>陆生动植物区系及组成、植物种类、种群数量及分布、生物多样性</w:t>
            </w:r>
          </w:p>
        </w:tc>
      </w:tr>
      <w:tr w14:paraId="0B561C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789" w:type="dxa"/>
            <w:vMerge w:val="continue"/>
            <w:vAlign w:val="center"/>
          </w:tcPr>
          <w:p w14:paraId="105B7774">
            <w:pPr>
              <w:pStyle w:val="84"/>
              <w:rPr>
                <w:color w:val="FF0000"/>
              </w:rPr>
            </w:pPr>
          </w:p>
        </w:tc>
        <w:tc>
          <w:tcPr>
            <w:tcW w:w="1503" w:type="dxa"/>
            <w:vAlign w:val="center"/>
          </w:tcPr>
          <w:p w14:paraId="0C44CB11">
            <w:pPr>
              <w:pStyle w:val="84"/>
              <w:rPr>
                <w:color w:val="FF0000"/>
              </w:rPr>
            </w:pPr>
            <w:r>
              <w:rPr>
                <w:rFonts w:hint="eastAsia"/>
                <w:color w:val="FF0000"/>
              </w:rPr>
              <w:t>水生生物</w:t>
            </w:r>
          </w:p>
        </w:tc>
        <w:tc>
          <w:tcPr>
            <w:tcW w:w="6266" w:type="dxa"/>
            <w:vAlign w:val="center"/>
          </w:tcPr>
          <w:p w14:paraId="462FFF78">
            <w:pPr>
              <w:pStyle w:val="84"/>
              <w:rPr>
                <w:color w:val="FF0000"/>
              </w:rPr>
            </w:pPr>
            <w:r>
              <w:rPr>
                <w:rFonts w:hint="eastAsia"/>
                <w:color w:val="FF0000"/>
              </w:rPr>
              <w:t>鱼类</w:t>
            </w:r>
          </w:p>
        </w:tc>
      </w:tr>
    </w:tbl>
    <w:p w14:paraId="26CE9033">
      <w:pPr>
        <w:pStyle w:val="4"/>
        <w:spacing w:before="120" w:beforeLines="50"/>
      </w:pPr>
      <w:bookmarkStart w:id="186" w:name="_Toc508642407"/>
      <w:r>
        <w:rPr>
          <w:rFonts w:hint="eastAsia"/>
        </w:rPr>
        <w:t>1.5</w:t>
      </w:r>
      <w:r>
        <w:t>评价等级</w:t>
      </w:r>
      <w:bookmarkEnd w:id="158"/>
      <w:bookmarkEnd w:id="159"/>
      <w:bookmarkEnd w:id="160"/>
      <w:bookmarkEnd w:id="186"/>
    </w:p>
    <w:p w14:paraId="0A9A2001">
      <w:pPr>
        <w:ind w:firstLine="480"/>
        <w:rPr>
          <w:szCs w:val="24"/>
        </w:rPr>
      </w:pPr>
      <w:r>
        <w:rPr>
          <w:rFonts w:hint="eastAsia"/>
          <w:szCs w:val="24"/>
        </w:rPr>
        <w:t>（1）</w:t>
      </w:r>
      <w:r>
        <w:rPr>
          <w:szCs w:val="24"/>
        </w:rPr>
        <w:t>生态环境</w:t>
      </w:r>
    </w:p>
    <w:p w14:paraId="5F7CF8A1">
      <w:pPr>
        <w:ind w:firstLine="480"/>
      </w:pPr>
      <w:r>
        <w:rPr>
          <w:rFonts w:hint="eastAsia"/>
        </w:rPr>
        <w:t>拟建项目占地</w:t>
      </w:r>
      <w:r>
        <w:rPr>
          <w:rFonts w:hint="eastAsia"/>
          <w:spacing w:val="14"/>
          <w:szCs w:val="20"/>
        </w:rPr>
        <w:t>面积（包括永久占地和临时占地）为</w:t>
      </w:r>
      <w:r>
        <w:rPr>
          <w:rFonts w:hint="eastAsia"/>
          <w:color w:val="FF0000"/>
          <w:spacing w:val="14"/>
          <w:szCs w:val="20"/>
        </w:rPr>
        <w:t>4.02hm</w:t>
      </w:r>
      <w:r>
        <w:rPr>
          <w:rFonts w:hint="eastAsia"/>
          <w:color w:val="FF0000"/>
          <w:spacing w:val="14"/>
          <w:szCs w:val="20"/>
          <w:vertAlign w:val="superscript"/>
        </w:rPr>
        <w:t>2</w:t>
      </w:r>
      <w:r>
        <w:rPr>
          <w:szCs w:val="24"/>
        </w:rPr>
        <w:t>&lt;</w:t>
      </w:r>
      <w:r>
        <w:rPr>
          <w:rFonts w:hint="eastAsia"/>
          <w:szCs w:val="24"/>
        </w:rPr>
        <w:t>2km</w:t>
      </w:r>
      <w:r>
        <w:rPr>
          <w:rFonts w:hint="eastAsia"/>
          <w:szCs w:val="24"/>
          <w:vertAlign w:val="superscript"/>
        </w:rPr>
        <w:t>2</w:t>
      </w:r>
      <w:r>
        <w:rPr>
          <w:rFonts w:hint="eastAsia"/>
          <w:spacing w:val="14"/>
          <w:szCs w:val="20"/>
        </w:rPr>
        <w:t>，</w:t>
      </w:r>
      <w:r>
        <w:t>且</w:t>
      </w:r>
      <w:r>
        <w:rPr>
          <w:rFonts w:hint="eastAsia"/>
        </w:rPr>
        <w:t>不涉及自然保护区和风景名胜区等敏感区域</w:t>
      </w:r>
      <w:r>
        <w:t>。</w:t>
      </w:r>
      <w:r>
        <w:rPr>
          <w:rFonts w:hint="eastAsia"/>
        </w:rPr>
        <w:t>按</w:t>
      </w:r>
      <w:r>
        <w:t>《环境影响评价技术导则</w:t>
      </w:r>
      <w:r>
        <w:rPr>
          <w:rFonts w:hint="eastAsia"/>
        </w:rPr>
        <w:t xml:space="preserve"> </w:t>
      </w:r>
      <w:r>
        <w:t>生态影响》（HJ19</w:t>
      </w:r>
      <w:r>
        <w:rPr>
          <w:rFonts w:hint="eastAsia"/>
        </w:rPr>
        <w:t>-2011</w:t>
      </w:r>
      <w:r>
        <w:t>）</w:t>
      </w:r>
      <w:r>
        <w:rPr>
          <w:rFonts w:hint="eastAsia"/>
        </w:rPr>
        <w:t>中表1初步判别评价级别应为三级。但工程因设置了拦河坝，会导致水文情势发生明显改变，因此根据</w:t>
      </w:r>
      <w:r>
        <w:t>《环境影响评价技术导则</w:t>
      </w:r>
      <w:r>
        <w:rPr>
          <w:rFonts w:hint="eastAsia"/>
        </w:rPr>
        <w:t xml:space="preserve"> </w:t>
      </w:r>
      <w:r>
        <w:t>生态影响》（HJ19</w:t>
      </w:r>
      <w:r>
        <w:rPr>
          <w:rFonts w:hint="eastAsia"/>
        </w:rPr>
        <w:t>-2011</w:t>
      </w:r>
      <w:r>
        <w:t>）</w:t>
      </w:r>
      <w:r>
        <w:rPr>
          <w:rFonts w:hint="eastAsia"/>
        </w:rPr>
        <w:t>4.2.3规定及表1的判别，评价工作等级应上调一级，最终</w:t>
      </w:r>
      <w:r>
        <w:t>确定本项目生态环境影响评价等级为</w:t>
      </w:r>
      <w:r>
        <w:rPr>
          <w:rFonts w:hint="eastAsia"/>
        </w:rPr>
        <w:t>二</w:t>
      </w:r>
      <w:r>
        <w:t>级。</w:t>
      </w:r>
    </w:p>
    <w:p w14:paraId="75A61F2E">
      <w:pPr>
        <w:ind w:firstLine="480"/>
        <w:rPr>
          <w:szCs w:val="24"/>
        </w:rPr>
      </w:pPr>
      <w:r>
        <w:rPr>
          <w:rFonts w:hint="eastAsia"/>
          <w:szCs w:val="24"/>
        </w:rPr>
        <w:t>（2）</w:t>
      </w:r>
      <w:r>
        <w:rPr>
          <w:szCs w:val="24"/>
        </w:rPr>
        <w:t>地表水环境</w:t>
      </w:r>
    </w:p>
    <w:p w14:paraId="33F94CDA">
      <w:pPr>
        <w:ind w:firstLine="480"/>
      </w:pPr>
      <w:r>
        <w:rPr>
          <w:rFonts w:hint="eastAsia"/>
        </w:rPr>
        <w:t>拟建项目施工期废水（包括砂石料加工冲洗废水、混凝土拌和系统冲洗废水和施工人员生活污水）排放量约为121.42m</w:t>
      </w:r>
      <w:r>
        <w:rPr>
          <w:rFonts w:hint="eastAsia"/>
          <w:vertAlign w:val="superscript"/>
        </w:rPr>
        <w:t>3</w:t>
      </w:r>
      <w:r>
        <w:rPr>
          <w:rFonts w:hint="eastAsia"/>
        </w:rPr>
        <w:t>/d，远小于1000m</w:t>
      </w:r>
      <w:r>
        <w:rPr>
          <w:rFonts w:hint="eastAsia"/>
          <w:vertAlign w:val="superscript"/>
        </w:rPr>
        <w:t>3</w:t>
      </w:r>
      <w:r>
        <w:rPr>
          <w:rFonts w:hint="eastAsia"/>
        </w:rPr>
        <w:t>/d，主要污染物为SS、石油类、COD、BOD</w:t>
      </w:r>
      <w:r>
        <w:rPr>
          <w:rFonts w:hint="eastAsia"/>
          <w:vertAlign w:val="subscript"/>
        </w:rPr>
        <w:t>5</w:t>
      </w:r>
      <w:r>
        <w:rPr>
          <w:rFonts w:hint="eastAsia"/>
        </w:rPr>
        <w:t>等，水质较为简单。根据</w:t>
      </w:r>
      <w:r>
        <w:rPr>
          <w:rFonts w:ascii="宋体" w:hAnsi="宋体"/>
        </w:rPr>
        <w:t>《环境影响评价</w:t>
      </w:r>
      <w:r>
        <w:t>技术导则 地面水影响》（HJ/T2.3-93）的</w:t>
      </w:r>
      <w:r>
        <w:rPr>
          <w:rFonts w:hint="eastAsia"/>
        </w:rPr>
        <w:t>评价分级判据，本项目地表水环境影响评价定为三级。</w:t>
      </w:r>
    </w:p>
    <w:p w14:paraId="419125B2">
      <w:pPr>
        <w:ind w:firstLine="480"/>
        <w:rPr>
          <w:szCs w:val="24"/>
        </w:rPr>
      </w:pPr>
      <w:r>
        <w:rPr>
          <w:rFonts w:hint="eastAsia"/>
          <w:szCs w:val="24"/>
        </w:rPr>
        <w:t>（3）</w:t>
      </w:r>
      <w:r>
        <w:rPr>
          <w:szCs w:val="24"/>
        </w:rPr>
        <w:t>地下水环境</w:t>
      </w:r>
    </w:p>
    <w:p w14:paraId="6D0CB37D">
      <w:pPr>
        <w:ind w:firstLine="480"/>
        <w:rPr>
          <w:szCs w:val="24"/>
        </w:rPr>
      </w:pPr>
      <w:r>
        <w:rPr>
          <w:szCs w:val="24"/>
        </w:rPr>
        <w:t>根据《环境影响评价技术导则</w:t>
      </w:r>
      <w:r>
        <w:rPr>
          <w:rFonts w:hint="eastAsia"/>
          <w:szCs w:val="24"/>
        </w:rPr>
        <w:t xml:space="preserve"> </w:t>
      </w:r>
      <w:r>
        <w:rPr>
          <w:szCs w:val="24"/>
        </w:rPr>
        <w:t>地下水环境》（HJ610-20</w:t>
      </w:r>
      <w:r>
        <w:rPr>
          <w:rFonts w:hint="eastAsia"/>
          <w:szCs w:val="24"/>
        </w:rPr>
        <w:t>16</w:t>
      </w:r>
      <w:r>
        <w:rPr>
          <w:szCs w:val="24"/>
        </w:rPr>
        <w:t>）</w:t>
      </w:r>
      <w:r>
        <w:rPr>
          <w:rFonts w:hint="eastAsia"/>
          <w:szCs w:val="24"/>
        </w:rPr>
        <w:t>，拟建项目</w:t>
      </w:r>
      <w:r>
        <w:rPr>
          <w:szCs w:val="24"/>
        </w:rPr>
        <w:t>属于</w:t>
      </w:r>
      <w:r>
        <w:rPr>
          <w:rFonts w:hint="eastAsia" w:ascii="宋体" w:hAnsi="宋体" w:cs="宋体"/>
          <w:szCs w:val="24"/>
        </w:rPr>
        <w:t>Ⅲ</w:t>
      </w:r>
      <w:r>
        <w:rPr>
          <w:szCs w:val="24"/>
        </w:rPr>
        <w:t>类建设</w:t>
      </w:r>
      <w:r>
        <w:rPr>
          <w:rFonts w:hint="eastAsia"/>
          <w:szCs w:val="24"/>
        </w:rPr>
        <w:t>项目</w:t>
      </w:r>
      <w:r>
        <w:rPr>
          <w:szCs w:val="24"/>
        </w:rPr>
        <w:t>。</w:t>
      </w:r>
      <w:r>
        <w:rPr>
          <w:rFonts w:hint="eastAsia"/>
          <w:szCs w:val="24"/>
        </w:rPr>
        <w:t>本项目可能引起地下水水位变化，但工程不取用地下水，评价区不属于敏感及较敏感区域，</w:t>
      </w:r>
      <w:r>
        <w:rPr>
          <w:szCs w:val="24"/>
        </w:rPr>
        <w:t>根据《环境影响评价技术导则</w:t>
      </w:r>
      <w:r>
        <w:rPr>
          <w:rFonts w:hint="eastAsia"/>
          <w:szCs w:val="24"/>
        </w:rPr>
        <w:t xml:space="preserve"> </w:t>
      </w:r>
      <w:r>
        <w:rPr>
          <w:szCs w:val="24"/>
        </w:rPr>
        <w:t>地下水环境》（HJ610-201</w:t>
      </w:r>
      <w:r>
        <w:rPr>
          <w:rFonts w:hint="eastAsia"/>
          <w:szCs w:val="24"/>
        </w:rPr>
        <w:t>6</w:t>
      </w:r>
      <w:r>
        <w:rPr>
          <w:szCs w:val="24"/>
        </w:rPr>
        <w:t>），</w:t>
      </w:r>
      <w:r>
        <w:rPr>
          <w:rFonts w:hint="eastAsia"/>
          <w:szCs w:val="24"/>
        </w:rPr>
        <w:t>本项目地下水环境影响评价工作等级为三级。</w:t>
      </w:r>
    </w:p>
    <w:p w14:paraId="7D951C1F">
      <w:pPr>
        <w:ind w:firstLine="480"/>
      </w:pPr>
      <w:r>
        <w:rPr>
          <w:rFonts w:hint="eastAsia"/>
        </w:rPr>
        <w:t>（4）</w:t>
      </w:r>
      <w:r>
        <w:t>大气环境</w:t>
      </w:r>
    </w:p>
    <w:p w14:paraId="33B45977">
      <w:pPr>
        <w:ind w:firstLine="480"/>
      </w:pPr>
      <w:r>
        <w:rPr>
          <w:rFonts w:hint="eastAsia"/>
        </w:rPr>
        <w:t>评价区地处农村地区，环境敏感程度不高，而且</w:t>
      </w:r>
      <w:r>
        <w:t>大气污染成分单一，仅属临时污染，不会对区域的环境空气造成</w:t>
      </w:r>
      <w:r>
        <w:rPr>
          <w:rFonts w:hint="eastAsia"/>
        </w:rPr>
        <w:t>较大的</w:t>
      </w:r>
      <w:r>
        <w:t>影响</w:t>
      </w:r>
      <w:r>
        <w:rPr>
          <w:rFonts w:hint="eastAsia"/>
        </w:rPr>
        <w:t>；</w:t>
      </w:r>
      <w:r>
        <w:t>运行期则无大气污染物排放，因此依据《环境影响评价技术导则</w:t>
      </w:r>
      <w:r>
        <w:rPr>
          <w:rFonts w:hint="eastAsia"/>
        </w:rPr>
        <w:t xml:space="preserve"> </w:t>
      </w:r>
      <w:r>
        <w:t>大气环境》（HJ2.2-2008）</w:t>
      </w:r>
      <w:r>
        <w:rPr>
          <w:rFonts w:hint="eastAsia"/>
        </w:rPr>
        <w:t>评价等级分级原则</w:t>
      </w:r>
      <w:r>
        <w:t>，</w:t>
      </w:r>
      <w:r>
        <w:rPr>
          <w:rFonts w:hint="eastAsia"/>
        </w:rPr>
        <w:t>本项目施工期大气环境影响评价等级为三级。</w:t>
      </w:r>
    </w:p>
    <w:p w14:paraId="7B8C70BB">
      <w:pPr>
        <w:ind w:firstLine="480"/>
      </w:pPr>
      <w:r>
        <w:rPr>
          <w:rFonts w:hint="eastAsia"/>
        </w:rPr>
        <w:t>（5）</w:t>
      </w:r>
      <w:r>
        <w:t>噪声</w:t>
      </w:r>
    </w:p>
    <w:p w14:paraId="14D6D358">
      <w:pPr>
        <w:ind w:firstLine="480"/>
      </w:pPr>
      <w:r>
        <w:rPr>
          <w:rFonts w:hint="eastAsia"/>
        </w:rPr>
        <w:t>项目施工区处于农村地区，</w:t>
      </w:r>
      <w:r>
        <w:rPr>
          <w:rFonts w:hint="eastAsia"/>
          <w:color w:val="FF0000"/>
        </w:rPr>
        <w:t>电站主厂房南侧39.3m处为龙瑞高速，东北侧约54.5m处为芒瑞大道</w:t>
      </w:r>
      <w:r>
        <w:rPr>
          <w:rFonts w:hint="eastAsia"/>
        </w:rPr>
        <w:t>。</w:t>
      </w:r>
      <w:r>
        <w:t>根据《环境影响评价技术导则 声环境》</w:t>
      </w:r>
      <w:r>
        <w:rPr>
          <w:rFonts w:hint="eastAsia"/>
        </w:rPr>
        <w:t>（</w:t>
      </w:r>
      <w:r>
        <w:t>HJ2.4</w:t>
      </w:r>
      <w:r>
        <w:rPr>
          <w:rFonts w:hint="eastAsia"/>
        </w:rPr>
        <w:t>-</w:t>
      </w:r>
      <w:r>
        <w:t>2009</w:t>
      </w:r>
      <w:r>
        <w:rPr>
          <w:rFonts w:hint="eastAsia"/>
        </w:rPr>
        <w:t>）</w:t>
      </w:r>
      <w:r>
        <w:t>，</w:t>
      </w:r>
      <w:r>
        <w:rPr>
          <w:rFonts w:hint="eastAsia"/>
        </w:rPr>
        <w:t>项目</w:t>
      </w:r>
      <w:r>
        <w:t>声环境影响评价工作等级为</w:t>
      </w:r>
      <w:r>
        <w:rPr>
          <w:rFonts w:hint="eastAsia"/>
        </w:rPr>
        <w:t>二</w:t>
      </w:r>
      <w:r>
        <w:t>级。</w:t>
      </w:r>
    </w:p>
    <w:p w14:paraId="60035769">
      <w:pPr>
        <w:ind w:firstLine="480"/>
      </w:pPr>
      <w:r>
        <w:rPr>
          <w:rFonts w:hint="eastAsia"/>
        </w:rPr>
        <w:t>（6）环境风险</w:t>
      </w:r>
    </w:p>
    <w:p w14:paraId="66D6C324">
      <w:pPr>
        <w:ind w:firstLine="480"/>
      </w:pPr>
      <w:r>
        <w:rPr>
          <w:rFonts w:hint="eastAsia"/>
        </w:rPr>
        <w:t>项目所在地不涉及自然保护区、风景名胜区等环境敏感地区，也无重大危险源，根据《建设项目环境风险评价技术导则》（HJ/T169-2004）中评价工作级别的划分，确定本项目环境风险评价工作等级仅为一般评述。</w:t>
      </w:r>
    </w:p>
    <w:p w14:paraId="68B97450">
      <w:pPr>
        <w:pStyle w:val="82"/>
        <w:framePr w:hSpace="0" w:wrap="auto" w:vAnchor="margin" w:hAnchor="text" w:xAlign="left" w:yAlign="inline"/>
      </w:pPr>
      <w:r>
        <w:t>表1-</w:t>
      </w:r>
      <w:r>
        <w:rPr>
          <w:rFonts w:hint="eastAsia"/>
        </w:rPr>
        <w:t xml:space="preserve">5-1  </w:t>
      </w:r>
      <w:r>
        <w:t>本项目环境影响评价等级及评判依据</w:t>
      </w:r>
    </w:p>
    <w:tbl>
      <w:tblPr>
        <w:tblStyle w:val="56"/>
        <w:tblW w:w="8613"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5953"/>
        <w:gridCol w:w="1134"/>
      </w:tblGrid>
      <w:tr w14:paraId="267748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526" w:type="dxa"/>
            <w:vAlign w:val="center"/>
          </w:tcPr>
          <w:p w14:paraId="7509DAE5">
            <w:pPr>
              <w:pStyle w:val="84"/>
              <w:spacing w:line="276" w:lineRule="auto"/>
            </w:pPr>
            <w:r>
              <w:t>专题</w:t>
            </w:r>
          </w:p>
        </w:tc>
        <w:tc>
          <w:tcPr>
            <w:tcW w:w="5953" w:type="dxa"/>
            <w:vAlign w:val="center"/>
          </w:tcPr>
          <w:p w14:paraId="76AA0F56">
            <w:pPr>
              <w:pStyle w:val="84"/>
              <w:spacing w:line="276" w:lineRule="auto"/>
            </w:pPr>
            <w:r>
              <w:t>判断依据</w:t>
            </w:r>
          </w:p>
        </w:tc>
        <w:tc>
          <w:tcPr>
            <w:tcW w:w="1134" w:type="dxa"/>
            <w:vAlign w:val="center"/>
          </w:tcPr>
          <w:p w14:paraId="443E7E31">
            <w:pPr>
              <w:pStyle w:val="84"/>
              <w:spacing w:line="276" w:lineRule="auto"/>
            </w:pPr>
            <w:r>
              <w:t>等级</w:t>
            </w:r>
          </w:p>
        </w:tc>
      </w:tr>
      <w:tr w14:paraId="161B3E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5CB68A86">
            <w:pPr>
              <w:pStyle w:val="84"/>
              <w:spacing w:line="276" w:lineRule="auto"/>
            </w:pPr>
            <w:r>
              <w:t>环境空气</w:t>
            </w:r>
          </w:p>
        </w:tc>
        <w:tc>
          <w:tcPr>
            <w:tcW w:w="5953" w:type="dxa"/>
            <w:vAlign w:val="center"/>
          </w:tcPr>
          <w:p w14:paraId="3CE75C4E">
            <w:pPr>
              <w:pStyle w:val="84"/>
              <w:spacing w:line="276" w:lineRule="auto"/>
              <w:rPr>
                <w:szCs w:val="21"/>
              </w:rPr>
            </w:pPr>
            <w:r>
              <w:rPr>
                <w:szCs w:val="21"/>
              </w:rPr>
              <w:t>仅在施工期有一定影响</w:t>
            </w:r>
          </w:p>
        </w:tc>
        <w:tc>
          <w:tcPr>
            <w:tcW w:w="1134" w:type="dxa"/>
            <w:vAlign w:val="center"/>
          </w:tcPr>
          <w:p w14:paraId="29D7AF07">
            <w:pPr>
              <w:pStyle w:val="84"/>
              <w:spacing w:line="276" w:lineRule="auto"/>
            </w:pPr>
            <w:r>
              <w:rPr>
                <w:rFonts w:hint="eastAsia"/>
              </w:rPr>
              <w:t>三</w:t>
            </w:r>
            <w:r>
              <w:t>级</w:t>
            </w:r>
          </w:p>
        </w:tc>
      </w:tr>
      <w:tr w14:paraId="34E4A5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180DB94A">
            <w:pPr>
              <w:pStyle w:val="84"/>
              <w:spacing w:line="276" w:lineRule="auto"/>
            </w:pPr>
            <w:r>
              <w:rPr>
                <w:rFonts w:hint="eastAsia"/>
              </w:rPr>
              <w:t>地表水</w:t>
            </w:r>
          </w:p>
        </w:tc>
        <w:tc>
          <w:tcPr>
            <w:tcW w:w="5953" w:type="dxa"/>
            <w:vAlign w:val="center"/>
          </w:tcPr>
          <w:p w14:paraId="56F9839B">
            <w:pPr>
              <w:pStyle w:val="84"/>
              <w:spacing w:line="276" w:lineRule="auto"/>
              <w:rPr>
                <w:szCs w:val="21"/>
              </w:rPr>
            </w:pPr>
            <w:r>
              <w:rPr>
                <w:szCs w:val="21"/>
              </w:rPr>
              <w:t>污水排放量小，</w:t>
            </w:r>
            <w:r>
              <w:rPr>
                <w:rFonts w:hint="eastAsia"/>
                <w:szCs w:val="21"/>
              </w:rPr>
              <w:t>水质较为</w:t>
            </w:r>
            <w:r>
              <w:rPr>
                <w:szCs w:val="21"/>
              </w:rPr>
              <w:t>简单，</w:t>
            </w:r>
            <w:r>
              <w:rPr>
                <w:rFonts w:hint="eastAsia"/>
                <w:szCs w:val="21"/>
              </w:rPr>
              <w:t>经处理后回用，对水质影响不大</w:t>
            </w:r>
          </w:p>
        </w:tc>
        <w:tc>
          <w:tcPr>
            <w:tcW w:w="1134" w:type="dxa"/>
            <w:vAlign w:val="center"/>
          </w:tcPr>
          <w:p w14:paraId="61471876">
            <w:pPr>
              <w:pStyle w:val="84"/>
              <w:spacing w:line="276" w:lineRule="auto"/>
            </w:pPr>
            <w:r>
              <w:rPr>
                <w:rFonts w:hint="eastAsia"/>
              </w:rPr>
              <w:t>三</w:t>
            </w:r>
            <w:r>
              <w:t>级</w:t>
            </w:r>
          </w:p>
        </w:tc>
      </w:tr>
      <w:tr w14:paraId="5C9752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0553601E">
            <w:pPr>
              <w:pStyle w:val="84"/>
              <w:spacing w:line="276" w:lineRule="auto"/>
            </w:pPr>
            <w:r>
              <w:t>地下水</w:t>
            </w:r>
          </w:p>
        </w:tc>
        <w:tc>
          <w:tcPr>
            <w:tcW w:w="5953" w:type="dxa"/>
            <w:vAlign w:val="center"/>
          </w:tcPr>
          <w:p w14:paraId="36B2432E">
            <w:pPr>
              <w:pStyle w:val="84"/>
              <w:spacing w:line="276" w:lineRule="auto"/>
              <w:rPr>
                <w:szCs w:val="21"/>
              </w:rPr>
            </w:pPr>
            <w:r>
              <w:rPr>
                <w:rFonts w:hint="eastAsia"/>
              </w:rPr>
              <w:t>拟建项目</w:t>
            </w:r>
            <w:r>
              <w:t>属于</w:t>
            </w:r>
            <w:r>
              <w:rPr>
                <w:rFonts w:hint="eastAsia"/>
              </w:rPr>
              <w:t>Ⅲ</w:t>
            </w:r>
            <w:r>
              <w:t>类建设</w:t>
            </w:r>
            <w:r>
              <w:rPr>
                <w:rFonts w:hint="eastAsia"/>
              </w:rPr>
              <w:t>项目，地下水环境敏感程度为不敏感</w:t>
            </w:r>
          </w:p>
        </w:tc>
        <w:tc>
          <w:tcPr>
            <w:tcW w:w="1134" w:type="dxa"/>
            <w:vAlign w:val="center"/>
          </w:tcPr>
          <w:p w14:paraId="056D812C">
            <w:pPr>
              <w:pStyle w:val="84"/>
              <w:spacing w:line="276" w:lineRule="auto"/>
            </w:pPr>
            <w:r>
              <w:rPr>
                <w:rFonts w:hint="eastAsia"/>
              </w:rPr>
              <w:t>三</w:t>
            </w:r>
            <w:r>
              <w:t>级</w:t>
            </w:r>
          </w:p>
        </w:tc>
      </w:tr>
      <w:tr w14:paraId="742D85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16D29A6A">
            <w:pPr>
              <w:pStyle w:val="84"/>
              <w:spacing w:line="276" w:lineRule="auto"/>
            </w:pPr>
            <w:r>
              <w:t>声环境</w:t>
            </w:r>
          </w:p>
        </w:tc>
        <w:tc>
          <w:tcPr>
            <w:tcW w:w="5953" w:type="dxa"/>
            <w:vAlign w:val="center"/>
          </w:tcPr>
          <w:p w14:paraId="14A78D90">
            <w:pPr>
              <w:pStyle w:val="84"/>
              <w:spacing w:line="276" w:lineRule="auto"/>
              <w:rPr>
                <w:szCs w:val="21"/>
              </w:rPr>
            </w:pPr>
            <w:r>
              <w:rPr>
                <w:rFonts w:hint="eastAsia"/>
              </w:rPr>
              <w:t>属2类和4a类声环境功能区</w:t>
            </w:r>
          </w:p>
        </w:tc>
        <w:tc>
          <w:tcPr>
            <w:tcW w:w="1134" w:type="dxa"/>
            <w:vAlign w:val="center"/>
          </w:tcPr>
          <w:p w14:paraId="2AB627C3">
            <w:pPr>
              <w:pStyle w:val="84"/>
              <w:spacing w:line="276" w:lineRule="auto"/>
            </w:pPr>
            <w:r>
              <w:rPr>
                <w:rFonts w:hint="eastAsia"/>
              </w:rPr>
              <w:t>二</w:t>
            </w:r>
            <w:r>
              <w:t>级</w:t>
            </w:r>
          </w:p>
        </w:tc>
      </w:tr>
      <w:tr w14:paraId="0C53FD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71A576CB">
            <w:pPr>
              <w:pStyle w:val="84"/>
              <w:spacing w:line="276" w:lineRule="auto"/>
            </w:pPr>
            <w:r>
              <w:t>生态环境</w:t>
            </w:r>
          </w:p>
        </w:tc>
        <w:tc>
          <w:tcPr>
            <w:tcW w:w="5953" w:type="dxa"/>
            <w:vAlign w:val="center"/>
          </w:tcPr>
          <w:p w14:paraId="0898B6E6">
            <w:pPr>
              <w:pStyle w:val="84"/>
              <w:spacing w:line="276" w:lineRule="auto"/>
              <w:rPr>
                <w:szCs w:val="21"/>
              </w:rPr>
            </w:pPr>
            <w:r>
              <w:rPr>
                <w:rFonts w:hint="eastAsia"/>
                <w:szCs w:val="21"/>
              </w:rPr>
              <w:t>占地面积</w:t>
            </w:r>
            <w:r>
              <w:rPr>
                <w:rFonts w:hint="eastAsia"/>
                <w:color w:val="FF0000"/>
                <w:spacing w:val="14"/>
                <w:szCs w:val="21"/>
              </w:rPr>
              <w:t>4.02hm</w:t>
            </w:r>
            <w:r>
              <w:rPr>
                <w:rFonts w:hint="eastAsia"/>
                <w:color w:val="FF0000"/>
                <w:spacing w:val="14"/>
                <w:szCs w:val="21"/>
                <w:vertAlign w:val="superscript"/>
              </w:rPr>
              <w:t>2</w:t>
            </w:r>
            <w:r>
              <w:rPr>
                <w:szCs w:val="21"/>
              </w:rPr>
              <w:t>&lt;</w:t>
            </w:r>
            <w:r>
              <w:rPr>
                <w:rFonts w:hint="eastAsia"/>
                <w:szCs w:val="21"/>
              </w:rPr>
              <w:t>2km</w:t>
            </w:r>
            <w:r>
              <w:rPr>
                <w:rFonts w:hint="eastAsia"/>
                <w:szCs w:val="21"/>
                <w:vertAlign w:val="superscript"/>
              </w:rPr>
              <w:t>2</w:t>
            </w:r>
            <w:r>
              <w:rPr>
                <w:szCs w:val="21"/>
              </w:rPr>
              <w:t>，</w:t>
            </w:r>
            <w:r>
              <w:rPr>
                <w:rFonts w:hint="eastAsia"/>
              </w:rPr>
              <w:t>不涉及自然保护区和风景名胜区等敏感区域</w:t>
            </w:r>
            <w:r>
              <w:rPr>
                <w:rFonts w:hint="eastAsia"/>
                <w:szCs w:val="21"/>
              </w:rPr>
              <w:t>，但</w:t>
            </w:r>
            <w:r>
              <w:rPr>
                <w:rFonts w:hint="eastAsia"/>
              </w:rPr>
              <w:t>会导致水文情势发生明显改变</w:t>
            </w:r>
          </w:p>
        </w:tc>
        <w:tc>
          <w:tcPr>
            <w:tcW w:w="1134" w:type="dxa"/>
            <w:vAlign w:val="center"/>
          </w:tcPr>
          <w:p w14:paraId="43F39108">
            <w:pPr>
              <w:pStyle w:val="84"/>
              <w:spacing w:line="276" w:lineRule="auto"/>
            </w:pPr>
            <w:r>
              <w:rPr>
                <w:rFonts w:hint="eastAsia"/>
              </w:rPr>
              <w:t>二级</w:t>
            </w:r>
          </w:p>
        </w:tc>
      </w:tr>
      <w:tr w14:paraId="2BAABA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6A45B452">
            <w:pPr>
              <w:pStyle w:val="84"/>
              <w:spacing w:line="276" w:lineRule="auto"/>
            </w:pPr>
            <w:r>
              <w:rPr>
                <w:rFonts w:hint="eastAsia"/>
              </w:rPr>
              <w:t>环境风险</w:t>
            </w:r>
          </w:p>
        </w:tc>
        <w:tc>
          <w:tcPr>
            <w:tcW w:w="5953" w:type="dxa"/>
            <w:vAlign w:val="center"/>
          </w:tcPr>
          <w:p w14:paraId="4704D9E6">
            <w:pPr>
              <w:pStyle w:val="84"/>
              <w:spacing w:line="276" w:lineRule="auto"/>
              <w:rPr>
                <w:szCs w:val="21"/>
              </w:rPr>
            </w:pPr>
            <w:r>
              <w:rPr>
                <w:rFonts w:hint="eastAsia"/>
              </w:rPr>
              <w:t>工程区内无重大危险源</w:t>
            </w:r>
            <w:r>
              <w:rPr>
                <w:rFonts w:hint="eastAsia"/>
                <w:szCs w:val="21"/>
              </w:rPr>
              <w:t>，且评价区域不涉及自然保护区、风景名胜区等环境敏感地区</w:t>
            </w:r>
          </w:p>
        </w:tc>
        <w:tc>
          <w:tcPr>
            <w:tcW w:w="1134" w:type="dxa"/>
            <w:vAlign w:val="center"/>
          </w:tcPr>
          <w:p w14:paraId="1E0F0895">
            <w:pPr>
              <w:pStyle w:val="84"/>
              <w:spacing w:line="276" w:lineRule="auto"/>
            </w:pPr>
            <w:r>
              <w:rPr>
                <w:rFonts w:hint="eastAsia"/>
              </w:rPr>
              <w:t>一般评述</w:t>
            </w:r>
          </w:p>
        </w:tc>
      </w:tr>
    </w:tbl>
    <w:p w14:paraId="20F12E4E">
      <w:pPr>
        <w:pStyle w:val="4"/>
        <w:spacing w:before="240"/>
      </w:pPr>
      <w:bookmarkStart w:id="187" w:name="_Toc443655373"/>
      <w:bookmarkStart w:id="188" w:name="_Toc454046470"/>
      <w:bookmarkStart w:id="189" w:name="_Toc397428263"/>
      <w:bookmarkStart w:id="190" w:name="_Toc471737957"/>
      <w:bookmarkStart w:id="191" w:name="_Toc508642408"/>
      <w:bookmarkStart w:id="192" w:name="_Toc443655376"/>
      <w:bookmarkStart w:id="193" w:name="_Toc397428261"/>
      <w:r>
        <w:rPr>
          <w:rFonts w:hint="eastAsia"/>
        </w:rPr>
        <w:t>1.6评价范围</w:t>
      </w:r>
      <w:bookmarkEnd w:id="187"/>
      <w:bookmarkEnd w:id="188"/>
      <w:bookmarkEnd w:id="189"/>
      <w:bookmarkEnd w:id="190"/>
      <w:bookmarkEnd w:id="191"/>
    </w:p>
    <w:p w14:paraId="02C3D2D6">
      <w:pPr>
        <w:ind w:firstLine="480"/>
        <w:jc w:val="left"/>
        <w:rPr>
          <w:szCs w:val="24"/>
        </w:rPr>
      </w:pPr>
      <w:r>
        <w:rPr>
          <w:rFonts w:hint="eastAsia"/>
          <w:szCs w:val="24"/>
        </w:rPr>
        <w:t>（1）</w:t>
      </w:r>
      <w:r>
        <w:rPr>
          <w:szCs w:val="24"/>
        </w:rPr>
        <w:t>生态环境</w:t>
      </w:r>
    </w:p>
    <w:p w14:paraId="5C9D466E">
      <w:pPr>
        <w:ind w:firstLine="480"/>
        <w:jc w:val="left"/>
      </w:pPr>
      <w:r>
        <w:rPr>
          <w:rFonts w:hint="eastAsia"/>
        </w:rPr>
        <w:t>水生生态：水库回水末端至厂房尾水口下游100m之间长约1162m（其中回水长度为1062m）的河段</w:t>
      </w:r>
      <w:r>
        <w:rPr>
          <w:rFonts w:hint="eastAsia"/>
          <w:szCs w:val="24"/>
        </w:rPr>
        <w:t>以及</w:t>
      </w:r>
      <w:r>
        <w:rPr>
          <w:rFonts w:hint="eastAsia"/>
        </w:rPr>
        <w:t>水库壅水区（</w:t>
      </w:r>
      <w:r>
        <w:t>2.</w:t>
      </w:r>
      <w:r>
        <w:rPr>
          <w:rFonts w:hint="eastAsia"/>
        </w:rPr>
        <w:t>12hm</w:t>
      </w:r>
      <w:r>
        <w:rPr>
          <w:rFonts w:hint="eastAsia"/>
          <w:vertAlign w:val="superscript"/>
        </w:rPr>
        <w:t>2</w:t>
      </w:r>
      <w:r>
        <w:rPr>
          <w:rFonts w:hint="eastAsia"/>
        </w:rPr>
        <w:t>）；</w:t>
      </w:r>
    </w:p>
    <w:p w14:paraId="30378BBD">
      <w:pPr>
        <w:ind w:firstLine="480"/>
        <w:jc w:val="left"/>
      </w:pPr>
      <w:r>
        <w:rPr>
          <w:rFonts w:hint="eastAsia"/>
        </w:rPr>
        <w:t>陆生生态：</w:t>
      </w:r>
      <w:r>
        <w:t>工程施工区及其外延</w:t>
      </w:r>
      <w:r>
        <w:rPr>
          <w:rFonts w:hint="eastAsia"/>
        </w:rPr>
        <w:t>2</w:t>
      </w:r>
      <w:r>
        <w:t>00m的范围</w:t>
      </w:r>
      <w:r>
        <w:rPr>
          <w:rFonts w:hint="eastAsia"/>
        </w:rPr>
        <w:t>，陆生生态环境评价范围总面积为86.4hm</w:t>
      </w:r>
      <w:r>
        <w:rPr>
          <w:rFonts w:hint="eastAsia"/>
          <w:vertAlign w:val="superscript"/>
        </w:rPr>
        <w:t>2</w:t>
      </w:r>
      <w:r>
        <w:t>。</w:t>
      </w:r>
    </w:p>
    <w:p w14:paraId="7166A65C">
      <w:pPr>
        <w:ind w:firstLine="480"/>
        <w:jc w:val="left"/>
        <w:rPr>
          <w:szCs w:val="24"/>
        </w:rPr>
      </w:pPr>
      <w:r>
        <w:rPr>
          <w:rFonts w:hint="eastAsia"/>
          <w:szCs w:val="24"/>
        </w:rPr>
        <w:t>（</w:t>
      </w:r>
      <w:r>
        <w:rPr>
          <w:szCs w:val="24"/>
        </w:rPr>
        <w:t>2）水环境</w:t>
      </w:r>
    </w:p>
    <w:p w14:paraId="2B9952B4">
      <w:pPr>
        <w:ind w:firstLine="480"/>
        <w:jc w:val="left"/>
        <w:rPr>
          <w:szCs w:val="24"/>
        </w:rPr>
      </w:pPr>
      <w:r>
        <w:rPr>
          <w:rFonts w:hint="eastAsia"/>
          <w:szCs w:val="24"/>
        </w:rPr>
        <w:t>地表水：</w:t>
      </w:r>
      <w:r>
        <w:rPr>
          <w:rFonts w:hint="eastAsia"/>
        </w:rPr>
        <w:t>水库回水末端至厂房尾水口下游100m之间长约1162m的河段</w:t>
      </w:r>
      <w:r>
        <w:rPr>
          <w:rFonts w:hint="eastAsia"/>
          <w:szCs w:val="24"/>
        </w:rPr>
        <w:t>以及</w:t>
      </w:r>
      <w:r>
        <w:rPr>
          <w:rFonts w:hint="eastAsia"/>
        </w:rPr>
        <w:t>水库壅水区（</w:t>
      </w:r>
      <w:r>
        <w:t>2.</w:t>
      </w:r>
      <w:r>
        <w:rPr>
          <w:rFonts w:hint="eastAsia"/>
        </w:rPr>
        <w:t>12hm</w:t>
      </w:r>
      <w:r>
        <w:rPr>
          <w:rFonts w:hint="eastAsia"/>
          <w:vertAlign w:val="superscript"/>
        </w:rPr>
        <w:t>2</w:t>
      </w:r>
      <w:r>
        <w:rPr>
          <w:rFonts w:hint="eastAsia"/>
        </w:rPr>
        <w:t>）；</w:t>
      </w:r>
    </w:p>
    <w:p w14:paraId="38C6ED14">
      <w:pPr>
        <w:ind w:firstLine="480"/>
        <w:jc w:val="left"/>
        <w:rPr>
          <w:szCs w:val="24"/>
        </w:rPr>
      </w:pPr>
      <w:r>
        <w:rPr>
          <w:rFonts w:hint="eastAsia"/>
          <w:szCs w:val="24"/>
        </w:rPr>
        <w:t>地下水：工程拦河坝淹没区及厂房施工可能影响的区域。</w:t>
      </w:r>
    </w:p>
    <w:p w14:paraId="6AD0AF1A">
      <w:pPr>
        <w:ind w:firstLine="480"/>
        <w:rPr>
          <w:szCs w:val="24"/>
        </w:rPr>
      </w:pPr>
      <w:r>
        <w:rPr>
          <w:rFonts w:hint="eastAsia"/>
          <w:szCs w:val="24"/>
        </w:rPr>
        <w:t>（</w:t>
      </w:r>
      <w:r>
        <w:rPr>
          <w:szCs w:val="24"/>
        </w:rPr>
        <w:t>3）大气环境</w:t>
      </w:r>
    </w:p>
    <w:p w14:paraId="27260DA7">
      <w:pPr>
        <w:ind w:firstLine="480"/>
        <w:rPr>
          <w:color w:val="FF0000"/>
          <w:szCs w:val="24"/>
        </w:rPr>
      </w:pPr>
      <w:r>
        <w:rPr>
          <w:rFonts w:hint="eastAsia"/>
          <w:color w:val="FF0000"/>
          <w:szCs w:val="24"/>
        </w:rPr>
        <w:t>拦河坝、厂区、施工运输道路、施工场地等边界外延200m范围。</w:t>
      </w:r>
    </w:p>
    <w:p w14:paraId="1849B182">
      <w:pPr>
        <w:ind w:firstLine="480"/>
        <w:jc w:val="left"/>
        <w:rPr>
          <w:szCs w:val="24"/>
        </w:rPr>
      </w:pPr>
      <w:r>
        <w:rPr>
          <w:rFonts w:hint="eastAsia"/>
          <w:szCs w:val="24"/>
        </w:rPr>
        <w:t>（</w:t>
      </w:r>
      <w:r>
        <w:rPr>
          <w:szCs w:val="24"/>
        </w:rPr>
        <w:t>4）噪声环境</w:t>
      </w:r>
    </w:p>
    <w:p w14:paraId="1C3C8617">
      <w:pPr>
        <w:ind w:firstLine="480"/>
        <w:jc w:val="left"/>
      </w:pPr>
      <w:r>
        <w:rPr>
          <w:rFonts w:hint="eastAsia"/>
          <w:szCs w:val="24"/>
        </w:rPr>
        <w:t>电站施工区、施工营地及施工运输道路及两侧外延200m范围。</w:t>
      </w:r>
    </w:p>
    <w:p w14:paraId="05F3BAA1">
      <w:pPr>
        <w:ind w:firstLine="480"/>
        <w:rPr>
          <w:szCs w:val="24"/>
        </w:rPr>
      </w:pPr>
      <w:r>
        <w:rPr>
          <w:rFonts w:hint="eastAsia"/>
          <w:szCs w:val="24"/>
        </w:rPr>
        <w:t>拟建</w:t>
      </w:r>
      <w:r>
        <w:rPr>
          <w:szCs w:val="24"/>
        </w:rPr>
        <w:t>项目评价范围具体见附图</w:t>
      </w:r>
      <w:r>
        <w:rPr>
          <w:rFonts w:hint="eastAsia"/>
          <w:szCs w:val="24"/>
        </w:rPr>
        <w:t>4</w:t>
      </w:r>
      <w:r>
        <w:rPr>
          <w:szCs w:val="24"/>
        </w:rPr>
        <w:t>。</w:t>
      </w:r>
    </w:p>
    <w:p w14:paraId="36A246F3">
      <w:pPr>
        <w:pStyle w:val="82"/>
        <w:framePr w:hSpace="0" w:wrap="auto" w:vAnchor="margin" w:hAnchor="text" w:xAlign="left" w:yAlign="inline"/>
      </w:pPr>
      <w:r>
        <w:t>表</w:t>
      </w:r>
      <w:r>
        <w:rPr>
          <w:rFonts w:hint="eastAsia"/>
        </w:rPr>
        <w:t xml:space="preserve">1-6-1  </w:t>
      </w:r>
      <w:r>
        <w:t>评价范围一览表</w:t>
      </w:r>
    </w:p>
    <w:tbl>
      <w:tblPr>
        <w:tblStyle w:val="56"/>
        <w:tblW w:w="819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850"/>
        <w:gridCol w:w="1134"/>
        <w:gridCol w:w="5501"/>
      </w:tblGrid>
      <w:tr w14:paraId="1388C2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694" w:type="dxa"/>
            <w:gridSpan w:val="3"/>
            <w:vAlign w:val="center"/>
          </w:tcPr>
          <w:p w14:paraId="372732D7">
            <w:pPr>
              <w:pStyle w:val="84"/>
            </w:pPr>
            <w:r>
              <w:t>环境要素</w:t>
            </w:r>
          </w:p>
        </w:tc>
        <w:tc>
          <w:tcPr>
            <w:tcW w:w="5501" w:type="dxa"/>
            <w:vAlign w:val="center"/>
          </w:tcPr>
          <w:p w14:paraId="2431AF3F">
            <w:pPr>
              <w:pStyle w:val="84"/>
            </w:pPr>
            <w:r>
              <w:t>评价范围</w:t>
            </w:r>
          </w:p>
        </w:tc>
      </w:tr>
      <w:tr w14:paraId="05B6C1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710" w:type="dxa"/>
            <w:vMerge w:val="restart"/>
            <w:vAlign w:val="center"/>
          </w:tcPr>
          <w:p w14:paraId="18C99834">
            <w:pPr>
              <w:pStyle w:val="84"/>
            </w:pPr>
            <w:r>
              <w:t>水</w:t>
            </w:r>
          </w:p>
          <w:p w14:paraId="2F899B86">
            <w:pPr>
              <w:pStyle w:val="84"/>
            </w:pPr>
            <w:r>
              <w:t>环</w:t>
            </w:r>
          </w:p>
          <w:p w14:paraId="30B64CB0">
            <w:pPr>
              <w:pStyle w:val="84"/>
            </w:pPr>
            <w:r>
              <w:t>境</w:t>
            </w:r>
          </w:p>
        </w:tc>
        <w:tc>
          <w:tcPr>
            <w:tcW w:w="850" w:type="dxa"/>
            <w:vMerge w:val="restart"/>
            <w:vAlign w:val="center"/>
          </w:tcPr>
          <w:p w14:paraId="3F5C0ACE">
            <w:pPr>
              <w:pStyle w:val="84"/>
            </w:pPr>
            <w:r>
              <w:rPr>
                <w:rFonts w:hint="eastAsia"/>
              </w:rPr>
              <w:t>地表水</w:t>
            </w:r>
          </w:p>
        </w:tc>
        <w:tc>
          <w:tcPr>
            <w:tcW w:w="1134" w:type="dxa"/>
            <w:vAlign w:val="center"/>
          </w:tcPr>
          <w:p w14:paraId="1DAD0B5A">
            <w:pPr>
              <w:pStyle w:val="84"/>
            </w:pPr>
            <w:r>
              <w:rPr>
                <w:rFonts w:hint="eastAsia"/>
              </w:rPr>
              <w:t>水质</w:t>
            </w:r>
          </w:p>
        </w:tc>
        <w:tc>
          <w:tcPr>
            <w:tcW w:w="5501" w:type="dxa"/>
            <w:vMerge w:val="restart"/>
            <w:vAlign w:val="center"/>
          </w:tcPr>
          <w:p w14:paraId="5FCE7C33">
            <w:pPr>
              <w:pStyle w:val="84"/>
            </w:pPr>
            <w:r>
              <w:rPr>
                <w:rFonts w:hint="eastAsia"/>
              </w:rPr>
              <w:t>水库回水末端至厂房尾水口下游100m之间长约1162m的河段以及水库壅水区（</w:t>
            </w:r>
            <w:r>
              <w:t>2.</w:t>
            </w:r>
            <w:r>
              <w:rPr>
                <w:rFonts w:hint="eastAsia"/>
              </w:rPr>
              <w:t>12hm</w:t>
            </w:r>
            <w:r>
              <w:rPr>
                <w:rFonts w:hint="eastAsia"/>
                <w:vertAlign w:val="superscript"/>
              </w:rPr>
              <w:t>2</w:t>
            </w:r>
            <w:r>
              <w:rPr>
                <w:rFonts w:hint="eastAsia"/>
              </w:rPr>
              <w:t>）</w:t>
            </w:r>
          </w:p>
        </w:tc>
      </w:tr>
      <w:tr w14:paraId="0C9A12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710" w:type="dxa"/>
            <w:vMerge w:val="continue"/>
            <w:vAlign w:val="center"/>
          </w:tcPr>
          <w:p w14:paraId="3FADBD00">
            <w:pPr>
              <w:pStyle w:val="84"/>
            </w:pPr>
          </w:p>
        </w:tc>
        <w:tc>
          <w:tcPr>
            <w:tcW w:w="850" w:type="dxa"/>
            <w:vMerge w:val="continue"/>
            <w:vAlign w:val="center"/>
          </w:tcPr>
          <w:p w14:paraId="27521CE5">
            <w:pPr>
              <w:pStyle w:val="84"/>
            </w:pPr>
          </w:p>
        </w:tc>
        <w:tc>
          <w:tcPr>
            <w:tcW w:w="1134" w:type="dxa"/>
            <w:vAlign w:val="center"/>
          </w:tcPr>
          <w:p w14:paraId="72B34778">
            <w:pPr>
              <w:pStyle w:val="84"/>
            </w:pPr>
            <w:r>
              <w:rPr>
                <w:rFonts w:hint="eastAsia"/>
              </w:rPr>
              <w:t>水文情势</w:t>
            </w:r>
          </w:p>
        </w:tc>
        <w:tc>
          <w:tcPr>
            <w:tcW w:w="5501" w:type="dxa"/>
            <w:vMerge w:val="continue"/>
            <w:vAlign w:val="center"/>
          </w:tcPr>
          <w:p w14:paraId="5B02859E">
            <w:pPr>
              <w:pStyle w:val="84"/>
            </w:pPr>
          </w:p>
        </w:tc>
      </w:tr>
      <w:tr w14:paraId="521AA1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710" w:type="dxa"/>
            <w:vMerge w:val="continue"/>
            <w:vAlign w:val="center"/>
          </w:tcPr>
          <w:p w14:paraId="0735EC3F">
            <w:pPr>
              <w:pStyle w:val="84"/>
            </w:pPr>
          </w:p>
        </w:tc>
        <w:tc>
          <w:tcPr>
            <w:tcW w:w="1984" w:type="dxa"/>
            <w:gridSpan w:val="2"/>
            <w:vAlign w:val="center"/>
          </w:tcPr>
          <w:p w14:paraId="3F41D0BF">
            <w:pPr>
              <w:pStyle w:val="84"/>
            </w:pPr>
            <w:r>
              <w:rPr>
                <w:rFonts w:hint="eastAsia"/>
              </w:rPr>
              <w:t>地下水</w:t>
            </w:r>
          </w:p>
        </w:tc>
        <w:tc>
          <w:tcPr>
            <w:tcW w:w="5501" w:type="dxa"/>
            <w:vAlign w:val="center"/>
          </w:tcPr>
          <w:p w14:paraId="0C44712E">
            <w:pPr>
              <w:pStyle w:val="84"/>
            </w:pPr>
            <w:r>
              <w:rPr>
                <w:rFonts w:hint="eastAsia"/>
              </w:rPr>
              <w:t>工程拦河坝淹没区及厂房施工可能影响的区域</w:t>
            </w:r>
          </w:p>
        </w:tc>
      </w:tr>
      <w:tr w14:paraId="15C944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710" w:type="dxa"/>
            <w:vMerge w:val="restart"/>
            <w:vAlign w:val="center"/>
          </w:tcPr>
          <w:p w14:paraId="450A66D2">
            <w:pPr>
              <w:pStyle w:val="84"/>
            </w:pPr>
            <w:r>
              <w:t>生态</w:t>
            </w:r>
          </w:p>
          <w:p w14:paraId="24DB663B">
            <w:pPr>
              <w:pStyle w:val="84"/>
            </w:pPr>
            <w:r>
              <w:t>环境</w:t>
            </w:r>
          </w:p>
        </w:tc>
        <w:tc>
          <w:tcPr>
            <w:tcW w:w="1984" w:type="dxa"/>
            <w:gridSpan w:val="2"/>
            <w:vAlign w:val="center"/>
          </w:tcPr>
          <w:p w14:paraId="71227909">
            <w:pPr>
              <w:pStyle w:val="84"/>
            </w:pPr>
            <w:r>
              <w:rPr>
                <w:rFonts w:hint="eastAsia"/>
              </w:rPr>
              <w:t>陆生植被、陆生动植物</w:t>
            </w:r>
          </w:p>
        </w:tc>
        <w:tc>
          <w:tcPr>
            <w:tcW w:w="5501" w:type="dxa"/>
            <w:vAlign w:val="center"/>
          </w:tcPr>
          <w:p w14:paraId="1C6071DB">
            <w:pPr>
              <w:pStyle w:val="84"/>
            </w:pPr>
            <w:r>
              <w:t>工程施工区及其外延</w:t>
            </w:r>
            <w:r>
              <w:rPr>
                <w:rFonts w:hint="eastAsia"/>
              </w:rPr>
              <w:t>2</w:t>
            </w:r>
            <w:r>
              <w:t>00m的范围</w:t>
            </w:r>
            <w:r>
              <w:rPr>
                <w:rFonts w:hint="eastAsia"/>
              </w:rPr>
              <w:t>，陆生生态环境评价范围总面积为86.4hm</w:t>
            </w:r>
            <w:r>
              <w:rPr>
                <w:rFonts w:hint="eastAsia"/>
                <w:vertAlign w:val="superscript"/>
              </w:rPr>
              <w:t>2</w:t>
            </w:r>
          </w:p>
        </w:tc>
      </w:tr>
      <w:tr w14:paraId="7944B5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10" w:type="dxa"/>
            <w:vMerge w:val="continue"/>
            <w:vAlign w:val="center"/>
          </w:tcPr>
          <w:p w14:paraId="547B6B03">
            <w:pPr>
              <w:pStyle w:val="84"/>
            </w:pPr>
          </w:p>
        </w:tc>
        <w:tc>
          <w:tcPr>
            <w:tcW w:w="1984" w:type="dxa"/>
            <w:gridSpan w:val="2"/>
            <w:vAlign w:val="center"/>
          </w:tcPr>
          <w:p w14:paraId="39FCC2B3">
            <w:pPr>
              <w:pStyle w:val="84"/>
            </w:pPr>
            <w:r>
              <w:rPr>
                <w:rFonts w:hint="eastAsia"/>
              </w:rPr>
              <w:t>鱼类</w:t>
            </w:r>
          </w:p>
        </w:tc>
        <w:tc>
          <w:tcPr>
            <w:tcW w:w="5501" w:type="dxa"/>
            <w:vAlign w:val="center"/>
          </w:tcPr>
          <w:p w14:paraId="46EA59FE">
            <w:pPr>
              <w:pStyle w:val="84"/>
            </w:pPr>
            <w:r>
              <w:rPr>
                <w:rFonts w:hint="eastAsia"/>
              </w:rPr>
              <w:t>水库回水末端至厂房尾水口下游100m之间的河段以及水库壅水区</w:t>
            </w:r>
          </w:p>
        </w:tc>
      </w:tr>
      <w:tr w14:paraId="466251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2694" w:type="dxa"/>
            <w:gridSpan w:val="3"/>
            <w:vAlign w:val="center"/>
          </w:tcPr>
          <w:p w14:paraId="475EE94D">
            <w:pPr>
              <w:pStyle w:val="84"/>
              <w:rPr>
                <w:color w:val="FF0000"/>
              </w:rPr>
            </w:pPr>
            <w:r>
              <w:rPr>
                <w:color w:val="FF0000"/>
              </w:rPr>
              <w:t>环境空气</w:t>
            </w:r>
          </w:p>
        </w:tc>
        <w:tc>
          <w:tcPr>
            <w:tcW w:w="5501" w:type="dxa"/>
            <w:vMerge w:val="restart"/>
            <w:vAlign w:val="center"/>
          </w:tcPr>
          <w:p w14:paraId="1E79B2DF">
            <w:pPr>
              <w:pStyle w:val="84"/>
              <w:rPr>
                <w:color w:val="FF0000"/>
              </w:rPr>
            </w:pPr>
            <w:r>
              <w:rPr>
                <w:rFonts w:hint="eastAsia"/>
                <w:color w:val="FF0000"/>
              </w:rPr>
              <w:t>拦河坝、厂区、施工运输道路、施工场地等边界外延200m范围</w:t>
            </w:r>
          </w:p>
        </w:tc>
      </w:tr>
      <w:tr w14:paraId="4C9484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2694" w:type="dxa"/>
            <w:gridSpan w:val="3"/>
            <w:vAlign w:val="center"/>
          </w:tcPr>
          <w:p w14:paraId="7E968D5A">
            <w:pPr>
              <w:pStyle w:val="84"/>
              <w:rPr>
                <w:color w:val="FF0000"/>
              </w:rPr>
            </w:pPr>
            <w:r>
              <w:rPr>
                <w:color w:val="FF0000"/>
              </w:rPr>
              <w:t>声环境</w:t>
            </w:r>
          </w:p>
        </w:tc>
        <w:tc>
          <w:tcPr>
            <w:tcW w:w="5501" w:type="dxa"/>
            <w:vMerge w:val="continue"/>
            <w:vAlign w:val="center"/>
          </w:tcPr>
          <w:p w14:paraId="74DB67B0">
            <w:pPr>
              <w:pStyle w:val="84"/>
              <w:rPr>
                <w:color w:val="FF0000"/>
              </w:rPr>
            </w:pPr>
          </w:p>
        </w:tc>
      </w:tr>
    </w:tbl>
    <w:p w14:paraId="29E3F548">
      <w:pPr>
        <w:pStyle w:val="4"/>
        <w:spacing w:before="240"/>
      </w:pPr>
      <w:bookmarkStart w:id="194" w:name="_Toc508642409"/>
      <w:bookmarkStart w:id="195" w:name="_Toc471737958"/>
      <w:bookmarkStart w:id="196" w:name="_Toc454046471"/>
      <w:r>
        <w:t>1.</w:t>
      </w:r>
      <w:bookmarkStart w:id="197" w:name="_Toc343278815"/>
      <w:bookmarkStart w:id="198" w:name="_Toc443655371"/>
      <w:bookmarkStart w:id="199" w:name="_Toc333869927"/>
      <w:bookmarkStart w:id="200" w:name="_Toc346872391"/>
      <w:bookmarkStart w:id="201" w:name="_Toc352170633"/>
      <w:bookmarkStart w:id="202" w:name="_Toc385867779"/>
      <w:bookmarkStart w:id="203" w:name="_Toc397428262"/>
      <w:r>
        <w:rPr>
          <w:rFonts w:hint="eastAsia"/>
        </w:rPr>
        <w:t>7评价时段</w:t>
      </w:r>
      <w:bookmarkEnd w:id="197"/>
      <w:bookmarkEnd w:id="198"/>
      <w:bookmarkEnd w:id="199"/>
      <w:bookmarkEnd w:id="200"/>
      <w:bookmarkEnd w:id="201"/>
      <w:bookmarkEnd w:id="202"/>
      <w:bookmarkEnd w:id="203"/>
      <w:r>
        <w:rPr>
          <w:rFonts w:hint="eastAsia"/>
        </w:rPr>
        <w:t>与评价重点</w:t>
      </w:r>
      <w:bookmarkEnd w:id="194"/>
      <w:bookmarkEnd w:id="195"/>
      <w:bookmarkEnd w:id="196"/>
    </w:p>
    <w:p w14:paraId="445C14C3">
      <w:pPr>
        <w:pStyle w:val="113"/>
      </w:pPr>
      <w:bookmarkStart w:id="204" w:name="_Toc471737959"/>
      <w:bookmarkStart w:id="205" w:name="_Toc454046472"/>
      <w:bookmarkStart w:id="206" w:name="_Toc508642410"/>
      <w:r>
        <w:rPr>
          <w:rFonts w:hint="eastAsia"/>
        </w:rPr>
        <w:t>1.7.1评价时段</w:t>
      </w:r>
      <w:bookmarkEnd w:id="204"/>
      <w:bookmarkEnd w:id="205"/>
      <w:bookmarkEnd w:id="206"/>
    </w:p>
    <w:p w14:paraId="5A8DCBCD">
      <w:pPr>
        <w:ind w:firstLine="480"/>
        <w:rPr>
          <w:color w:val="FF0000"/>
        </w:rPr>
      </w:pPr>
      <w:r>
        <w:rPr>
          <w:rFonts w:hint="eastAsia"/>
          <w:color w:val="FF0000"/>
        </w:rPr>
        <w:t>（1）现状水平年</w:t>
      </w:r>
    </w:p>
    <w:p w14:paraId="4F1466E9">
      <w:pPr>
        <w:ind w:firstLine="480"/>
        <w:rPr>
          <w:color w:val="FF0000"/>
        </w:rPr>
      </w:pPr>
      <w:r>
        <w:rPr>
          <w:rFonts w:hint="eastAsia"/>
          <w:color w:val="FF0000"/>
        </w:rPr>
        <w:t>拟建项目有关污染源、水环境质量、陆生动植物多样性、鱼类及水生生物多样性等以现状调查与监测时段为准。</w:t>
      </w:r>
    </w:p>
    <w:p w14:paraId="667DD798">
      <w:pPr>
        <w:ind w:firstLine="480"/>
        <w:rPr>
          <w:color w:val="FF0000"/>
        </w:rPr>
      </w:pPr>
      <w:r>
        <w:rPr>
          <w:rFonts w:hint="eastAsia"/>
          <w:color w:val="FF0000"/>
        </w:rPr>
        <w:t>（2）预测水平年</w:t>
      </w:r>
    </w:p>
    <w:p w14:paraId="75333E17">
      <w:pPr>
        <w:ind w:firstLine="480"/>
        <w:rPr>
          <w:color w:val="FF0000"/>
        </w:rPr>
      </w:pPr>
      <w:r>
        <w:rPr>
          <w:rFonts w:hint="eastAsia"/>
          <w:color w:val="FF0000"/>
        </w:rPr>
        <w:t>电站施工期预测水平年为施工高峰年，即2018年；运行期为工程建成投入试运行后。</w:t>
      </w:r>
    </w:p>
    <w:p w14:paraId="41D4359C">
      <w:pPr>
        <w:pStyle w:val="113"/>
      </w:pPr>
      <w:bookmarkStart w:id="207" w:name="_Toc471737960"/>
      <w:bookmarkStart w:id="208" w:name="_Toc508642411"/>
      <w:bookmarkStart w:id="209" w:name="_Toc454046473"/>
      <w:r>
        <w:rPr>
          <w:rFonts w:hint="eastAsia"/>
        </w:rPr>
        <w:t>1.7.2</w:t>
      </w:r>
      <w:r>
        <w:t>评价重点</w:t>
      </w:r>
      <w:bookmarkEnd w:id="192"/>
      <w:bookmarkEnd w:id="193"/>
      <w:bookmarkEnd w:id="207"/>
      <w:bookmarkEnd w:id="208"/>
      <w:bookmarkEnd w:id="209"/>
    </w:p>
    <w:p w14:paraId="5EB6B1DF">
      <w:pPr>
        <w:ind w:firstLine="480"/>
        <w:jc w:val="left"/>
        <w:rPr>
          <w:szCs w:val="24"/>
        </w:rPr>
      </w:pPr>
      <w:r>
        <w:rPr>
          <w:rFonts w:hint="eastAsia"/>
          <w:szCs w:val="24"/>
        </w:rPr>
        <w:t>本次评价重点设置如下：</w:t>
      </w:r>
    </w:p>
    <w:p w14:paraId="1408BB81">
      <w:pPr>
        <w:ind w:firstLine="480"/>
        <w:jc w:val="left"/>
        <w:rPr>
          <w:szCs w:val="24"/>
        </w:rPr>
      </w:pPr>
      <w:r>
        <w:rPr>
          <w:rFonts w:hint="eastAsia" w:ascii="宋体" w:hAnsi="宋体"/>
          <w:szCs w:val="24"/>
        </w:rPr>
        <w:t>①</w:t>
      </w:r>
      <w:r>
        <w:rPr>
          <w:rFonts w:hint="eastAsia"/>
          <w:szCs w:val="24"/>
        </w:rPr>
        <w:t>水环境影响评价：主要包括施工期施工废水和施工生活污水对周围水环境的影响及运行期取水发电对芒市河水质、水文情势及水资源利用的影响评价。</w:t>
      </w:r>
    </w:p>
    <w:p w14:paraId="3624BEF9">
      <w:pPr>
        <w:ind w:firstLine="480"/>
        <w:jc w:val="left"/>
        <w:rPr>
          <w:szCs w:val="24"/>
        </w:rPr>
      </w:pPr>
      <w:r>
        <w:rPr>
          <w:rFonts w:hint="eastAsia" w:ascii="宋体" w:hAnsi="宋体"/>
          <w:szCs w:val="24"/>
        </w:rPr>
        <w:t>②</w:t>
      </w:r>
      <w:r>
        <w:rPr>
          <w:rFonts w:hint="eastAsia"/>
          <w:szCs w:val="24"/>
        </w:rPr>
        <w:t>生态环境影响评价：主要包括对评价区的植被、野生动植物、土地利用等进行现状调查评价和影响预测评价。</w:t>
      </w:r>
    </w:p>
    <w:p w14:paraId="41C46E54">
      <w:pPr>
        <w:pStyle w:val="4"/>
      </w:pPr>
      <w:bookmarkStart w:id="210" w:name="_Toc443655377"/>
      <w:bookmarkStart w:id="211" w:name="_Toc471737961"/>
      <w:bookmarkStart w:id="212" w:name="_Toc454046474"/>
      <w:bookmarkStart w:id="213" w:name="_Toc508642412"/>
      <w:r>
        <w:rPr>
          <w:rFonts w:hint="eastAsia"/>
        </w:rPr>
        <w:t>1.8</w:t>
      </w:r>
      <w:r>
        <w:t>环境保护目标</w:t>
      </w:r>
      <w:bookmarkEnd w:id="161"/>
      <w:bookmarkEnd w:id="210"/>
      <w:bookmarkEnd w:id="211"/>
      <w:bookmarkEnd w:id="212"/>
      <w:bookmarkEnd w:id="213"/>
    </w:p>
    <w:p w14:paraId="76627AA9">
      <w:pPr>
        <w:autoSpaceDE w:val="0"/>
        <w:autoSpaceDN w:val="0"/>
        <w:adjustRightInd w:val="0"/>
        <w:ind w:firstLine="480"/>
        <w:jc w:val="left"/>
      </w:pPr>
      <w:r>
        <w:rPr>
          <w:rFonts w:hint="eastAsia"/>
          <w:szCs w:val="20"/>
        </w:rPr>
        <w:t>工程淹没不涉及移民安置，</w:t>
      </w:r>
      <w:r>
        <w:t>不涉及自然保护区、风景名胜区、基本农田保护区，且评价区没有发现文物古迹和重要工业价值的矿产资源。</w:t>
      </w:r>
    </w:p>
    <w:p w14:paraId="7E748FFB">
      <w:pPr>
        <w:ind w:firstLine="480"/>
      </w:pPr>
      <w:r>
        <w:rPr>
          <w:rFonts w:hint="eastAsia"/>
        </w:rPr>
        <w:t>根</w:t>
      </w:r>
      <w:r>
        <w:t>据云南省林业厅文件</w:t>
      </w:r>
      <w:r>
        <w:rPr>
          <w:rFonts w:hint="eastAsia"/>
        </w:rPr>
        <w:t>《</w:t>
      </w:r>
      <w:r>
        <w:t>关于印发云南省古树名木名录的通知</w:t>
      </w:r>
      <w:r>
        <w:rPr>
          <w:rFonts w:hint="eastAsia"/>
        </w:rPr>
        <w:t>》（</w:t>
      </w:r>
      <w:r>
        <w:t>云林保护字(1996)第65号</w:t>
      </w:r>
      <w:r>
        <w:rPr>
          <w:rFonts w:hint="eastAsia"/>
        </w:rPr>
        <w:t>）</w:t>
      </w:r>
      <w:r>
        <w:t>和实地走访在</w:t>
      </w:r>
      <w:r>
        <w:rPr>
          <w:rFonts w:hint="eastAsia"/>
        </w:rPr>
        <w:t>拟建项目</w:t>
      </w:r>
      <w:r>
        <w:t>工程影响区</w:t>
      </w:r>
      <w:r>
        <w:rPr>
          <w:rFonts w:hint="eastAsia"/>
        </w:rPr>
        <w:t>范围内未发现</w:t>
      </w:r>
      <w:r>
        <w:t>古树名木</w:t>
      </w:r>
      <w:r>
        <w:rPr>
          <w:rFonts w:hint="eastAsia"/>
        </w:rPr>
        <w:t>分布；区内也</w:t>
      </w:r>
      <w:r>
        <w:t>无洄游性的鱼类</w:t>
      </w:r>
      <w:r>
        <w:rPr>
          <w:rFonts w:hint="eastAsia"/>
        </w:rPr>
        <w:t>及鱼类集中“三场”分布；</w:t>
      </w:r>
      <w:r>
        <w:rPr>
          <w:rFonts w:hint="eastAsia" w:ascii="宋体" w:hAnsi="宋体"/>
        </w:rPr>
        <w:t>区内未发现</w:t>
      </w:r>
      <w:r>
        <w:rPr>
          <w:rFonts w:ascii="宋体" w:hAnsi="宋体"/>
        </w:rPr>
        <w:t>区域局域分布的物种</w:t>
      </w:r>
      <w:r>
        <w:rPr>
          <w:rFonts w:hint="eastAsia" w:ascii="宋体" w:hAnsi="宋体"/>
        </w:rPr>
        <w:t>，</w:t>
      </w:r>
      <w:r>
        <w:rPr>
          <w:rFonts w:hint="eastAsia"/>
        </w:rPr>
        <w:t>但发现</w:t>
      </w:r>
      <w:r>
        <w:t>评价区内有</w:t>
      </w:r>
      <w:r>
        <w:rPr>
          <w:rFonts w:hint="eastAsia"/>
        </w:rPr>
        <w:t>2种中国特有属植物，分别是慈竹（</w:t>
      </w:r>
      <w:r>
        <w:rPr>
          <w:i/>
        </w:rPr>
        <w:t>Neosinocalamus affinis</w:t>
      </w:r>
      <w:r>
        <w:rPr>
          <w:rFonts w:hint="eastAsia"/>
        </w:rPr>
        <w:t>）和盾果草（</w:t>
      </w:r>
      <w:r>
        <w:rPr>
          <w:i/>
        </w:rPr>
        <w:t>Thyrocarpus sampsonii Hance</w:t>
      </w:r>
      <w:r>
        <w:rPr>
          <w:rFonts w:hint="eastAsia"/>
        </w:rPr>
        <w:t>）</w:t>
      </w:r>
      <w:r>
        <w:rPr>
          <w:rFonts w:hint="eastAsia" w:ascii="宋体" w:hAnsi="宋体"/>
        </w:rPr>
        <w:t>；</w:t>
      </w:r>
      <w:r>
        <w:rPr>
          <w:rFonts w:hint="eastAsia"/>
        </w:rPr>
        <w:t>此外，评价区内还记录有国家Ⅱ级重点保护动物5种：白鹇（</w:t>
      </w:r>
      <w:r>
        <w:rPr>
          <w:i/>
          <w:kern w:val="0"/>
          <w:szCs w:val="24"/>
        </w:rPr>
        <w:t>Lophura nycthemera</w:t>
      </w:r>
      <w:r>
        <w:rPr>
          <w:rFonts w:hint="eastAsia"/>
        </w:rPr>
        <w:t>）、</w:t>
      </w:r>
      <w:r>
        <w:t>普通鵟</w:t>
      </w:r>
      <w:r>
        <w:rPr>
          <w:kern w:val="0"/>
        </w:rPr>
        <w:t xml:space="preserve"> </w:t>
      </w:r>
      <w:r>
        <w:rPr>
          <w:rFonts w:hint="eastAsia"/>
          <w:kern w:val="0"/>
        </w:rPr>
        <w:t>（</w:t>
      </w:r>
      <w:r>
        <w:rPr>
          <w:i/>
          <w:kern w:val="0"/>
        </w:rPr>
        <w:t>Buteo</w:t>
      </w:r>
      <w:r>
        <w:rPr>
          <w:kern w:val="0"/>
        </w:rPr>
        <w:t xml:space="preserve"> </w:t>
      </w:r>
      <w:r>
        <w:rPr>
          <w:i/>
          <w:kern w:val="0"/>
        </w:rPr>
        <w:t>buteo</w:t>
      </w:r>
      <w:r>
        <w:rPr>
          <w:rFonts w:hint="eastAsia"/>
          <w:kern w:val="0"/>
        </w:rPr>
        <w:t>）</w:t>
      </w:r>
      <w:r>
        <w:rPr>
          <w:rFonts w:hint="eastAsia"/>
          <w:i/>
          <w:kern w:val="0"/>
        </w:rPr>
        <w:t>、</w:t>
      </w:r>
      <w:r>
        <w:t>红隼</w:t>
      </w:r>
      <w:r>
        <w:rPr>
          <w:kern w:val="0"/>
        </w:rPr>
        <w:t xml:space="preserve"> </w:t>
      </w:r>
      <w:r>
        <w:rPr>
          <w:rFonts w:hint="eastAsia"/>
          <w:kern w:val="0"/>
        </w:rPr>
        <w:t>（</w:t>
      </w:r>
      <w:r>
        <w:rPr>
          <w:i/>
          <w:kern w:val="0"/>
        </w:rPr>
        <w:t>Falco</w:t>
      </w:r>
      <w:r>
        <w:rPr>
          <w:kern w:val="0"/>
        </w:rPr>
        <w:t xml:space="preserve"> </w:t>
      </w:r>
      <w:r>
        <w:rPr>
          <w:i/>
          <w:kern w:val="0"/>
        </w:rPr>
        <w:t>tinnunculus</w:t>
      </w:r>
      <w:r>
        <w:rPr>
          <w:rFonts w:hint="eastAsia"/>
          <w:kern w:val="0"/>
        </w:rPr>
        <w:t>）</w:t>
      </w:r>
      <w:r>
        <w:rPr>
          <w:rFonts w:hint="eastAsia"/>
          <w:i/>
          <w:kern w:val="0"/>
        </w:rPr>
        <w:t>、</w:t>
      </w:r>
      <w:r>
        <w:rPr>
          <w:rFonts w:hint="eastAsia"/>
        </w:rPr>
        <w:t>褐翅鸦鹃</w:t>
      </w:r>
      <w:r>
        <w:rPr>
          <w:rFonts w:hint="eastAsia"/>
          <w:kern w:val="0"/>
        </w:rPr>
        <w:t>（</w:t>
      </w:r>
      <w:r>
        <w:rPr>
          <w:rFonts w:hint="eastAsia"/>
          <w:i/>
        </w:rPr>
        <w:t>Centropus sinensis intermedius</w:t>
      </w:r>
      <w:r>
        <w:rPr>
          <w:rFonts w:hint="eastAsia"/>
          <w:kern w:val="0"/>
        </w:rPr>
        <w:t>）</w:t>
      </w:r>
      <w:r>
        <w:rPr>
          <w:rFonts w:hint="eastAsia"/>
          <w:i/>
        </w:rPr>
        <w:t>、</w:t>
      </w:r>
      <w:r>
        <w:rPr>
          <w:rFonts w:hint="eastAsia"/>
        </w:rPr>
        <w:t>领角鸮</w:t>
      </w:r>
      <w:r>
        <w:rPr>
          <w:rFonts w:hint="eastAsia"/>
          <w:kern w:val="0"/>
        </w:rPr>
        <w:t>（</w:t>
      </w:r>
      <w:r>
        <w:rPr>
          <w:rFonts w:hint="eastAsia"/>
          <w:i/>
        </w:rPr>
        <w:t>Otus bakkamoena erythrocampe</w:t>
      </w:r>
      <w:r>
        <w:rPr>
          <w:rFonts w:hint="eastAsia"/>
          <w:kern w:val="0"/>
        </w:rPr>
        <w:t>）</w:t>
      </w:r>
      <w:r>
        <w:rPr>
          <w:rFonts w:hint="eastAsia"/>
        </w:rPr>
        <w:t>；“易危”(V)物种2种：</w:t>
      </w:r>
      <w:r>
        <w:rPr>
          <w:rFonts w:hint="eastAsia"/>
          <w:szCs w:val="24"/>
        </w:rPr>
        <w:t>绿锦蛇（</w:t>
      </w:r>
      <w:r>
        <w:rPr>
          <w:i/>
          <w:szCs w:val="24"/>
        </w:rPr>
        <w:t>Elaphe prasina</w:t>
      </w:r>
      <w:r>
        <w:rPr>
          <w:rFonts w:hint="eastAsia"/>
          <w:szCs w:val="24"/>
        </w:rPr>
        <w:t>）、灰鼠蛇（</w:t>
      </w:r>
      <w:r>
        <w:rPr>
          <w:rFonts w:hint="eastAsia"/>
          <w:i/>
          <w:szCs w:val="24"/>
        </w:rPr>
        <w:t>Ptyas korros</w:t>
      </w:r>
      <w:r>
        <w:rPr>
          <w:rFonts w:hint="eastAsia"/>
          <w:szCs w:val="24"/>
        </w:rPr>
        <w:t>）</w:t>
      </w:r>
      <w:r>
        <w:rPr>
          <w:rFonts w:hint="eastAsia"/>
        </w:rPr>
        <w:t>；云南省省级保护动物1种：</w:t>
      </w:r>
      <w:r>
        <w:rPr>
          <w:rFonts w:hint="eastAsia"/>
          <w:szCs w:val="24"/>
        </w:rPr>
        <w:t>孟加拉眼镜蛇（</w:t>
      </w:r>
      <w:r>
        <w:rPr>
          <w:i/>
        </w:rPr>
        <w:t>Naja kaouthia</w:t>
      </w:r>
      <w:r>
        <w:rPr>
          <w:rFonts w:hint="eastAsia"/>
          <w:szCs w:val="24"/>
        </w:rPr>
        <w:t>）</w:t>
      </w:r>
      <w:r>
        <w:rPr>
          <w:rFonts w:hint="eastAsia"/>
        </w:rPr>
        <w:t>。</w:t>
      </w:r>
    </w:p>
    <w:p w14:paraId="3A119EA6">
      <w:pPr>
        <w:ind w:firstLine="480"/>
        <w:rPr>
          <w:kern w:val="0"/>
        </w:rPr>
      </w:pPr>
      <w:r>
        <w:rPr>
          <w:kern w:val="0"/>
        </w:rPr>
        <w:t>结合工程施工和运行影响途径的特点，电站主要环境保护对象</w:t>
      </w:r>
      <w:r>
        <w:rPr>
          <w:rFonts w:hint="eastAsia"/>
          <w:kern w:val="0"/>
        </w:rPr>
        <w:t>见下表：</w:t>
      </w:r>
    </w:p>
    <w:p w14:paraId="2651CBD5">
      <w:pPr>
        <w:ind w:firstLine="0" w:firstLineChars="0"/>
        <w:jc w:val="center"/>
        <w:rPr>
          <w:rFonts w:eastAsia="黑体"/>
          <w:sz w:val="21"/>
          <w:szCs w:val="24"/>
        </w:rPr>
      </w:pPr>
      <w:r>
        <w:rPr>
          <w:rFonts w:eastAsia="黑体"/>
          <w:sz w:val="21"/>
          <w:szCs w:val="24"/>
        </w:rPr>
        <w:t>表1-</w:t>
      </w:r>
      <w:r>
        <w:rPr>
          <w:rFonts w:hint="eastAsia" w:eastAsia="黑体"/>
          <w:sz w:val="21"/>
          <w:szCs w:val="24"/>
        </w:rPr>
        <w:t>8-1</w:t>
      </w:r>
      <w:r>
        <w:rPr>
          <w:rFonts w:eastAsia="黑体"/>
          <w:sz w:val="21"/>
          <w:szCs w:val="24"/>
        </w:rPr>
        <w:t xml:space="preserve">  </w:t>
      </w:r>
      <w:r>
        <w:rPr>
          <w:rFonts w:hint="eastAsia" w:eastAsia="黑体"/>
          <w:sz w:val="21"/>
          <w:szCs w:val="24"/>
        </w:rPr>
        <w:t>拟建工程</w:t>
      </w:r>
      <w:r>
        <w:rPr>
          <w:rFonts w:eastAsia="黑体"/>
          <w:sz w:val="21"/>
          <w:szCs w:val="24"/>
        </w:rPr>
        <w:t>环境保护目标一览表</w:t>
      </w:r>
    </w:p>
    <w:tbl>
      <w:tblPr>
        <w:tblStyle w:val="56"/>
        <w:tblW w:w="5421"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275"/>
        <w:gridCol w:w="1700"/>
        <w:gridCol w:w="3051"/>
        <w:gridCol w:w="2048"/>
      </w:tblGrid>
      <w:tr w14:paraId="0B300E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6" w:hRule="atLeast"/>
          <w:tblHeader/>
          <w:jc w:val="center"/>
        </w:trPr>
        <w:tc>
          <w:tcPr>
            <w:tcW w:w="631" w:type="pct"/>
            <w:vAlign w:val="center"/>
          </w:tcPr>
          <w:p w14:paraId="0E4CEEA3">
            <w:pPr>
              <w:widowControl/>
              <w:spacing w:line="240" w:lineRule="auto"/>
              <w:ind w:firstLine="0" w:firstLineChars="0"/>
              <w:jc w:val="center"/>
              <w:rPr>
                <w:rFonts w:eastAsia="仿宋"/>
                <w:sz w:val="21"/>
                <w:szCs w:val="24"/>
              </w:rPr>
            </w:pPr>
            <w:r>
              <w:rPr>
                <w:rFonts w:eastAsia="仿宋"/>
                <w:sz w:val="21"/>
                <w:szCs w:val="24"/>
              </w:rPr>
              <w:t>环境要素</w:t>
            </w:r>
          </w:p>
        </w:tc>
        <w:tc>
          <w:tcPr>
            <w:tcW w:w="690" w:type="pct"/>
            <w:vAlign w:val="center"/>
          </w:tcPr>
          <w:p w14:paraId="4E3F2E33">
            <w:pPr>
              <w:widowControl/>
              <w:spacing w:line="240" w:lineRule="auto"/>
              <w:ind w:firstLine="0" w:firstLineChars="0"/>
              <w:jc w:val="center"/>
              <w:rPr>
                <w:rFonts w:eastAsia="仿宋"/>
                <w:sz w:val="21"/>
                <w:szCs w:val="24"/>
              </w:rPr>
            </w:pPr>
            <w:r>
              <w:rPr>
                <w:rFonts w:eastAsia="仿宋"/>
                <w:sz w:val="21"/>
                <w:szCs w:val="24"/>
              </w:rPr>
              <w:t>保护对象</w:t>
            </w:r>
          </w:p>
        </w:tc>
        <w:tc>
          <w:tcPr>
            <w:tcW w:w="920" w:type="pct"/>
            <w:vAlign w:val="center"/>
          </w:tcPr>
          <w:p w14:paraId="46285DD7">
            <w:pPr>
              <w:widowControl/>
              <w:spacing w:line="240" w:lineRule="auto"/>
              <w:ind w:firstLine="0" w:firstLineChars="0"/>
              <w:jc w:val="center"/>
              <w:rPr>
                <w:rFonts w:eastAsia="仿宋"/>
                <w:sz w:val="21"/>
                <w:szCs w:val="24"/>
              </w:rPr>
            </w:pPr>
            <w:r>
              <w:rPr>
                <w:rFonts w:eastAsia="仿宋"/>
                <w:sz w:val="21"/>
                <w:szCs w:val="24"/>
              </w:rPr>
              <w:t>位置</w:t>
            </w:r>
          </w:p>
        </w:tc>
        <w:tc>
          <w:tcPr>
            <w:tcW w:w="1651" w:type="pct"/>
            <w:vAlign w:val="center"/>
          </w:tcPr>
          <w:p w14:paraId="27A5B170">
            <w:pPr>
              <w:widowControl/>
              <w:spacing w:line="240" w:lineRule="auto"/>
              <w:ind w:firstLine="0" w:firstLineChars="0"/>
              <w:jc w:val="center"/>
              <w:rPr>
                <w:rFonts w:eastAsia="仿宋"/>
                <w:sz w:val="21"/>
                <w:szCs w:val="24"/>
              </w:rPr>
            </w:pPr>
            <w:r>
              <w:rPr>
                <w:rFonts w:eastAsia="仿宋"/>
                <w:sz w:val="21"/>
                <w:szCs w:val="24"/>
              </w:rPr>
              <w:t>保护</w:t>
            </w:r>
            <w:r>
              <w:rPr>
                <w:rFonts w:hint="eastAsia" w:eastAsia="仿宋"/>
                <w:sz w:val="21"/>
                <w:szCs w:val="24"/>
              </w:rPr>
              <w:t>内容及要求</w:t>
            </w:r>
          </w:p>
        </w:tc>
        <w:tc>
          <w:tcPr>
            <w:tcW w:w="1108" w:type="pct"/>
            <w:vAlign w:val="center"/>
          </w:tcPr>
          <w:p w14:paraId="192B59AA">
            <w:pPr>
              <w:widowControl/>
              <w:spacing w:line="240" w:lineRule="auto"/>
              <w:ind w:firstLine="0" w:firstLineChars="0"/>
              <w:jc w:val="center"/>
              <w:rPr>
                <w:rFonts w:eastAsia="仿宋"/>
                <w:sz w:val="21"/>
                <w:szCs w:val="24"/>
              </w:rPr>
            </w:pPr>
            <w:r>
              <w:rPr>
                <w:rFonts w:eastAsia="仿宋"/>
                <w:sz w:val="21"/>
                <w:szCs w:val="24"/>
              </w:rPr>
              <w:t>影响途径</w:t>
            </w:r>
          </w:p>
        </w:tc>
      </w:tr>
      <w:tr w14:paraId="056D59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631" w:type="pct"/>
            <w:vMerge w:val="restart"/>
            <w:vAlign w:val="center"/>
          </w:tcPr>
          <w:p w14:paraId="5E6D6714">
            <w:pPr>
              <w:widowControl/>
              <w:spacing w:line="240" w:lineRule="auto"/>
              <w:ind w:firstLine="0" w:firstLineChars="0"/>
              <w:jc w:val="center"/>
              <w:rPr>
                <w:rFonts w:eastAsia="仿宋"/>
                <w:sz w:val="21"/>
                <w:szCs w:val="24"/>
              </w:rPr>
            </w:pPr>
            <w:r>
              <w:rPr>
                <w:rFonts w:eastAsia="仿宋"/>
                <w:sz w:val="21"/>
                <w:szCs w:val="24"/>
              </w:rPr>
              <w:t>生</w:t>
            </w:r>
          </w:p>
          <w:p w14:paraId="378AC5A5">
            <w:pPr>
              <w:widowControl/>
              <w:spacing w:line="240" w:lineRule="auto"/>
              <w:ind w:firstLine="0" w:firstLineChars="0"/>
              <w:jc w:val="center"/>
              <w:rPr>
                <w:rFonts w:eastAsia="仿宋"/>
                <w:sz w:val="21"/>
                <w:szCs w:val="24"/>
              </w:rPr>
            </w:pPr>
            <w:r>
              <w:rPr>
                <w:rFonts w:eastAsia="仿宋"/>
                <w:sz w:val="21"/>
                <w:szCs w:val="24"/>
              </w:rPr>
              <w:t>态</w:t>
            </w:r>
          </w:p>
          <w:p w14:paraId="50EEBE1D">
            <w:pPr>
              <w:widowControl/>
              <w:spacing w:line="240" w:lineRule="auto"/>
              <w:ind w:firstLine="0" w:firstLineChars="0"/>
              <w:jc w:val="center"/>
              <w:rPr>
                <w:rFonts w:eastAsia="仿宋"/>
                <w:sz w:val="21"/>
                <w:szCs w:val="24"/>
              </w:rPr>
            </w:pPr>
            <w:r>
              <w:rPr>
                <w:rFonts w:eastAsia="仿宋"/>
                <w:sz w:val="21"/>
                <w:szCs w:val="24"/>
              </w:rPr>
              <w:t>环</w:t>
            </w:r>
          </w:p>
          <w:p w14:paraId="41B4E199">
            <w:pPr>
              <w:widowControl/>
              <w:spacing w:line="240" w:lineRule="auto"/>
              <w:ind w:firstLine="0" w:firstLineChars="0"/>
              <w:jc w:val="center"/>
              <w:rPr>
                <w:rFonts w:eastAsia="仿宋"/>
                <w:sz w:val="21"/>
                <w:szCs w:val="24"/>
              </w:rPr>
            </w:pPr>
            <w:r>
              <w:rPr>
                <w:rFonts w:eastAsia="仿宋"/>
                <w:sz w:val="21"/>
                <w:szCs w:val="24"/>
              </w:rPr>
              <w:t>境</w:t>
            </w:r>
          </w:p>
        </w:tc>
        <w:tc>
          <w:tcPr>
            <w:tcW w:w="690" w:type="pct"/>
            <w:vAlign w:val="center"/>
          </w:tcPr>
          <w:p w14:paraId="03911021">
            <w:pPr>
              <w:widowControl/>
              <w:spacing w:line="240" w:lineRule="auto"/>
              <w:ind w:firstLine="0" w:firstLineChars="0"/>
              <w:jc w:val="center"/>
              <w:rPr>
                <w:rFonts w:eastAsia="仿宋"/>
                <w:sz w:val="21"/>
                <w:szCs w:val="24"/>
              </w:rPr>
            </w:pPr>
            <w:r>
              <w:rPr>
                <w:rFonts w:eastAsia="仿宋"/>
                <w:sz w:val="21"/>
                <w:szCs w:val="24"/>
              </w:rPr>
              <w:t>陆生植被</w:t>
            </w:r>
            <w:r>
              <w:rPr>
                <w:rFonts w:hint="eastAsia" w:eastAsia="仿宋"/>
                <w:sz w:val="21"/>
                <w:szCs w:val="24"/>
              </w:rPr>
              <w:t>与植物资源</w:t>
            </w:r>
          </w:p>
        </w:tc>
        <w:tc>
          <w:tcPr>
            <w:tcW w:w="920" w:type="pct"/>
            <w:vAlign w:val="center"/>
          </w:tcPr>
          <w:p w14:paraId="2C18033F">
            <w:pPr>
              <w:widowControl/>
              <w:spacing w:line="240" w:lineRule="auto"/>
              <w:ind w:firstLine="0" w:firstLineChars="0"/>
              <w:jc w:val="center"/>
              <w:rPr>
                <w:rFonts w:eastAsia="仿宋"/>
                <w:sz w:val="21"/>
                <w:szCs w:val="24"/>
              </w:rPr>
            </w:pPr>
            <w:r>
              <w:rPr>
                <w:rFonts w:hint="eastAsia" w:eastAsia="仿宋"/>
                <w:sz w:val="21"/>
                <w:szCs w:val="24"/>
              </w:rPr>
              <w:t>评价区范围内</w:t>
            </w:r>
          </w:p>
        </w:tc>
        <w:tc>
          <w:tcPr>
            <w:tcW w:w="1651" w:type="pct"/>
            <w:vAlign w:val="center"/>
          </w:tcPr>
          <w:p w14:paraId="56ABFD9A">
            <w:pPr>
              <w:widowControl/>
              <w:spacing w:line="240" w:lineRule="auto"/>
              <w:ind w:firstLine="0" w:firstLineChars="0"/>
              <w:jc w:val="center"/>
              <w:rPr>
                <w:rFonts w:eastAsia="仿宋"/>
                <w:sz w:val="21"/>
                <w:szCs w:val="24"/>
              </w:rPr>
            </w:pPr>
            <w:r>
              <w:rPr>
                <w:rFonts w:eastAsia="仿宋"/>
                <w:sz w:val="21"/>
                <w:szCs w:val="24"/>
              </w:rPr>
              <w:t>减少工程施工、占地对植被的影响</w:t>
            </w:r>
            <w:r>
              <w:rPr>
                <w:rFonts w:hint="eastAsia" w:eastAsia="仿宋"/>
                <w:sz w:val="21"/>
                <w:szCs w:val="24"/>
              </w:rPr>
              <w:t>，不超范围占地；保护区内的</w:t>
            </w:r>
            <w:r>
              <w:rPr>
                <w:rStyle w:val="85"/>
                <w:rFonts w:hint="eastAsia"/>
                <w:sz w:val="21"/>
              </w:rPr>
              <w:t>中国特有属植物：慈竹和盾果草</w:t>
            </w:r>
          </w:p>
        </w:tc>
        <w:tc>
          <w:tcPr>
            <w:tcW w:w="1108" w:type="pct"/>
            <w:vMerge w:val="restart"/>
            <w:vAlign w:val="center"/>
          </w:tcPr>
          <w:p w14:paraId="0F12A191">
            <w:pPr>
              <w:widowControl/>
              <w:spacing w:line="240" w:lineRule="auto"/>
              <w:ind w:firstLine="0" w:firstLineChars="0"/>
              <w:jc w:val="center"/>
              <w:rPr>
                <w:rFonts w:eastAsia="仿宋"/>
                <w:sz w:val="21"/>
                <w:szCs w:val="24"/>
              </w:rPr>
            </w:pPr>
            <w:r>
              <w:rPr>
                <w:rFonts w:eastAsia="仿宋"/>
                <w:sz w:val="21"/>
                <w:szCs w:val="24"/>
              </w:rPr>
              <w:t>工程施工、占地及蓄水淹没</w:t>
            </w:r>
            <w:r>
              <w:rPr>
                <w:rFonts w:hint="eastAsia" w:eastAsia="仿宋"/>
                <w:sz w:val="21"/>
                <w:szCs w:val="24"/>
              </w:rPr>
              <w:t>、交通运输等活动</w:t>
            </w:r>
          </w:p>
        </w:tc>
      </w:tr>
      <w:tr w14:paraId="43144B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631" w:type="pct"/>
            <w:vMerge w:val="continue"/>
            <w:vAlign w:val="center"/>
          </w:tcPr>
          <w:p w14:paraId="24DDDB4D">
            <w:pPr>
              <w:widowControl/>
              <w:spacing w:line="240" w:lineRule="auto"/>
              <w:ind w:firstLine="0" w:firstLineChars="0"/>
              <w:jc w:val="center"/>
              <w:rPr>
                <w:rFonts w:eastAsia="仿宋"/>
                <w:sz w:val="21"/>
                <w:szCs w:val="24"/>
              </w:rPr>
            </w:pPr>
          </w:p>
        </w:tc>
        <w:tc>
          <w:tcPr>
            <w:tcW w:w="690" w:type="pct"/>
            <w:vAlign w:val="center"/>
          </w:tcPr>
          <w:p w14:paraId="2DFBDFA8">
            <w:pPr>
              <w:widowControl/>
              <w:spacing w:line="240" w:lineRule="auto"/>
              <w:ind w:firstLine="0" w:firstLineChars="0"/>
              <w:jc w:val="center"/>
              <w:rPr>
                <w:rFonts w:eastAsia="仿宋"/>
                <w:sz w:val="21"/>
                <w:szCs w:val="24"/>
              </w:rPr>
            </w:pPr>
            <w:r>
              <w:rPr>
                <w:rFonts w:eastAsia="仿宋"/>
                <w:sz w:val="21"/>
                <w:szCs w:val="24"/>
              </w:rPr>
              <w:t>陆生脊椎</w:t>
            </w:r>
          </w:p>
          <w:p w14:paraId="5941D3C1">
            <w:pPr>
              <w:widowControl/>
              <w:spacing w:line="240" w:lineRule="auto"/>
              <w:ind w:firstLine="0" w:firstLineChars="0"/>
              <w:jc w:val="center"/>
              <w:rPr>
                <w:rFonts w:eastAsia="仿宋"/>
                <w:sz w:val="21"/>
                <w:szCs w:val="24"/>
              </w:rPr>
            </w:pPr>
            <w:r>
              <w:rPr>
                <w:rFonts w:eastAsia="仿宋"/>
                <w:sz w:val="21"/>
                <w:szCs w:val="24"/>
              </w:rPr>
              <w:t>动物</w:t>
            </w:r>
          </w:p>
        </w:tc>
        <w:tc>
          <w:tcPr>
            <w:tcW w:w="920" w:type="pct"/>
            <w:vAlign w:val="center"/>
          </w:tcPr>
          <w:p w14:paraId="5326022E">
            <w:pPr>
              <w:widowControl/>
              <w:spacing w:line="240" w:lineRule="auto"/>
              <w:ind w:firstLine="0" w:firstLineChars="0"/>
              <w:jc w:val="center"/>
              <w:rPr>
                <w:rFonts w:eastAsia="仿宋"/>
                <w:sz w:val="21"/>
                <w:szCs w:val="24"/>
              </w:rPr>
            </w:pPr>
            <w:r>
              <w:rPr>
                <w:rFonts w:hint="eastAsia" w:eastAsia="仿宋"/>
                <w:sz w:val="21"/>
                <w:szCs w:val="24"/>
              </w:rPr>
              <w:t>评价区范围内</w:t>
            </w:r>
          </w:p>
        </w:tc>
        <w:tc>
          <w:tcPr>
            <w:tcW w:w="1651" w:type="pct"/>
            <w:vAlign w:val="center"/>
          </w:tcPr>
          <w:p w14:paraId="33124E18">
            <w:pPr>
              <w:pStyle w:val="84"/>
            </w:pPr>
            <w:r>
              <w:rPr>
                <w:rFonts w:hint="eastAsia"/>
              </w:rPr>
              <w:t>国家Ⅱ级重点保护动物：白鹇、</w:t>
            </w:r>
            <w:r>
              <w:t>普通鵟</w:t>
            </w:r>
            <w:r>
              <w:rPr>
                <w:rFonts w:hint="eastAsia"/>
                <w:i/>
                <w:kern w:val="0"/>
              </w:rPr>
              <w:t>、</w:t>
            </w:r>
            <w:r>
              <w:t>红隼</w:t>
            </w:r>
            <w:r>
              <w:rPr>
                <w:rFonts w:hint="eastAsia"/>
                <w:i/>
                <w:kern w:val="0"/>
              </w:rPr>
              <w:t>、</w:t>
            </w:r>
            <w:r>
              <w:rPr>
                <w:rFonts w:hint="eastAsia"/>
              </w:rPr>
              <w:t>褐翅鸦鹃</w:t>
            </w:r>
            <w:r>
              <w:rPr>
                <w:rFonts w:hint="eastAsia"/>
                <w:i/>
              </w:rPr>
              <w:t>、</w:t>
            </w:r>
            <w:r>
              <w:rPr>
                <w:rFonts w:hint="eastAsia"/>
              </w:rPr>
              <w:t>领角鸮；“易危”(V)物种：绿锦蛇、灰鼠蛇；云南省省级保护动物：孟加拉眼镜蛇</w:t>
            </w:r>
          </w:p>
        </w:tc>
        <w:tc>
          <w:tcPr>
            <w:tcW w:w="1108" w:type="pct"/>
            <w:vMerge w:val="continue"/>
            <w:vAlign w:val="center"/>
          </w:tcPr>
          <w:p w14:paraId="737F5536">
            <w:pPr>
              <w:widowControl/>
              <w:spacing w:line="240" w:lineRule="auto"/>
              <w:ind w:firstLine="0" w:firstLineChars="0"/>
              <w:jc w:val="center"/>
              <w:rPr>
                <w:rFonts w:eastAsia="仿宋"/>
                <w:sz w:val="21"/>
                <w:szCs w:val="24"/>
              </w:rPr>
            </w:pPr>
          </w:p>
        </w:tc>
      </w:tr>
      <w:tr w14:paraId="5B92AD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631" w:type="pct"/>
            <w:vMerge w:val="continue"/>
            <w:vAlign w:val="center"/>
          </w:tcPr>
          <w:p w14:paraId="68891B53">
            <w:pPr>
              <w:widowControl/>
              <w:spacing w:line="240" w:lineRule="auto"/>
              <w:ind w:firstLine="0" w:firstLineChars="0"/>
              <w:jc w:val="center"/>
              <w:rPr>
                <w:rFonts w:eastAsia="仿宋"/>
                <w:sz w:val="21"/>
                <w:szCs w:val="24"/>
              </w:rPr>
            </w:pPr>
          </w:p>
        </w:tc>
        <w:tc>
          <w:tcPr>
            <w:tcW w:w="690" w:type="pct"/>
            <w:vAlign w:val="center"/>
          </w:tcPr>
          <w:p w14:paraId="73C5FC8D">
            <w:pPr>
              <w:widowControl/>
              <w:spacing w:line="240" w:lineRule="auto"/>
              <w:ind w:firstLine="0" w:firstLineChars="0"/>
              <w:jc w:val="center"/>
              <w:rPr>
                <w:rFonts w:eastAsia="仿宋"/>
                <w:sz w:val="21"/>
                <w:szCs w:val="24"/>
              </w:rPr>
            </w:pPr>
            <w:r>
              <w:rPr>
                <w:rFonts w:hint="eastAsia" w:eastAsia="仿宋"/>
                <w:sz w:val="21"/>
                <w:szCs w:val="24"/>
              </w:rPr>
              <w:t>鱼类</w:t>
            </w:r>
          </w:p>
        </w:tc>
        <w:tc>
          <w:tcPr>
            <w:tcW w:w="920" w:type="pct"/>
            <w:vAlign w:val="center"/>
          </w:tcPr>
          <w:p w14:paraId="3912CCA9">
            <w:pPr>
              <w:widowControl/>
              <w:spacing w:line="240" w:lineRule="auto"/>
              <w:ind w:firstLine="0" w:firstLineChars="0"/>
              <w:jc w:val="center"/>
              <w:rPr>
                <w:rFonts w:eastAsia="仿宋"/>
                <w:sz w:val="21"/>
                <w:szCs w:val="24"/>
              </w:rPr>
            </w:pPr>
            <w:r>
              <w:rPr>
                <w:rFonts w:hint="eastAsia" w:eastAsia="仿宋"/>
                <w:sz w:val="21"/>
                <w:szCs w:val="24"/>
              </w:rPr>
              <w:t>评价区范围内</w:t>
            </w:r>
          </w:p>
        </w:tc>
        <w:tc>
          <w:tcPr>
            <w:tcW w:w="1651" w:type="pct"/>
            <w:vAlign w:val="center"/>
          </w:tcPr>
          <w:p w14:paraId="7B37CF43">
            <w:pPr>
              <w:pStyle w:val="84"/>
            </w:pPr>
            <w:r>
              <w:rPr>
                <w:rFonts w:hint="eastAsia"/>
              </w:rPr>
              <w:t>保护芒市河鱼类</w:t>
            </w:r>
          </w:p>
        </w:tc>
        <w:tc>
          <w:tcPr>
            <w:tcW w:w="1108" w:type="pct"/>
            <w:vAlign w:val="center"/>
          </w:tcPr>
          <w:p w14:paraId="61940C42">
            <w:pPr>
              <w:widowControl/>
              <w:spacing w:line="240" w:lineRule="auto"/>
              <w:ind w:firstLine="0" w:firstLineChars="0"/>
              <w:jc w:val="center"/>
              <w:rPr>
                <w:rFonts w:ascii="宋体" w:hAnsi="宋体" w:eastAsia="仿宋" w:cs="宋体"/>
                <w:sz w:val="21"/>
                <w:szCs w:val="24"/>
              </w:rPr>
            </w:pPr>
            <w:r>
              <w:rPr>
                <w:rFonts w:hint="eastAsia" w:eastAsia="仿宋"/>
                <w:sz w:val="21"/>
                <w:szCs w:val="24"/>
              </w:rPr>
              <w:t>施工人员捕捞、大</w:t>
            </w:r>
            <w:r>
              <w:rPr>
                <w:rFonts w:eastAsia="仿宋"/>
                <w:sz w:val="21"/>
                <w:szCs w:val="24"/>
              </w:rPr>
              <w:t>坝阻隔及</w:t>
            </w:r>
            <w:r>
              <w:rPr>
                <w:rFonts w:hint="eastAsia" w:eastAsia="仿宋"/>
                <w:sz w:val="21"/>
                <w:szCs w:val="24"/>
              </w:rPr>
              <w:t>取水</w:t>
            </w:r>
            <w:r>
              <w:rPr>
                <w:rFonts w:eastAsia="仿宋"/>
                <w:sz w:val="21"/>
                <w:szCs w:val="24"/>
              </w:rPr>
              <w:t>发电</w:t>
            </w:r>
          </w:p>
        </w:tc>
      </w:tr>
      <w:tr w14:paraId="739ED3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631" w:type="pct"/>
            <w:vAlign w:val="center"/>
          </w:tcPr>
          <w:p w14:paraId="11F58C44">
            <w:pPr>
              <w:widowControl/>
              <w:spacing w:line="240" w:lineRule="auto"/>
              <w:ind w:firstLine="0" w:firstLineChars="0"/>
              <w:jc w:val="center"/>
              <w:rPr>
                <w:rFonts w:eastAsia="仿宋"/>
                <w:sz w:val="21"/>
                <w:szCs w:val="24"/>
              </w:rPr>
            </w:pPr>
            <w:r>
              <w:rPr>
                <w:rFonts w:eastAsia="仿宋"/>
                <w:sz w:val="21"/>
                <w:szCs w:val="24"/>
              </w:rPr>
              <w:t>水</w:t>
            </w:r>
          </w:p>
          <w:p w14:paraId="4E7FA8C6">
            <w:pPr>
              <w:widowControl/>
              <w:spacing w:line="240" w:lineRule="auto"/>
              <w:ind w:firstLine="0" w:firstLineChars="0"/>
              <w:jc w:val="center"/>
              <w:rPr>
                <w:rFonts w:eastAsia="仿宋"/>
                <w:sz w:val="21"/>
                <w:szCs w:val="24"/>
              </w:rPr>
            </w:pPr>
            <w:r>
              <w:rPr>
                <w:rFonts w:eastAsia="仿宋"/>
                <w:sz w:val="21"/>
                <w:szCs w:val="24"/>
              </w:rPr>
              <w:t>环</w:t>
            </w:r>
          </w:p>
          <w:p w14:paraId="59D4A200">
            <w:pPr>
              <w:widowControl/>
              <w:spacing w:line="240" w:lineRule="auto"/>
              <w:ind w:firstLine="0" w:firstLineChars="0"/>
              <w:jc w:val="center"/>
              <w:rPr>
                <w:rFonts w:eastAsia="仿宋"/>
                <w:sz w:val="21"/>
                <w:szCs w:val="24"/>
              </w:rPr>
            </w:pPr>
            <w:r>
              <w:rPr>
                <w:rFonts w:eastAsia="仿宋"/>
                <w:sz w:val="21"/>
                <w:szCs w:val="24"/>
              </w:rPr>
              <w:t>境</w:t>
            </w:r>
          </w:p>
        </w:tc>
        <w:tc>
          <w:tcPr>
            <w:tcW w:w="690" w:type="pct"/>
            <w:vAlign w:val="center"/>
          </w:tcPr>
          <w:p w14:paraId="70D2BE29">
            <w:pPr>
              <w:widowControl/>
              <w:spacing w:line="240" w:lineRule="auto"/>
              <w:ind w:firstLine="0" w:firstLineChars="0"/>
              <w:jc w:val="center"/>
              <w:rPr>
                <w:rFonts w:eastAsia="仿宋"/>
                <w:sz w:val="21"/>
                <w:szCs w:val="24"/>
              </w:rPr>
            </w:pPr>
            <w:r>
              <w:rPr>
                <w:rFonts w:eastAsia="仿宋"/>
                <w:sz w:val="21"/>
                <w:szCs w:val="24"/>
              </w:rPr>
              <w:t>地表水环境质量、功能</w:t>
            </w:r>
          </w:p>
        </w:tc>
        <w:tc>
          <w:tcPr>
            <w:tcW w:w="920" w:type="pct"/>
            <w:vAlign w:val="center"/>
          </w:tcPr>
          <w:p w14:paraId="148709B1">
            <w:pPr>
              <w:widowControl/>
              <w:spacing w:line="240" w:lineRule="auto"/>
              <w:ind w:firstLine="0" w:firstLineChars="0"/>
              <w:jc w:val="center"/>
              <w:rPr>
                <w:rFonts w:eastAsia="仿宋"/>
                <w:sz w:val="21"/>
                <w:szCs w:val="24"/>
              </w:rPr>
            </w:pPr>
            <w:r>
              <w:rPr>
                <w:rFonts w:hint="eastAsia" w:eastAsia="仿宋"/>
                <w:sz w:val="21"/>
                <w:szCs w:val="24"/>
              </w:rPr>
              <w:t>评价区范围内</w:t>
            </w:r>
          </w:p>
        </w:tc>
        <w:tc>
          <w:tcPr>
            <w:tcW w:w="1651" w:type="pct"/>
            <w:vAlign w:val="center"/>
          </w:tcPr>
          <w:p w14:paraId="41297604">
            <w:pPr>
              <w:pStyle w:val="84"/>
            </w:pPr>
            <w:r>
              <w:t>《地表水环境质量标准》（GB3838-2002）</w:t>
            </w:r>
            <w:r>
              <w:rPr>
                <w:rFonts w:hint="eastAsia" w:ascii="宋体" w:hAnsi="宋体" w:cs="宋体"/>
              </w:rPr>
              <w:t>Ⅲ</w:t>
            </w:r>
            <w:r>
              <w:t>类标准</w:t>
            </w:r>
            <w:r>
              <w:rPr>
                <w:rFonts w:hint="eastAsia"/>
              </w:rPr>
              <w:t>；保证减水河段的河流生态用水</w:t>
            </w:r>
          </w:p>
        </w:tc>
        <w:tc>
          <w:tcPr>
            <w:tcW w:w="1108" w:type="pct"/>
            <w:vAlign w:val="center"/>
          </w:tcPr>
          <w:p w14:paraId="28482BBC">
            <w:pPr>
              <w:widowControl/>
              <w:spacing w:line="240" w:lineRule="auto"/>
              <w:ind w:firstLine="0" w:firstLineChars="0"/>
              <w:jc w:val="center"/>
              <w:rPr>
                <w:rFonts w:eastAsia="仿宋"/>
                <w:sz w:val="21"/>
                <w:szCs w:val="24"/>
              </w:rPr>
            </w:pPr>
            <w:r>
              <w:rPr>
                <w:rFonts w:eastAsia="仿宋"/>
                <w:sz w:val="21"/>
                <w:szCs w:val="24"/>
              </w:rPr>
              <w:t>施工期生活污水、生产废水排放；电站取水及其运行方式等</w:t>
            </w:r>
          </w:p>
        </w:tc>
      </w:tr>
    </w:tbl>
    <w:p w14:paraId="75DFA0B5">
      <w:pPr>
        <w:spacing w:before="240"/>
        <w:ind w:firstLine="480"/>
      </w:pPr>
      <w:r>
        <w:rPr>
          <w:rFonts w:hint="eastAsia"/>
        </w:rPr>
        <w:t>项目周边关系示意图见附图2。</w:t>
      </w:r>
    </w:p>
    <w:bookmarkEnd w:id="162"/>
    <w:bookmarkEnd w:id="163"/>
    <w:bookmarkEnd w:id="164"/>
    <w:bookmarkEnd w:id="165"/>
    <w:bookmarkEnd w:id="166"/>
    <w:bookmarkEnd w:id="167"/>
    <w:p w14:paraId="52503D68">
      <w:pPr>
        <w:pStyle w:val="4"/>
        <w:rPr>
          <w:b/>
        </w:rPr>
      </w:pPr>
      <w:bookmarkStart w:id="214" w:name="_Toc443655378"/>
      <w:bookmarkStart w:id="215" w:name="_Toc471737962"/>
      <w:bookmarkStart w:id="216" w:name="_Toc436297589"/>
      <w:bookmarkStart w:id="217" w:name="_Toc454046475"/>
      <w:bookmarkStart w:id="218" w:name="_Toc391300852"/>
      <w:bookmarkStart w:id="219" w:name="_Toc391486326"/>
      <w:bookmarkStart w:id="220" w:name="_Toc508642413"/>
      <w:bookmarkStart w:id="221" w:name="_Toc343278820"/>
      <w:bookmarkStart w:id="222" w:name="_Toc385867785"/>
      <w:bookmarkStart w:id="223" w:name="_Toc352170639"/>
      <w:bookmarkStart w:id="224" w:name="_Toc346872396"/>
      <w:r>
        <w:t>1.</w:t>
      </w:r>
      <w:r>
        <w:rPr>
          <w:rFonts w:hint="eastAsia"/>
        </w:rPr>
        <w:t>9</w:t>
      </w:r>
      <w:r>
        <w:t>环境影响评价方法</w:t>
      </w:r>
      <w:bookmarkEnd w:id="214"/>
      <w:bookmarkEnd w:id="215"/>
      <w:bookmarkEnd w:id="216"/>
      <w:bookmarkEnd w:id="217"/>
      <w:bookmarkEnd w:id="218"/>
      <w:bookmarkEnd w:id="219"/>
      <w:bookmarkEnd w:id="220"/>
    </w:p>
    <w:p w14:paraId="3DA8CE9C">
      <w:pPr>
        <w:pStyle w:val="113"/>
      </w:pPr>
      <w:bookmarkStart w:id="225" w:name="_Toc508642414"/>
      <w:bookmarkStart w:id="226" w:name="_Toc454046476"/>
      <w:bookmarkStart w:id="227" w:name="_Toc471737963"/>
      <w:bookmarkStart w:id="228" w:name="_Toc443655379"/>
      <w:bookmarkStart w:id="229" w:name="_Toc391300853"/>
      <w:r>
        <w:t>1.</w:t>
      </w:r>
      <w:r>
        <w:rPr>
          <w:rFonts w:hint="eastAsia"/>
        </w:rPr>
        <w:t>9</w:t>
      </w:r>
      <w:r>
        <w:t>.1环境现状调查方法</w:t>
      </w:r>
      <w:bookmarkEnd w:id="225"/>
      <w:bookmarkEnd w:id="226"/>
      <w:bookmarkEnd w:id="227"/>
      <w:bookmarkEnd w:id="228"/>
      <w:bookmarkEnd w:id="229"/>
    </w:p>
    <w:p w14:paraId="4FD6A034">
      <w:pPr>
        <w:pStyle w:val="31"/>
        <w:ind w:firstLine="480"/>
        <w:rPr>
          <w:rFonts w:ascii="Times New Roman" w:hAnsi="Times New Roman"/>
          <w:szCs w:val="24"/>
        </w:rPr>
      </w:pPr>
      <w:r>
        <w:rPr>
          <w:rFonts w:ascii="Times New Roman" w:hAnsi="Times New Roman"/>
          <w:szCs w:val="24"/>
        </w:rPr>
        <w:t>本次评价工作现状资料主要通过收集已有的历史资料、科研考察资料、资源普查资料、年度统计资料等</w:t>
      </w:r>
      <w:r>
        <w:rPr>
          <w:rFonts w:hint="eastAsia" w:ascii="Times New Roman" w:hAnsi="Times New Roman"/>
          <w:szCs w:val="24"/>
        </w:rPr>
        <w:t>方式</w:t>
      </w:r>
      <w:r>
        <w:rPr>
          <w:rFonts w:ascii="Times New Roman" w:hAnsi="Times New Roman"/>
          <w:szCs w:val="24"/>
        </w:rPr>
        <w:t>获得。对重点评价的工程区域内的陆生动植物资源、鱼类资源的调查通过现场调查、采访当地居民和查阅资料等获得。</w:t>
      </w:r>
      <w:r>
        <w:rPr>
          <w:rFonts w:hint="eastAsia" w:ascii="Times New Roman" w:hAnsi="Times New Roman"/>
          <w:szCs w:val="24"/>
        </w:rPr>
        <w:t>芒市河水质监测及工程区域声环境质量现状监测委托</w:t>
      </w:r>
      <w:r>
        <w:t>云南环绿环境检测技术有限公司</w:t>
      </w:r>
      <w:r>
        <w:rPr>
          <w:rFonts w:ascii="Times New Roman" w:hAnsi="Times New Roman"/>
          <w:szCs w:val="24"/>
        </w:rPr>
        <w:t>完成</w:t>
      </w:r>
      <w:r>
        <w:rPr>
          <w:rFonts w:hint="eastAsia" w:ascii="Times New Roman" w:hAnsi="Times New Roman"/>
          <w:szCs w:val="24"/>
        </w:rPr>
        <w:t>。</w:t>
      </w:r>
      <w:r>
        <w:rPr>
          <w:rFonts w:ascii="Times New Roman" w:hAnsi="Times New Roman"/>
          <w:szCs w:val="24"/>
        </w:rPr>
        <w:t>工程和施工占地指标，由建设</w:t>
      </w:r>
      <w:r>
        <w:rPr>
          <w:rFonts w:hint="eastAsia" w:ascii="Times New Roman" w:hAnsi="Times New Roman"/>
          <w:szCs w:val="24"/>
        </w:rPr>
        <w:t>单位</w:t>
      </w:r>
      <w:r>
        <w:rPr>
          <w:rFonts w:ascii="Times New Roman" w:hAnsi="Times New Roman"/>
          <w:szCs w:val="24"/>
        </w:rPr>
        <w:t>会同当地政府、居民进行全面的测量、统计和调查。</w:t>
      </w:r>
    </w:p>
    <w:p w14:paraId="3710387F">
      <w:pPr>
        <w:pStyle w:val="31"/>
        <w:ind w:firstLine="480"/>
        <w:rPr>
          <w:rFonts w:ascii="Times New Roman" w:hAnsi="Times New Roman"/>
          <w:szCs w:val="24"/>
        </w:rPr>
      </w:pPr>
      <w:r>
        <w:rPr>
          <w:rFonts w:hint="eastAsia" w:ascii="Times New Roman" w:hAnsi="Times New Roman"/>
          <w:szCs w:val="24"/>
        </w:rPr>
        <w:t>植被及植物调查采用线路调查、样方调查结合访问查询的方法，陆生脊椎野生动物调查采用现场调查结合查阅文献的方法。</w:t>
      </w:r>
    </w:p>
    <w:p w14:paraId="647E8560">
      <w:pPr>
        <w:pStyle w:val="113"/>
      </w:pPr>
      <w:bookmarkStart w:id="230" w:name="_Toc508642415"/>
      <w:bookmarkStart w:id="231" w:name="_Toc454046477"/>
      <w:bookmarkStart w:id="232" w:name="_Toc391300854"/>
      <w:bookmarkStart w:id="233" w:name="_Toc471737964"/>
      <w:bookmarkStart w:id="234" w:name="_Toc443655380"/>
      <w:r>
        <w:t>1.</w:t>
      </w:r>
      <w:r>
        <w:rPr>
          <w:rFonts w:hint="eastAsia"/>
        </w:rPr>
        <w:t>9</w:t>
      </w:r>
      <w:r>
        <w:t>.2环境影响评价技术和方法</w:t>
      </w:r>
      <w:bookmarkEnd w:id="230"/>
      <w:bookmarkEnd w:id="231"/>
      <w:bookmarkEnd w:id="232"/>
      <w:bookmarkEnd w:id="233"/>
      <w:bookmarkEnd w:id="234"/>
    </w:p>
    <w:p w14:paraId="796FE432">
      <w:pPr>
        <w:pStyle w:val="31"/>
        <w:ind w:firstLine="480"/>
        <w:rPr>
          <w:rFonts w:ascii="Times New Roman" w:hAnsi="Times New Roman"/>
          <w:szCs w:val="24"/>
        </w:rPr>
      </w:pPr>
      <w:r>
        <w:rPr>
          <w:rFonts w:ascii="Times New Roman" w:hAnsi="Times New Roman"/>
          <w:szCs w:val="24"/>
        </w:rPr>
        <w:t>通过现场踏勘和系统收集资料，采取点面结合、类比分析等方法进行环境评价：</w:t>
      </w:r>
    </w:p>
    <w:p w14:paraId="40EE050C">
      <w:pPr>
        <w:pStyle w:val="31"/>
        <w:ind w:firstLine="480"/>
        <w:rPr>
          <w:rFonts w:ascii="Times New Roman" w:hAnsi="Times New Roman"/>
          <w:szCs w:val="22"/>
        </w:rPr>
      </w:pPr>
      <w:r>
        <w:rPr>
          <w:rFonts w:ascii="Times New Roman" w:hAnsi="Times New Roman"/>
          <w:szCs w:val="22"/>
        </w:rPr>
        <w:t>（1）生态环境影响评价</w:t>
      </w:r>
    </w:p>
    <w:p w14:paraId="3D98C4CA">
      <w:pPr>
        <w:pStyle w:val="31"/>
        <w:ind w:firstLine="480"/>
        <w:rPr>
          <w:rFonts w:ascii="Times New Roman" w:hAnsi="Times New Roman"/>
          <w:szCs w:val="24"/>
        </w:rPr>
      </w:pPr>
      <w:r>
        <w:rPr>
          <w:rFonts w:ascii="Times New Roman" w:hAnsi="Times New Roman"/>
          <w:szCs w:val="24"/>
        </w:rPr>
        <w:t>森林植被与土地利用调查方法：</w:t>
      </w:r>
      <w:r>
        <w:rPr>
          <w:rFonts w:hint="eastAsia"/>
          <w:spacing w:val="7"/>
        </w:rPr>
        <w:t>基础资料收集和野外实地调查</w:t>
      </w:r>
      <w:r>
        <w:rPr>
          <w:rFonts w:ascii="Times New Roman" w:hAnsi="Times New Roman"/>
          <w:szCs w:val="24"/>
        </w:rPr>
        <w:t>相结合。</w:t>
      </w:r>
    </w:p>
    <w:p w14:paraId="4FAC9D10">
      <w:pPr>
        <w:pStyle w:val="31"/>
        <w:ind w:firstLine="480"/>
        <w:rPr>
          <w:rFonts w:ascii="Times New Roman" w:hAnsi="Times New Roman"/>
          <w:szCs w:val="24"/>
        </w:rPr>
      </w:pPr>
      <w:r>
        <w:rPr>
          <w:rFonts w:hint="eastAsia"/>
        </w:rPr>
        <w:t>陆生脊椎动物：</w:t>
      </w:r>
      <w:r>
        <w:rPr>
          <w:rFonts w:ascii="Times New Roman" w:hAnsi="Times New Roman"/>
          <w:szCs w:val="24"/>
        </w:rPr>
        <w:t>系统收集相关资料，并与现场踏勘调查相结合。</w:t>
      </w:r>
    </w:p>
    <w:p w14:paraId="7C3D6B58">
      <w:pPr>
        <w:pStyle w:val="31"/>
        <w:ind w:firstLine="480"/>
        <w:rPr>
          <w:rFonts w:ascii="Times New Roman" w:hAnsi="Times New Roman"/>
          <w:szCs w:val="22"/>
        </w:rPr>
      </w:pPr>
      <w:r>
        <w:rPr>
          <w:rFonts w:ascii="Times New Roman" w:hAnsi="Times New Roman"/>
          <w:szCs w:val="22"/>
        </w:rPr>
        <w:t>（2）水环境影响评价</w:t>
      </w:r>
    </w:p>
    <w:p w14:paraId="1B284E1F">
      <w:pPr>
        <w:ind w:firstLine="480"/>
      </w:pPr>
      <w:r>
        <w:rPr>
          <w:rFonts w:hint="eastAsia"/>
        </w:rPr>
        <w:t>通过现场踏勘，了解项目区污染源、水资源利用情况；根据水质监测资料评价水环境质量状况，结合水电站工程建设、运行期特点，采用定性、类比与预测等方式对水环境影响进行分层次评价。</w:t>
      </w:r>
    </w:p>
    <w:p w14:paraId="75D582B2">
      <w:pPr>
        <w:pStyle w:val="31"/>
        <w:ind w:firstLine="480"/>
        <w:rPr>
          <w:rFonts w:ascii="Times New Roman" w:hAnsi="Times New Roman"/>
          <w:szCs w:val="22"/>
        </w:rPr>
      </w:pPr>
      <w:r>
        <w:rPr>
          <w:rFonts w:ascii="Times New Roman" w:hAnsi="Times New Roman"/>
          <w:szCs w:val="22"/>
        </w:rPr>
        <w:t>（3）施工对声环境和大气环境的影响预测和评价采用类比法进行评价。</w:t>
      </w:r>
    </w:p>
    <w:p w14:paraId="2C06190E">
      <w:pPr>
        <w:pStyle w:val="4"/>
      </w:pPr>
      <w:bookmarkStart w:id="235" w:name="_Toc397428271"/>
      <w:bookmarkStart w:id="236" w:name="_Toc471737965"/>
      <w:bookmarkStart w:id="237" w:name="_Toc443655381"/>
      <w:bookmarkStart w:id="238" w:name="_Toc508642416"/>
      <w:bookmarkStart w:id="239" w:name="_Toc454046478"/>
      <w:r>
        <w:t>1</w:t>
      </w:r>
      <w:bookmarkEnd w:id="221"/>
      <w:bookmarkEnd w:id="222"/>
      <w:bookmarkEnd w:id="223"/>
      <w:bookmarkEnd w:id="224"/>
      <w:bookmarkStart w:id="240" w:name="_Toc352170640"/>
      <w:bookmarkStart w:id="241" w:name="_Toc333869932"/>
      <w:bookmarkStart w:id="242" w:name="_Toc346872399"/>
      <w:bookmarkStart w:id="243" w:name="_Toc277778214"/>
      <w:bookmarkStart w:id="244" w:name="_Toc343278821"/>
      <w:bookmarkStart w:id="245" w:name="_Toc331973539"/>
      <w:bookmarkStart w:id="246" w:name="_Toc385867786"/>
      <w:r>
        <w:rPr>
          <w:rFonts w:hint="eastAsia"/>
        </w:rPr>
        <w:t>.10</w:t>
      </w:r>
      <w:r>
        <w:rPr>
          <w:rStyle w:val="87"/>
          <w:rFonts w:hint="eastAsia" w:eastAsia="黑体" w:cstheme="majorBidi"/>
          <w:b w:val="0"/>
          <w:bCs/>
          <w:snapToGrid/>
          <w:kern w:val="2"/>
          <w:sz w:val="28"/>
        </w:rPr>
        <w:t>评</w:t>
      </w:r>
      <w:r>
        <w:rPr>
          <w:rStyle w:val="87"/>
          <w:rFonts w:eastAsia="黑体" w:cstheme="majorBidi"/>
          <w:b w:val="0"/>
          <w:bCs/>
          <w:snapToGrid/>
          <w:kern w:val="2"/>
          <w:sz w:val="28"/>
        </w:rPr>
        <w:t>价工作程序</w:t>
      </w:r>
      <w:bookmarkEnd w:id="235"/>
      <w:bookmarkEnd w:id="236"/>
      <w:bookmarkEnd w:id="237"/>
      <w:bookmarkEnd w:id="238"/>
      <w:bookmarkEnd w:id="239"/>
      <w:bookmarkEnd w:id="240"/>
      <w:bookmarkEnd w:id="241"/>
      <w:bookmarkEnd w:id="242"/>
      <w:bookmarkEnd w:id="243"/>
      <w:bookmarkEnd w:id="244"/>
      <w:bookmarkEnd w:id="245"/>
      <w:bookmarkEnd w:id="246"/>
    </w:p>
    <w:p w14:paraId="2800C016">
      <w:pPr>
        <w:ind w:firstLine="480"/>
        <w:jc w:val="left"/>
        <w:rPr>
          <w:szCs w:val="24"/>
        </w:rPr>
      </w:pPr>
      <w:r>
        <w:rPr>
          <w:szCs w:val="24"/>
        </w:rPr>
        <w:t>环境影响评价的工作程序详见</w:t>
      </w:r>
      <w:r>
        <w:rPr>
          <w:rFonts w:hint="eastAsia"/>
          <w:szCs w:val="24"/>
        </w:rPr>
        <w:t>下图：</w:t>
      </w:r>
    </w:p>
    <w:p w14:paraId="33588704">
      <w:pPr>
        <w:ind w:firstLine="0" w:firstLineChars="0"/>
        <w:jc w:val="center"/>
      </w:pPr>
      <w:r>
        <w:object>
          <v:shape id="_x0000_i1025" o:spt="75" type="#_x0000_t75" style="height:600.5pt;width:426.5pt;" o:ole="t" filled="f" coordsize="21600,21600">
            <v:path/>
            <v:fill on="f" focussize="0,0"/>
            <v:stroke/>
            <v:imagedata r:id="rId19" o:title=""/>
            <o:lock v:ext="edit" aspectratio="t"/>
            <w10:wrap type="none"/>
            <w10:anchorlock/>
          </v:shape>
          <o:OLEObject Type="Embed" ProgID="Visio.Drawing.11" ShapeID="_x0000_i1025" DrawAspect="Content" ObjectID="_1468075725" r:id="rId18">
            <o:LockedField>false</o:LockedField>
          </o:OLEObject>
        </w:object>
      </w:r>
    </w:p>
    <w:p w14:paraId="418453CE">
      <w:pPr>
        <w:pStyle w:val="82"/>
        <w:framePr w:hSpace="0" w:wrap="auto" w:vAnchor="margin" w:hAnchor="text" w:xAlign="left" w:yAlign="inline"/>
      </w:pPr>
      <w:r>
        <w:rPr>
          <w:rFonts w:hint="eastAsia"/>
        </w:rPr>
        <w:t>图</w:t>
      </w:r>
      <w:r>
        <w:t>1-</w:t>
      </w:r>
      <w:r>
        <w:rPr>
          <w:rFonts w:hint="eastAsia"/>
        </w:rPr>
        <w:t>10-</w:t>
      </w:r>
      <w:r>
        <w:t>1</w:t>
      </w:r>
      <w:r>
        <w:rPr>
          <w:rFonts w:hint="eastAsia"/>
        </w:rPr>
        <w:t xml:space="preserve">  </w:t>
      </w:r>
      <w:r>
        <w:t>环境影响评价工作程序</w:t>
      </w:r>
      <w:r>
        <w:rPr>
          <w:rFonts w:hint="eastAsia"/>
        </w:rPr>
        <w:t>图</w:t>
      </w:r>
    </w:p>
    <w:p w14:paraId="06B16C92">
      <w:pPr>
        <w:pStyle w:val="180"/>
      </w:pPr>
      <w:bookmarkStart w:id="247" w:name="_Toc454046479"/>
      <w:bookmarkStart w:id="248" w:name="_Toc471737966"/>
      <w:bookmarkStart w:id="249" w:name="_Toc508642417"/>
      <w:bookmarkStart w:id="250" w:name="_Toc443655382"/>
      <w:r>
        <w:rPr>
          <w:rFonts w:hint="eastAsia"/>
        </w:rPr>
        <w:t>2流域规划及工程概况</w:t>
      </w:r>
      <w:bookmarkEnd w:id="247"/>
      <w:bookmarkEnd w:id="248"/>
      <w:bookmarkEnd w:id="249"/>
      <w:bookmarkEnd w:id="250"/>
    </w:p>
    <w:p w14:paraId="5801131C">
      <w:pPr>
        <w:pStyle w:val="4"/>
      </w:pPr>
      <w:bookmarkStart w:id="251" w:name="_Toc508642418"/>
      <w:bookmarkStart w:id="252" w:name="_Toc471737967"/>
      <w:bookmarkStart w:id="253" w:name="_Toc443655383"/>
      <w:bookmarkStart w:id="254" w:name="_Toc454046480"/>
      <w:r>
        <w:rPr>
          <w:rFonts w:hint="eastAsia"/>
        </w:rPr>
        <w:t>2.1流域规划</w:t>
      </w:r>
      <w:bookmarkEnd w:id="251"/>
      <w:bookmarkEnd w:id="252"/>
      <w:bookmarkEnd w:id="253"/>
      <w:bookmarkEnd w:id="254"/>
    </w:p>
    <w:p w14:paraId="6641BEF2">
      <w:pPr>
        <w:pStyle w:val="113"/>
      </w:pPr>
      <w:bookmarkStart w:id="255" w:name="_Toc443655384"/>
      <w:bookmarkStart w:id="256" w:name="_Toc454046481"/>
      <w:bookmarkStart w:id="257" w:name="_Toc471737968"/>
      <w:bookmarkStart w:id="258" w:name="_Toc508642419"/>
      <w:r>
        <w:rPr>
          <w:rFonts w:hint="eastAsia"/>
        </w:rPr>
        <w:t>2.1.1流域概况</w:t>
      </w:r>
      <w:bookmarkEnd w:id="255"/>
      <w:bookmarkEnd w:id="256"/>
      <w:bookmarkEnd w:id="257"/>
      <w:bookmarkEnd w:id="258"/>
    </w:p>
    <w:p w14:paraId="7FE10504">
      <w:pPr>
        <w:ind w:firstLine="480"/>
      </w:pPr>
      <w:r>
        <w:rPr>
          <w:rFonts w:hint="eastAsia" w:ascii="宋体" w:hAnsi="宋体"/>
        </w:rPr>
        <w:t>芒市河属伊洛瓦底</w:t>
      </w:r>
      <w:r>
        <w:t>江水系，为龙川江一级支流，位于</w:t>
      </w:r>
      <w:r>
        <w:rPr>
          <w:rFonts w:hint="eastAsia"/>
        </w:rPr>
        <w:t>E</w:t>
      </w:r>
      <w:r>
        <w:t>98°05´～98°45´</w:t>
      </w:r>
      <w:r>
        <w:rPr>
          <w:rFonts w:hint="eastAsia"/>
        </w:rPr>
        <w:t>，N</w:t>
      </w:r>
      <w:r>
        <w:t>24°10´～24°35´</w:t>
      </w:r>
      <w:r>
        <w:rPr>
          <w:rFonts w:hint="eastAsia"/>
        </w:rPr>
        <w:t>。</w:t>
      </w:r>
      <w:r>
        <w:rPr>
          <w:rFonts w:hint="eastAsia" w:ascii="宋体" w:hAnsi="宋体"/>
        </w:rPr>
        <w:t>芒市河</w:t>
      </w:r>
      <w:r>
        <w:t>发源于龙陵县龙新乡，源地高程2235</w:t>
      </w:r>
      <w:r>
        <w:rPr>
          <w:rFonts w:hint="eastAsia"/>
        </w:rPr>
        <w:t>.00</w:t>
      </w:r>
      <w:r>
        <w:t>m，河流上游称坝竹河，经芒市城郊乡进入芒市，于大湾入芒市坝，穿行芒市坝后，在允门进入三台山峡谷，于坝托进入遮放坝，在遮放坝尾汇入龙川江。流域呈羽形分布，主要支流有果朗河、轩岗河、孔曲河。芒市河东、北、西三面与瑞丽江干流相邻，南部紧靠怒江的一些小支流。芒市河集水面积1903km</w:t>
      </w:r>
      <w:r>
        <w:rPr>
          <w:vertAlign w:val="superscript"/>
        </w:rPr>
        <w:t>2</w:t>
      </w:r>
      <w:r>
        <w:t>，河长114.4km，河道平均坡降为0.27%</w:t>
      </w:r>
      <w:r>
        <w:rPr>
          <w:rFonts w:hint="eastAsia"/>
        </w:rPr>
        <w:t>，多年平均径流量20.4亿</w:t>
      </w:r>
      <w:r>
        <w:t>m</w:t>
      </w:r>
      <w:r>
        <w:rPr>
          <w:rFonts w:hint="eastAsia"/>
          <w:vertAlign w:val="superscript"/>
        </w:rPr>
        <w:t>3</w:t>
      </w:r>
      <w:r>
        <w:t>。</w:t>
      </w:r>
      <w:r>
        <w:rPr>
          <w:rFonts w:hint="eastAsia"/>
        </w:rPr>
        <w:t>芒市河在芒市境内河道长约90km，天然落差140m，平均比降0.16%，水能资源理论蕴藏量7.8万k</w:t>
      </w:r>
      <w:r>
        <w:t>W</w:t>
      </w:r>
      <w:r>
        <w:rPr>
          <w:rFonts w:hint="eastAsia"/>
        </w:rPr>
        <w:t>。</w:t>
      </w:r>
    </w:p>
    <w:p w14:paraId="5B19905A">
      <w:pPr>
        <w:pStyle w:val="113"/>
      </w:pPr>
      <w:bookmarkStart w:id="259" w:name="_Toc471737969"/>
      <w:bookmarkStart w:id="260" w:name="_Toc508642420"/>
      <w:bookmarkStart w:id="261" w:name="_Toc454046482"/>
      <w:bookmarkStart w:id="262" w:name="_Toc443655385"/>
      <w:r>
        <w:rPr>
          <w:rFonts w:hint="eastAsia"/>
        </w:rPr>
        <w:t>2.1.2流域规划及开发简况</w:t>
      </w:r>
      <w:bookmarkEnd w:id="259"/>
      <w:bookmarkEnd w:id="260"/>
      <w:bookmarkEnd w:id="261"/>
      <w:bookmarkEnd w:id="262"/>
    </w:p>
    <w:p w14:paraId="3FA555E2">
      <w:pPr>
        <w:ind w:firstLine="480"/>
      </w:pPr>
      <w:r>
        <w:rPr>
          <w:rFonts w:hint="eastAsia"/>
        </w:rPr>
        <w:t>为合理、充分、高效地开发利用芒市河流域水能资源，由昆明市水利水电勘测设计院对芒市河等嘎至芒里坝河段进行了水能规划，确定进行一级开发—建设芒里水电站。2004年11月，《潞西市芒市河等嘎至芒里坝河段水能规划报告》由德宏州水利局委托州水利电力工程咨询中心进行了评审，获得了由德宏州发展计划委员会出具的《关于对潞西市芒市河等嘎至芒里坝河段水能规划报告的批复》（德计基础[2004]594号），同意建设芒里水电站，库容为4977万</w:t>
      </w:r>
      <w:r>
        <w:t>m</w:t>
      </w:r>
      <w:r>
        <w:rPr>
          <w:rFonts w:hint="eastAsia"/>
          <w:vertAlign w:val="superscript"/>
        </w:rPr>
        <w:t>3</w:t>
      </w:r>
      <w:r>
        <w:rPr>
          <w:rFonts w:hint="eastAsia"/>
        </w:rPr>
        <w:t>（中型水库，调节容量2414万</w:t>
      </w:r>
      <w:r>
        <w:t>m</w:t>
      </w:r>
      <w:r>
        <w:rPr>
          <w:rFonts w:hint="eastAsia"/>
          <w:vertAlign w:val="superscript"/>
        </w:rPr>
        <w:t>3</w:t>
      </w:r>
      <w:r>
        <w:rPr>
          <w:rFonts w:hint="eastAsia"/>
        </w:rPr>
        <w:t>，水库正常蓄水位849.00m），装机2</w:t>
      </w:r>
      <w:r>
        <w:rPr>
          <w:szCs w:val="24"/>
        </w:rPr>
        <w:t>×</w:t>
      </w:r>
      <w:r>
        <w:rPr>
          <w:rFonts w:hint="eastAsia"/>
          <w:szCs w:val="24"/>
        </w:rPr>
        <w:t>18000k</w:t>
      </w:r>
      <w:r>
        <w:t>W</w:t>
      </w:r>
      <w:r>
        <w:rPr>
          <w:rFonts w:hint="eastAsia"/>
          <w:szCs w:val="24"/>
        </w:rPr>
        <w:t>，保证出力5154k</w:t>
      </w:r>
      <w:r>
        <w:t>W</w:t>
      </w:r>
      <w:r>
        <w:rPr>
          <w:rFonts w:hint="eastAsia"/>
          <w:szCs w:val="24"/>
        </w:rPr>
        <w:t>，年利用小时4218h，多年平均发电量1.27亿</w:t>
      </w:r>
      <w:r>
        <w:t>kW</w:t>
      </w:r>
      <w:r>
        <w:rPr>
          <w:szCs w:val="24"/>
        </w:rPr>
        <w:t>·</w:t>
      </w:r>
      <w:r>
        <w:t>h</w:t>
      </w:r>
      <w:r>
        <w:rPr>
          <w:rFonts w:hint="eastAsia"/>
        </w:rPr>
        <w:t>。2005年10月，潞西市德源电力开发有限公司委托云南大学编制完成了《潞西市芒里水电站环境影响报告书》，该电站于2007年9月10日竣工投入运行，目前已稳定运行9年多。</w:t>
      </w:r>
    </w:p>
    <w:p w14:paraId="0523AD94">
      <w:pPr>
        <w:ind w:firstLine="480"/>
      </w:pPr>
      <w:r>
        <w:rPr>
          <w:rFonts w:hint="eastAsia"/>
        </w:rPr>
        <w:t>本次建设的团结水电站位于芒里水电站下游约2.2km处，为小型河床式无调节电站，利用上游芒里水电站的尾水进行发电，装机容量2×2450kW，年利用小时数4507h，多年平均发电量2208.43万</w:t>
      </w:r>
      <w:r>
        <w:t>kW</w:t>
      </w:r>
      <w:r>
        <w:rPr>
          <w:szCs w:val="24"/>
        </w:rPr>
        <w:t>·</w:t>
      </w:r>
      <w:r>
        <w:t>h</w:t>
      </w:r>
      <w:r>
        <w:rPr>
          <w:rFonts w:hint="eastAsia"/>
        </w:rPr>
        <w:t>。团结水电站与上游芒里水电站距离较近，区间除芒里大沟外，并无其它取水工程，团结水电站工程虽未在芒市河等嘎至芒里坝河段水能规划中提及，但云南省发展和改革委员会出具的《关于同意调整德宏州芒市“十二五”水电新农村电气化建设项目批复》（云水电[2013]15号），同意将团结水电站列为芒市“十二五”水电新农村电气化建设项目之一，并</w:t>
      </w:r>
      <w:r>
        <w:rPr>
          <w:rFonts w:hint="eastAsia"/>
          <w:lang w:eastAsia="zh-CN"/>
        </w:rPr>
        <w:t>下拨</w:t>
      </w:r>
      <w:r>
        <w:rPr>
          <w:rFonts w:hint="eastAsia"/>
        </w:rPr>
        <w:t>了中央及省级资金。</w:t>
      </w:r>
    </w:p>
    <w:p w14:paraId="467B2030">
      <w:pPr>
        <w:pStyle w:val="82"/>
        <w:framePr w:hSpace="0" w:wrap="auto" w:vAnchor="margin" w:hAnchor="text" w:xAlign="left" w:yAlign="inline"/>
        <w:ind w:firstLine="360"/>
        <w:rPr>
          <w:snapToGrid w:val="0"/>
        </w:rPr>
      </w:pPr>
      <w:bookmarkStart w:id="263" w:name="_Ref290973992"/>
      <w:r>
        <w:rPr>
          <w:rFonts w:hint="eastAsia"/>
          <w:snapToGrid w:val="0"/>
        </w:rPr>
        <w:t>表</w:t>
      </w:r>
      <w:bookmarkEnd w:id="263"/>
      <w:r>
        <w:rPr>
          <w:rFonts w:hint="eastAsia"/>
          <w:snapToGrid w:val="0"/>
        </w:rPr>
        <w:t xml:space="preserve">2-1-1   </w:t>
      </w:r>
      <w:r>
        <w:rPr>
          <w:rFonts w:hint="eastAsia"/>
        </w:rPr>
        <w:t>芒市河等嘎至芒里坝河段</w:t>
      </w:r>
      <w:r>
        <w:rPr>
          <w:rFonts w:hint="eastAsia"/>
          <w:snapToGrid w:val="0"/>
        </w:rPr>
        <w:t>电站指标表</w:t>
      </w:r>
    </w:p>
    <w:tbl>
      <w:tblPr>
        <w:tblStyle w:val="56"/>
        <w:tblW w:w="8282"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462"/>
        <w:gridCol w:w="1002"/>
        <w:gridCol w:w="2409"/>
        <w:gridCol w:w="2409"/>
      </w:tblGrid>
      <w:tr w14:paraId="3BF4A1C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2462" w:type="dxa"/>
            <w:shd w:val="clear" w:color="auto" w:fill="auto"/>
            <w:vAlign w:val="center"/>
          </w:tcPr>
          <w:p w14:paraId="618E780F">
            <w:pPr>
              <w:pStyle w:val="84"/>
              <w:rPr>
                <w:szCs w:val="21"/>
              </w:rPr>
            </w:pPr>
            <w:r>
              <w:rPr>
                <w:rFonts w:hint="eastAsia"/>
                <w:szCs w:val="21"/>
              </w:rPr>
              <w:t>项   目</w:t>
            </w:r>
          </w:p>
        </w:tc>
        <w:tc>
          <w:tcPr>
            <w:tcW w:w="1002" w:type="dxa"/>
            <w:shd w:val="clear" w:color="auto" w:fill="auto"/>
            <w:noWrap/>
            <w:vAlign w:val="center"/>
          </w:tcPr>
          <w:p w14:paraId="58B079D5">
            <w:pPr>
              <w:pStyle w:val="84"/>
              <w:rPr>
                <w:szCs w:val="21"/>
              </w:rPr>
            </w:pPr>
            <w:r>
              <w:rPr>
                <w:rFonts w:hint="eastAsia"/>
                <w:szCs w:val="21"/>
              </w:rPr>
              <w:t>单位</w:t>
            </w:r>
          </w:p>
        </w:tc>
        <w:tc>
          <w:tcPr>
            <w:tcW w:w="2409" w:type="dxa"/>
            <w:shd w:val="clear" w:color="auto" w:fill="auto"/>
            <w:vAlign w:val="center"/>
          </w:tcPr>
          <w:p w14:paraId="22B20165">
            <w:pPr>
              <w:pStyle w:val="84"/>
              <w:rPr>
                <w:szCs w:val="21"/>
              </w:rPr>
            </w:pPr>
            <w:r>
              <w:rPr>
                <w:rFonts w:hint="eastAsia"/>
                <w:szCs w:val="21"/>
              </w:rPr>
              <w:t>芒里水电站</w:t>
            </w:r>
          </w:p>
        </w:tc>
        <w:tc>
          <w:tcPr>
            <w:tcW w:w="2409" w:type="dxa"/>
            <w:shd w:val="clear" w:color="auto" w:fill="auto"/>
            <w:noWrap/>
            <w:vAlign w:val="center"/>
          </w:tcPr>
          <w:p w14:paraId="46F5926C">
            <w:pPr>
              <w:pStyle w:val="84"/>
              <w:rPr>
                <w:szCs w:val="21"/>
              </w:rPr>
            </w:pPr>
            <w:r>
              <w:rPr>
                <w:rFonts w:hint="eastAsia"/>
                <w:szCs w:val="21"/>
              </w:rPr>
              <w:t>团结水电站</w:t>
            </w:r>
          </w:p>
        </w:tc>
      </w:tr>
      <w:tr w14:paraId="4FCBE2B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62" w:type="dxa"/>
            <w:shd w:val="clear" w:color="auto" w:fill="auto"/>
            <w:vAlign w:val="center"/>
          </w:tcPr>
          <w:p w14:paraId="054D9634">
            <w:pPr>
              <w:pStyle w:val="84"/>
              <w:rPr>
                <w:szCs w:val="21"/>
              </w:rPr>
            </w:pPr>
            <w:r>
              <w:rPr>
                <w:rFonts w:hint="eastAsia"/>
                <w:szCs w:val="21"/>
              </w:rPr>
              <w:t>开发方式</w:t>
            </w:r>
          </w:p>
        </w:tc>
        <w:tc>
          <w:tcPr>
            <w:tcW w:w="1002" w:type="dxa"/>
            <w:shd w:val="clear" w:color="auto" w:fill="auto"/>
            <w:vAlign w:val="center"/>
          </w:tcPr>
          <w:p w14:paraId="494CE377">
            <w:pPr>
              <w:pStyle w:val="84"/>
              <w:rPr>
                <w:szCs w:val="21"/>
              </w:rPr>
            </w:pPr>
            <w:r>
              <w:rPr>
                <w:rFonts w:hint="eastAsia"/>
                <w:szCs w:val="21"/>
              </w:rPr>
              <w:t>—</w:t>
            </w:r>
          </w:p>
        </w:tc>
        <w:tc>
          <w:tcPr>
            <w:tcW w:w="2409" w:type="dxa"/>
            <w:shd w:val="clear" w:color="auto" w:fill="auto"/>
            <w:vAlign w:val="center"/>
          </w:tcPr>
          <w:p w14:paraId="5999A771">
            <w:pPr>
              <w:pStyle w:val="84"/>
              <w:rPr>
                <w:szCs w:val="21"/>
              </w:rPr>
            </w:pPr>
            <w:r>
              <w:rPr>
                <w:rFonts w:hint="eastAsia"/>
                <w:szCs w:val="21"/>
              </w:rPr>
              <w:t>坝后式月调节电站</w:t>
            </w:r>
          </w:p>
        </w:tc>
        <w:tc>
          <w:tcPr>
            <w:tcW w:w="2409" w:type="dxa"/>
            <w:shd w:val="clear" w:color="auto" w:fill="auto"/>
            <w:noWrap/>
            <w:vAlign w:val="center"/>
          </w:tcPr>
          <w:p w14:paraId="5FB8BEF7">
            <w:pPr>
              <w:pStyle w:val="84"/>
              <w:rPr>
                <w:szCs w:val="21"/>
              </w:rPr>
            </w:pPr>
            <w:r>
              <w:rPr>
                <w:rFonts w:hint="eastAsia"/>
                <w:szCs w:val="21"/>
              </w:rPr>
              <w:t>小型河床式无调节电站</w:t>
            </w:r>
          </w:p>
        </w:tc>
      </w:tr>
      <w:tr w14:paraId="4A4CC16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62" w:type="dxa"/>
            <w:shd w:val="clear" w:color="auto" w:fill="auto"/>
            <w:vAlign w:val="center"/>
          </w:tcPr>
          <w:p w14:paraId="245AF583">
            <w:pPr>
              <w:pStyle w:val="84"/>
              <w:rPr>
                <w:szCs w:val="21"/>
              </w:rPr>
            </w:pPr>
            <w:r>
              <w:rPr>
                <w:rFonts w:hint="eastAsia"/>
                <w:szCs w:val="21"/>
              </w:rPr>
              <w:t>开发任务</w:t>
            </w:r>
          </w:p>
        </w:tc>
        <w:tc>
          <w:tcPr>
            <w:tcW w:w="1002" w:type="dxa"/>
            <w:shd w:val="clear" w:color="auto" w:fill="auto"/>
            <w:vAlign w:val="center"/>
          </w:tcPr>
          <w:p w14:paraId="49D7C1AF">
            <w:pPr>
              <w:pStyle w:val="84"/>
              <w:rPr>
                <w:szCs w:val="21"/>
              </w:rPr>
            </w:pPr>
            <w:r>
              <w:rPr>
                <w:rFonts w:hint="eastAsia"/>
                <w:szCs w:val="21"/>
              </w:rPr>
              <w:t>—</w:t>
            </w:r>
          </w:p>
        </w:tc>
        <w:tc>
          <w:tcPr>
            <w:tcW w:w="4818" w:type="dxa"/>
            <w:gridSpan w:val="2"/>
            <w:shd w:val="clear" w:color="auto" w:fill="auto"/>
            <w:vAlign w:val="center"/>
          </w:tcPr>
          <w:p w14:paraId="62EB62C5">
            <w:pPr>
              <w:pStyle w:val="84"/>
              <w:rPr>
                <w:szCs w:val="21"/>
              </w:rPr>
            </w:pPr>
            <w:r>
              <w:rPr>
                <w:rFonts w:hint="eastAsia"/>
                <w:szCs w:val="21"/>
              </w:rPr>
              <w:t>以水力发电为主，兼顾防洪和灌溉功能</w:t>
            </w:r>
          </w:p>
        </w:tc>
      </w:tr>
      <w:tr w14:paraId="17C5595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62" w:type="dxa"/>
            <w:shd w:val="clear" w:color="auto" w:fill="auto"/>
            <w:vAlign w:val="center"/>
          </w:tcPr>
          <w:p w14:paraId="7E104036">
            <w:pPr>
              <w:pStyle w:val="84"/>
              <w:rPr>
                <w:szCs w:val="21"/>
              </w:rPr>
            </w:pPr>
            <w:r>
              <w:rPr>
                <w:rFonts w:hint="eastAsia"/>
                <w:szCs w:val="21"/>
              </w:rPr>
              <w:t>流域面积</w:t>
            </w:r>
          </w:p>
        </w:tc>
        <w:tc>
          <w:tcPr>
            <w:tcW w:w="1002" w:type="dxa"/>
            <w:shd w:val="clear" w:color="auto" w:fill="auto"/>
            <w:vAlign w:val="center"/>
          </w:tcPr>
          <w:p w14:paraId="3C569522">
            <w:pPr>
              <w:pStyle w:val="84"/>
              <w:rPr>
                <w:szCs w:val="21"/>
              </w:rPr>
            </w:pPr>
            <w:r>
              <w:rPr>
                <w:szCs w:val="21"/>
              </w:rPr>
              <w:t>km²</w:t>
            </w:r>
          </w:p>
        </w:tc>
        <w:tc>
          <w:tcPr>
            <w:tcW w:w="2409" w:type="dxa"/>
            <w:shd w:val="clear" w:color="auto" w:fill="auto"/>
            <w:vAlign w:val="center"/>
          </w:tcPr>
          <w:p w14:paraId="13FDA70C">
            <w:pPr>
              <w:pStyle w:val="84"/>
              <w:rPr>
                <w:szCs w:val="21"/>
              </w:rPr>
            </w:pPr>
            <w:r>
              <w:rPr>
                <w:rFonts w:hint="eastAsia"/>
                <w:szCs w:val="21"/>
              </w:rPr>
              <w:t>1478</w:t>
            </w:r>
          </w:p>
        </w:tc>
        <w:tc>
          <w:tcPr>
            <w:tcW w:w="2409" w:type="dxa"/>
            <w:shd w:val="clear" w:color="auto" w:fill="auto"/>
            <w:noWrap/>
            <w:vAlign w:val="center"/>
          </w:tcPr>
          <w:p w14:paraId="00C86BBF">
            <w:pPr>
              <w:pStyle w:val="84"/>
              <w:rPr>
                <w:szCs w:val="21"/>
              </w:rPr>
            </w:pPr>
            <w:r>
              <w:rPr>
                <w:rFonts w:hint="eastAsia"/>
                <w:szCs w:val="21"/>
              </w:rPr>
              <w:t>104</w:t>
            </w:r>
          </w:p>
        </w:tc>
      </w:tr>
      <w:tr w14:paraId="01839C9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62" w:type="dxa"/>
            <w:shd w:val="clear" w:color="auto" w:fill="auto"/>
            <w:vAlign w:val="center"/>
          </w:tcPr>
          <w:p w14:paraId="4DA7A8CF">
            <w:pPr>
              <w:pStyle w:val="84"/>
              <w:rPr>
                <w:szCs w:val="21"/>
              </w:rPr>
            </w:pPr>
            <w:r>
              <w:rPr>
                <w:rFonts w:hint="eastAsia"/>
                <w:szCs w:val="21"/>
              </w:rPr>
              <w:t>坝址以上多年平均流量</w:t>
            </w:r>
          </w:p>
        </w:tc>
        <w:tc>
          <w:tcPr>
            <w:tcW w:w="1002" w:type="dxa"/>
            <w:shd w:val="clear" w:color="auto" w:fill="auto"/>
            <w:vAlign w:val="center"/>
          </w:tcPr>
          <w:p w14:paraId="48D31B2A">
            <w:pPr>
              <w:pStyle w:val="84"/>
              <w:rPr>
                <w:szCs w:val="21"/>
              </w:rPr>
            </w:pPr>
            <w:r>
              <w:rPr>
                <w:szCs w:val="21"/>
              </w:rPr>
              <w:t>m³/s</w:t>
            </w:r>
          </w:p>
        </w:tc>
        <w:tc>
          <w:tcPr>
            <w:tcW w:w="2409" w:type="dxa"/>
            <w:shd w:val="clear" w:color="auto" w:fill="auto"/>
            <w:vAlign w:val="center"/>
          </w:tcPr>
          <w:p w14:paraId="12F9AFD3">
            <w:pPr>
              <w:pStyle w:val="84"/>
              <w:rPr>
                <w:szCs w:val="21"/>
              </w:rPr>
            </w:pPr>
            <w:r>
              <w:rPr>
                <w:rFonts w:hint="eastAsia"/>
                <w:szCs w:val="21"/>
              </w:rPr>
              <w:t>52.8</w:t>
            </w:r>
          </w:p>
        </w:tc>
        <w:tc>
          <w:tcPr>
            <w:tcW w:w="2409" w:type="dxa"/>
            <w:shd w:val="clear" w:color="auto" w:fill="auto"/>
            <w:noWrap/>
            <w:vAlign w:val="center"/>
          </w:tcPr>
          <w:p w14:paraId="0501BDDA">
            <w:pPr>
              <w:pStyle w:val="84"/>
              <w:rPr>
                <w:szCs w:val="21"/>
              </w:rPr>
            </w:pPr>
            <w:r>
              <w:rPr>
                <w:rFonts w:hint="eastAsia"/>
                <w:szCs w:val="21"/>
              </w:rPr>
              <w:t>52.8</w:t>
            </w:r>
          </w:p>
        </w:tc>
      </w:tr>
      <w:tr w14:paraId="136AE29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62" w:type="dxa"/>
            <w:shd w:val="clear" w:color="auto" w:fill="auto"/>
            <w:vAlign w:val="center"/>
          </w:tcPr>
          <w:p w14:paraId="3C8507A9">
            <w:pPr>
              <w:pStyle w:val="84"/>
              <w:rPr>
                <w:szCs w:val="21"/>
              </w:rPr>
            </w:pPr>
            <w:r>
              <w:rPr>
                <w:rFonts w:hint="eastAsia"/>
                <w:szCs w:val="21"/>
              </w:rPr>
              <w:t>装机容量</w:t>
            </w:r>
          </w:p>
        </w:tc>
        <w:tc>
          <w:tcPr>
            <w:tcW w:w="1002" w:type="dxa"/>
            <w:shd w:val="clear" w:color="auto" w:fill="auto"/>
            <w:vAlign w:val="center"/>
          </w:tcPr>
          <w:p w14:paraId="14620556">
            <w:pPr>
              <w:pStyle w:val="84"/>
              <w:rPr>
                <w:szCs w:val="21"/>
              </w:rPr>
            </w:pPr>
            <w:r>
              <w:rPr>
                <w:rFonts w:hint="eastAsia"/>
                <w:szCs w:val="21"/>
              </w:rPr>
              <w:t>MW</w:t>
            </w:r>
          </w:p>
        </w:tc>
        <w:tc>
          <w:tcPr>
            <w:tcW w:w="2409" w:type="dxa"/>
            <w:shd w:val="clear" w:color="auto" w:fill="auto"/>
            <w:vAlign w:val="center"/>
          </w:tcPr>
          <w:p w14:paraId="22355B77">
            <w:pPr>
              <w:pStyle w:val="84"/>
              <w:rPr>
                <w:szCs w:val="21"/>
              </w:rPr>
            </w:pPr>
            <w:r>
              <w:rPr>
                <w:rFonts w:hint="eastAsia"/>
                <w:szCs w:val="21"/>
              </w:rPr>
              <w:t>36</w:t>
            </w:r>
          </w:p>
        </w:tc>
        <w:tc>
          <w:tcPr>
            <w:tcW w:w="2409" w:type="dxa"/>
            <w:shd w:val="clear" w:color="auto" w:fill="auto"/>
            <w:noWrap/>
            <w:vAlign w:val="center"/>
          </w:tcPr>
          <w:p w14:paraId="38CF801F">
            <w:pPr>
              <w:pStyle w:val="84"/>
              <w:rPr>
                <w:szCs w:val="21"/>
              </w:rPr>
            </w:pPr>
            <w:r>
              <w:rPr>
                <w:rFonts w:hint="eastAsia"/>
                <w:szCs w:val="21"/>
              </w:rPr>
              <w:t>4.9</w:t>
            </w:r>
          </w:p>
        </w:tc>
      </w:tr>
      <w:tr w14:paraId="204F616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62" w:type="dxa"/>
            <w:shd w:val="clear" w:color="auto" w:fill="auto"/>
            <w:vAlign w:val="center"/>
          </w:tcPr>
          <w:p w14:paraId="272EED14">
            <w:pPr>
              <w:pStyle w:val="84"/>
              <w:rPr>
                <w:szCs w:val="21"/>
              </w:rPr>
            </w:pPr>
            <w:r>
              <w:rPr>
                <w:szCs w:val="21"/>
              </w:rPr>
              <w:t>引用发电流量</w:t>
            </w:r>
          </w:p>
        </w:tc>
        <w:tc>
          <w:tcPr>
            <w:tcW w:w="1002" w:type="dxa"/>
            <w:shd w:val="clear" w:color="auto" w:fill="auto"/>
            <w:vAlign w:val="center"/>
          </w:tcPr>
          <w:p w14:paraId="2DAA0DCF">
            <w:pPr>
              <w:pStyle w:val="84"/>
              <w:rPr>
                <w:szCs w:val="21"/>
              </w:rPr>
            </w:pPr>
            <w:r>
              <w:rPr>
                <w:szCs w:val="21"/>
              </w:rPr>
              <w:t>m³/s</w:t>
            </w:r>
          </w:p>
        </w:tc>
        <w:tc>
          <w:tcPr>
            <w:tcW w:w="2409" w:type="dxa"/>
            <w:shd w:val="clear" w:color="auto" w:fill="auto"/>
            <w:vAlign w:val="center"/>
          </w:tcPr>
          <w:p w14:paraId="04A6228B">
            <w:pPr>
              <w:pStyle w:val="84"/>
              <w:rPr>
                <w:szCs w:val="21"/>
              </w:rPr>
            </w:pPr>
            <w:r>
              <w:rPr>
                <w:rFonts w:hint="eastAsia"/>
                <w:szCs w:val="21"/>
              </w:rPr>
              <w:t>98.1</w:t>
            </w:r>
          </w:p>
        </w:tc>
        <w:tc>
          <w:tcPr>
            <w:tcW w:w="2409" w:type="dxa"/>
            <w:shd w:val="clear" w:color="auto" w:fill="auto"/>
            <w:noWrap/>
            <w:vAlign w:val="center"/>
          </w:tcPr>
          <w:p w14:paraId="1F5B27C7">
            <w:pPr>
              <w:pStyle w:val="84"/>
              <w:rPr>
                <w:szCs w:val="21"/>
              </w:rPr>
            </w:pPr>
            <w:r>
              <w:rPr>
                <w:szCs w:val="21"/>
              </w:rPr>
              <w:t>106.3</w:t>
            </w:r>
          </w:p>
        </w:tc>
      </w:tr>
      <w:tr w14:paraId="56A7F87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62" w:type="dxa"/>
            <w:shd w:val="clear" w:color="auto" w:fill="auto"/>
            <w:vAlign w:val="center"/>
          </w:tcPr>
          <w:p w14:paraId="25AC3734">
            <w:pPr>
              <w:pStyle w:val="84"/>
              <w:rPr>
                <w:szCs w:val="21"/>
              </w:rPr>
            </w:pPr>
            <w:r>
              <w:rPr>
                <w:szCs w:val="21"/>
              </w:rPr>
              <w:t>设计水头</w:t>
            </w:r>
          </w:p>
        </w:tc>
        <w:tc>
          <w:tcPr>
            <w:tcW w:w="1002" w:type="dxa"/>
            <w:shd w:val="clear" w:color="auto" w:fill="auto"/>
            <w:vAlign w:val="center"/>
          </w:tcPr>
          <w:p w14:paraId="6084FB1B">
            <w:pPr>
              <w:pStyle w:val="84"/>
              <w:rPr>
                <w:szCs w:val="21"/>
              </w:rPr>
            </w:pPr>
            <w:r>
              <w:rPr>
                <w:szCs w:val="21"/>
              </w:rPr>
              <w:t>m</w:t>
            </w:r>
          </w:p>
        </w:tc>
        <w:tc>
          <w:tcPr>
            <w:tcW w:w="2409" w:type="dxa"/>
            <w:shd w:val="clear" w:color="auto" w:fill="auto"/>
            <w:vAlign w:val="center"/>
          </w:tcPr>
          <w:p w14:paraId="6C2DC9EE">
            <w:pPr>
              <w:pStyle w:val="84"/>
              <w:rPr>
                <w:szCs w:val="21"/>
              </w:rPr>
            </w:pPr>
            <w:r>
              <w:rPr>
                <w:rFonts w:hint="eastAsia"/>
                <w:szCs w:val="21"/>
              </w:rPr>
              <w:t>37</w:t>
            </w:r>
          </w:p>
        </w:tc>
        <w:tc>
          <w:tcPr>
            <w:tcW w:w="2409" w:type="dxa"/>
            <w:shd w:val="clear" w:color="auto" w:fill="auto"/>
            <w:noWrap/>
            <w:vAlign w:val="center"/>
          </w:tcPr>
          <w:p w14:paraId="3CEBC771">
            <w:pPr>
              <w:pStyle w:val="84"/>
              <w:rPr>
                <w:szCs w:val="21"/>
              </w:rPr>
            </w:pPr>
            <w:r>
              <w:rPr>
                <w:szCs w:val="21"/>
              </w:rPr>
              <w:t>5.5</w:t>
            </w:r>
          </w:p>
        </w:tc>
      </w:tr>
      <w:tr w14:paraId="1D608F9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62" w:type="dxa"/>
            <w:shd w:val="clear" w:color="auto" w:fill="auto"/>
            <w:vAlign w:val="center"/>
          </w:tcPr>
          <w:p w14:paraId="05E73832">
            <w:pPr>
              <w:pStyle w:val="84"/>
              <w:rPr>
                <w:szCs w:val="21"/>
              </w:rPr>
            </w:pPr>
            <w:r>
              <w:rPr>
                <w:rFonts w:hint="eastAsia"/>
                <w:szCs w:val="21"/>
              </w:rPr>
              <w:t>保证出力</w:t>
            </w:r>
          </w:p>
        </w:tc>
        <w:tc>
          <w:tcPr>
            <w:tcW w:w="1002" w:type="dxa"/>
            <w:shd w:val="clear" w:color="auto" w:fill="auto"/>
            <w:vAlign w:val="center"/>
          </w:tcPr>
          <w:p w14:paraId="11F702F6">
            <w:pPr>
              <w:pStyle w:val="84"/>
              <w:rPr>
                <w:szCs w:val="21"/>
              </w:rPr>
            </w:pPr>
            <w:r>
              <w:rPr>
                <w:rFonts w:hint="eastAsia"/>
                <w:szCs w:val="21"/>
              </w:rPr>
              <w:t>k</w:t>
            </w:r>
            <w:r>
              <w:rPr>
                <w:szCs w:val="21"/>
              </w:rPr>
              <w:t>W</w:t>
            </w:r>
          </w:p>
        </w:tc>
        <w:tc>
          <w:tcPr>
            <w:tcW w:w="2409" w:type="dxa"/>
            <w:shd w:val="clear" w:color="auto" w:fill="auto"/>
            <w:vAlign w:val="center"/>
          </w:tcPr>
          <w:p w14:paraId="2E63197E">
            <w:pPr>
              <w:pStyle w:val="84"/>
              <w:rPr>
                <w:szCs w:val="21"/>
              </w:rPr>
            </w:pPr>
            <w:r>
              <w:rPr>
                <w:rFonts w:hint="eastAsia"/>
                <w:szCs w:val="21"/>
              </w:rPr>
              <w:t>5154</w:t>
            </w:r>
          </w:p>
        </w:tc>
        <w:tc>
          <w:tcPr>
            <w:tcW w:w="2409" w:type="dxa"/>
            <w:shd w:val="clear" w:color="auto" w:fill="auto"/>
            <w:noWrap/>
            <w:vAlign w:val="center"/>
          </w:tcPr>
          <w:p w14:paraId="046FF80B">
            <w:pPr>
              <w:pStyle w:val="84"/>
              <w:rPr>
                <w:szCs w:val="21"/>
              </w:rPr>
            </w:pPr>
            <w:r>
              <w:rPr>
                <w:rFonts w:hint="eastAsia"/>
                <w:szCs w:val="21"/>
              </w:rPr>
              <w:t>1712</w:t>
            </w:r>
          </w:p>
        </w:tc>
      </w:tr>
      <w:tr w14:paraId="66013C6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62" w:type="dxa"/>
            <w:shd w:val="clear" w:color="auto" w:fill="auto"/>
            <w:vAlign w:val="center"/>
          </w:tcPr>
          <w:p w14:paraId="21B2F641">
            <w:pPr>
              <w:pStyle w:val="84"/>
              <w:rPr>
                <w:szCs w:val="21"/>
              </w:rPr>
            </w:pPr>
            <w:r>
              <w:rPr>
                <w:rFonts w:hint="eastAsia"/>
                <w:szCs w:val="21"/>
              </w:rPr>
              <w:t>多年平均发电量</w:t>
            </w:r>
          </w:p>
        </w:tc>
        <w:tc>
          <w:tcPr>
            <w:tcW w:w="1002" w:type="dxa"/>
            <w:shd w:val="clear" w:color="auto" w:fill="auto"/>
            <w:vAlign w:val="center"/>
          </w:tcPr>
          <w:p w14:paraId="50AF2705">
            <w:pPr>
              <w:pStyle w:val="84"/>
              <w:rPr>
                <w:szCs w:val="21"/>
              </w:rPr>
            </w:pPr>
            <w:r>
              <w:rPr>
                <w:rFonts w:hint="eastAsia"/>
                <w:szCs w:val="21"/>
              </w:rPr>
              <w:t>万</w:t>
            </w:r>
            <w:r>
              <w:rPr>
                <w:szCs w:val="21"/>
              </w:rPr>
              <w:t>kWh</w:t>
            </w:r>
          </w:p>
        </w:tc>
        <w:tc>
          <w:tcPr>
            <w:tcW w:w="2409" w:type="dxa"/>
            <w:shd w:val="clear" w:color="auto" w:fill="auto"/>
            <w:vAlign w:val="center"/>
          </w:tcPr>
          <w:p w14:paraId="41EE84E3">
            <w:pPr>
              <w:pStyle w:val="84"/>
              <w:rPr>
                <w:szCs w:val="21"/>
              </w:rPr>
            </w:pPr>
            <w:r>
              <w:rPr>
                <w:rFonts w:hint="eastAsia"/>
                <w:szCs w:val="21"/>
              </w:rPr>
              <w:t>12654</w:t>
            </w:r>
          </w:p>
        </w:tc>
        <w:tc>
          <w:tcPr>
            <w:tcW w:w="2409" w:type="dxa"/>
            <w:shd w:val="clear" w:color="auto" w:fill="auto"/>
            <w:noWrap/>
            <w:vAlign w:val="center"/>
          </w:tcPr>
          <w:p w14:paraId="4606E532">
            <w:pPr>
              <w:pStyle w:val="84"/>
              <w:rPr>
                <w:szCs w:val="21"/>
              </w:rPr>
            </w:pPr>
            <w:r>
              <w:rPr>
                <w:rFonts w:hint="eastAsia"/>
                <w:szCs w:val="21"/>
              </w:rPr>
              <w:t>2208.43</w:t>
            </w:r>
          </w:p>
        </w:tc>
      </w:tr>
      <w:tr w14:paraId="7A7990A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62" w:type="dxa"/>
            <w:shd w:val="clear" w:color="auto" w:fill="auto"/>
            <w:vAlign w:val="center"/>
          </w:tcPr>
          <w:p w14:paraId="5714ACC1">
            <w:pPr>
              <w:pStyle w:val="84"/>
              <w:rPr>
                <w:szCs w:val="21"/>
              </w:rPr>
            </w:pPr>
            <w:r>
              <w:rPr>
                <w:szCs w:val="21"/>
              </w:rPr>
              <w:t>装机年利用小时数</w:t>
            </w:r>
          </w:p>
        </w:tc>
        <w:tc>
          <w:tcPr>
            <w:tcW w:w="1002" w:type="dxa"/>
            <w:shd w:val="clear" w:color="auto" w:fill="auto"/>
            <w:vAlign w:val="center"/>
          </w:tcPr>
          <w:p w14:paraId="0670FBDF">
            <w:pPr>
              <w:pStyle w:val="84"/>
              <w:rPr>
                <w:szCs w:val="21"/>
              </w:rPr>
            </w:pPr>
            <w:r>
              <w:rPr>
                <w:szCs w:val="21"/>
              </w:rPr>
              <w:t>h</w:t>
            </w:r>
          </w:p>
        </w:tc>
        <w:tc>
          <w:tcPr>
            <w:tcW w:w="2409" w:type="dxa"/>
            <w:shd w:val="clear" w:color="auto" w:fill="auto"/>
            <w:vAlign w:val="center"/>
          </w:tcPr>
          <w:p w14:paraId="3B1F98F8">
            <w:pPr>
              <w:pStyle w:val="84"/>
              <w:rPr>
                <w:szCs w:val="21"/>
              </w:rPr>
            </w:pPr>
            <w:r>
              <w:rPr>
                <w:rFonts w:hint="eastAsia"/>
                <w:szCs w:val="21"/>
              </w:rPr>
              <w:t>4218</w:t>
            </w:r>
          </w:p>
        </w:tc>
        <w:tc>
          <w:tcPr>
            <w:tcW w:w="2409" w:type="dxa"/>
            <w:shd w:val="clear" w:color="auto" w:fill="auto"/>
            <w:noWrap/>
            <w:vAlign w:val="center"/>
          </w:tcPr>
          <w:p w14:paraId="6F6AE961">
            <w:pPr>
              <w:pStyle w:val="84"/>
              <w:rPr>
                <w:szCs w:val="21"/>
              </w:rPr>
            </w:pPr>
            <w:r>
              <w:rPr>
                <w:szCs w:val="21"/>
              </w:rPr>
              <w:t>4507</w:t>
            </w:r>
          </w:p>
        </w:tc>
      </w:tr>
    </w:tbl>
    <w:p w14:paraId="64940C31">
      <w:pPr>
        <w:pStyle w:val="4"/>
      </w:pPr>
      <w:bookmarkStart w:id="264" w:name="_Toc471737970"/>
      <w:bookmarkStart w:id="265" w:name="_Toc454046484"/>
      <w:bookmarkStart w:id="266" w:name="_Toc508642421"/>
      <w:bookmarkStart w:id="267" w:name="_Toc443655387"/>
      <w:r>
        <w:rPr>
          <w:rFonts w:hint="eastAsia"/>
        </w:rPr>
        <w:t>2.2工程概况</w:t>
      </w:r>
      <w:bookmarkEnd w:id="264"/>
      <w:bookmarkEnd w:id="265"/>
      <w:bookmarkEnd w:id="266"/>
      <w:bookmarkEnd w:id="267"/>
    </w:p>
    <w:p w14:paraId="5D96253B">
      <w:pPr>
        <w:pStyle w:val="113"/>
      </w:pPr>
      <w:bookmarkStart w:id="268" w:name="_Toc443655388"/>
      <w:bookmarkStart w:id="269" w:name="_Toc454046485"/>
      <w:bookmarkStart w:id="270" w:name="_Toc508642422"/>
      <w:bookmarkStart w:id="271" w:name="_Toc471737971"/>
      <w:r>
        <w:rPr>
          <w:rFonts w:hint="eastAsia"/>
        </w:rPr>
        <w:t>2.2.1项目基本情况</w:t>
      </w:r>
      <w:bookmarkEnd w:id="268"/>
      <w:bookmarkEnd w:id="269"/>
      <w:bookmarkEnd w:id="270"/>
      <w:bookmarkEnd w:id="271"/>
    </w:p>
    <w:p w14:paraId="75A3F475">
      <w:pPr>
        <w:ind w:firstLine="480"/>
        <w:rPr>
          <w:szCs w:val="24"/>
        </w:rPr>
      </w:pPr>
      <w:r>
        <w:rPr>
          <w:rFonts w:hint="eastAsia" w:ascii="宋体" w:hAnsi="宋体"/>
          <w:szCs w:val="24"/>
        </w:rPr>
        <w:t>项</w:t>
      </w:r>
      <w:r>
        <w:rPr>
          <w:szCs w:val="24"/>
        </w:rPr>
        <w:t>目名称：</w:t>
      </w:r>
      <w:r>
        <w:rPr>
          <w:rFonts w:hint="eastAsia" w:ascii="宋体" w:hAnsi="宋体"/>
        </w:rPr>
        <w:t>云南省德宏州芒市团结水电站工程；</w:t>
      </w:r>
    </w:p>
    <w:p w14:paraId="2217992F">
      <w:pPr>
        <w:ind w:firstLine="480"/>
        <w:rPr>
          <w:szCs w:val="24"/>
        </w:rPr>
      </w:pPr>
      <w:r>
        <w:rPr>
          <w:szCs w:val="24"/>
        </w:rPr>
        <w:t>建设地点：</w:t>
      </w:r>
      <w:r>
        <w:rPr>
          <w:rFonts w:hint="eastAsia" w:ascii="宋体" w:hAnsi="宋体"/>
        </w:rPr>
        <w:t>德宏</w:t>
      </w:r>
      <w:r>
        <w:rPr>
          <w:rFonts w:ascii="宋体" w:hAnsi="宋体"/>
        </w:rPr>
        <w:t>州</w:t>
      </w:r>
      <w:r>
        <w:rPr>
          <w:rFonts w:hint="eastAsia" w:ascii="宋体" w:hAnsi="宋体"/>
        </w:rPr>
        <w:t>芒市遮放镇</w:t>
      </w:r>
      <w:r>
        <w:rPr>
          <w:rFonts w:hint="eastAsia"/>
          <w:bCs/>
          <w:szCs w:val="24"/>
        </w:rPr>
        <w:t>；</w:t>
      </w:r>
    </w:p>
    <w:p w14:paraId="6785F4BA">
      <w:pPr>
        <w:ind w:firstLine="480"/>
      </w:pPr>
      <w:r>
        <w:rPr>
          <w:szCs w:val="24"/>
        </w:rPr>
        <w:t>建设单位：</w:t>
      </w:r>
      <w:r>
        <w:rPr>
          <w:rFonts w:hint="eastAsia" w:ascii="宋体" w:hAnsi="宋体"/>
          <w:kern w:val="32"/>
        </w:rPr>
        <w:t>芒市宏睿水电有限公司</w:t>
      </w:r>
      <w:r>
        <w:rPr>
          <w:rFonts w:hint="eastAsia"/>
        </w:rPr>
        <w:t>；</w:t>
      </w:r>
    </w:p>
    <w:p w14:paraId="53A5593A">
      <w:pPr>
        <w:ind w:firstLine="480"/>
      </w:pPr>
      <w:r>
        <w:rPr>
          <w:rFonts w:hint="eastAsia"/>
        </w:rPr>
        <w:t>建设内容：</w:t>
      </w:r>
      <w:r>
        <w:rPr>
          <w:rFonts w:hint="eastAsia"/>
          <w:bCs/>
          <w:kern w:val="0"/>
          <w:szCs w:val="24"/>
        </w:rPr>
        <w:t>主要建筑物有浆砌石重力坝、厂房、升压站；</w:t>
      </w:r>
      <w:r>
        <w:rPr>
          <w:rFonts w:hint="eastAsia"/>
          <w:bCs/>
          <w:color w:val="FF0000"/>
          <w:kern w:val="0"/>
          <w:szCs w:val="24"/>
        </w:rPr>
        <w:t>次要建筑物有进场道路、辅助生产建筑等；</w:t>
      </w:r>
    </w:p>
    <w:p w14:paraId="338E1E3A">
      <w:pPr>
        <w:ind w:firstLine="480"/>
      </w:pPr>
      <w:r>
        <w:t>建设规模：</w:t>
      </w:r>
      <w:r>
        <w:rPr>
          <w:bCs/>
          <w:kern w:val="0"/>
          <w:szCs w:val="24"/>
        </w:rPr>
        <w:t>工程规模为小（2）型（</w:t>
      </w:r>
      <w:r>
        <w:t>大坝、电站厂房等主要水工建筑物的级别为5级，次要水工建筑物和临时建筑物的级别为5级</w:t>
      </w:r>
      <w:r>
        <w:rPr>
          <w:bCs/>
          <w:kern w:val="0"/>
          <w:szCs w:val="24"/>
        </w:rPr>
        <w:t>）；</w:t>
      </w:r>
    </w:p>
    <w:p w14:paraId="477E6A8F">
      <w:pPr>
        <w:ind w:firstLine="480"/>
        <w:rPr>
          <w:bCs/>
          <w:kern w:val="0"/>
          <w:szCs w:val="24"/>
        </w:rPr>
      </w:pPr>
      <w:r>
        <w:rPr>
          <w:rFonts w:hint="eastAsia"/>
        </w:rPr>
        <w:t>工程等级：</w:t>
      </w:r>
      <w:r>
        <w:rPr>
          <w:rFonts w:hint="eastAsia" w:ascii="宋体" w:hAnsi="宋体"/>
        </w:rPr>
        <w:t>工程等别为Ⅴ等</w:t>
      </w:r>
      <w:r>
        <w:rPr>
          <w:rFonts w:hint="eastAsia"/>
          <w:bCs/>
          <w:kern w:val="0"/>
          <w:szCs w:val="24"/>
        </w:rPr>
        <w:t>；</w:t>
      </w:r>
    </w:p>
    <w:p w14:paraId="7CDF709D">
      <w:pPr>
        <w:ind w:firstLine="480"/>
      </w:pPr>
      <w:r>
        <w:rPr>
          <w:rFonts w:hint="eastAsia"/>
          <w:bCs/>
          <w:kern w:val="0"/>
          <w:szCs w:val="24"/>
        </w:rPr>
        <w:t>装机规模：</w:t>
      </w:r>
      <w:r>
        <w:rPr>
          <w:bCs/>
          <w:kern w:val="0"/>
          <w:szCs w:val="24"/>
        </w:rPr>
        <w:t>2×2</w:t>
      </w:r>
      <w:r>
        <w:rPr>
          <w:rFonts w:hint="eastAsia"/>
          <w:bCs/>
          <w:kern w:val="0"/>
          <w:szCs w:val="24"/>
        </w:rPr>
        <w:t>45</w:t>
      </w:r>
      <w:r>
        <w:rPr>
          <w:bCs/>
          <w:kern w:val="0"/>
          <w:szCs w:val="24"/>
        </w:rPr>
        <w:t>0kW</w:t>
      </w:r>
      <w:r>
        <w:rPr>
          <w:rFonts w:hint="eastAsia"/>
          <w:bCs/>
          <w:kern w:val="0"/>
          <w:szCs w:val="24"/>
        </w:rPr>
        <w:t>；</w:t>
      </w:r>
    </w:p>
    <w:p w14:paraId="2D81B714">
      <w:pPr>
        <w:ind w:firstLine="480"/>
        <w:rPr>
          <w:szCs w:val="24"/>
        </w:rPr>
      </w:pPr>
      <w:r>
        <w:t>装机容量：4900kW</w:t>
      </w:r>
      <w:r>
        <w:rPr>
          <w:bCs/>
          <w:kern w:val="0"/>
          <w:szCs w:val="24"/>
        </w:rPr>
        <w:t>；</w:t>
      </w:r>
    </w:p>
    <w:p w14:paraId="4D692255">
      <w:pPr>
        <w:ind w:firstLine="480"/>
        <w:rPr>
          <w:color w:val="FF0000"/>
        </w:rPr>
      </w:pPr>
      <w:r>
        <w:rPr>
          <w:color w:val="FF0000"/>
        </w:rPr>
        <w:t>总</w:t>
      </w:r>
      <w:r>
        <w:rPr>
          <w:rFonts w:hint="eastAsia"/>
          <w:color w:val="FF0000"/>
        </w:rPr>
        <w:t xml:space="preserve"> </w:t>
      </w:r>
      <w:r>
        <w:rPr>
          <w:color w:val="FF0000"/>
        </w:rPr>
        <w:t>投</w:t>
      </w:r>
      <w:r>
        <w:rPr>
          <w:rFonts w:hint="eastAsia"/>
          <w:color w:val="FF0000"/>
        </w:rPr>
        <w:t xml:space="preserve"> </w:t>
      </w:r>
      <w:r>
        <w:rPr>
          <w:color w:val="FF0000"/>
        </w:rPr>
        <w:t>资：总投资为</w:t>
      </w:r>
      <w:r>
        <w:rPr>
          <w:rFonts w:hint="eastAsia"/>
          <w:color w:val="FF0000"/>
        </w:rPr>
        <w:t>4333.14</w:t>
      </w:r>
      <w:r>
        <w:rPr>
          <w:color w:val="FF0000"/>
        </w:rPr>
        <w:t>万元，其中</w:t>
      </w:r>
      <w:r>
        <w:rPr>
          <w:rFonts w:hint="eastAsia"/>
          <w:color w:val="FF0000"/>
        </w:rPr>
        <w:t>环保</w:t>
      </w:r>
      <w:r>
        <w:rPr>
          <w:color w:val="FF0000"/>
        </w:rPr>
        <w:t>投资为</w:t>
      </w:r>
      <w:r>
        <w:rPr>
          <w:rFonts w:hint="eastAsia"/>
          <w:color w:val="FF0000"/>
        </w:rPr>
        <w:t>38.965</w:t>
      </w:r>
      <w:r>
        <w:rPr>
          <w:color w:val="FF0000"/>
        </w:rPr>
        <w:t>万元</w:t>
      </w:r>
      <w:r>
        <w:rPr>
          <w:rFonts w:hint="eastAsia"/>
          <w:color w:val="FF0000"/>
        </w:rPr>
        <w:t>；</w:t>
      </w:r>
    </w:p>
    <w:p w14:paraId="1759D03D">
      <w:pPr>
        <w:ind w:firstLine="480"/>
      </w:pPr>
      <w:r>
        <w:t>建设周期：工程总工期</w:t>
      </w:r>
      <w:r>
        <w:rPr>
          <w:rFonts w:hint="eastAsia"/>
        </w:rPr>
        <w:t>12</w:t>
      </w:r>
      <w:r>
        <w:t>月</w:t>
      </w:r>
      <w:r>
        <w:rPr>
          <w:rFonts w:hint="eastAsia"/>
        </w:rPr>
        <w:t>；</w:t>
      </w:r>
    </w:p>
    <w:p w14:paraId="457FA33B">
      <w:pPr>
        <w:ind w:firstLine="480"/>
      </w:pPr>
      <w:r>
        <w:t>建设性质：</w:t>
      </w:r>
      <w:r>
        <w:rPr>
          <w:rFonts w:ascii="宋体" w:hAnsi="宋体"/>
        </w:rPr>
        <w:t>新建</w:t>
      </w:r>
      <w:r>
        <w:rPr>
          <w:rFonts w:hint="eastAsia"/>
        </w:rPr>
        <w:t>。</w:t>
      </w:r>
    </w:p>
    <w:p w14:paraId="12305F91">
      <w:pPr>
        <w:pStyle w:val="113"/>
      </w:pPr>
      <w:bookmarkStart w:id="272" w:name="_Toc471737972"/>
      <w:bookmarkStart w:id="273" w:name="_Toc443655389"/>
      <w:bookmarkStart w:id="274" w:name="_Toc508642423"/>
      <w:bookmarkStart w:id="275" w:name="_Toc454046486"/>
      <w:r>
        <w:rPr>
          <w:rFonts w:hint="eastAsia"/>
        </w:rPr>
        <w:t>2.2.2工程地理位置</w:t>
      </w:r>
      <w:bookmarkEnd w:id="272"/>
      <w:bookmarkEnd w:id="273"/>
      <w:bookmarkEnd w:id="274"/>
      <w:bookmarkEnd w:id="275"/>
    </w:p>
    <w:p w14:paraId="1153A605">
      <w:pPr>
        <w:ind w:firstLine="480"/>
        <w:rPr>
          <w:highlight w:val="green"/>
        </w:rPr>
      </w:pPr>
      <w:bookmarkStart w:id="276" w:name="_Toc443655390"/>
      <w:bookmarkStart w:id="277" w:name="_Toc454046487"/>
      <w:r>
        <w:rPr>
          <w:rFonts w:hint="eastAsia"/>
        </w:rPr>
        <w:t>团结水电站位于云南省德宏州芒市境内，距遮放镇约5km，与上游芒里电站尾水堰距离约2.2km，坝址地理坐标为：E98°17</w:t>
      </w:r>
      <w:r>
        <w:t>′</w:t>
      </w:r>
      <w:r>
        <w:rPr>
          <w:rFonts w:hint="eastAsia"/>
        </w:rPr>
        <w:t>13.37</w:t>
      </w:r>
      <w:r>
        <w:t>″</w:t>
      </w:r>
      <w:r>
        <w:rPr>
          <w:rFonts w:hint="eastAsia"/>
        </w:rPr>
        <w:t>、N24°17</w:t>
      </w:r>
      <w:r>
        <w:t>′</w:t>
      </w:r>
      <w:r>
        <w:rPr>
          <w:rFonts w:hint="eastAsia"/>
        </w:rPr>
        <w:t>48</w:t>
      </w:r>
      <w:r>
        <w:t>″</w:t>
      </w:r>
      <w:r>
        <w:rPr>
          <w:rFonts w:hint="eastAsia"/>
        </w:rPr>
        <w:t>，厂址地理坐标为：E98°17</w:t>
      </w:r>
      <w:r>
        <w:t>′</w:t>
      </w:r>
      <w:r>
        <w:rPr>
          <w:rFonts w:hint="eastAsia"/>
        </w:rPr>
        <w:t>12.8</w:t>
      </w:r>
      <w:r>
        <w:t>″</w:t>
      </w:r>
      <w:r>
        <w:rPr>
          <w:rFonts w:hint="eastAsia"/>
        </w:rPr>
        <w:t>、N24°17</w:t>
      </w:r>
      <w:r>
        <w:t>′</w:t>
      </w:r>
      <w:r>
        <w:rPr>
          <w:rFonts w:hint="eastAsia"/>
        </w:rPr>
        <w:t>49.59</w:t>
      </w:r>
      <w:r>
        <w:t>″</w:t>
      </w:r>
      <w:r>
        <w:rPr>
          <w:rFonts w:hint="eastAsia"/>
        </w:rPr>
        <w:t>。工程区距</w:t>
      </w:r>
      <w:r>
        <w:t>32</w:t>
      </w:r>
      <w:r>
        <w:rPr>
          <w:rFonts w:hint="eastAsia"/>
        </w:rPr>
        <w:t>0国道仅5km，现有机耕路可直达，距州府所在地芒市公路距离为22km，距昆明约707km。此外，团结水电站</w:t>
      </w:r>
      <w:r>
        <w:rPr>
          <w:rFonts w:hint="eastAsia"/>
          <w:color w:val="FF0000"/>
        </w:rPr>
        <w:t>电站主厂房南侧39.3m处为龙瑞高速，东北侧约54.5m处为芒瑞大道</w:t>
      </w:r>
      <w:r>
        <w:rPr>
          <w:rFonts w:hint="eastAsia"/>
        </w:rPr>
        <w:t>。</w:t>
      </w:r>
    </w:p>
    <w:p w14:paraId="1EA2F484">
      <w:pPr>
        <w:ind w:firstLine="480"/>
      </w:pPr>
      <w:r>
        <w:rPr>
          <w:rFonts w:hint="eastAsia"/>
        </w:rPr>
        <w:t>工程地理位置图见附图1。</w:t>
      </w:r>
    </w:p>
    <w:p w14:paraId="0BF3269C">
      <w:pPr>
        <w:pStyle w:val="113"/>
      </w:pPr>
      <w:bookmarkStart w:id="278" w:name="_Toc471737973"/>
      <w:bookmarkStart w:id="279" w:name="_Toc508642424"/>
      <w:r>
        <w:rPr>
          <w:rFonts w:hint="eastAsia"/>
        </w:rPr>
        <w:t>2.2.3工程建设的必要性</w:t>
      </w:r>
      <w:bookmarkEnd w:id="276"/>
      <w:bookmarkEnd w:id="277"/>
      <w:bookmarkEnd w:id="278"/>
      <w:bookmarkEnd w:id="279"/>
    </w:p>
    <w:p w14:paraId="5D800DDA">
      <w:pPr>
        <w:ind w:firstLine="480"/>
      </w:pPr>
      <w:bookmarkStart w:id="280" w:name="_Toc443655391"/>
      <w:bookmarkStart w:id="281" w:name="_Toc397428282"/>
      <w:bookmarkStart w:id="282" w:name="_Toc454046488"/>
      <w:r>
        <w:rPr>
          <w:rFonts w:hint="eastAsia"/>
        </w:rPr>
        <w:t>德宏州水力资源丰富，境内河流纵横，雨量充沛，总计水力资源理论蕴藏量3624MW，可开发利用1020MW，是得天独厚的能源资源地。</w:t>
      </w:r>
    </w:p>
    <w:p w14:paraId="701F2BBC">
      <w:pPr>
        <w:ind w:firstLine="480"/>
      </w:pPr>
      <w:r>
        <w:rPr>
          <w:rFonts w:hint="eastAsia"/>
        </w:rPr>
        <w:t>随着时间的推移和城市化进程的加快，能源越来越短缺，</w:t>
      </w:r>
      <w:r>
        <w:rPr>
          <w:rFonts w:hint="eastAsia"/>
          <w:szCs w:val="20"/>
        </w:rPr>
        <w:t>国家提出了“农村电气化”的口号。</w:t>
      </w:r>
      <w:r>
        <w:rPr>
          <w:rFonts w:hint="eastAsia"/>
        </w:rPr>
        <w:t>“农村电气化工程”</w:t>
      </w:r>
      <w:r>
        <w:t>是党中央、国务院为保护生态环境，巩固退耕还林成果，解决</w:t>
      </w:r>
      <w:r>
        <w:rPr>
          <w:rFonts w:hint="eastAsia"/>
        </w:rPr>
        <w:t>“</w:t>
      </w:r>
      <w:r>
        <w:t>三农</w:t>
      </w:r>
      <w:r>
        <w:rPr>
          <w:rFonts w:hint="eastAsia"/>
        </w:rPr>
        <w:t>”</w:t>
      </w:r>
      <w:r>
        <w:t>问题的重要举措。</w:t>
      </w:r>
      <w:r>
        <w:rPr>
          <w:rFonts w:hint="eastAsia"/>
        </w:rPr>
        <w:t>为了解决德宏州用电问题，响应国家关于“农村电气化工程”的方针，将拟建团结水电站定为芒市“十二五”农村水电电气化项目，以解决芒市西山乡和遮放镇1200户用电问题。</w:t>
      </w:r>
    </w:p>
    <w:p w14:paraId="7807A625">
      <w:pPr>
        <w:ind w:firstLine="480"/>
      </w:pPr>
      <w:r>
        <w:rPr>
          <w:rFonts w:hint="eastAsia"/>
        </w:rPr>
        <w:t>团结水电站利用上游芒里水电站的尾水进行发电，装机容量2×2450kW，年利用小时数4507h，多年平均发电量2208.43万</w:t>
      </w:r>
      <w:r>
        <w:t>kW</w:t>
      </w:r>
      <w:r>
        <w:rPr>
          <w:szCs w:val="24"/>
        </w:rPr>
        <w:t>·</w:t>
      </w:r>
      <w:r>
        <w:t>h</w:t>
      </w:r>
      <w:r>
        <w:rPr>
          <w:rFonts w:hint="eastAsia"/>
        </w:rPr>
        <w:t>，电力上网条件较好，效益显著。团结水电站本身虽无调节库容，但上游的芒里电站是月调节电站，可在枯水季节提高供水和灌溉保证率，在汛期可防洪错峰，对下游起到防洪的作用。</w:t>
      </w:r>
    </w:p>
    <w:p w14:paraId="4A773610">
      <w:pPr>
        <w:ind w:firstLine="480"/>
        <w:rPr>
          <w:szCs w:val="20"/>
        </w:rPr>
      </w:pPr>
      <w:r>
        <w:rPr>
          <w:rFonts w:hint="eastAsia"/>
        </w:rPr>
        <w:t>团结水电站的建设对提高当地农村地区的用电可靠率和电气化水平，统筹城乡协调发展，推动地方经济增长，加快新农村建设步伐，促进农民增收和产业结构调整都起到重要作用，同时对当地农村水资源的科学有序开发和周边地区生态环境的有效保护也将起到积极的作用。</w:t>
      </w:r>
    </w:p>
    <w:p w14:paraId="22ED0FC2">
      <w:pPr>
        <w:ind w:firstLine="480"/>
      </w:pPr>
      <w:r>
        <w:rPr>
          <w:rFonts w:hint="eastAsia"/>
        </w:rPr>
        <w:t>综上，开发芒市河水能资源，修建团结水电站，把资源优势变成经济优势，对芒市经济的发展具有较大的促进作用，电站的建设是十分必要的。</w:t>
      </w:r>
    </w:p>
    <w:p w14:paraId="45C55E9B">
      <w:pPr>
        <w:pStyle w:val="113"/>
      </w:pPr>
      <w:bookmarkStart w:id="283" w:name="_Toc471737974"/>
      <w:bookmarkStart w:id="284" w:name="_Toc508642425"/>
      <w:r>
        <w:rPr>
          <w:rFonts w:hint="eastAsia"/>
        </w:rPr>
        <w:t>2.</w:t>
      </w:r>
      <w:bookmarkStart w:id="285" w:name="_Toc365812582"/>
      <w:r>
        <w:rPr>
          <w:rFonts w:hint="eastAsia"/>
        </w:rPr>
        <w:t>2.4工程任务</w:t>
      </w:r>
      <w:bookmarkEnd w:id="280"/>
      <w:bookmarkEnd w:id="281"/>
      <w:bookmarkEnd w:id="285"/>
      <w:r>
        <w:rPr>
          <w:rFonts w:hint="eastAsia"/>
        </w:rPr>
        <w:t>及工程等别</w:t>
      </w:r>
      <w:bookmarkEnd w:id="282"/>
      <w:bookmarkEnd w:id="283"/>
      <w:bookmarkEnd w:id="284"/>
    </w:p>
    <w:p w14:paraId="70B32877">
      <w:pPr>
        <w:pStyle w:val="141"/>
      </w:pPr>
      <w:r>
        <w:rPr>
          <w:rFonts w:hint="eastAsia"/>
        </w:rPr>
        <w:t>2.2.4.1工程任务</w:t>
      </w:r>
    </w:p>
    <w:p w14:paraId="34E45419">
      <w:pPr>
        <w:ind w:firstLine="480"/>
        <w:rPr>
          <w:color w:val="FF0000"/>
        </w:rPr>
      </w:pPr>
      <w:bookmarkStart w:id="286" w:name="_Toc397428283"/>
      <w:r>
        <w:rPr>
          <w:rFonts w:hint="eastAsia"/>
          <w:color w:val="FF0000"/>
        </w:rPr>
        <w:t>团结水电站按坝后河床式开发，以发电为单一开发目标，兼顾防洪和灌溉功能。总下泄水量（发电水量</w:t>
      </w:r>
      <w:r>
        <w:rPr>
          <w:color w:val="FF0000"/>
        </w:rPr>
        <w:t>+</w:t>
      </w:r>
      <w:r>
        <w:rPr>
          <w:rFonts w:hint="eastAsia"/>
          <w:color w:val="FF0000"/>
        </w:rPr>
        <w:t>弃水量</w:t>
      </w:r>
      <w:r>
        <w:rPr>
          <w:color w:val="FF0000"/>
        </w:rPr>
        <w:t>+</w:t>
      </w:r>
      <w:r>
        <w:rPr>
          <w:rFonts w:hint="eastAsia"/>
          <w:color w:val="FF0000"/>
        </w:rPr>
        <w:t>农灌水量）汛期不大于下游允许过流量，枯季不小于下游农灌和生态用水量之和，蓄水期不发电时通过冲砂闸下泄下游农灌和生态用水。</w:t>
      </w:r>
    </w:p>
    <w:p w14:paraId="384F38E0">
      <w:pPr>
        <w:pStyle w:val="141"/>
      </w:pPr>
      <w:r>
        <w:rPr>
          <w:rFonts w:hint="eastAsia"/>
        </w:rPr>
        <w:t>2.2.4.2工程等别</w:t>
      </w:r>
      <w:r>
        <w:rPr>
          <w:rFonts w:hint="eastAsia" w:ascii="黑体" w:hAnsi="黑体"/>
          <w:b/>
          <w:bCs/>
        </w:rPr>
        <w:t>和洪水标准</w:t>
      </w:r>
    </w:p>
    <w:p w14:paraId="2BC21A31">
      <w:pPr>
        <w:ind w:firstLine="480"/>
      </w:pPr>
      <w:bookmarkStart w:id="287" w:name="_Toc443655392"/>
      <w:bookmarkStart w:id="288" w:name="_Toc454046489"/>
      <w:r>
        <w:rPr>
          <w:rFonts w:hint="eastAsia"/>
        </w:rPr>
        <w:t>团结水电站装机总容量为4900kW。根据《水电枢纽工程等级划分及设计安全标准》（DL 5180-2003）的规定，该电站枢纽工程规模为小（2）型，工程等别为Ⅴ等。</w:t>
      </w:r>
    </w:p>
    <w:p w14:paraId="352C724E">
      <w:pPr>
        <w:ind w:firstLine="480"/>
      </w:pPr>
      <w:r>
        <w:rPr>
          <w:rFonts w:hint="eastAsia"/>
        </w:rPr>
        <w:t>大坝、电站厂房等主要水工建筑物的级别为5级，次要水工建筑物和临时建筑物的级别为5级。</w:t>
      </w:r>
    </w:p>
    <w:p w14:paraId="75D89C35">
      <w:pPr>
        <w:ind w:firstLine="480"/>
      </w:pPr>
      <w:r>
        <w:rPr>
          <w:rFonts w:hint="eastAsia"/>
        </w:rPr>
        <w:t>大坝建筑物设计洪水标准为30年一遇(P=3.33%)，设计洪峰流量Q=809m</w:t>
      </w:r>
      <w:r>
        <w:rPr>
          <w:rFonts w:hint="eastAsia"/>
          <w:vertAlign w:val="superscript"/>
        </w:rPr>
        <w:t>3</w:t>
      </w:r>
      <w:r>
        <w:rPr>
          <w:rFonts w:hint="eastAsia"/>
        </w:rPr>
        <w:t>/s，校核洪水标准为50年一遇(P=2%)，校核洪峰流量Q=891m</w:t>
      </w:r>
      <w:r>
        <w:rPr>
          <w:rFonts w:hint="eastAsia"/>
          <w:vertAlign w:val="superscript"/>
        </w:rPr>
        <w:t>3</w:t>
      </w:r>
      <w:r>
        <w:rPr>
          <w:rFonts w:hint="eastAsia"/>
        </w:rPr>
        <w:t>/s，最大防洪标准按1000年一遇(P=0.1%)，最大防洪校核洪峰流量Q=1370m</w:t>
      </w:r>
      <w:r>
        <w:rPr>
          <w:rFonts w:hint="eastAsia"/>
          <w:vertAlign w:val="superscript"/>
        </w:rPr>
        <w:t>3</w:t>
      </w:r>
      <w:r>
        <w:rPr>
          <w:rFonts w:hint="eastAsia"/>
        </w:rPr>
        <w:t>/s。施工导流标准为：枯期采用5年一遇（P=20%），设计洪峰流量Q=70.2m</w:t>
      </w:r>
      <w:r>
        <w:rPr>
          <w:rFonts w:hint="eastAsia"/>
          <w:vertAlign w:val="superscript"/>
        </w:rPr>
        <w:t>3</w:t>
      </w:r>
      <w:r>
        <w:rPr>
          <w:rFonts w:hint="eastAsia"/>
        </w:rPr>
        <w:t>/s。度汛标准为全汛期10年一遇（P=10%），设计洪峰流量Q=632m</w:t>
      </w:r>
      <w:r>
        <w:rPr>
          <w:rFonts w:hint="eastAsia"/>
          <w:vertAlign w:val="superscript"/>
        </w:rPr>
        <w:t>3</w:t>
      </w:r>
      <w:r>
        <w:rPr>
          <w:rFonts w:hint="eastAsia"/>
        </w:rPr>
        <w:t>/s。</w:t>
      </w:r>
    </w:p>
    <w:p w14:paraId="0249F225">
      <w:pPr>
        <w:pStyle w:val="113"/>
      </w:pPr>
      <w:bookmarkStart w:id="289" w:name="_Toc508642426"/>
      <w:bookmarkStart w:id="290" w:name="_Toc471737975"/>
      <w:r>
        <w:rPr>
          <w:rFonts w:hint="eastAsia"/>
        </w:rPr>
        <w:t>2.2.5</w:t>
      </w:r>
      <w:bookmarkEnd w:id="286"/>
      <w:bookmarkStart w:id="291" w:name="_Toc397428284"/>
      <w:r>
        <w:rPr>
          <w:rFonts w:hint="eastAsia"/>
        </w:rPr>
        <w:t>工程组成</w:t>
      </w:r>
      <w:bookmarkEnd w:id="287"/>
      <w:bookmarkEnd w:id="291"/>
      <w:r>
        <w:rPr>
          <w:rFonts w:hint="eastAsia"/>
        </w:rPr>
        <w:t>和工程特性</w:t>
      </w:r>
      <w:bookmarkEnd w:id="288"/>
      <w:bookmarkEnd w:id="289"/>
      <w:bookmarkEnd w:id="290"/>
    </w:p>
    <w:p w14:paraId="305C25EF">
      <w:pPr>
        <w:pStyle w:val="141"/>
      </w:pPr>
      <w:r>
        <w:rPr>
          <w:rFonts w:hint="eastAsia"/>
        </w:rPr>
        <w:t>2.2.5.1工程组成</w:t>
      </w:r>
    </w:p>
    <w:p w14:paraId="2B9B6583">
      <w:pPr>
        <w:ind w:firstLine="480"/>
        <w:rPr>
          <w:color w:val="FF0000"/>
        </w:rPr>
      </w:pPr>
      <w:r>
        <w:rPr>
          <w:color w:val="FF0000"/>
        </w:rPr>
        <w:t>团结水电站总装机容量4900kW，引用发电流量106.3m³/s，设计水头5.5m，装机年利用小时数4507h，多年平均发电量2208.43万kW</w:t>
      </w:r>
      <w:r>
        <w:rPr>
          <w:color w:val="FF0000"/>
          <w:szCs w:val="24"/>
        </w:rPr>
        <w:t>·</w:t>
      </w:r>
      <w:r>
        <w:rPr>
          <w:color w:val="FF0000"/>
        </w:rPr>
        <w:t>h</w:t>
      </w:r>
      <w:r>
        <w:rPr>
          <w:rFonts w:hint="eastAsia"/>
          <w:color w:val="FF0000"/>
        </w:rPr>
        <w:t>，保证出力1712</w:t>
      </w:r>
      <w:r>
        <w:rPr>
          <w:color w:val="FF0000"/>
        </w:rPr>
        <w:t>kW。</w:t>
      </w:r>
    </w:p>
    <w:p w14:paraId="556138F0">
      <w:pPr>
        <w:ind w:firstLine="480"/>
        <w:rPr>
          <w:rFonts w:cstheme="minorBidi"/>
        </w:rPr>
      </w:pPr>
      <w:r>
        <w:rPr>
          <w:rFonts w:hint="eastAsia"/>
        </w:rPr>
        <w:t>电站工程主要由大坝、厂区两大部分组成。</w:t>
      </w:r>
      <w:r>
        <w:rPr>
          <w:rFonts w:hint="eastAsia"/>
          <w:szCs w:val="24"/>
        </w:rPr>
        <w:t>大坝由</w:t>
      </w:r>
      <w:r>
        <w:rPr>
          <w:rFonts w:hint="eastAsia" w:hAnsi="宋体"/>
        </w:rPr>
        <w:t>非溢流坝、泄水闸、冲砂闸等组成，</w:t>
      </w:r>
      <w:r>
        <w:rPr>
          <w:rFonts w:hint="eastAsia"/>
        </w:rPr>
        <w:t>从左岸到右岸分别为左岸非溢流坝段、四道泄水闸、冲砂闸；</w:t>
      </w:r>
      <w:r>
        <w:rPr>
          <w:rFonts w:hint="eastAsia"/>
          <w:szCs w:val="24"/>
        </w:rPr>
        <w:t>厂区建筑物包括进厂公路、厂房、升压站等。电站厂房布置在河道右岸，升压站布置在厂房右侧。</w:t>
      </w:r>
      <w:r>
        <w:rPr>
          <w:rFonts w:hint="eastAsia" w:cstheme="minorBidi"/>
        </w:rPr>
        <w:t>主要工程组成见下表：</w:t>
      </w:r>
    </w:p>
    <w:p w14:paraId="16A02EE0">
      <w:pPr>
        <w:pStyle w:val="82"/>
        <w:framePr w:hSpace="0" w:wrap="auto" w:vAnchor="margin" w:hAnchor="text" w:xAlign="left" w:yAlign="inline"/>
      </w:pPr>
      <w:r>
        <w:rPr>
          <w:rFonts w:hint="eastAsia"/>
        </w:rPr>
        <w:t>表2-2-1  工程组成表</w:t>
      </w:r>
    </w:p>
    <w:tbl>
      <w:tblPr>
        <w:tblStyle w:val="57"/>
        <w:tblW w:w="9215"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568"/>
        <w:gridCol w:w="426"/>
        <w:gridCol w:w="426"/>
        <w:gridCol w:w="1280"/>
        <w:gridCol w:w="5954"/>
      </w:tblGrid>
      <w:tr w14:paraId="4A55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blHeader/>
        </w:trPr>
        <w:tc>
          <w:tcPr>
            <w:tcW w:w="1129" w:type="dxa"/>
            <w:gridSpan w:val="2"/>
            <w:tcBorders>
              <w:left w:val="nil"/>
            </w:tcBorders>
            <w:vAlign w:val="center"/>
          </w:tcPr>
          <w:p w14:paraId="71B18198">
            <w:pPr>
              <w:pStyle w:val="84"/>
              <w:spacing w:line="276" w:lineRule="auto"/>
            </w:pPr>
            <w:r>
              <w:rPr>
                <w:rFonts w:hint="eastAsia"/>
              </w:rPr>
              <w:t>工程名称</w:t>
            </w:r>
          </w:p>
        </w:tc>
        <w:tc>
          <w:tcPr>
            <w:tcW w:w="8086" w:type="dxa"/>
            <w:gridSpan w:val="4"/>
            <w:tcBorders>
              <w:right w:val="nil"/>
            </w:tcBorders>
            <w:vAlign w:val="center"/>
          </w:tcPr>
          <w:p w14:paraId="4ADBB129">
            <w:pPr>
              <w:pStyle w:val="84"/>
              <w:spacing w:line="276" w:lineRule="auto"/>
            </w:pPr>
            <w:r>
              <w:rPr>
                <w:rFonts w:hint="eastAsia"/>
              </w:rPr>
              <w:t>工程组成</w:t>
            </w:r>
          </w:p>
        </w:tc>
      </w:tr>
      <w:tr w14:paraId="2F032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561" w:type="dxa"/>
            <w:vMerge w:val="restart"/>
            <w:tcBorders>
              <w:left w:val="nil"/>
            </w:tcBorders>
            <w:vAlign w:val="center"/>
          </w:tcPr>
          <w:p w14:paraId="7764C4EB">
            <w:pPr>
              <w:pStyle w:val="84"/>
              <w:spacing w:line="276" w:lineRule="auto"/>
            </w:pPr>
            <w:r>
              <w:rPr>
                <w:rFonts w:hint="eastAsia"/>
              </w:rPr>
              <w:t>永久工程</w:t>
            </w:r>
          </w:p>
        </w:tc>
        <w:tc>
          <w:tcPr>
            <w:tcW w:w="568" w:type="dxa"/>
            <w:vMerge w:val="restart"/>
            <w:vAlign w:val="center"/>
          </w:tcPr>
          <w:p w14:paraId="0449CD35">
            <w:pPr>
              <w:pStyle w:val="84"/>
              <w:spacing w:line="276" w:lineRule="auto"/>
            </w:pPr>
            <w:r>
              <w:rPr>
                <w:rFonts w:hint="eastAsia"/>
              </w:rPr>
              <w:t>主体工程</w:t>
            </w:r>
          </w:p>
        </w:tc>
        <w:tc>
          <w:tcPr>
            <w:tcW w:w="426" w:type="dxa"/>
            <w:vMerge w:val="restart"/>
            <w:vAlign w:val="center"/>
          </w:tcPr>
          <w:p w14:paraId="57EF2D85">
            <w:pPr>
              <w:pStyle w:val="84"/>
              <w:spacing w:line="276" w:lineRule="auto"/>
              <w:rPr>
                <w:color w:val="FF0000"/>
              </w:rPr>
            </w:pPr>
            <w:r>
              <w:rPr>
                <w:rFonts w:hint="eastAsia"/>
                <w:color w:val="FF0000"/>
              </w:rPr>
              <w:t>首部枢纽</w:t>
            </w:r>
          </w:p>
        </w:tc>
        <w:tc>
          <w:tcPr>
            <w:tcW w:w="426" w:type="dxa"/>
            <w:vMerge w:val="restart"/>
            <w:vAlign w:val="center"/>
          </w:tcPr>
          <w:p w14:paraId="04BAA7F7">
            <w:pPr>
              <w:pStyle w:val="84"/>
              <w:spacing w:line="276" w:lineRule="auto"/>
              <w:rPr>
                <w:color w:val="FF0000"/>
              </w:rPr>
            </w:pPr>
            <w:r>
              <w:rPr>
                <w:rFonts w:hint="eastAsia"/>
                <w:color w:val="FF0000"/>
              </w:rPr>
              <w:t>拦河坝</w:t>
            </w:r>
          </w:p>
        </w:tc>
        <w:tc>
          <w:tcPr>
            <w:tcW w:w="1280" w:type="dxa"/>
            <w:vAlign w:val="center"/>
          </w:tcPr>
          <w:p w14:paraId="37F64412">
            <w:pPr>
              <w:pStyle w:val="84"/>
              <w:spacing w:line="276" w:lineRule="auto"/>
              <w:rPr>
                <w:color w:val="FF0000"/>
              </w:rPr>
            </w:pPr>
            <w:r>
              <w:rPr>
                <w:rFonts w:hint="eastAsia"/>
                <w:color w:val="FF0000"/>
              </w:rPr>
              <w:t>非溢流坝</w:t>
            </w:r>
          </w:p>
        </w:tc>
        <w:tc>
          <w:tcPr>
            <w:tcW w:w="5954" w:type="dxa"/>
            <w:tcBorders>
              <w:right w:val="nil"/>
            </w:tcBorders>
            <w:vAlign w:val="center"/>
          </w:tcPr>
          <w:p w14:paraId="4526BCD6">
            <w:pPr>
              <w:pStyle w:val="84"/>
              <w:spacing w:line="276" w:lineRule="auto"/>
              <w:rPr>
                <w:color w:val="FF0000"/>
              </w:rPr>
            </w:pPr>
            <w:r>
              <w:rPr>
                <w:rFonts w:hint="eastAsia"/>
                <w:color w:val="FF0000"/>
              </w:rPr>
              <w:t>非溢流坝布置于河道左岸，长30m，坝顶宽3m，坝顶高程805.40m，正常蓄水位804.9m，最大坝高8.4m</w:t>
            </w:r>
          </w:p>
        </w:tc>
      </w:tr>
      <w:tr w14:paraId="3B356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61" w:type="dxa"/>
            <w:vMerge w:val="continue"/>
            <w:tcBorders>
              <w:left w:val="nil"/>
            </w:tcBorders>
            <w:vAlign w:val="center"/>
          </w:tcPr>
          <w:p w14:paraId="064EF1D9">
            <w:pPr>
              <w:pStyle w:val="84"/>
              <w:spacing w:line="276" w:lineRule="auto"/>
            </w:pPr>
          </w:p>
        </w:tc>
        <w:tc>
          <w:tcPr>
            <w:tcW w:w="568" w:type="dxa"/>
            <w:vMerge w:val="continue"/>
            <w:vAlign w:val="center"/>
          </w:tcPr>
          <w:p w14:paraId="2F527FC6">
            <w:pPr>
              <w:pStyle w:val="84"/>
              <w:spacing w:line="276" w:lineRule="auto"/>
            </w:pPr>
          </w:p>
        </w:tc>
        <w:tc>
          <w:tcPr>
            <w:tcW w:w="426" w:type="dxa"/>
            <w:vMerge w:val="continue"/>
            <w:vAlign w:val="center"/>
          </w:tcPr>
          <w:p w14:paraId="5B37FC0E">
            <w:pPr>
              <w:pStyle w:val="84"/>
              <w:spacing w:line="276" w:lineRule="auto"/>
              <w:rPr>
                <w:color w:val="FF0000"/>
              </w:rPr>
            </w:pPr>
          </w:p>
        </w:tc>
        <w:tc>
          <w:tcPr>
            <w:tcW w:w="426" w:type="dxa"/>
            <w:vMerge w:val="continue"/>
            <w:vAlign w:val="center"/>
          </w:tcPr>
          <w:p w14:paraId="6AB9C54D">
            <w:pPr>
              <w:pStyle w:val="84"/>
              <w:spacing w:line="276" w:lineRule="auto"/>
              <w:rPr>
                <w:color w:val="FF0000"/>
              </w:rPr>
            </w:pPr>
          </w:p>
        </w:tc>
        <w:tc>
          <w:tcPr>
            <w:tcW w:w="1280" w:type="dxa"/>
            <w:vAlign w:val="center"/>
          </w:tcPr>
          <w:p w14:paraId="691A2A7D">
            <w:pPr>
              <w:pStyle w:val="84"/>
              <w:spacing w:line="276" w:lineRule="auto"/>
              <w:rPr>
                <w:color w:val="FF0000"/>
              </w:rPr>
            </w:pPr>
            <w:r>
              <w:rPr>
                <w:rFonts w:hint="eastAsia"/>
                <w:color w:val="FF0000"/>
              </w:rPr>
              <w:t>泄水闸</w:t>
            </w:r>
          </w:p>
        </w:tc>
        <w:tc>
          <w:tcPr>
            <w:tcW w:w="5954" w:type="dxa"/>
            <w:tcBorders>
              <w:right w:val="nil"/>
            </w:tcBorders>
            <w:vAlign w:val="center"/>
          </w:tcPr>
          <w:p w14:paraId="7A4BFCD8">
            <w:pPr>
              <w:pStyle w:val="84"/>
              <w:spacing w:line="276" w:lineRule="auto"/>
              <w:rPr>
                <w:color w:val="FF0000"/>
              </w:rPr>
            </w:pPr>
            <w:r>
              <w:rPr>
                <w:rFonts w:hint="eastAsia"/>
                <w:color w:val="FF0000"/>
              </w:rPr>
              <w:t>四道泄水闸布置在非溢流坝右侧，泄水闸室进口底板高程为797.5m，闸顶高程为805.4m，孔口净尺寸均为</w:t>
            </w:r>
            <w:r>
              <w:rPr>
                <w:color w:val="FF0000"/>
                <w:kern w:val="0"/>
              </w:rPr>
              <w:t>7.6</w:t>
            </w:r>
            <w:r>
              <w:rPr>
                <w:rFonts w:hint="eastAsia"/>
                <w:color w:val="FF0000"/>
                <w:kern w:val="0"/>
              </w:rPr>
              <w:t>m×</w:t>
            </w:r>
            <w:r>
              <w:rPr>
                <w:color w:val="FF0000"/>
                <w:kern w:val="0"/>
              </w:rPr>
              <w:t>7.4m</w:t>
            </w:r>
            <w:r>
              <w:rPr>
                <w:rFonts w:hint="eastAsia"/>
                <w:color w:val="FF0000"/>
                <w:kern w:val="0"/>
              </w:rPr>
              <w:t>（净宽×净高）</w:t>
            </w:r>
          </w:p>
        </w:tc>
      </w:tr>
      <w:tr w14:paraId="0D81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61" w:type="dxa"/>
            <w:vMerge w:val="continue"/>
            <w:tcBorders>
              <w:left w:val="nil"/>
            </w:tcBorders>
            <w:vAlign w:val="center"/>
          </w:tcPr>
          <w:p w14:paraId="05DAAA44">
            <w:pPr>
              <w:pStyle w:val="84"/>
              <w:spacing w:line="276" w:lineRule="auto"/>
            </w:pPr>
          </w:p>
        </w:tc>
        <w:tc>
          <w:tcPr>
            <w:tcW w:w="568" w:type="dxa"/>
            <w:vMerge w:val="continue"/>
            <w:vAlign w:val="center"/>
          </w:tcPr>
          <w:p w14:paraId="2E27D5B6">
            <w:pPr>
              <w:pStyle w:val="84"/>
              <w:spacing w:line="276" w:lineRule="auto"/>
            </w:pPr>
          </w:p>
        </w:tc>
        <w:tc>
          <w:tcPr>
            <w:tcW w:w="426" w:type="dxa"/>
            <w:vMerge w:val="continue"/>
            <w:vAlign w:val="center"/>
          </w:tcPr>
          <w:p w14:paraId="75CBC5B2">
            <w:pPr>
              <w:pStyle w:val="84"/>
              <w:spacing w:line="276" w:lineRule="auto"/>
              <w:rPr>
                <w:color w:val="FF0000"/>
              </w:rPr>
            </w:pPr>
          </w:p>
        </w:tc>
        <w:tc>
          <w:tcPr>
            <w:tcW w:w="426" w:type="dxa"/>
            <w:vMerge w:val="continue"/>
            <w:vAlign w:val="center"/>
          </w:tcPr>
          <w:p w14:paraId="0037F270">
            <w:pPr>
              <w:pStyle w:val="84"/>
              <w:spacing w:line="276" w:lineRule="auto"/>
              <w:rPr>
                <w:color w:val="FF0000"/>
              </w:rPr>
            </w:pPr>
          </w:p>
        </w:tc>
        <w:tc>
          <w:tcPr>
            <w:tcW w:w="1280" w:type="dxa"/>
            <w:vAlign w:val="center"/>
          </w:tcPr>
          <w:p w14:paraId="62428D64">
            <w:pPr>
              <w:pStyle w:val="84"/>
              <w:spacing w:line="276" w:lineRule="auto"/>
              <w:rPr>
                <w:color w:val="FF0000"/>
              </w:rPr>
            </w:pPr>
            <w:r>
              <w:rPr>
                <w:rFonts w:hint="eastAsia"/>
                <w:color w:val="FF0000"/>
              </w:rPr>
              <w:t>冲砂闸</w:t>
            </w:r>
          </w:p>
        </w:tc>
        <w:tc>
          <w:tcPr>
            <w:tcW w:w="5954" w:type="dxa"/>
            <w:tcBorders>
              <w:right w:val="nil"/>
            </w:tcBorders>
            <w:vAlign w:val="center"/>
          </w:tcPr>
          <w:p w14:paraId="62EB49A8">
            <w:pPr>
              <w:pStyle w:val="84"/>
              <w:spacing w:line="276" w:lineRule="auto"/>
              <w:rPr>
                <w:color w:val="FF0000"/>
              </w:rPr>
            </w:pPr>
            <w:r>
              <w:rPr>
                <w:rFonts w:hint="eastAsia"/>
                <w:color w:val="FF0000"/>
                <w:kern w:val="0"/>
              </w:rPr>
              <w:t>冲砂闸一道，</w:t>
            </w:r>
            <w:r>
              <w:rPr>
                <w:rFonts w:hint="eastAsia"/>
                <w:color w:val="FF0000"/>
              </w:rPr>
              <w:t>孔口净</w:t>
            </w:r>
            <w:r>
              <w:rPr>
                <w:rFonts w:hint="eastAsia"/>
                <w:color w:val="FF0000"/>
                <w:kern w:val="0"/>
              </w:rPr>
              <w:t>尺寸</w:t>
            </w:r>
            <w:r>
              <w:rPr>
                <w:color w:val="FF0000"/>
                <w:kern w:val="0"/>
              </w:rPr>
              <w:t>7.6</w:t>
            </w:r>
            <w:r>
              <w:rPr>
                <w:rFonts w:hint="eastAsia"/>
                <w:color w:val="FF0000"/>
                <w:kern w:val="0"/>
              </w:rPr>
              <w:t>m×</w:t>
            </w:r>
            <w:r>
              <w:rPr>
                <w:color w:val="FF0000"/>
                <w:kern w:val="0"/>
              </w:rPr>
              <w:t>8.4m</w:t>
            </w:r>
            <w:r>
              <w:rPr>
                <w:rFonts w:hint="eastAsia"/>
                <w:color w:val="FF0000"/>
                <w:kern w:val="0"/>
              </w:rPr>
              <w:t>（净宽×净高），底板高程</w:t>
            </w:r>
            <w:r>
              <w:rPr>
                <w:color w:val="FF0000"/>
                <w:kern w:val="0"/>
              </w:rPr>
              <w:t>796.50m</w:t>
            </w:r>
          </w:p>
        </w:tc>
      </w:tr>
      <w:tr w14:paraId="4BC7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continue"/>
            <w:tcBorders>
              <w:left w:val="nil"/>
            </w:tcBorders>
            <w:vAlign w:val="center"/>
          </w:tcPr>
          <w:p w14:paraId="2A42EB39">
            <w:pPr>
              <w:pStyle w:val="84"/>
              <w:spacing w:line="276" w:lineRule="auto"/>
            </w:pPr>
          </w:p>
        </w:tc>
        <w:tc>
          <w:tcPr>
            <w:tcW w:w="568" w:type="dxa"/>
            <w:vMerge w:val="continue"/>
            <w:vAlign w:val="center"/>
          </w:tcPr>
          <w:p w14:paraId="1F9047EF">
            <w:pPr>
              <w:pStyle w:val="84"/>
              <w:spacing w:line="276" w:lineRule="auto"/>
            </w:pPr>
          </w:p>
        </w:tc>
        <w:tc>
          <w:tcPr>
            <w:tcW w:w="426" w:type="dxa"/>
            <w:vMerge w:val="restart"/>
            <w:vAlign w:val="center"/>
          </w:tcPr>
          <w:p w14:paraId="583A36EE">
            <w:pPr>
              <w:pStyle w:val="84"/>
              <w:spacing w:line="276" w:lineRule="auto"/>
            </w:pPr>
            <w:r>
              <w:rPr>
                <w:rFonts w:hint="eastAsia"/>
              </w:rPr>
              <w:t>厂区枢纽</w:t>
            </w:r>
          </w:p>
        </w:tc>
        <w:tc>
          <w:tcPr>
            <w:tcW w:w="1706" w:type="dxa"/>
            <w:gridSpan w:val="2"/>
            <w:vAlign w:val="center"/>
          </w:tcPr>
          <w:p w14:paraId="48D22102">
            <w:pPr>
              <w:pStyle w:val="84"/>
              <w:spacing w:line="276" w:lineRule="auto"/>
            </w:pPr>
            <w:r>
              <w:rPr>
                <w:rFonts w:hint="eastAsia"/>
              </w:rPr>
              <w:t>主厂房</w:t>
            </w:r>
          </w:p>
        </w:tc>
        <w:tc>
          <w:tcPr>
            <w:tcW w:w="5954" w:type="dxa"/>
            <w:tcBorders>
              <w:right w:val="nil"/>
            </w:tcBorders>
            <w:vAlign w:val="center"/>
          </w:tcPr>
          <w:p w14:paraId="4A854B99">
            <w:pPr>
              <w:pStyle w:val="84"/>
              <w:spacing w:line="276" w:lineRule="auto"/>
            </w:pPr>
            <w:r>
              <w:rPr>
                <w:rFonts w:hint="eastAsia"/>
              </w:rPr>
              <w:t>主厂房为三层地面式立式厂房，分为发电机层、水轮机层、蜗壳进水层，</w:t>
            </w:r>
            <w:r>
              <w:t>主厂房</w:t>
            </w:r>
            <w:r>
              <w:rPr>
                <w:color w:val="FF0000"/>
              </w:rPr>
              <w:t>长</w:t>
            </w:r>
            <w:r>
              <w:rPr>
                <w:rFonts w:hint="eastAsia"/>
                <w:color w:val="FF0000"/>
              </w:rPr>
              <w:t>28.22</w:t>
            </w:r>
            <w:r>
              <w:rPr>
                <w:color w:val="FF0000"/>
              </w:rPr>
              <w:t>m，宽</w:t>
            </w:r>
            <w:r>
              <w:rPr>
                <w:rFonts w:hint="eastAsia"/>
                <w:color w:val="FF0000"/>
              </w:rPr>
              <w:t>13</w:t>
            </w:r>
            <w:r>
              <w:rPr>
                <w:color w:val="FF0000"/>
              </w:rPr>
              <w:t>.9m，总高度</w:t>
            </w:r>
            <w:r>
              <w:rPr>
                <w:rFonts w:hint="eastAsia"/>
                <w:color w:val="FF0000"/>
              </w:rPr>
              <w:t>13.5</w:t>
            </w:r>
            <w:r>
              <w:rPr>
                <w:color w:val="FF0000"/>
              </w:rPr>
              <w:t>m</w:t>
            </w:r>
            <w:r>
              <w:rPr>
                <w:rFonts w:hint="eastAsia"/>
                <w:color w:val="FF0000"/>
              </w:rPr>
              <w:t>。</w:t>
            </w:r>
            <w:r>
              <w:rPr>
                <w:color w:val="FF0000"/>
              </w:rPr>
              <w:t>主</w:t>
            </w:r>
            <w:r>
              <w:t>厂房内设</w:t>
            </w:r>
            <w:r>
              <w:rPr>
                <w:rFonts w:hint="eastAsia"/>
              </w:rPr>
              <w:t>2台2450kW轴流定桨式水轮机</w:t>
            </w:r>
            <w:r>
              <w:t>，机组安装高程为</w:t>
            </w:r>
            <w:r>
              <w:rPr>
                <w:rFonts w:hint="eastAsia"/>
              </w:rPr>
              <w:t>801.3</w:t>
            </w:r>
            <w:r>
              <w:t>m，机组间距为1</w:t>
            </w:r>
            <w:r>
              <w:rPr>
                <w:rFonts w:hint="eastAsia"/>
              </w:rPr>
              <w:t>3</w:t>
            </w:r>
            <w:r>
              <w:t>m</w:t>
            </w:r>
          </w:p>
        </w:tc>
      </w:tr>
      <w:tr w14:paraId="42628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continue"/>
            <w:tcBorders>
              <w:left w:val="nil"/>
            </w:tcBorders>
            <w:vAlign w:val="center"/>
          </w:tcPr>
          <w:p w14:paraId="2E982228">
            <w:pPr>
              <w:pStyle w:val="84"/>
              <w:spacing w:line="276" w:lineRule="auto"/>
              <w:rPr>
                <w:highlight w:val="green"/>
              </w:rPr>
            </w:pPr>
          </w:p>
        </w:tc>
        <w:tc>
          <w:tcPr>
            <w:tcW w:w="568" w:type="dxa"/>
            <w:vMerge w:val="continue"/>
            <w:vAlign w:val="center"/>
          </w:tcPr>
          <w:p w14:paraId="7F8291F1">
            <w:pPr>
              <w:pStyle w:val="84"/>
              <w:spacing w:line="276" w:lineRule="auto"/>
              <w:rPr>
                <w:highlight w:val="green"/>
              </w:rPr>
            </w:pPr>
          </w:p>
        </w:tc>
        <w:tc>
          <w:tcPr>
            <w:tcW w:w="426" w:type="dxa"/>
            <w:vMerge w:val="continue"/>
            <w:vAlign w:val="center"/>
          </w:tcPr>
          <w:p w14:paraId="2E580C82">
            <w:pPr>
              <w:pStyle w:val="84"/>
              <w:spacing w:line="276" w:lineRule="auto"/>
              <w:rPr>
                <w:highlight w:val="green"/>
              </w:rPr>
            </w:pPr>
          </w:p>
        </w:tc>
        <w:tc>
          <w:tcPr>
            <w:tcW w:w="1706" w:type="dxa"/>
            <w:gridSpan w:val="2"/>
            <w:vAlign w:val="center"/>
          </w:tcPr>
          <w:p w14:paraId="6BA41BE8">
            <w:pPr>
              <w:pStyle w:val="84"/>
              <w:spacing w:line="276" w:lineRule="auto"/>
              <w:rPr>
                <w:color w:val="FF0000"/>
              </w:rPr>
            </w:pPr>
            <w:r>
              <w:rPr>
                <w:rFonts w:hint="eastAsia"/>
                <w:color w:val="FF0000"/>
              </w:rPr>
              <w:t>副厂房</w:t>
            </w:r>
          </w:p>
        </w:tc>
        <w:tc>
          <w:tcPr>
            <w:tcW w:w="5954" w:type="dxa"/>
            <w:tcBorders>
              <w:right w:val="nil"/>
            </w:tcBorders>
            <w:vAlign w:val="center"/>
          </w:tcPr>
          <w:p w14:paraId="3618F4D5">
            <w:pPr>
              <w:pStyle w:val="84"/>
              <w:spacing w:line="276" w:lineRule="auto"/>
              <w:rPr>
                <w:color w:val="FF0000"/>
              </w:rPr>
            </w:pPr>
            <w:r>
              <w:rPr>
                <w:rFonts w:hint="eastAsia"/>
                <w:color w:val="FF0000"/>
              </w:rPr>
              <w:t>副厂房布置于主厂房下游侧，</w:t>
            </w:r>
            <w:r>
              <w:rPr>
                <w:color w:val="FF0000"/>
              </w:rPr>
              <w:t>副厂房长</w:t>
            </w:r>
            <w:r>
              <w:rPr>
                <w:rFonts w:hint="eastAsia"/>
                <w:color w:val="FF0000"/>
              </w:rPr>
              <w:t>14.24</w:t>
            </w:r>
            <w:r>
              <w:rPr>
                <w:color w:val="FF0000"/>
              </w:rPr>
              <w:t>m、宽</w:t>
            </w:r>
            <w:r>
              <w:rPr>
                <w:rFonts w:hint="eastAsia"/>
                <w:color w:val="FF0000"/>
              </w:rPr>
              <w:t>5.1</w:t>
            </w:r>
            <w:r>
              <w:rPr>
                <w:color w:val="FF0000"/>
              </w:rPr>
              <w:t>m，高</w:t>
            </w:r>
            <w:r>
              <w:rPr>
                <w:rFonts w:hint="eastAsia"/>
                <w:color w:val="FF0000"/>
              </w:rPr>
              <w:t>5.5</w:t>
            </w:r>
            <w:r>
              <w:rPr>
                <w:color w:val="FF0000"/>
              </w:rPr>
              <w:t>m，</w:t>
            </w:r>
            <w:r>
              <w:rPr>
                <w:rFonts w:hint="eastAsia"/>
                <w:color w:val="FF0000"/>
              </w:rPr>
              <w:t>布置有</w:t>
            </w:r>
            <w:r>
              <w:rPr>
                <w:color w:val="FF0000"/>
              </w:rPr>
              <w:t>中控室</w:t>
            </w:r>
            <w:r>
              <w:rPr>
                <w:rFonts w:hint="eastAsia"/>
                <w:color w:val="FF0000"/>
              </w:rPr>
              <w:t>、</w:t>
            </w:r>
            <w:r>
              <w:rPr>
                <w:color w:val="FF0000"/>
              </w:rPr>
              <w:t>高压开关柜室</w:t>
            </w:r>
            <w:r>
              <w:rPr>
                <w:rFonts w:hint="eastAsia"/>
                <w:color w:val="FF0000"/>
              </w:rPr>
              <w:t>、危废暂存室</w:t>
            </w:r>
          </w:p>
        </w:tc>
      </w:tr>
      <w:tr w14:paraId="027D3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continue"/>
            <w:tcBorders>
              <w:left w:val="nil"/>
            </w:tcBorders>
            <w:vAlign w:val="center"/>
          </w:tcPr>
          <w:p w14:paraId="5F961C47">
            <w:pPr>
              <w:pStyle w:val="84"/>
              <w:spacing w:line="276" w:lineRule="auto"/>
              <w:rPr>
                <w:highlight w:val="green"/>
              </w:rPr>
            </w:pPr>
          </w:p>
        </w:tc>
        <w:tc>
          <w:tcPr>
            <w:tcW w:w="568" w:type="dxa"/>
            <w:vMerge w:val="continue"/>
            <w:vAlign w:val="center"/>
          </w:tcPr>
          <w:p w14:paraId="32E56D0F">
            <w:pPr>
              <w:pStyle w:val="84"/>
              <w:spacing w:line="276" w:lineRule="auto"/>
              <w:rPr>
                <w:highlight w:val="green"/>
              </w:rPr>
            </w:pPr>
          </w:p>
        </w:tc>
        <w:tc>
          <w:tcPr>
            <w:tcW w:w="426" w:type="dxa"/>
            <w:vMerge w:val="continue"/>
            <w:vAlign w:val="center"/>
          </w:tcPr>
          <w:p w14:paraId="051F036C">
            <w:pPr>
              <w:pStyle w:val="84"/>
              <w:spacing w:line="276" w:lineRule="auto"/>
              <w:rPr>
                <w:highlight w:val="green"/>
              </w:rPr>
            </w:pPr>
          </w:p>
        </w:tc>
        <w:tc>
          <w:tcPr>
            <w:tcW w:w="1706" w:type="dxa"/>
            <w:gridSpan w:val="2"/>
            <w:vAlign w:val="center"/>
          </w:tcPr>
          <w:p w14:paraId="2D94C14D">
            <w:pPr>
              <w:pStyle w:val="84"/>
              <w:spacing w:line="276" w:lineRule="auto"/>
            </w:pPr>
            <w:r>
              <w:rPr>
                <w:rFonts w:hint="eastAsia"/>
              </w:rPr>
              <w:t>升压站</w:t>
            </w:r>
          </w:p>
        </w:tc>
        <w:tc>
          <w:tcPr>
            <w:tcW w:w="5954" w:type="dxa"/>
            <w:tcBorders>
              <w:right w:val="nil"/>
            </w:tcBorders>
            <w:vAlign w:val="center"/>
          </w:tcPr>
          <w:p w14:paraId="25CA2AED">
            <w:pPr>
              <w:pStyle w:val="84"/>
              <w:spacing w:line="276" w:lineRule="auto"/>
            </w:pPr>
            <w:r>
              <w:rPr>
                <w:rFonts w:hint="eastAsia"/>
              </w:rPr>
              <w:t>升压站布置在厂房旁右岸河滩上，地面式布置，</w:t>
            </w:r>
            <w:r>
              <w:t>站内地面高程为</w:t>
            </w:r>
            <w:r>
              <w:rPr>
                <w:rFonts w:hint="eastAsia"/>
              </w:rPr>
              <w:t>808.08</w:t>
            </w:r>
            <w:r>
              <w:t>m，占地面积</w:t>
            </w:r>
            <w:r>
              <w:rPr>
                <w:rFonts w:hint="eastAsia"/>
              </w:rPr>
              <w:t>200</w:t>
            </w:r>
            <w:r>
              <w:t>m²（</w:t>
            </w:r>
            <w:r>
              <w:rPr>
                <w:rFonts w:hint="eastAsia"/>
              </w:rPr>
              <w:t>20.0</w:t>
            </w:r>
            <w:r>
              <w:t>m×</w:t>
            </w:r>
            <w:r>
              <w:rPr>
                <w:rFonts w:hint="eastAsia"/>
              </w:rPr>
              <w:t>10.0</w:t>
            </w:r>
            <w:r>
              <w:t>m），升压站内布置了一台容量</w:t>
            </w:r>
            <w:r>
              <w:rPr>
                <w:rFonts w:hint="eastAsia"/>
              </w:rPr>
              <w:t>63</w:t>
            </w:r>
            <w:r>
              <w:t>00kVA</w:t>
            </w:r>
            <w:r>
              <w:rPr>
                <w:rFonts w:hint="eastAsia"/>
              </w:rPr>
              <w:t>的变压器</w:t>
            </w:r>
          </w:p>
        </w:tc>
      </w:tr>
      <w:tr w14:paraId="797F8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continue"/>
            <w:tcBorders>
              <w:left w:val="nil"/>
            </w:tcBorders>
            <w:vAlign w:val="center"/>
          </w:tcPr>
          <w:p w14:paraId="4E05CEB2">
            <w:pPr>
              <w:pStyle w:val="84"/>
              <w:spacing w:line="276" w:lineRule="auto"/>
              <w:rPr>
                <w:highlight w:val="green"/>
              </w:rPr>
            </w:pPr>
          </w:p>
        </w:tc>
        <w:tc>
          <w:tcPr>
            <w:tcW w:w="568" w:type="dxa"/>
            <w:vMerge w:val="continue"/>
            <w:vAlign w:val="center"/>
          </w:tcPr>
          <w:p w14:paraId="574441E8">
            <w:pPr>
              <w:pStyle w:val="84"/>
              <w:spacing w:line="276" w:lineRule="auto"/>
              <w:rPr>
                <w:highlight w:val="green"/>
              </w:rPr>
            </w:pPr>
          </w:p>
        </w:tc>
        <w:tc>
          <w:tcPr>
            <w:tcW w:w="426" w:type="dxa"/>
            <w:vMerge w:val="continue"/>
            <w:vAlign w:val="center"/>
          </w:tcPr>
          <w:p w14:paraId="177F00E8">
            <w:pPr>
              <w:pStyle w:val="84"/>
              <w:spacing w:line="276" w:lineRule="auto"/>
              <w:rPr>
                <w:highlight w:val="green"/>
              </w:rPr>
            </w:pPr>
          </w:p>
        </w:tc>
        <w:tc>
          <w:tcPr>
            <w:tcW w:w="1706" w:type="dxa"/>
            <w:gridSpan w:val="2"/>
            <w:vAlign w:val="center"/>
          </w:tcPr>
          <w:p w14:paraId="032D5263">
            <w:pPr>
              <w:pStyle w:val="84"/>
              <w:spacing w:line="276" w:lineRule="auto"/>
              <w:rPr>
                <w:color w:val="FF0000"/>
              </w:rPr>
            </w:pPr>
            <w:r>
              <w:rPr>
                <w:rFonts w:hint="eastAsia"/>
                <w:color w:val="FF0000"/>
              </w:rPr>
              <w:t>尾水渠</w:t>
            </w:r>
          </w:p>
        </w:tc>
        <w:tc>
          <w:tcPr>
            <w:tcW w:w="5954" w:type="dxa"/>
            <w:tcBorders>
              <w:right w:val="nil"/>
            </w:tcBorders>
            <w:vAlign w:val="center"/>
          </w:tcPr>
          <w:p w14:paraId="6E374D34">
            <w:pPr>
              <w:pStyle w:val="84"/>
              <w:spacing w:line="276" w:lineRule="auto"/>
              <w:rPr>
                <w:color w:val="FF0000"/>
              </w:rPr>
            </w:pPr>
            <w:r>
              <w:rPr>
                <w:color w:val="FF0000"/>
              </w:rPr>
              <w:t>两台机组尾水各自流出厂房后，在厂房外合为一条，正常尾水位</w:t>
            </w:r>
            <w:r>
              <w:rPr>
                <w:rFonts w:hint="eastAsia"/>
                <w:color w:val="FF0000"/>
              </w:rPr>
              <w:t>799.4</w:t>
            </w:r>
            <w:r>
              <w:rPr>
                <w:color w:val="FF0000"/>
              </w:rPr>
              <w:t>m</w:t>
            </w:r>
            <w:r>
              <w:rPr>
                <w:rFonts w:hint="eastAsia"/>
                <w:color w:val="FF0000"/>
              </w:rPr>
              <w:t>，尾水渠闸门处底板高程为794.582m</w:t>
            </w:r>
            <w:r>
              <w:rPr>
                <w:color w:val="FF0000"/>
              </w:rPr>
              <w:t>。</w:t>
            </w:r>
            <w:r>
              <w:rPr>
                <w:rFonts w:hint="eastAsia"/>
                <w:color w:val="FF0000"/>
              </w:rPr>
              <w:t>尾水渠后设消力池将部分尾水（至少约尾水总量的30%）回引至坝址附近排放</w:t>
            </w:r>
          </w:p>
        </w:tc>
      </w:tr>
      <w:tr w14:paraId="2CB8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continue"/>
            <w:tcBorders>
              <w:left w:val="nil"/>
            </w:tcBorders>
            <w:vAlign w:val="center"/>
          </w:tcPr>
          <w:p w14:paraId="349D9159">
            <w:pPr>
              <w:pStyle w:val="84"/>
              <w:spacing w:line="276" w:lineRule="auto"/>
              <w:rPr>
                <w:highlight w:val="green"/>
              </w:rPr>
            </w:pPr>
          </w:p>
        </w:tc>
        <w:tc>
          <w:tcPr>
            <w:tcW w:w="568" w:type="dxa"/>
            <w:vMerge w:val="continue"/>
            <w:vAlign w:val="center"/>
          </w:tcPr>
          <w:p w14:paraId="6BC905BD">
            <w:pPr>
              <w:pStyle w:val="84"/>
              <w:spacing w:line="276" w:lineRule="auto"/>
              <w:rPr>
                <w:highlight w:val="green"/>
              </w:rPr>
            </w:pPr>
          </w:p>
        </w:tc>
        <w:tc>
          <w:tcPr>
            <w:tcW w:w="426" w:type="dxa"/>
            <w:vMerge w:val="continue"/>
            <w:vAlign w:val="center"/>
          </w:tcPr>
          <w:p w14:paraId="1140553E">
            <w:pPr>
              <w:pStyle w:val="84"/>
              <w:spacing w:line="276" w:lineRule="auto"/>
              <w:rPr>
                <w:highlight w:val="green"/>
              </w:rPr>
            </w:pPr>
          </w:p>
        </w:tc>
        <w:tc>
          <w:tcPr>
            <w:tcW w:w="1706" w:type="dxa"/>
            <w:gridSpan w:val="2"/>
            <w:vAlign w:val="center"/>
          </w:tcPr>
          <w:p w14:paraId="6F6726FC">
            <w:pPr>
              <w:pStyle w:val="84"/>
              <w:spacing w:line="276" w:lineRule="auto"/>
              <w:rPr>
                <w:color w:val="FF0000"/>
              </w:rPr>
            </w:pPr>
            <w:r>
              <w:rPr>
                <w:rFonts w:hint="eastAsia"/>
                <w:color w:val="FF0000"/>
              </w:rPr>
              <w:t>消力池</w:t>
            </w:r>
          </w:p>
        </w:tc>
        <w:tc>
          <w:tcPr>
            <w:tcW w:w="5954" w:type="dxa"/>
            <w:tcBorders>
              <w:right w:val="nil"/>
            </w:tcBorders>
            <w:vAlign w:val="center"/>
          </w:tcPr>
          <w:p w14:paraId="7348247D">
            <w:pPr>
              <w:pStyle w:val="84"/>
              <w:spacing w:line="276" w:lineRule="auto"/>
              <w:rPr>
                <w:color w:val="FF0000"/>
                <w:kern w:val="0"/>
              </w:rPr>
            </w:pPr>
            <w:r>
              <w:rPr>
                <w:rFonts w:hint="eastAsia"/>
                <w:color w:val="FF0000"/>
                <w:kern w:val="0"/>
              </w:rPr>
              <w:t>本次环评建议建设单位于尾水渠后设置消力池，将部分尾水回引至坝址附近排放（水量约为坝址多年平均流量的30%，即</w:t>
            </w:r>
            <w:r>
              <w:rPr>
                <w:rFonts w:hint="eastAsia"/>
                <w:color w:val="FF0000"/>
              </w:rPr>
              <w:t>15.84</w:t>
            </w:r>
            <w:r>
              <w:rPr>
                <w:color w:val="FF0000"/>
              </w:rPr>
              <w:t>m</w:t>
            </w:r>
            <w:r>
              <w:rPr>
                <w:color w:val="FF0000"/>
                <w:vertAlign w:val="superscript"/>
              </w:rPr>
              <w:t>3</w:t>
            </w:r>
            <w:r>
              <w:rPr>
                <w:color w:val="FF0000"/>
              </w:rPr>
              <w:t>/s</w:t>
            </w:r>
            <w:r>
              <w:rPr>
                <w:rFonts w:hint="eastAsia"/>
                <w:color w:val="FF0000"/>
                <w:kern w:val="0"/>
              </w:rPr>
              <w:t>），</w:t>
            </w:r>
            <w:r>
              <w:rPr>
                <w:rFonts w:hint="eastAsia"/>
                <w:color w:val="FF0000"/>
              </w:rPr>
              <w:t>以弥补河道正常所需生态流量，使河道不出现脱水断流现象。消力池尺寸为（长×宽×高）60m×20m×5m</w:t>
            </w:r>
          </w:p>
        </w:tc>
      </w:tr>
      <w:tr w14:paraId="29962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continue"/>
            <w:tcBorders>
              <w:left w:val="nil"/>
            </w:tcBorders>
            <w:vAlign w:val="center"/>
          </w:tcPr>
          <w:p w14:paraId="1393AD89">
            <w:pPr>
              <w:pStyle w:val="84"/>
              <w:spacing w:line="276" w:lineRule="auto"/>
              <w:rPr>
                <w:highlight w:val="green"/>
              </w:rPr>
            </w:pPr>
          </w:p>
        </w:tc>
        <w:tc>
          <w:tcPr>
            <w:tcW w:w="568" w:type="dxa"/>
            <w:vMerge w:val="continue"/>
            <w:vAlign w:val="center"/>
          </w:tcPr>
          <w:p w14:paraId="35D984E1">
            <w:pPr>
              <w:pStyle w:val="84"/>
              <w:spacing w:line="276" w:lineRule="auto"/>
              <w:rPr>
                <w:highlight w:val="green"/>
              </w:rPr>
            </w:pPr>
          </w:p>
        </w:tc>
        <w:tc>
          <w:tcPr>
            <w:tcW w:w="426" w:type="dxa"/>
            <w:vMerge w:val="continue"/>
            <w:vAlign w:val="center"/>
          </w:tcPr>
          <w:p w14:paraId="7E410372">
            <w:pPr>
              <w:pStyle w:val="84"/>
              <w:spacing w:line="276" w:lineRule="auto"/>
              <w:rPr>
                <w:highlight w:val="green"/>
              </w:rPr>
            </w:pPr>
          </w:p>
        </w:tc>
        <w:tc>
          <w:tcPr>
            <w:tcW w:w="1706" w:type="dxa"/>
            <w:gridSpan w:val="2"/>
            <w:vAlign w:val="center"/>
          </w:tcPr>
          <w:p w14:paraId="6DC70105">
            <w:pPr>
              <w:pStyle w:val="84"/>
              <w:spacing w:line="276" w:lineRule="auto"/>
            </w:pPr>
            <w:r>
              <w:rPr>
                <w:rFonts w:hint="eastAsia"/>
              </w:rPr>
              <w:t>绿化</w:t>
            </w:r>
          </w:p>
        </w:tc>
        <w:tc>
          <w:tcPr>
            <w:tcW w:w="5954" w:type="dxa"/>
            <w:tcBorders>
              <w:right w:val="nil"/>
            </w:tcBorders>
            <w:vAlign w:val="center"/>
          </w:tcPr>
          <w:p w14:paraId="530BE256">
            <w:pPr>
              <w:pStyle w:val="84"/>
              <w:spacing w:line="276" w:lineRule="auto"/>
            </w:pPr>
            <w:r>
              <w:rPr>
                <w:rFonts w:hint="eastAsia"/>
              </w:rPr>
              <w:t>厂区绿化面积约0.14</w:t>
            </w:r>
            <w:r>
              <w:t>hm</w:t>
            </w:r>
            <w:r>
              <w:rPr>
                <w:vertAlign w:val="superscript"/>
              </w:rPr>
              <w:t>2</w:t>
            </w:r>
          </w:p>
        </w:tc>
      </w:tr>
      <w:tr w14:paraId="333B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gridSpan w:val="2"/>
            <w:vMerge w:val="restart"/>
            <w:tcBorders>
              <w:left w:val="nil"/>
            </w:tcBorders>
            <w:vAlign w:val="center"/>
          </w:tcPr>
          <w:p w14:paraId="58697014">
            <w:pPr>
              <w:pStyle w:val="84"/>
              <w:spacing w:line="276" w:lineRule="auto"/>
              <w:rPr>
                <w:color w:val="FF0000"/>
              </w:rPr>
            </w:pPr>
            <w:r>
              <w:rPr>
                <w:rFonts w:hint="eastAsia"/>
                <w:color w:val="FF0000"/>
              </w:rPr>
              <w:t>临时工程</w:t>
            </w:r>
          </w:p>
        </w:tc>
        <w:tc>
          <w:tcPr>
            <w:tcW w:w="2132" w:type="dxa"/>
            <w:gridSpan w:val="3"/>
            <w:vAlign w:val="center"/>
          </w:tcPr>
          <w:p w14:paraId="56396AD7">
            <w:pPr>
              <w:pStyle w:val="84"/>
              <w:spacing w:line="276" w:lineRule="auto"/>
              <w:rPr>
                <w:color w:val="FF0000"/>
              </w:rPr>
            </w:pPr>
            <w:r>
              <w:rPr>
                <w:rFonts w:hint="eastAsia"/>
                <w:color w:val="FF0000"/>
              </w:rPr>
              <w:t>导流工程</w:t>
            </w:r>
          </w:p>
        </w:tc>
        <w:tc>
          <w:tcPr>
            <w:tcW w:w="5954" w:type="dxa"/>
            <w:tcBorders>
              <w:right w:val="nil"/>
            </w:tcBorders>
            <w:vAlign w:val="center"/>
          </w:tcPr>
          <w:p w14:paraId="047DFE12">
            <w:pPr>
              <w:pStyle w:val="84"/>
              <w:spacing w:line="276" w:lineRule="auto"/>
              <w:rPr>
                <w:color w:val="FF0000"/>
              </w:rPr>
            </w:pPr>
            <w:r>
              <w:rPr>
                <w:rFonts w:hint="eastAsia"/>
                <w:color w:val="FF0000"/>
              </w:rPr>
              <w:t>全年12个月均为导流时段。采用分期导流方式，一期利用右岸河道泄流，二期水流由冲砂闸和四道泄水闸导流</w:t>
            </w:r>
          </w:p>
        </w:tc>
      </w:tr>
      <w:tr w14:paraId="261ED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gridSpan w:val="2"/>
            <w:vMerge w:val="continue"/>
            <w:tcBorders>
              <w:left w:val="nil"/>
            </w:tcBorders>
            <w:vAlign w:val="center"/>
          </w:tcPr>
          <w:p w14:paraId="7FE4B27C">
            <w:pPr>
              <w:pStyle w:val="84"/>
              <w:spacing w:line="276" w:lineRule="auto"/>
              <w:rPr>
                <w:color w:val="FF0000"/>
              </w:rPr>
            </w:pPr>
          </w:p>
        </w:tc>
        <w:tc>
          <w:tcPr>
            <w:tcW w:w="2132" w:type="dxa"/>
            <w:gridSpan w:val="3"/>
            <w:vAlign w:val="center"/>
          </w:tcPr>
          <w:p w14:paraId="2DF8B5AA">
            <w:pPr>
              <w:pStyle w:val="84"/>
              <w:spacing w:line="276" w:lineRule="auto"/>
              <w:rPr>
                <w:color w:val="FF0000"/>
              </w:rPr>
            </w:pPr>
            <w:r>
              <w:rPr>
                <w:rFonts w:hint="eastAsia"/>
                <w:color w:val="FF0000"/>
              </w:rPr>
              <w:t>施工辅助设施</w:t>
            </w:r>
          </w:p>
        </w:tc>
        <w:tc>
          <w:tcPr>
            <w:tcW w:w="5954" w:type="dxa"/>
            <w:tcBorders>
              <w:right w:val="nil"/>
            </w:tcBorders>
            <w:vAlign w:val="center"/>
          </w:tcPr>
          <w:p w14:paraId="24D467A0">
            <w:pPr>
              <w:pStyle w:val="84"/>
              <w:spacing w:line="276" w:lineRule="auto"/>
              <w:rPr>
                <w:color w:val="FF0000"/>
              </w:rPr>
            </w:pPr>
            <w:r>
              <w:rPr>
                <w:rFonts w:hint="eastAsia"/>
                <w:color w:val="FF0000"/>
              </w:rPr>
              <w:t>砂石料加工系统、混凝土搅拌机等</w:t>
            </w:r>
          </w:p>
        </w:tc>
      </w:tr>
      <w:tr w14:paraId="1349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gridSpan w:val="2"/>
            <w:vMerge w:val="continue"/>
            <w:tcBorders>
              <w:left w:val="nil"/>
            </w:tcBorders>
            <w:vAlign w:val="center"/>
          </w:tcPr>
          <w:p w14:paraId="3B390C97">
            <w:pPr>
              <w:pStyle w:val="84"/>
              <w:spacing w:line="276" w:lineRule="auto"/>
              <w:rPr>
                <w:color w:val="FF0000"/>
                <w:highlight w:val="green"/>
              </w:rPr>
            </w:pPr>
          </w:p>
        </w:tc>
        <w:tc>
          <w:tcPr>
            <w:tcW w:w="2132" w:type="dxa"/>
            <w:gridSpan w:val="3"/>
            <w:vAlign w:val="center"/>
          </w:tcPr>
          <w:p w14:paraId="1267628E">
            <w:pPr>
              <w:pStyle w:val="84"/>
              <w:spacing w:line="276" w:lineRule="auto"/>
              <w:rPr>
                <w:color w:val="FF0000"/>
              </w:rPr>
            </w:pPr>
            <w:r>
              <w:rPr>
                <w:rFonts w:hint="eastAsia"/>
                <w:color w:val="FF0000"/>
              </w:rPr>
              <w:t>其他工程</w:t>
            </w:r>
          </w:p>
        </w:tc>
        <w:tc>
          <w:tcPr>
            <w:tcW w:w="5954" w:type="dxa"/>
            <w:tcBorders>
              <w:right w:val="nil"/>
            </w:tcBorders>
            <w:vAlign w:val="center"/>
          </w:tcPr>
          <w:p w14:paraId="5A6AC725">
            <w:pPr>
              <w:pStyle w:val="84"/>
              <w:spacing w:line="276" w:lineRule="auto"/>
              <w:rPr>
                <w:color w:val="FF0000"/>
              </w:rPr>
            </w:pPr>
            <w:r>
              <w:rPr>
                <w:rFonts w:hint="eastAsia"/>
                <w:color w:val="FF0000"/>
              </w:rPr>
              <w:t>施工临时生产生活区</w:t>
            </w:r>
          </w:p>
        </w:tc>
      </w:tr>
      <w:tr w14:paraId="68CFD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gridSpan w:val="2"/>
            <w:vMerge w:val="restart"/>
            <w:tcBorders>
              <w:left w:val="nil"/>
            </w:tcBorders>
            <w:vAlign w:val="center"/>
          </w:tcPr>
          <w:p w14:paraId="42DED465">
            <w:pPr>
              <w:pStyle w:val="84"/>
              <w:spacing w:line="276" w:lineRule="auto"/>
              <w:rPr>
                <w:color w:val="FF0000"/>
              </w:rPr>
            </w:pPr>
            <w:r>
              <w:rPr>
                <w:rFonts w:hint="eastAsia"/>
                <w:color w:val="FF0000"/>
              </w:rPr>
              <w:t>环保工程</w:t>
            </w:r>
          </w:p>
        </w:tc>
        <w:tc>
          <w:tcPr>
            <w:tcW w:w="2132" w:type="dxa"/>
            <w:gridSpan w:val="3"/>
            <w:vAlign w:val="center"/>
          </w:tcPr>
          <w:p w14:paraId="5DC21A7A">
            <w:pPr>
              <w:pStyle w:val="84"/>
              <w:spacing w:line="276" w:lineRule="auto"/>
              <w:rPr>
                <w:color w:val="FF0000"/>
              </w:rPr>
            </w:pPr>
            <w:r>
              <w:rPr>
                <w:rFonts w:hint="eastAsia"/>
                <w:color w:val="FF0000"/>
              </w:rPr>
              <w:t>生态环境保护</w:t>
            </w:r>
          </w:p>
        </w:tc>
        <w:tc>
          <w:tcPr>
            <w:tcW w:w="5954" w:type="dxa"/>
            <w:tcBorders>
              <w:right w:val="nil"/>
            </w:tcBorders>
            <w:vAlign w:val="center"/>
          </w:tcPr>
          <w:p w14:paraId="11B463A5">
            <w:pPr>
              <w:pStyle w:val="84"/>
              <w:spacing w:line="276" w:lineRule="auto"/>
              <w:rPr>
                <w:color w:val="FF0000"/>
              </w:rPr>
            </w:pPr>
            <w:r>
              <w:rPr>
                <w:rFonts w:hint="eastAsia"/>
                <w:color w:val="FF0000"/>
              </w:rPr>
              <w:t>施工期和运行期陆生植被、动植物资源保护、鱼类保护措施、生态施流措施等</w:t>
            </w:r>
          </w:p>
        </w:tc>
      </w:tr>
      <w:tr w14:paraId="4666E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gridSpan w:val="2"/>
            <w:vMerge w:val="continue"/>
            <w:tcBorders>
              <w:left w:val="nil"/>
            </w:tcBorders>
            <w:vAlign w:val="center"/>
          </w:tcPr>
          <w:p w14:paraId="44139C42">
            <w:pPr>
              <w:pStyle w:val="84"/>
              <w:spacing w:line="276" w:lineRule="auto"/>
              <w:rPr>
                <w:highlight w:val="green"/>
              </w:rPr>
            </w:pPr>
          </w:p>
        </w:tc>
        <w:tc>
          <w:tcPr>
            <w:tcW w:w="2132" w:type="dxa"/>
            <w:gridSpan w:val="3"/>
            <w:vAlign w:val="center"/>
          </w:tcPr>
          <w:p w14:paraId="5A1EA036">
            <w:pPr>
              <w:pStyle w:val="84"/>
              <w:spacing w:line="276" w:lineRule="auto"/>
            </w:pPr>
            <w:r>
              <w:rPr>
                <w:rFonts w:hint="eastAsia"/>
              </w:rPr>
              <w:t>水环境保护</w:t>
            </w:r>
          </w:p>
        </w:tc>
        <w:tc>
          <w:tcPr>
            <w:tcW w:w="5954" w:type="dxa"/>
            <w:tcBorders>
              <w:right w:val="nil"/>
            </w:tcBorders>
            <w:vAlign w:val="center"/>
          </w:tcPr>
          <w:p w14:paraId="1D9F7E62">
            <w:pPr>
              <w:pStyle w:val="84"/>
              <w:spacing w:line="276" w:lineRule="auto"/>
            </w:pPr>
            <w:r>
              <w:rPr>
                <w:rFonts w:hint="eastAsia"/>
              </w:rPr>
              <w:t>施工期生产、生活污水临时处理工程</w:t>
            </w:r>
          </w:p>
        </w:tc>
      </w:tr>
      <w:tr w14:paraId="0A304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gridSpan w:val="2"/>
            <w:vMerge w:val="continue"/>
            <w:tcBorders>
              <w:left w:val="nil"/>
            </w:tcBorders>
            <w:vAlign w:val="center"/>
          </w:tcPr>
          <w:p w14:paraId="13587DB5">
            <w:pPr>
              <w:pStyle w:val="84"/>
              <w:spacing w:line="276" w:lineRule="auto"/>
              <w:rPr>
                <w:highlight w:val="green"/>
              </w:rPr>
            </w:pPr>
          </w:p>
        </w:tc>
        <w:tc>
          <w:tcPr>
            <w:tcW w:w="2132" w:type="dxa"/>
            <w:gridSpan w:val="3"/>
            <w:vAlign w:val="center"/>
          </w:tcPr>
          <w:p w14:paraId="13BC8BEB">
            <w:pPr>
              <w:pStyle w:val="84"/>
              <w:spacing w:line="276" w:lineRule="auto"/>
            </w:pPr>
            <w:r>
              <w:rPr>
                <w:rFonts w:hint="eastAsia"/>
              </w:rPr>
              <w:t>其它</w:t>
            </w:r>
          </w:p>
        </w:tc>
        <w:tc>
          <w:tcPr>
            <w:tcW w:w="5954" w:type="dxa"/>
            <w:tcBorders>
              <w:right w:val="nil"/>
            </w:tcBorders>
            <w:vAlign w:val="center"/>
          </w:tcPr>
          <w:p w14:paraId="145E3982">
            <w:pPr>
              <w:pStyle w:val="84"/>
              <w:spacing w:line="276" w:lineRule="auto"/>
            </w:pPr>
            <w:r>
              <w:rPr>
                <w:rFonts w:hint="eastAsia"/>
              </w:rPr>
              <w:t>施工期环境空气及声环境保护</w:t>
            </w:r>
          </w:p>
        </w:tc>
      </w:tr>
      <w:tr w14:paraId="4017B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gridSpan w:val="5"/>
            <w:tcBorders>
              <w:left w:val="nil"/>
            </w:tcBorders>
            <w:vAlign w:val="center"/>
          </w:tcPr>
          <w:p w14:paraId="6558A7AB">
            <w:pPr>
              <w:pStyle w:val="84"/>
              <w:spacing w:line="276" w:lineRule="auto"/>
            </w:pPr>
            <w:r>
              <w:rPr>
                <w:rFonts w:hint="eastAsia"/>
              </w:rPr>
              <w:t>水库淹没移民安置工程</w:t>
            </w:r>
          </w:p>
        </w:tc>
        <w:tc>
          <w:tcPr>
            <w:tcW w:w="5954" w:type="dxa"/>
            <w:tcBorders>
              <w:right w:val="nil"/>
            </w:tcBorders>
            <w:vAlign w:val="center"/>
          </w:tcPr>
          <w:p w14:paraId="32E8E2A4">
            <w:pPr>
              <w:pStyle w:val="84"/>
              <w:spacing w:line="276" w:lineRule="auto"/>
            </w:pPr>
            <w:r>
              <w:rPr>
                <w:rFonts w:hint="eastAsia"/>
              </w:rPr>
              <w:t>不涉及移民安置工作</w:t>
            </w:r>
          </w:p>
        </w:tc>
      </w:tr>
      <w:tr w14:paraId="1046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gridSpan w:val="5"/>
            <w:tcBorders>
              <w:left w:val="nil"/>
            </w:tcBorders>
            <w:vAlign w:val="center"/>
          </w:tcPr>
          <w:p w14:paraId="0A0DC5F5">
            <w:pPr>
              <w:pStyle w:val="84"/>
              <w:spacing w:line="276" w:lineRule="auto"/>
              <w:rPr>
                <w:color w:val="FF0000"/>
              </w:rPr>
            </w:pPr>
            <w:r>
              <w:rPr>
                <w:rFonts w:hint="eastAsia"/>
                <w:color w:val="FF0000"/>
              </w:rPr>
              <w:t>其他</w:t>
            </w:r>
          </w:p>
        </w:tc>
        <w:tc>
          <w:tcPr>
            <w:tcW w:w="5954" w:type="dxa"/>
            <w:tcBorders>
              <w:right w:val="nil"/>
            </w:tcBorders>
            <w:vAlign w:val="center"/>
          </w:tcPr>
          <w:p w14:paraId="23A10011">
            <w:pPr>
              <w:pStyle w:val="84"/>
              <w:spacing w:line="276" w:lineRule="auto"/>
              <w:rPr>
                <w:color w:val="FF0000"/>
              </w:rPr>
            </w:pPr>
            <w:r>
              <w:rPr>
                <w:color w:val="FF0000"/>
              </w:rPr>
              <w:t>电站</w:t>
            </w:r>
            <w:r>
              <w:rPr>
                <w:rFonts w:hint="eastAsia"/>
                <w:color w:val="FF0000"/>
              </w:rPr>
              <w:t>运行期间由上游芒里电站代管，副厂房内不设生活区，利用原水管所的守坝房屋（位于电站厂房东侧300m处），只作为值班室使用，电站仅设2名值班人员，员工并不在厂内用餐</w:t>
            </w:r>
          </w:p>
        </w:tc>
      </w:tr>
    </w:tbl>
    <w:p w14:paraId="09B18F16">
      <w:pPr>
        <w:spacing w:before="240" w:beforeLines="100"/>
        <w:ind w:firstLine="482"/>
        <w:rPr>
          <w:b/>
        </w:rPr>
      </w:pPr>
      <w:bookmarkStart w:id="292" w:name="_Toc397428285"/>
      <w:bookmarkStart w:id="293" w:name="_Toc443655393"/>
      <w:r>
        <w:rPr>
          <w:rFonts w:hint="eastAsia"/>
          <w:b/>
        </w:rPr>
        <w:t>1、非溢流坝</w:t>
      </w:r>
    </w:p>
    <w:p w14:paraId="0E3C29D3">
      <w:pPr>
        <w:ind w:firstLine="480"/>
        <w:rPr>
          <w:szCs w:val="24"/>
        </w:rPr>
      </w:pPr>
      <w:r>
        <w:rPr>
          <w:rFonts w:hint="eastAsia"/>
        </w:rPr>
        <w:t>非溢流坝布置于河道左岸，长30m，坝顶宽3m，上游坝坡垂直河床底面，下游坝坡坡比1:0.75，坝型为实体重力坝，坝体材料为M7.5浆砌石。上游迎水面设C20钢筋混凝土防渗面板，厚度0.5m，坝顶高程805.4m，正常蓄水位804.9m，最大坝高8.4m。底板设0.5m厚C20钢筋混凝土衬砌，底板高程798.0m，</w:t>
      </w:r>
      <w:r>
        <w:rPr>
          <w:rFonts w:hint="eastAsia"/>
          <w:kern w:val="0"/>
        </w:rPr>
        <w:t>上坝脚</w:t>
      </w:r>
      <w:r>
        <w:rPr>
          <w:rFonts w:hint="eastAsia"/>
        </w:rPr>
        <w:t>M5.0浆砌块石回填，</w:t>
      </w:r>
      <w:r>
        <w:rPr>
          <w:rFonts w:hint="eastAsia"/>
          <w:kern w:val="0"/>
        </w:rPr>
        <w:t>下坝脚</w:t>
      </w:r>
      <w:r>
        <w:rPr>
          <w:rFonts w:hint="eastAsia"/>
        </w:rPr>
        <w:t>块石回填，回填至原地面线，回填开挖坡度1:0.5。</w:t>
      </w:r>
    </w:p>
    <w:p w14:paraId="39AD5C62">
      <w:pPr>
        <w:ind w:firstLine="482"/>
        <w:rPr>
          <w:rFonts w:ascii="黑体"/>
          <w:b/>
        </w:rPr>
      </w:pPr>
      <w:r>
        <w:rPr>
          <w:rFonts w:hint="eastAsia"/>
          <w:b/>
        </w:rPr>
        <w:t>2、泄水闸及冲砂闸</w:t>
      </w:r>
    </w:p>
    <w:p w14:paraId="334B266A">
      <w:pPr>
        <w:ind w:firstLine="480"/>
        <w:rPr>
          <w:kern w:val="0"/>
          <w:szCs w:val="24"/>
        </w:rPr>
      </w:pPr>
      <w:r>
        <w:rPr>
          <w:rFonts w:hint="eastAsia"/>
        </w:rPr>
        <w:t>该电站工程共有四道泄水闸及一道冲砂闸，四道泄水闸布置在非溢流坝右侧，冲砂闸布置于泄水闸右侧，从左岸到右岸分别为左岸非溢流坝段、泄水闸、冲砂闸。闸门均为平板闸门，泄水闸室进口底板高程为797.5m，闸顶高程为805.4m，孔口净尺寸均为</w:t>
      </w:r>
      <w:r>
        <w:rPr>
          <w:kern w:val="0"/>
        </w:rPr>
        <w:t>7.6</w:t>
      </w:r>
      <w:r>
        <w:rPr>
          <w:rFonts w:hint="eastAsia"/>
          <w:kern w:val="0"/>
        </w:rPr>
        <w:t>m×</w:t>
      </w:r>
      <w:r>
        <w:rPr>
          <w:kern w:val="0"/>
        </w:rPr>
        <w:t>7.4m</w:t>
      </w:r>
      <w:r>
        <w:rPr>
          <w:rFonts w:hint="eastAsia"/>
          <w:kern w:val="0"/>
        </w:rPr>
        <w:t>（净宽×净高）；冲砂闸一道，</w:t>
      </w:r>
      <w:r>
        <w:rPr>
          <w:rFonts w:hint="eastAsia"/>
        </w:rPr>
        <w:t>孔口净</w:t>
      </w:r>
      <w:r>
        <w:rPr>
          <w:rFonts w:hint="eastAsia"/>
          <w:kern w:val="0"/>
        </w:rPr>
        <w:t>尺寸</w:t>
      </w:r>
      <w:r>
        <w:rPr>
          <w:kern w:val="0"/>
        </w:rPr>
        <w:t>7.6</w:t>
      </w:r>
      <w:r>
        <w:rPr>
          <w:rFonts w:hint="eastAsia"/>
          <w:kern w:val="0"/>
        </w:rPr>
        <w:t>m×</w:t>
      </w:r>
      <w:r>
        <w:rPr>
          <w:kern w:val="0"/>
        </w:rPr>
        <w:t>8.4m</w:t>
      </w:r>
      <w:r>
        <w:rPr>
          <w:rFonts w:hint="eastAsia"/>
          <w:kern w:val="0"/>
        </w:rPr>
        <w:t>（净宽×净高），底板高程</w:t>
      </w:r>
      <w:r>
        <w:rPr>
          <w:kern w:val="0"/>
        </w:rPr>
        <w:t>796.50m</w:t>
      </w:r>
      <w:r>
        <w:rPr>
          <w:rFonts w:hint="eastAsia"/>
          <w:kern w:val="0"/>
        </w:rPr>
        <w:t>，五个工作闸共用一个移动式检修闸，尺寸为</w:t>
      </w:r>
      <w:r>
        <w:rPr>
          <w:kern w:val="0"/>
        </w:rPr>
        <w:t>7.6</w:t>
      </w:r>
      <w:r>
        <w:rPr>
          <w:rFonts w:hint="eastAsia"/>
          <w:kern w:val="0"/>
        </w:rPr>
        <w:t>m×</w:t>
      </w:r>
      <w:r>
        <w:rPr>
          <w:kern w:val="0"/>
        </w:rPr>
        <w:t>8.4m</w:t>
      </w:r>
      <w:r>
        <w:rPr>
          <w:rFonts w:hint="eastAsia"/>
          <w:kern w:val="0"/>
        </w:rPr>
        <w:t>（净宽×净高）。</w:t>
      </w:r>
      <w:r>
        <w:rPr>
          <w:rFonts w:hint="eastAsia"/>
        </w:rPr>
        <w:t>闸室总宽度9.6m，闸墩之间净宽度7.6m，闸墩厚度2.0m，闸墩迎水面圆弧半径R1=15m，闸墩背水面圆弧半径R</w:t>
      </w:r>
      <w:r>
        <w:rPr>
          <w:rFonts w:hint="eastAsia"/>
          <w:kern w:val="0"/>
        </w:rPr>
        <w:t>2=5m，闸墩高度H=8.7m。</w:t>
      </w:r>
    </w:p>
    <w:p w14:paraId="3B5809AA">
      <w:pPr>
        <w:ind w:firstLine="482"/>
        <w:rPr>
          <w:b/>
        </w:rPr>
      </w:pPr>
      <w:r>
        <w:rPr>
          <w:rFonts w:hint="eastAsia"/>
          <w:b/>
        </w:rPr>
        <w:t>3、厂房</w:t>
      </w:r>
    </w:p>
    <w:p w14:paraId="4F534B11">
      <w:pPr>
        <w:ind w:firstLine="480"/>
        <w:rPr>
          <w:rFonts w:ascii="Arial" w:hAnsi="Arial" w:eastAsia="黑体"/>
          <w:b/>
          <w:bCs/>
          <w:sz w:val="28"/>
          <w:szCs w:val="28"/>
        </w:rPr>
      </w:pPr>
      <w:r>
        <w:rPr>
          <w:rFonts w:hint="eastAsia"/>
        </w:rPr>
        <w:t>团结水电站主厂房为三层地面式立式厂房，分为发电机层、水轮机层、蜗壳进水层，发电机层高程：810.08m；水轮机层高程：804.225m；蜗壳进水层高程798.005m；轨顶高程820.08m。厂内装设2台2450kW</w:t>
      </w:r>
      <w:r>
        <w:rPr>
          <w:rFonts w:hint="eastAsia" w:hAnsi="宋体"/>
        </w:rPr>
        <w:t>轴流定桨式水轮机</w:t>
      </w:r>
      <w:r>
        <w:rPr>
          <w:rFonts w:hint="eastAsia"/>
        </w:rPr>
        <w:t>组及其附属设备。主厂房尺寸为（长×宽×高）</w:t>
      </w:r>
      <w:r>
        <w:rPr>
          <w:rFonts w:hint="eastAsia"/>
          <w:color w:val="FF0000"/>
        </w:rPr>
        <w:t>28.22m×13.9m×13.5m，其</w:t>
      </w:r>
      <w:r>
        <w:rPr>
          <w:rFonts w:hint="eastAsia"/>
        </w:rPr>
        <w:t>中安装间尺寸为（长×宽×高）17.1m</w:t>
      </w:r>
      <w:r>
        <w:t>×</w:t>
      </w:r>
      <w:r>
        <w:rPr>
          <w:rFonts w:hint="eastAsia"/>
        </w:rPr>
        <w:t>13.9m</w:t>
      </w:r>
      <w:r>
        <w:t>×</w:t>
      </w:r>
      <w:r>
        <w:rPr>
          <w:rFonts w:hint="eastAsia"/>
        </w:rPr>
        <w:t>13.5m。</w:t>
      </w:r>
    </w:p>
    <w:p w14:paraId="3045AA51">
      <w:pPr>
        <w:ind w:firstLine="480"/>
      </w:pPr>
      <w:r>
        <w:rPr>
          <w:rFonts w:hint="eastAsia"/>
        </w:rPr>
        <w:t>副厂房布置于主厂房下游侧，尺寸为（长×宽×高）</w:t>
      </w:r>
      <w:r>
        <w:rPr>
          <w:rFonts w:hint="eastAsia"/>
          <w:color w:val="FF0000"/>
        </w:rPr>
        <w:t>14.24</w:t>
      </w:r>
      <w:r>
        <w:rPr>
          <w:color w:val="FF0000"/>
        </w:rPr>
        <w:t>m</w:t>
      </w:r>
      <w:r>
        <w:rPr>
          <w:rFonts w:hint="eastAsia"/>
        </w:rPr>
        <w:t>×</w:t>
      </w:r>
      <w:r>
        <w:rPr>
          <w:rFonts w:hint="eastAsia"/>
          <w:color w:val="FF0000"/>
        </w:rPr>
        <w:t>5.1</w:t>
      </w:r>
      <w:r>
        <w:rPr>
          <w:rFonts w:hint="eastAsia"/>
        </w:rPr>
        <w:t>m×5.5m（均为地面以上高度）。</w:t>
      </w:r>
    </w:p>
    <w:p w14:paraId="19941C28">
      <w:pPr>
        <w:ind w:firstLine="480"/>
        <w:rPr>
          <w:rFonts w:ascii="Arial" w:hAnsi="Arial" w:eastAsia="黑体"/>
          <w:b/>
          <w:bCs/>
          <w:szCs w:val="28"/>
        </w:rPr>
      </w:pPr>
      <w:r>
        <w:rPr>
          <w:rFonts w:hint="eastAsia"/>
        </w:rPr>
        <w:t>35kV升压站布置在厂房旁右岸河滩上，地面式布置，整个升压站设备布置占地面积为20.0m×10.0m（长×宽）=200m</w:t>
      </w:r>
      <w:r>
        <w:rPr>
          <w:rFonts w:hint="eastAsia"/>
          <w:vertAlign w:val="superscript"/>
        </w:rPr>
        <w:t>2</w:t>
      </w:r>
      <w:r>
        <w:rPr>
          <w:rFonts w:hint="eastAsia"/>
        </w:rPr>
        <w:t>。地坪高程均为808.08m。</w:t>
      </w:r>
    </w:p>
    <w:p w14:paraId="260E16F4">
      <w:pPr>
        <w:ind w:firstLine="482"/>
        <w:rPr>
          <w:b/>
        </w:rPr>
      </w:pPr>
      <w:r>
        <w:rPr>
          <w:rFonts w:hint="eastAsia"/>
          <w:b/>
        </w:rPr>
        <w:t>4、闸室</w:t>
      </w:r>
    </w:p>
    <w:p w14:paraId="07D8C1B2">
      <w:pPr>
        <w:ind w:firstLine="480"/>
        <w:rPr>
          <w:sz w:val="28"/>
        </w:rPr>
      </w:pPr>
      <w:r>
        <w:rPr>
          <w:rFonts w:hint="eastAsia"/>
        </w:rPr>
        <w:t>团结水电站共设有二个闸室和一个轨道式启闭机，大坝泄水冲砂闸采用轨道式启闭机，厂房进水闸、尾水闸采用卷扬式启闭机，修建两个闸室。大坝泄水冲砂共五道闸门，四道泄水闸和一道冲砂闸；厂房进水闸室尺寸为（长×宽×高）28.1m×7.0m×3.2m，地坪高程814.080m，进水闸室设置一道工作闸和一道检修闸，共四道闸门，尺寸均为8.9m×5.7m（宽×高），进水口段底板高程798.005m；主厂房下游尾水设尾水闸室，尾水闸室尺寸为（长×宽×高）28.1m×4.0m×3.2m，地坪高程810.080m，尾水闸室设置一道检修闸，共两道闸门，闸门尺寸均为10.9m×4.1m（宽×高），平台后接尾水渠，尾水渠闸门处底板高程为794.582m。</w:t>
      </w:r>
      <w:r>
        <w:rPr>
          <w:rFonts w:hint="eastAsia"/>
          <w:color w:val="FF0000"/>
        </w:rPr>
        <w:t>工程拟在尾水渠后设消力池将部分尾水回引至坝址附近排放，消力池尺寸为（长×宽×高）60m×20m×5m。</w:t>
      </w:r>
    </w:p>
    <w:p w14:paraId="682E9965">
      <w:pPr>
        <w:pStyle w:val="141"/>
      </w:pPr>
      <w:r>
        <w:rPr>
          <w:rFonts w:hint="eastAsia"/>
        </w:rPr>
        <w:t>2.2.5.2工程特性</w:t>
      </w:r>
    </w:p>
    <w:bookmarkEnd w:id="292"/>
    <w:bookmarkEnd w:id="293"/>
    <w:p w14:paraId="6AA6610C">
      <w:pPr>
        <w:ind w:firstLine="480"/>
      </w:pPr>
      <w:r>
        <w:rPr>
          <w:rFonts w:hint="eastAsia"/>
        </w:rPr>
        <w:t>团结水电站是利用上游2.2km处已建3.6万kW芒里电站的尾水进行发电的无调节能力的河床式电站，主要建筑物由大坝、厂房等组成，电站设计引用流量为106.3</w:t>
      </w:r>
      <w:r>
        <w:t>m</w:t>
      </w:r>
      <w:r>
        <w:rPr>
          <w:vertAlign w:val="superscript"/>
        </w:rPr>
        <w:t>3</w:t>
      </w:r>
      <w:r>
        <w:t>/</w:t>
      </w:r>
      <w:r>
        <w:rPr>
          <w:rFonts w:hint="eastAsia"/>
        </w:rPr>
        <w:t>s，设计水头5.5</w:t>
      </w:r>
      <w:r>
        <w:t>m</w:t>
      </w:r>
      <w:r>
        <w:rPr>
          <w:rFonts w:hint="eastAsia"/>
        </w:rPr>
        <w:t>，装机容量4900kW</w:t>
      </w:r>
      <w:r>
        <w:rPr>
          <w:bCs/>
          <w:szCs w:val="24"/>
        </w:rPr>
        <w:t>。</w:t>
      </w:r>
      <w:r>
        <w:rPr>
          <w:rFonts w:hint="eastAsia"/>
          <w:bCs/>
          <w:szCs w:val="24"/>
        </w:rPr>
        <w:t>工程特性见下表：</w:t>
      </w:r>
    </w:p>
    <w:p w14:paraId="78162052">
      <w:pPr>
        <w:pStyle w:val="82"/>
        <w:framePr w:hSpace="0" w:wrap="auto" w:vAnchor="margin" w:hAnchor="text" w:xAlign="left" w:yAlign="inline"/>
      </w:pPr>
      <w:r>
        <w:rPr>
          <w:rFonts w:hint="eastAsia"/>
        </w:rPr>
        <w:t>表2-2-2  工程特性表</w:t>
      </w:r>
    </w:p>
    <w:tbl>
      <w:tblPr>
        <w:tblStyle w:val="56"/>
        <w:tblW w:w="9091"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15" w:type="dxa"/>
          <w:left w:w="15" w:type="dxa"/>
          <w:bottom w:w="15" w:type="dxa"/>
          <w:right w:w="15" w:type="dxa"/>
        </w:tblCellMar>
      </w:tblPr>
      <w:tblGrid>
        <w:gridCol w:w="3142"/>
        <w:gridCol w:w="1079"/>
        <w:gridCol w:w="2327"/>
        <w:gridCol w:w="2543"/>
      </w:tblGrid>
      <w:tr w14:paraId="5336656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tblHeader/>
          <w:jc w:val="center"/>
        </w:trPr>
        <w:tc>
          <w:tcPr>
            <w:tcW w:w="3142" w:type="dxa"/>
            <w:vAlign w:val="center"/>
          </w:tcPr>
          <w:p w14:paraId="41D56EC5">
            <w:pPr>
              <w:widowControl/>
              <w:spacing w:line="240" w:lineRule="auto"/>
              <w:ind w:firstLine="0" w:firstLineChars="0"/>
              <w:jc w:val="center"/>
              <w:rPr>
                <w:rFonts w:eastAsia="仿宋"/>
                <w:sz w:val="21"/>
                <w:szCs w:val="24"/>
              </w:rPr>
            </w:pPr>
            <w:r>
              <w:rPr>
                <w:rFonts w:eastAsia="仿宋"/>
                <w:sz w:val="21"/>
                <w:szCs w:val="24"/>
              </w:rPr>
              <w:t>序号及名称</w:t>
            </w:r>
          </w:p>
        </w:tc>
        <w:tc>
          <w:tcPr>
            <w:tcW w:w="1079" w:type="dxa"/>
            <w:vAlign w:val="center"/>
          </w:tcPr>
          <w:p w14:paraId="210822AB">
            <w:pPr>
              <w:widowControl/>
              <w:spacing w:line="240" w:lineRule="auto"/>
              <w:ind w:firstLine="0" w:firstLineChars="0"/>
              <w:jc w:val="center"/>
              <w:rPr>
                <w:rFonts w:eastAsia="仿宋"/>
                <w:sz w:val="21"/>
                <w:szCs w:val="24"/>
              </w:rPr>
            </w:pPr>
            <w:r>
              <w:rPr>
                <w:rFonts w:eastAsia="仿宋"/>
                <w:sz w:val="21"/>
                <w:szCs w:val="24"/>
              </w:rPr>
              <w:t>单位</w:t>
            </w:r>
          </w:p>
        </w:tc>
        <w:tc>
          <w:tcPr>
            <w:tcW w:w="2327" w:type="dxa"/>
            <w:vAlign w:val="center"/>
          </w:tcPr>
          <w:p w14:paraId="7274FA55">
            <w:pPr>
              <w:widowControl/>
              <w:spacing w:line="240" w:lineRule="auto"/>
              <w:ind w:firstLine="0" w:firstLineChars="0"/>
              <w:jc w:val="center"/>
              <w:rPr>
                <w:rFonts w:eastAsia="仿宋"/>
                <w:sz w:val="21"/>
                <w:szCs w:val="24"/>
              </w:rPr>
            </w:pPr>
            <w:r>
              <w:rPr>
                <w:rFonts w:eastAsia="仿宋"/>
                <w:sz w:val="21"/>
                <w:szCs w:val="24"/>
              </w:rPr>
              <w:t>数量</w:t>
            </w:r>
          </w:p>
        </w:tc>
        <w:tc>
          <w:tcPr>
            <w:tcW w:w="2543" w:type="dxa"/>
            <w:vAlign w:val="center"/>
          </w:tcPr>
          <w:p w14:paraId="4D74C855">
            <w:pPr>
              <w:widowControl/>
              <w:spacing w:line="240" w:lineRule="auto"/>
              <w:ind w:firstLine="0" w:firstLineChars="0"/>
              <w:jc w:val="center"/>
              <w:rPr>
                <w:rFonts w:eastAsia="仿宋"/>
                <w:sz w:val="21"/>
                <w:szCs w:val="24"/>
              </w:rPr>
            </w:pPr>
            <w:r>
              <w:rPr>
                <w:rFonts w:eastAsia="仿宋"/>
                <w:sz w:val="21"/>
                <w:szCs w:val="24"/>
              </w:rPr>
              <w:t>备注</w:t>
            </w:r>
          </w:p>
        </w:tc>
      </w:tr>
      <w:tr w14:paraId="629C29D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091" w:type="dxa"/>
            <w:gridSpan w:val="4"/>
            <w:vAlign w:val="center"/>
          </w:tcPr>
          <w:p w14:paraId="0703DF25">
            <w:pPr>
              <w:widowControl/>
              <w:spacing w:line="240" w:lineRule="auto"/>
              <w:ind w:firstLine="0" w:firstLineChars="0"/>
              <w:jc w:val="center"/>
              <w:rPr>
                <w:rFonts w:eastAsia="仿宋"/>
                <w:sz w:val="21"/>
                <w:szCs w:val="24"/>
              </w:rPr>
            </w:pPr>
            <w:r>
              <w:rPr>
                <w:rFonts w:eastAsia="仿宋"/>
                <w:sz w:val="21"/>
                <w:szCs w:val="24"/>
              </w:rPr>
              <w:t>一、水文</w:t>
            </w:r>
          </w:p>
        </w:tc>
      </w:tr>
      <w:tr w14:paraId="4746C7F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3DC677F7">
            <w:pPr>
              <w:widowControl/>
              <w:spacing w:line="240" w:lineRule="auto"/>
              <w:ind w:firstLine="0" w:firstLineChars="0"/>
              <w:jc w:val="center"/>
              <w:rPr>
                <w:rFonts w:eastAsia="仿宋"/>
                <w:sz w:val="21"/>
                <w:szCs w:val="24"/>
              </w:rPr>
            </w:pPr>
            <w:r>
              <w:rPr>
                <w:rFonts w:eastAsia="仿宋"/>
                <w:sz w:val="21"/>
                <w:szCs w:val="24"/>
              </w:rPr>
              <w:t>1</w:t>
            </w:r>
            <w:r>
              <w:rPr>
                <w:rFonts w:hint="eastAsia" w:eastAsia="仿宋"/>
                <w:sz w:val="21"/>
                <w:szCs w:val="24"/>
              </w:rPr>
              <w:t>．</w:t>
            </w:r>
            <w:r>
              <w:rPr>
                <w:rFonts w:eastAsia="仿宋"/>
                <w:sz w:val="21"/>
                <w:szCs w:val="24"/>
              </w:rPr>
              <w:t>流域面积</w:t>
            </w:r>
          </w:p>
        </w:tc>
        <w:tc>
          <w:tcPr>
            <w:tcW w:w="1079" w:type="dxa"/>
            <w:vAlign w:val="center"/>
          </w:tcPr>
          <w:p w14:paraId="24CCEC06">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5299D846">
            <w:pPr>
              <w:widowControl/>
              <w:spacing w:line="240" w:lineRule="auto"/>
              <w:ind w:firstLine="0" w:firstLineChars="0"/>
              <w:jc w:val="center"/>
              <w:rPr>
                <w:rFonts w:eastAsia="仿宋"/>
                <w:sz w:val="21"/>
                <w:szCs w:val="24"/>
              </w:rPr>
            </w:pPr>
            <w:r>
              <w:rPr>
                <w:rFonts w:hint="eastAsia" w:eastAsia="仿宋"/>
                <w:sz w:val="21"/>
                <w:szCs w:val="24"/>
              </w:rPr>
              <w:t>—</w:t>
            </w:r>
          </w:p>
        </w:tc>
        <w:tc>
          <w:tcPr>
            <w:tcW w:w="2543" w:type="dxa"/>
            <w:vAlign w:val="center"/>
          </w:tcPr>
          <w:p w14:paraId="3DD02FA8">
            <w:pPr>
              <w:widowControl/>
              <w:spacing w:line="240" w:lineRule="auto"/>
              <w:ind w:firstLine="0" w:firstLineChars="0"/>
              <w:jc w:val="center"/>
              <w:rPr>
                <w:rFonts w:eastAsia="仿宋"/>
                <w:sz w:val="21"/>
                <w:szCs w:val="24"/>
              </w:rPr>
            </w:pPr>
            <w:r>
              <w:rPr>
                <w:rFonts w:hint="eastAsia" w:eastAsia="仿宋"/>
                <w:sz w:val="21"/>
                <w:szCs w:val="24"/>
              </w:rPr>
              <w:t>—</w:t>
            </w:r>
          </w:p>
        </w:tc>
      </w:tr>
      <w:tr w14:paraId="68977C0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1298A8A5">
            <w:pPr>
              <w:widowControl/>
              <w:spacing w:line="240" w:lineRule="auto"/>
              <w:ind w:firstLine="0" w:firstLineChars="0"/>
              <w:jc w:val="center"/>
              <w:rPr>
                <w:rFonts w:eastAsia="仿宋"/>
                <w:sz w:val="21"/>
                <w:szCs w:val="24"/>
              </w:rPr>
            </w:pPr>
            <w:r>
              <w:rPr>
                <w:rFonts w:eastAsia="仿宋"/>
                <w:sz w:val="21"/>
                <w:szCs w:val="24"/>
              </w:rPr>
              <w:t>坝址以上流域面积</w:t>
            </w:r>
          </w:p>
        </w:tc>
        <w:tc>
          <w:tcPr>
            <w:tcW w:w="1079" w:type="dxa"/>
            <w:vAlign w:val="center"/>
          </w:tcPr>
          <w:p w14:paraId="605023AD">
            <w:pPr>
              <w:widowControl/>
              <w:spacing w:line="240" w:lineRule="auto"/>
              <w:ind w:firstLine="0" w:firstLineChars="0"/>
              <w:jc w:val="center"/>
              <w:rPr>
                <w:rFonts w:eastAsia="仿宋"/>
                <w:sz w:val="21"/>
                <w:szCs w:val="24"/>
              </w:rPr>
            </w:pPr>
            <w:r>
              <w:rPr>
                <w:rFonts w:eastAsia="仿宋"/>
                <w:sz w:val="21"/>
                <w:szCs w:val="24"/>
              </w:rPr>
              <w:t>km²</w:t>
            </w:r>
          </w:p>
        </w:tc>
        <w:tc>
          <w:tcPr>
            <w:tcW w:w="2327" w:type="dxa"/>
            <w:vAlign w:val="center"/>
          </w:tcPr>
          <w:p w14:paraId="76093E5D">
            <w:pPr>
              <w:widowControl/>
              <w:spacing w:line="240" w:lineRule="auto"/>
              <w:ind w:firstLine="0" w:firstLineChars="0"/>
              <w:jc w:val="center"/>
              <w:rPr>
                <w:rFonts w:eastAsia="仿宋"/>
                <w:sz w:val="21"/>
                <w:szCs w:val="24"/>
              </w:rPr>
            </w:pPr>
            <w:r>
              <w:rPr>
                <w:rFonts w:hint="eastAsia" w:eastAsia="仿宋"/>
                <w:sz w:val="21"/>
                <w:szCs w:val="24"/>
              </w:rPr>
              <w:t>1479.7</w:t>
            </w:r>
          </w:p>
        </w:tc>
        <w:tc>
          <w:tcPr>
            <w:tcW w:w="2543" w:type="dxa"/>
            <w:vAlign w:val="center"/>
          </w:tcPr>
          <w:p w14:paraId="4511A12B">
            <w:pPr>
              <w:widowControl/>
              <w:spacing w:line="240" w:lineRule="auto"/>
              <w:ind w:firstLine="0" w:firstLineChars="0"/>
              <w:jc w:val="center"/>
              <w:rPr>
                <w:rFonts w:eastAsia="仿宋"/>
                <w:sz w:val="21"/>
                <w:szCs w:val="24"/>
              </w:rPr>
            </w:pPr>
            <w:r>
              <w:rPr>
                <w:rFonts w:hint="eastAsia" w:eastAsia="仿宋"/>
                <w:sz w:val="21"/>
                <w:szCs w:val="24"/>
              </w:rPr>
              <w:t>—</w:t>
            </w:r>
          </w:p>
        </w:tc>
      </w:tr>
      <w:tr w14:paraId="750E8B5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030C89AF">
            <w:pPr>
              <w:widowControl/>
              <w:spacing w:line="240" w:lineRule="auto"/>
              <w:ind w:firstLine="0" w:firstLineChars="0"/>
              <w:jc w:val="center"/>
              <w:rPr>
                <w:rFonts w:eastAsia="仿宋"/>
                <w:sz w:val="21"/>
                <w:szCs w:val="24"/>
              </w:rPr>
            </w:pPr>
            <w:r>
              <w:rPr>
                <w:rFonts w:eastAsia="仿宋"/>
                <w:sz w:val="21"/>
                <w:szCs w:val="24"/>
              </w:rPr>
              <w:t>2</w:t>
            </w:r>
            <w:r>
              <w:rPr>
                <w:rFonts w:hint="eastAsia" w:eastAsia="仿宋"/>
                <w:sz w:val="21"/>
                <w:szCs w:val="24"/>
              </w:rPr>
              <w:t>．</w:t>
            </w:r>
            <w:r>
              <w:rPr>
                <w:rFonts w:eastAsia="仿宋"/>
                <w:sz w:val="21"/>
                <w:szCs w:val="24"/>
              </w:rPr>
              <w:t>多年平均年径流量</w:t>
            </w:r>
          </w:p>
        </w:tc>
        <w:tc>
          <w:tcPr>
            <w:tcW w:w="1079" w:type="dxa"/>
            <w:vAlign w:val="center"/>
          </w:tcPr>
          <w:p w14:paraId="6D116B04">
            <w:pPr>
              <w:widowControl/>
              <w:spacing w:line="240" w:lineRule="auto"/>
              <w:ind w:firstLine="0" w:firstLineChars="0"/>
              <w:jc w:val="center"/>
              <w:rPr>
                <w:rFonts w:eastAsia="仿宋"/>
                <w:sz w:val="21"/>
                <w:szCs w:val="24"/>
              </w:rPr>
            </w:pPr>
            <w:r>
              <w:rPr>
                <w:rFonts w:hint="eastAsia" w:eastAsia="仿宋"/>
                <w:sz w:val="21"/>
                <w:szCs w:val="24"/>
              </w:rPr>
              <w:t>亿</w:t>
            </w:r>
            <w:r>
              <w:rPr>
                <w:rFonts w:eastAsia="仿宋"/>
                <w:sz w:val="21"/>
                <w:szCs w:val="24"/>
              </w:rPr>
              <w:t>m³</w:t>
            </w:r>
          </w:p>
        </w:tc>
        <w:tc>
          <w:tcPr>
            <w:tcW w:w="2327" w:type="dxa"/>
            <w:vAlign w:val="center"/>
          </w:tcPr>
          <w:p w14:paraId="5F886B3C">
            <w:pPr>
              <w:widowControl/>
              <w:spacing w:line="240" w:lineRule="auto"/>
              <w:ind w:firstLine="0" w:firstLineChars="0"/>
              <w:jc w:val="center"/>
              <w:rPr>
                <w:rFonts w:eastAsia="仿宋"/>
                <w:b/>
                <w:sz w:val="21"/>
                <w:szCs w:val="24"/>
              </w:rPr>
            </w:pPr>
            <w:r>
              <w:rPr>
                <w:rFonts w:hint="eastAsia" w:eastAsia="仿宋"/>
                <w:sz w:val="21"/>
                <w:szCs w:val="24"/>
              </w:rPr>
              <w:t>16.31</w:t>
            </w:r>
          </w:p>
        </w:tc>
        <w:tc>
          <w:tcPr>
            <w:tcW w:w="2543" w:type="dxa"/>
            <w:vAlign w:val="center"/>
          </w:tcPr>
          <w:p w14:paraId="273DE569">
            <w:pPr>
              <w:widowControl/>
              <w:spacing w:line="240" w:lineRule="auto"/>
              <w:ind w:firstLine="0" w:firstLineChars="0"/>
              <w:jc w:val="center"/>
              <w:rPr>
                <w:rFonts w:eastAsia="仿宋"/>
                <w:b/>
                <w:sz w:val="21"/>
                <w:szCs w:val="24"/>
              </w:rPr>
            </w:pPr>
            <w:r>
              <w:rPr>
                <w:rFonts w:hint="eastAsia" w:eastAsia="仿宋"/>
                <w:sz w:val="21"/>
                <w:szCs w:val="24"/>
              </w:rPr>
              <w:t>—</w:t>
            </w:r>
          </w:p>
        </w:tc>
      </w:tr>
      <w:tr w14:paraId="3276CD3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37B7EA89">
            <w:pPr>
              <w:widowControl/>
              <w:spacing w:line="240" w:lineRule="auto"/>
              <w:ind w:firstLine="0" w:firstLineChars="0"/>
              <w:jc w:val="center"/>
              <w:rPr>
                <w:rFonts w:eastAsia="仿宋"/>
                <w:sz w:val="21"/>
                <w:szCs w:val="24"/>
              </w:rPr>
            </w:pPr>
            <w:r>
              <w:rPr>
                <w:rFonts w:eastAsia="仿宋"/>
                <w:sz w:val="21"/>
                <w:szCs w:val="24"/>
              </w:rPr>
              <w:t>3</w:t>
            </w:r>
            <w:r>
              <w:rPr>
                <w:rFonts w:hint="eastAsia" w:eastAsia="仿宋"/>
                <w:sz w:val="21"/>
                <w:szCs w:val="24"/>
              </w:rPr>
              <w:t>．</w:t>
            </w:r>
            <w:r>
              <w:rPr>
                <w:rFonts w:eastAsia="仿宋"/>
                <w:sz w:val="21"/>
                <w:szCs w:val="24"/>
              </w:rPr>
              <w:t>坝址代表性流量</w:t>
            </w:r>
          </w:p>
        </w:tc>
        <w:tc>
          <w:tcPr>
            <w:tcW w:w="1079" w:type="dxa"/>
            <w:vAlign w:val="center"/>
          </w:tcPr>
          <w:p w14:paraId="088451C7">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6D73D6E7">
            <w:pPr>
              <w:widowControl/>
              <w:spacing w:line="240" w:lineRule="auto"/>
              <w:ind w:firstLine="0" w:firstLineChars="0"/>
              <w:jc w:val="center"/>
              <w:rPr>
                <w:rFonts w:eastAsia="仿宋"/>
                <w:sz w:val="21"/>
                <w:szCs w:val="24"/>
              </w:rPr>
            </w:pPr>
            <w:r>
              <w:rPr>
                <w:rFonts w:hint="eastAsia" w:eastAsia="仿宋"/>
                <w:sz w:val="21"/>
                <w:szCs w:val="24"/>
              </w:rPr>
              <w:t>—</w:t>
            </w:r>
          </w:p>
        </w:tc>
        <w:tc>
          <w:tcPr>
            <w:tcW w:w="2543" w:type="dxa"/>
            <w:vAlign w:val="center"/>
          </w:tcPr>
          <w:p w14:paraId="4E05D33B">
            <w:pPr>
              <w:widowControl/>
              <w:spacing w:line="240" w:lineRule="auto"/>
              <w:ind w:firstLine="0" w:firstLineChars="0"/>
              <w:jc w:val="center"/>
              <w:rPr>
                <w:rFonts w:eastAsia="仿宋"/>
                <w:sz w:val="21"/>
                <w:szCs w:val="24"/>
              </w:rPr>
            </w:pPr>
            <w:r>
              <w:rPr>
                <w:rFonts w:hint="eastAsia" w:eastAsia="仿宋"/>
                <w:sz w:val="21"/>
                <w:szCs w:val="24"/>
              </w:rPr>
              <w:t>—</w:t>
            </w:r>
          </w:p>
        </w:tc>
      </w:tr>
      <w:tr w14:paraId="47D1220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5AD67316">
            <w:pPr>
              <w:widowControl/>
              <w:spacing w:line="240" w:lineRule="auto"/>
              <w:ind w:firstLine="0" w:firstLineChars="0"/>
              <w:jc w:val="center"/>
              <w:rPr>
                <w:rFonts w:eastAsia="仿宋"/>
                <w:sz w:val="21"/>
                <w:szCs w:val="24"/>
              </w:rPr>
            </w:pPr>
            <w:r>
              <w:rPr>
                <w:rFonts w:eastAsia="仿宋"/>
                <w:sz w:val="21"/>
                <w:szCs w:val="24"/>
              </w:rPr>
              <w:t>多年平均流量</w:t>
            </w:r>
          </w:p>
        </w:tc>
        <w:tc>
          <w:tcPr>
            <w:tcW w:w="1079" w:type="dxa"/>
            <w:vAlign w:val="center"/>
          </w:tcPr>
          <w:p w14:paraId="23668382">
            <w:pPr>
              <w:widowControl/>
              <w:spacing w:line="240" w:lineRule="auto"/>
              <w:ind w:firstLine="0" w:firstLineChars="0"/>
              <w:jc w:val="center"/>
              <w:rPr>
                <w:rFonts w:eastAsia="仿宋"/>
                <w:sz w:val="21"/>
                <w:szCs w:val="24"/>
              </w:rPr>
            </w:pPr>
            <w:r>
              <w:rPr>
                <w:rFonts w:eastAsia="仿宋"/>
                <w:sz w:val="21"/>
                <w:szCs w:val="24"/>
              </w:rPr>
              <w:t>m³/s</w:t>
            </w:r>
          </w:p>
        </w:tc>
        <w:tc>
          <w:tcPr>
            <w:tcW w:w="2327" w:type="dxa"/>
            <w:vAlign w:val="center"/>
          </w:tcPr>
          <w:p w14:paraId="69668D0E">
            <w:pPr>
              <w:widowControl/>
              <w:spacing w:line="240" w:lineRule="auto"/>
              <w:ind w:firstLine="0" w:firstLineChars="0"/>
              <w:jc w:val="center"/>
              <w:rPr>
                <w:rFonts w:eastAsia="仿宋"/>
                <w:sz w:val="21"/>
                <w:szCs w:val="24"/>
              </w:rPr>
            </w:pPr>
            <w:r>
              <w:rPr>
                <w:rFonts w:hint="eastAsia" w:eastAsia="仿宋"/>
                <w:sz w:val="21"/>
                <w:szCs w:val="24"/>
              </w:rPr>
              <w:t>52.8</w:t>
            </w:r>
          </w:p>
        </w:tc>
        <w:tc>
          <w:tcPr>
            <w:tcW w:w="2543" w:type="dxa"/>
            <w:vAlign w:val="center"/>
          </w:tcPr>
          <w:p w14:paraId="58254564">
            <w:pPr>
              <w:widowControl/>
              <w:spacing w:line="240" w:lineRule="auto"/>
              <w:ind w:firstLine="0" w:firstLineChars="0"/>
              <w:jc w:val="center"/>
              <w:rPr>
                <w:rFonts w:eastAsia="仿宋"/>
                <w:sz w:val="21"/>
                <w:szCs w:val="24"/>
              </w:rPr>
            </w:pPr>
            <w:r>
              <w:rPr>
                <w:rFonts w:hint="eastAsia" w:eastAsia="仿宋"/>
                <w:sz w:val="21"/>
                <w:szCs w:val="24"/>
              </w:rPr>
              <w:t>—</w:t>
            </w:r>
          </w:p>
        </w:tc>
      </w:tr>
      <w:tr w14:paraId="6C73B3A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4D2A7A7D">
            <w:pPr>
              <w:widowControl/>
              <w:spacing w:line="240" w:lineRule="auto"/>
              <w:ind w:firstLine="0" w:firstLineChars="0"/>
              <w:jc w:val="center"/>
              <w:rPr>
                <w:rFonts w:eastAsia="仿宋"/>
                <w:sz w:val="21"/>
                <w:szCs w:val="24"/>
              </w:rPr>
            </w:pPr>
            <w:r>
              <w:rPr>
                <w:rFonts w:eastAsia="仿宋"/>
                <w:sz w:val="21"/>
                <w:szCs w:val="24"/>
              </w:rPr>
              <w:t>4</w:t>
            </w:r>
            <w:r>
              <w:rPr>
                <w:rFonts w:hint="eastAsia" w:eastAsia="仿宋"/>
                <w:sz w:val="21"/>
                <w:szCs w:val="24"/>
              </w:rPr>
              <w:t>．</w:t>
            </w:r>
            <w:r>
              <w:rPr>
                <w:rFonts w:eastAsia="仿宋"/>
                <w:sz w:val="21"/>
                <w:szCs w:val="24"/>
              </w:rPr>
              <w:t>泥沙</w:t>
            </w:r>
          </w:p>
        </w:tc>
        <w:tc>
          <w:tcPr>
            <w:tcW w:w="1079" w:type="dxa"/>
            <w:vAlign w:val="center"/>
          </w:tcPr>
          <w:p w14:paraId="3D4FE80A">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1ACD1D71">
            <w:pPr>
              <w:widowControl/>
              <w:spacing w:line="240" w:lineRule="auto"/>
              <w:ind w:firstLine="0" w:firstLineChars="0"/>
              <w:jc w:val="center"/>
              <w:rPr>
                <w:rFonts w:eastAsia="仿宋"/>
                <w:sz w:val="21"/>
                <w:szCs w:val="24"/>
              </w:rPr>
            </w:pPr>
            <w:r>
              <w:rPr>
                <w:rFonts w:hint="eastAsia" w:eastAsia="仿宋"/>
                <w:sz w:val="21"/>
                <w:szCs w:val="24"/>
              </w:rPr>
              <w:t>—</w:t>
            </w:r>
          </w:p>
        </w:tc>
        <w:tc>
          <w:tcPr>
            <w:tcW w:w="2543" w:type="dxa"/>
            <w:vAlign w:val="center"/>
          </w:tcPr>
          <w:p w14:paraId="54A9B32F">
            <w:pPr>
              <w:widowControl/>
              <w:spacing w:line="240" w:lineRule="auto"/>
              <w:ind w:firstLine="0" w:firstLineChars="0"/>
              <w:jc w:val="center"/>
              <w:rPr>
                <w:rFonts w:eastAsia="仿宋"/>
                <w:sz w:val="21"/>
                <w:szCs w:val="24"/>
              </w:rPr>
            </w:pPr>
            <w:r>
              <w:rPr>
                <w:rFonts w:hint="eastAsia" w:eastAsia="仿宋"/>
                <w:sz w:val="21"/>
                <w:szCs w:val="24"/>
              </w:rPr>
              <w:t>—</w:t>
            </w:r>
          </w:p>
        </w:tc>
      </w:tr>
      <w:tr w14:paraId="2193C5C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449D29E2">
            <w:pPr>
              <w:widowControl/>
              <w:spacing w:line="240" w:lineRule="auto"/>
              <w:ind w:firstLine="0" w:firstLineChars="0"/>
              <w:jc w:val="center"/>
              <w:rPr>
                <w:rFonts w:eastAsia="仿宋"/>
                <w:sz w:val="21"/>
                <w:szCs w:val="24"/>
              </w:rPr>
            </w:pPr>
            <w:r>
              <w:rPr>
                <w:rFonts w:eastAsia="仿宋"/>
                <w:sz w:val="21"/>
                <w:szCs w:val="24"/>
              </w:rPr>
              <w:t>多年平均年输沙量</w:t>
            </w:r>
          </w:p>
        </w:tc>
        <w:tc>
          <w:tcPr>
            <w:tcW w:w="1079" w:type="dxa"/>
            <w:vAlign w:val="center"/>
          </w:tcPr>
          <w:p w14:paraId="3D6E4028">
            <w:pPr>
              <w:widowControl/>
              <w:spacing w:line="240" w:lineRule="auto"/>
              <w:ind w:firstLine="0" w:firstLineChars="0"/>
              <w:jc w:val="center"/>
              <w:rPr>
                <w:rFonts w:eastAsia="仿宋"/>
                <w:sz w:val="21"/>
                <w:szCs w:val="24"/>
              </w:rPr>
            </w:pPr>
            <w:r>
              <w:rPr>
                <w:rFonts w:eastAsia="仿宋"/>
                <w:sz w:val="21"/>
                <w:szCs w:val="24"/>
              </w:rPr>
              <w:t>万t</w:t>
            </w:r>
          </w:p>
        </w:tc>
        <w:tc>
          <w:tcPr>
            <w:tcW w:w="2327" w:type="dxa"/>
            <w:vAlign w:val="center"/>
          </w:tcPr>
          <w:p w14:paraId="4735A5B3">
            <w:pPr>
              <w:widowControl/>
              <w:spacing w:line="240" w:lineRule="auto"/>
              <w:ind w:firstLine="0" w:firstLineChars="0"/>
              <w:jc w:val="center"/>
              <w:rPr>
                <w:rFonts w:eastAsia="仿宋"/>
                <w:sz w:val="21"/>
                <w:szCs w:val="24"/>
              </w:rPr>
            </w:pPr>
            <w:r>
              <w:rPr>
                <w:rFonts w:hint="eastAsia" w:eastAsia="仿宋"/>
                <w:sz w:val="21"/>
                <w:szCs w:val="24"/>
              </w:rPr>
              <w:t>60.6</w:t>
            </w:r>
          </w:p>
        </w:tc>
        <w:tc>
          <w:tcPr>
            <w:tcW w:w="2543" w:type="dxa"/>
            <w:vAlign w:val="center"/>
          </w:tcPr>
          <w:p w14:paraId="22FEAAC0">
            <w:pPr>
              <w:widowControl/>
              <w:spacing w:line="240" w:lineRule="auto"/>
              <w:ind w:firstLine="0" w:firstLineChars="0"/>
              <w:jc w:val="center"/>
              <w:rPr>
                <w:rFonts w:eastAsia="仿宋"/>
                <w:sz w:val="21"/>
                <w:szCs w:val="24"/>
              </w:rPr>
            </w:pPr>
            <w:r>
              <w:rPr>
                <w:rFonts w:hint="eastAsia" w:eastAsia="仿宋"/>
                <w:sz w:val="21"/>
                <w:szCs w:val="24"/>
              </w:rPr>
              <w:t>—</w:t>
            </w:r>
          </w:p>
        </w:tc>
      </w:tr>
      <w:tr w14:paraId="61CC8A2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6A5C0EBF">
            <w:pPr>
              <w:widowControl/>
              <w:spacing w:line="240" w:lineRule="auto"/>
              <w:ind w:firstLine="0" w:firstLineChars="0"/>
              <w:jc w:val="center"/>
              <w:rPr>
                <w:rFonts w:eastAsia="仿宋"/>
                <w:sz w:val="21"/>
                <w:szCs w:val="24"/>
              </w:rPr>
            </w:pPr>
            <w:r>
              <w:rPr>
                <w:rFonts w:hint="eastAsia" w:eastAsia="仿宋"/>
                <w:sz w:val="21"/>
                <w:szCs w:val="24"/>
              </w:rPr>
              <w:t>多年平均悬移质沙量</w:t>
            </w:r>
          </w:p>
        </w:tc>
        <w:tc>
          <w:tcPr>
            <w:tcW w:w="1079" w:type="dxa"/>
            <w:vAlign w:val="center"/>
          </w:tcPr>
          <w:p w14:paraId="1C5A17DF">
            <w:pPr>
              <w:widowControl/>
              <w:spacing w:line="240" w:lineRule="auto"/>
              <w:ind w:firstLine="0" w:firstLineChars="0"/>
              <w:jc w:val="center"/>
              <w:rPr>
                <w:rFonts w:eastAsia="仿宋"/>
                <w:sz w:val="21"/>
                <w:szCs w:val="24"/>
              </w:rPr>
            </w:pPr>
            <w:r>
              <w:rPr>
                <w:rFonts w:eastAsia="仿宋"/>
                <w:sz w:val="21"/>
                <w:szCs w:val="24"/>
              </w:rPr>
              <w:t>万t</w:t>
            </w:r>
          </w:p>
        </w:tc>
        <w:tc>
          <w:tcPr>
            <w:tcW w:w="2327" w:type="dxa"/>
            <w:vAlign w:val="center"/>
          </w:tcPr>
          <w:p w14:paraId="465CFB8B">
            <w:pPr>
              <w:widowControl/>
              <w:spacing w:line="240" w:lineRule="auto"/>
              <w:ind w:firstLine="0" w:firstLineChars="0"/>
              <w:jc w:val="center"/>
              <w:rPr>
                <w:rFonts w:eastAsia="仿宋"/>
                <w:sz w:val="21"/>
                <w:szCs w:val="24"/>
              </w:rPr>
            </w:pPr>
            <w:r>
              <w:rPr>
                <w:rFonts w:hint="eastAsia" w:eastAsia="仿宋"/>
                <w:sz w:val="21"/>
                <w:szCs w:val="24"/>
              </w:rPr>
              <w:t>46.6</w:t>
            </w:r>
          </w:p>
        </w:tc>
        <w:tc>
          <w:tcPr>
            <w:tcW w:w="2543" w:type="dxa"/>
            <w:vAlign w:val="center"/>
          </w:tcPr>
          <w:p w14:paraId="610FD7D2">
            <w:pPr>
              <w:widowControl/>
              <w:spacing w:line="240" w:lineRule="auto"/>
              <w:ind w:firstLine="0" w:firstLineChars="0"/>
              <w:jc w:val="center"/>
              <w:rPr>
                <w:rFonts w:eastAsia="仿宋"/>
                <w:sz w:val="21"/>
                <w:szCs w:val="24"/>
              </w:rPr>
            </w:pPr>
            <w:r>
              <w:rPr>
                <w:rFonts w:hint="eastAsia" w:eastAsia="仿宋"/>
                <w:sz w:val="21"/>
                <w:szCs w:val="24"/>
              </w:rPr>
              <w:t>—</w:t>
            </w:r>
          </w:p>
        </w:tc>
      </w:tr>
      <w:tr w14:paraId="27C5E44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429A4779">
            <w:pPr>
              <w:widowControl/>
              <w:spacing w:line="240" w:lineRule="auto"/>
              <w:ind w:firstLine="0" w:firstLineChars="0"/>
              <w:jc w:val="center"/>
              <w:rPr>
                <w:rFonts w:eastAsia="仿宋"/>
                <w:sz w:val="21"/>
                <w:szCs w:val="24"/>
              </w:rPr>
            </w:pPr>
            <w:r>
              <w:rPr>
                <w:rFonts w:hint="eastAsia" w:eastAsia="仿宋"/>
                <w:sz w:val="21"/>
                <w:szCs w:val="24"/>
              </w:rPr>
              <w:t>多年平均推移质沙量</w:t>
            </w:r>
          </w:p>
        </w:tc>
        <w:tc>
          <w:tcPr>
            <w:tcW w:w="1079" w:type="dxa"/>
            <w:vAlign w:val="center"/>
          </w:tcPr>
          <w:p w14:paraId="3DBFA04F">
            <w:pPr>
              <w:widowControl/>
              <w:spacing w:line="240" w:lineRule="auto"/>
              <w:ind w:firstLine="0" w:firstLineChars="0"/>
              <w:jc w:val="center"/>
              <w:rPr>
                <w:rFonts w:eastAsia="仿宋"/>
                <w:sz w:val="21"/>
                <w:szCs w:val="24"/>
              </w:rPr>
            </w:pPr>
            <w:r>
              <w:rPr>
                <w:rFonts w:eastAsia="仿宋"/>
                <w:sz w:val="21"/>
                <w:szCs w:val="24"/>
              </w:rPr>
              <w:t>万t</w:t>
            </w:r>
          </w:p>
        </w:tc>
        <w:tc>
          <w:tcPr>
            <w:tcW w:w="2327" w:type="dxa"/>
            <w:vAlign w:val="center"/>
          </w:tcPr>
          <w:p w14:paraId="0EDB5CD4">
            <w:pPr>
              <w:widowControl/>
              <w:spacing w:line="240" w:lineRule="auto"/>
              <w:ind w:firstLine="0" w:firstLineChars="0"/>
              <w:jc w:val="center"/>
              <w:rPr>
                <w:rFonts w:eastAsia="仿宋"/>
                <w:sz w:val="21"/>
                <w:szCs w:val="24"/>
              </w:rPr>
            </w:pPr>
            <w:r>
              <w:rPr>
                <w:rFonts w:hint="eastAsia" w:eastAsia="仿宋"/>
                <w:sz w:val="21"/>
                <w:szCs w:val="24"/>
              </w:rPr>
              <w:t>14</w:t>
            </w:r>
          </w:p>
        </w:tc>
        <w:tc>
          <w:tcPr>
            <w:tcW w:w="2543" w:type="dxa"/>
            <w:vAlign w:val="center"/>
          </w:tcPr>
          <w:p w14:paraId="2697C2EB">
            <w:pPr>
              <w:widowControl/>
              <w:spacing w:line="240" w:lineRule="auto"/>
              <w:ind w:firstLine="0" w:firstLineChars="0"/>
              <w:jc w:val="center"/>
              <w:rPr>
                <w:rFonts w:eastAsia="仿宋"/>
                <w:sz w:val="21"/>
                <w:szCs w:val="24"/>
              </w:rPr>
            </w:pPr>
            <w:r>
              <w:rPr>
                <w:rFonts w:hint="eastAsia" w:eastAsia="仿宋"/>
                <w:sz w:val="21"/>
                <w:szCs w:val="24"/>
              </w:rPr>
              <w:t>—</w:t>
            </w:r>
          </w:p>
        </w:tc>
      </w:tr>
      <w:tr w14:paraId="1970F54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091" w:type="dxa"/>
            <w:gridSpan w:val="4"/>
            <w:vAlign w:val="center"/>
          </w:tcPr>
          <w:p w14:paraId="75DA8C1A">
            <w:pPr>
              <w:pStyle w:val="84"/>
            </w:pPr>
            <w:r>
              <w:t>二、水库</w:t>
            </w:r>
          </w:p>
        </w:tc>
      </w:tr>
      <w:tr w14:paraId="0B392B1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401E3560">
            <w:pPr>
              <w:pStyle w:val="84"/>
            </w:pPr>
            <w:r>
              <w:t>1</w:t>
            </w:r>
            <w:r>
              <w:rPr>
                <w:rFonts w:hint="eastAsia"/>
              </w:rPr>
              <w:t>．</w:t>
            </w:r>
            <w:r>
              <w:t>水库水位</w:t>
            </w:r>
          </w:p>
        </w:tc>
        <w:tc>
          <w:tcPr>
            <w:tcW w:w="1079" w:type="dxa"/>
            <w:vAlign w:val="center"/>
          </w:tcPr>
          <w:p w14:paraId="7F227CF0">
            <w:pPr>
              <w:pStyle w:val="84"/>
            </w:pPr>
            <w:r>
              <w:rPr>
                <w:rFonts w:hint="eastAsia"/>
              </w:rPr>
              <w:t>—</w:t>
            </w:r>
          </w:p>
        </w:tc>
        <w:tc>
          <w:tcPr>
            <w:tcW w:w="2327" w:type="dxa"/>
            <w:vAlign w:val="center"/>
          </w:tcPr>
          <w:p w14:paraId="695B20B2">
            <w:pPr>
              <w:pStyle w:val="84"/>
            </w:pPr>
            <w:r>
              <w:rPr>
                <w:rFonts w:hint="eastAsia"/>
              </w:rPr>
              <w:t>—</w:t>
            </w:r>
          </w:p>
        </w:tc>
        <w:tc>
          <w:tcPr>
            <w:tcW w:w="2543" w:type="dxa"/>
            <w:vAlign w:val="center"/>
          </w:tcPr>
          <w:p w14:paraId="4C0A2E47">
            <w:pPr>
              <w:pStyle w:val="84"/>
            </w:pPr>
            <w:r>
              <w:rPr>
                <w:rFonts w:hint="eastAsia"/>
              </w:rPr>
              <w:t>—</w:t>
            </w:r>
          </w:p>
        </w:tc>
      </w:tr>
      <w:tr w14:paraId="66523F6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581DAF54">
            <w:pPr>
              <w:pStyle w:val="84"/>
            </w:pPr>
            <w:r>
              <w:t>校核洪水位</w:t>
            </w:r>
          </w:p>
        </w:tc>
        <w:tc>
          <w:tcPr>
            <w:tcW w:w="1079" w:type="dxa"/>
            <w:vAlign w:val="center"/>
          </w:tcPr>
          <w:p w14:paraId="436BF184">
            <w:pPr>
              <w:pStyle w:val="84"/>
            </w:pPr>
            <w:r>
              <w:t>m</w:t>
            </w:r>
          </w:p>
        </w:tc>
        <w:tc>
          <w:tcPr>
            <w:tcW w:w="2327" w:type="dxa"/>
            <w:vAlign w:val="center"/>
          </w:tcPr>
          <w:p w14:paraId="7518B15F">
            <w:pPr>
              <w:pStyle w:val="84"/>
            </w:pPr>
            <w:r>
              <w:t>803.107</w:t>
            </w:r>
          </w:p>
        </w:tc>
        <w:tc>
          <w:tcPr>
            <w:tcW w:w="2543" w:type="dxa"/>
            <w:vAlign w:val="center"/>
          </w:tcPr>
          <w:p w14:paraId="4175E4E9">
            <w:pPr>
              <w:pStyle w:val="84"/>
            </w:pPr>
            <w:r>
              <w:rPr>
                <w:rFonts w:hint="eastAsia"/>
              </w:rPr>
              <w:t>—</w:t>
            </w:r>
          </w:p>
        </w:tc>
      </w:tr>
      <w:tr w14:paraId="6915235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7100102C">
            <w:pPr>
              <w:pStyle w:val="84"/>
            </w:pPr>
            <w:r>
              <w:t>设计洪水位</w:t>
            </w:r>
          </w:p>
        </w:tc>
        <w:tc>
          <w:tcPr>
            <w:tcW w:w="1079" w:type="dxa"/>
            <w:vAlign w:val="center"/>
          </w:tcPr>
          <w:p w14:paraId="058CE8A0">
            <w:pPr>
              <w:pStyle w:val="84"/>
            </w:pPr>
            <w:r>
              <w:t>m</w:t>
            </w:r>
          </w:p>
        </w:tc>
        <w:tc>
          <w:tcPr>
            <w:tcW w:w="2327" w:type="dxa"/>
            <w:vAlign w:val="center"/>
          </w:tcPr>
          <w:p w14:paraId="3B9B661C">
            <w:pPr>
              <w:pStyle w:val="84"/>
            </w:pPr>
            <w:r>
              <w:t>802.766</w:t>
            </w:r>
          </w:p>
        </w:tc>
        <w:tc>
          <w:tcPr>
            <w:tcW w:w="2543" w:type="dxa"/>
            <w:vAlign w:val="center"/>
          </w:tcPr>
          <w:p w14:paraId="3304DDFA">
            <w:pPr>
              <w:pStyle w:val="84"/>
            </w:pPr>
            <w:r>
              <w:rPr>
                <w:rFonts w:hint="eastAsia"/>
              </w:rPr>
              <w:t>—</w:t>
            </w:r>
          </w:p>
        </w:tc>
      </w:tr>
      <w:tr w14:paraId="46A7F21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25F36B8E">
            <w:pPr>
              <w:pStyle w:val="84"/>
            </w:pPr>
            <w:r>
              <w:t>正常蓄水位</w:t>
            </w:r>
          </w:p>
        </w:tc>
        <w:tc>
          <w:tcPr>
            <w:tcW w:w="1079" w:type="dxa"/>
            <w:vAlign w:val="center"/>
          </w:tcPr>
          <w:p w14:paraId="3F4C659B">
            <w:pPr>
              <w:pStyle w:val="84"/>
            </w:pPr>
            <w:r>
              <w:t>m</w:t>
            </w:r>
          </w:p>
        </w:tc>
        <w:tc>
          <w:tcPr>
            <w:tcW w:w="2327" w:type="dxa"/>
            <w:vAlign w:val="center"/>
          </w:tcPr>
          <w:p w14:paraId="3345F258">
            <w:pPr>
              <w:pStyle w:val="84"/>
            </w:pPr>
            <w:r>
              <w:t>804.9</w:t>
            </w:r>
          </w:p>
        </w:tc>
        <w:tc>
          <w:tcPr>
            <w:tcW w:w="2543" w:type="dxa"/>
            <w:vAlign w:val="center"/>
          </w:tcPr>
          <w:p w14:paraId="1CD20CE3">
            <w:pPr>
              <w:pStyle w:val="84"/>
            </w:pPr>
            <w:r>
              <w:rPr>
                <w:rFonts w:hint="eastAsia"/>
              </w:rPr>
              <w:t>—</w:t>
            </w:r>
          </w:p>
        </w:tc>
      </w:tr>
      <w:tr w14:paraId="160F7A1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bottom"/>
          </w:tcPr>
          <w:p w14:paraId="638E2676">
            <w:pPr>
              <w:pStyle w:val="84"/>
            </w:pPr>
            <w:r>
              <w:rPr>
                <w:rFonts w:hint="eastAsia"/>
              </w:rPr>
              <w:t>死水位</w:t>
            </w:r>
          </w:p>
        </w:tc>
        <w:tc>
          <w:tcPr>
            <w:tcW w:w="1079" w:type="dxa"/>
            <w:vAlign w:val="bottom"/>
          </w:tcPr>
          <w:p w14:paraId="5BA2139B">
            <w:pPr>
              <w:pStyle w:val="84"/>
            </w:pPr>
            <w:r>
              <w:rPr>
                <w:rFonts w:hint="eastAsia"/>
              </w:rPr>
              <w:t>m</w:t>
            </w:r>
          </w:p>
        </w:tc>
        <w:tc>
          <w:tcPr>
            <w:tcW w:w="2327" w:type="dxa"/>
            <w:vAlign w:val="center"/>
          </w:tcPr>
          <w:p w14:paraId="20B2BB3F">
            <w:pPr>
              <w:pStyle w:val="84"/>
            </w:pPr>
            <w:r>
              <w:t>799.5</w:t>
            </w:r>
          </w:p>
        </w:tc>
        <w:tc>
          <w:tcPr>
            <w:tcW w:w="2543" w:type="dxa"/>
            <w:vAlign w:val="center"/>
          </w:tcPr>
          <w:p w14:paraId="2A1B040A">
            <w:pPr>
              <w:pStyle w:val="84"/>
            </w:pPr>
            <w:r>
              <w:rPr>
                <w:rFonts w:hint="eastAsia"/>
              </w:rPr>
              <w:t>—</w:t>
            </w:r>
          </w:p>
        </w:tc>
      </w:tr>
      <w:tr w14:paraId="077E0DF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12F955EF">
            <w:pPr>
              <w:pStyle w:val="84"/>
            </w:pPr>
            <w:r>
              <w:t>2</w:t>
            </w:r>
            <w:r>
              <w:rPr>
                <w:rFonts w:hint="eastAsia"/>
              </w:rPr>
              <w:t>．库容</w:t>
            </w:r>
          </w:p>
        </w:tc>
        <w:tc>
          <w:tcPr>
            <w:tcW w:w="1079" w:type="dxa"/>
            <w:vAlign w:val="bottom"/>
          </w:tcPr>
          <w:p w14:paraId="323C249B">
            <w:pPr>
              <w:pStyle w:val="84"/>
            </w:pPr>
            <w:r>
              <w:rPr>
                <w:rFonts w:hint="eastAsia"/>
              </w:rPr>
              <w:t>万m</w:t>
            </w:r>
            <w:r>
              <w:rPr>
                <w:rFonts w:hint="eastAsia"/>
                <w:vertAlign w:val="superscript"/>
              </w:rPr>
              <w:t>3</w:t>
            </w:r>
          </w:p>
        </w:tc>
        <w:tc>
          <w:tcPr>
            <w:tcW w:w="2327" w:type="dxa"/>
            <w:vAlign w:val="bottom"/>
          </w:tcPr>
          <w:p w14:paraId="69237BC1">
            <w:pPr>
              <w:pStyle w:val="84"/>
            </w:pPr>
            <w:r>
              <w:rPr>
                <w:rFonts w:hint="eastAsia"/>
              </w:rPr>
              <w:t>38.6</w:t>
            </w:r>
          </w:p>
        </w:tc>
        <w:tc>
          <w:tcPr>
            <w:tcW w:w="2543" w:type="dxa"/>
            <w:vAlign w:val="center"/>
          </w:tcPr>
          <w:p w14:paraId="74DB8228">
            <w:pPr>
              <w:pStyle w:val="84"/>
            </w:pPr>
            <w:r>
              <w:rPr>
                <w:rFonts w:hint="eastAsia"/>
              </w:rPr>
              <w:t>—</w:t>
            </w:r>
          </w:p>
        </w:tc>
      </w:tr>
      <w:tr w14:paraId="14F1476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3D299A84">
            <w:pPr>
              <w:pStyle w:val="84"/>
            </w:pPr>
            <w:r>
              <w:rPr>
                <w:rFonts w:hint="eastAsia"/>
              </w:rPr>
              <w:t>3.回水长度</w:t>
            </w:r>
          </w:p>
        </w:tc>
        <w:tc>
          <w:tcPr>
            <w:tcW w:w="1079" w:type="dxa"/>
            <w:vAlign w:val="bottom"/>
          </w:tcPr>
          <w:p w14:paraId="5AEE536D">
            <w:pPr>
              <w:pStyle w:val="84"/>
            </w:pPr>
            <w:r>
              <w:rPr>
                <w:rFonts w:hint="eastAsia"/>
              </w:rPr>
              <w:t>m</w:t>
            </w:r>
          </w:p>
        </w:tc>
        <w:tc>
          <w:tcPr>
            <w:tcW w:w="2327" w:type="dxa"/>
            <w:vAlign w:val="bottom"/>
          </w:tcPr>
          <w:p w14:paraId="7BD15D61">
            <w:pPr>
              <w:pStyle w:val="84"/>
            </w:pPr>
            <w:r>
              <w:rPr>
                <w:rFonts w:hint="eastAsia"/>
              </w:rPr>
              <w:t>1062</w:t>
            </w:r>
          </w:p>
        </w:tc>
        <w:tc>
          <w:tcPr>
            <w:tcW w:w="2543" w:type="dxa"/>
            <w:vAlign w:val="center"/>
          </w:tcPr>
          <w:p w14:paraId="551B8976">
            <w:pPr>
              <w:pStyle w:val="84"/>
            </w:pPr>
            <w:r>
              <w:rPr>
                <w:rFonts w:hint="eastAsia"/>
              </w:rPr>
              <w:t>—</w:t>
            </w:r>
          </w:p>
        </w:tc>
      </w:tr>
      <w:tr w14:paraId="65EACB6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091" w:type="dxa"/>
            <w:gridSpan w:val="4"/>
            <w:vAlign w:val="center"/>
          </w:tcPr>
          <w:p w14:paraId="55749593">
            <w:pPr>
              <w:widowControl/>
              <w:spacing w:line="240" w:lineRule="auto"/>
              <w:ind w:firstLine="0" w:firstLineChars="0"/>
              <w:jc w:val="center"/>
              <w:rPr>
                <w:rFonts w:eastAsia="仿宋"/>
                <w:sz w:val="21"/>
                <w:szCs w:val="24"/>
              </w:rPr>
            </w:pPr>
            <w:r>
              <w:rPr>
                <w:rFonts w:eastAsia="仿宋"/>
                <w:sz w:val="21"/>
                <w:szCs w:val="24"/>
              </w:rPr>
              <w:t>三、工程效益指标</w:t>
            </w:r>
          </w:p>
        </w:tc>
      </w:tr>
      <w:tr w14:paraId="07390BB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475598E7">
            <w:pPr>
              <w:widowControl/>
              <w:spacing w:line="240" w:lineRule="auto"/>
              <w:ind w:firstLine="0" w:firstLineChars="0"/>
              <w:jc w:val="center"/>
              <w:rPr>
                <w:rFonts w:eastAsia="仿宋"/>
                <w:sz w:val="21"/>
                <w:szCs w:val="24"/>
              </w:rPr>
            </w:pPr>
            <w:r>
              <w:rPr>
                <w:rFonts w:eastAsia="仿宋"/>
                <w:sz w:val="21"/>
                <w:szCs w:val="24"/>
              </w:rPr>
              <w:t>装机容量</w:t>
            </w:r>
          </w:p>
        </w:tc>
        <w:tc>
          <w:tcPr>
            <w:tcW w:w="1079" w:type="dxa"/>
            <w:vAlign w:val="center"/>
          </w:tcPr>
          <w:p w14:paraId="422776A9">
            <w:pPr>
              <w:widowControl/>
              <w:spacing w:line="240" w:lineRule="auto"/>
              <w:ind w:firstLine="0" w:firstLineChars="0"/>
              <w:jc w:val="center"/>
              <w:rPr>
                <w:rFonts w:eastAsia="仿宋"/>
                <w:sz w:val="21"/>
                <w:szCs w:val="24"/>
              </w:rPr>
            </w:pPr>
            <w:r>
              <w:rPr>
                <w:rFonts w:eastAsia="仿宋"/>
                <w:sz w:val="21"/>
                <w:szCs w:val="24"/>
              </w:rPr>
              <w:t>kW</w:t>
            </w:r>
          </w:p>
        </w:tc>
        <w:tc>
          <w:tcPr>
            <w:tcW w:w="2327" w:type="dxa"/>
            <w:vAlign w:val="center"/>
          </w:tcPr>
          <w:p w14:paraId="5C5D37EB">
            <w:pPr>
              <w:pStyle w:val="84"/>
            </w:pPr>
            <w:r>
              <w:rPr>
                <w:rFonts w:hint="eastAsia"/>
              </w:rPr>
              <w:t>4900</w:t>
            </w:r>
          </w:p>
        </w:tc>
        <w:tc>
          <w:tcPr>
            <w:tcW w:w="2543" w:type="dxa"/>
            <w:vAlign w:val="center"/>
          </w:tcPr>
          <w:p w14:paraId="1F2D6FFB">
            <w:pPr>
              <w:widowControl/>
              <w:spacing w:line="240" w:lineRule="auto"/>
              <w:ind w:firstLine="0" w:firstLineChars="0"/>
              <w:jc w:val="center"/>
              <w:rPr>
                <w:rFonts w:eastAsia="仿宋"/>
                <w:sz w:val="21"/>
                <w:szCs w:val="24"/>
              </w:rPr>
            </w:pPr>
            <w:r>
              <w:rPr>
                <w:rFonts w:eastAsia="仿宋"/>
                <w:sz w:val="21"/>
                <w:szCs w:val="24"/>
              </w:rPr>
              <w:t>2×</w:t>
            </w:r>
            <w:r>
              <w:rPr>
                <w:rFonts w:hint="eastAsia" w:eastAsia="仿宋"/>
                <w:sz w:val="21"/>
                <w:szCs w:val="24"/>
              </w:rPr>
              <w:t>245</w:t>
            </w:r>
            <w:r>
              <w:rPr>
                <w:rFonts w:eastAsia="仿宋"/>
                <w:sz w:val="21"/>
                <w:szCs w:val="24"/>
              </w:rPr>
              <w:t>0kW</w:t>
            </w:r>
          </w:p>
        </w:tc>
      </w:tr>
      <w:tr w14:paraId="42F0239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4F0EE7AD">
            <w:pPr>
              <w:widowControl/>
              <w:spacing w:line="240" w:lineRule="auto"/>
              <w:ind w:firstLine="0" w:firstLineChars="0"/>
              <w:jc w:val="center"/>
              <w:rPr>
                <w:rFonts w:eastAsia="仿宋"/>
                <w:sz w:val="21"/>
                <w:szCs w:val="24"/>
              </w:rPr>
            </w:pPr>
            <w:r>
              <w:rPr>
                <w:rFonts w:eastAsia="仿宋"/>
                <w:sz w:val="21"/>
                <w:szCs w:val="24"/>
              </w:rPr>
              <w:t>设计水头</w:t>
            </w:r>
          </w:p>
        </w:tc>
        <w:tc>
          <w:tcPr>
            <w:tcW w:w="1079" w:type="dxa"/>
            <w:vAlign w:val="center"/>
          </w:tcPr>
          <w:p w14:paraId="2F4194F2">
            <w:pPr>
              <w:widowControl/>
              <w:spacing w:line="240" w:lineRule="auto"/>
              <w:ind w:firstLine="0" w:firstLineChars="0"/>
              <w:jc w:val="center"/>
              <w:rPr>
                <w:rFonts w:eastAsia="仿宋"/>
                <w:sz w:val="21"/>
                <w:szCs w:val="24"/>
              </w:rPr>
            </w:pPr>
            <w:r>
              <w:rPr>
                <w:rFonts w:eastAsia="仿宋"/>
                <w:sz w:val="21"/>
                <w:szCs w:val="24"/>
              </w:rPr>
              <w:t>m</w:t>
            </w:r>
          </w:p>
        </w:tc>
        <w:tc>
          <w:tcPr>
            <w:tcW w:w="2327" w:type="dxa"/>
            <w:vAlign w:val="center"/>
          </w:tcPr>
          <w:p w14:paraId="1FA162F5">
            <w:pPr>
              <w:pStyle w:val="84"/>
            </w:pPr>
            <w:r>
              <w:rPr>
                <w:rFonts w:hint="eastAsia"/>
              </w:rPr>
              <w:t>5.5</w:t>
            </w:r>
          </w:p>
        </w:tc>
        <w:tc>
          <w:tcPr>
            <w:tcW w:w="2543" w:type="dxa"/>
            <w:vAlign w:val="center"/>
          </w:tcPr>
          <w:p w14:paraId="21CB42F4">
            <w:pPr>
              <w:widowControl/>
              <w:spacing w:line="240" w:lineRule="auto"/>
              <w:ind w:firstLine="0" w:firstLineChars="0"/>
              <w:jc w:val="center"/>
              <w:rPr>
                <w:rFonts w:eastAsia="仿宋"/>
                <w:sz w:val="21"/>
                <w:szCs w:val="24"/>
              </w:rPr>
            </w:pPr>
            <w:r>
              <w:rPr>
                <w:rFonts w:hint="eastAsia" w:eastAsia="仿宋"/>
                <w:sz w:val="21"/>
                <w:szCs w:val="24"/>
              </w:rPr>
              <w:t>—</w:t>
            </w:r>
          </w:p>
        </w:tc>
      </w:tr>
      <w:tr w14:paraId="216A94D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25E5FCCC">
            <w:pPr>
              <w:pStyle w:val="84"/>
            </w:pPr>
            <w:r>
              <w:t>保证出力</w:t>
            </w:r>
          </w:p>
        </w:tc>
        <w:tc>
          <w:tcPr>
            <w:tcW w:w="1079" w:type="dxa"/>
            <w:vAlign w:val="center"/>
          </w:tcPr>
          <w:p w14:paraId="6D159BDC">
            <w:pPr>
              <w:pStyle w:val="84"/>
            </w:pPr>
            <w:r>
              <w:t>kW</w:t>
            </w:r>
          </w:p>
        </w:tc>
        <w:tc>
          <w:tcPr>
            <w:tcW w:w="2327" w:type="dxa"/>
            <w:vAlign w:val="center"/>
          </w:tcPr>
          <w:p w14:paraId="2FDEA547">
            <w:pPr>
              <w:pStyle w:val="84"/>
            </w:pPr>
            <w:r>
              <w:rPr>
                <w:rFonts w:hint="eastAsia"/>
              </w:rPr>
              <w:t>1712</w:t>
            </w:r>
          </w:p>
        </w:tc>
        <w:tc>
          <w:tcPr>
            <w:tcW w:w="2543" w:type="dxa"/>
            <w:vAlign w:val="center"/>
          </w:tcPr>
          <w:p w14:paraId="1C000F7C">
            <w:pPr>
              <w:widowControl/>
              <w:spacing w:line="240" w:lineRule="auto"/>
              <w:ind w:firstLine="0" w:firstLineChars="0"/>
              <w:jc w:val="center"/>
              <w:rPr>
                <w:rFonts w:eastAsia="仿宋"/>
                <w:sz w:val="21"/>
                <w:szCs w:val="24"/>
              </w:rPr>
            </w:pPr>
            <w:r>
              <w:rPr>
                <w:rFonts w:eastAsia="仿宋"/>
                <w:sz w:val="21"/>
                <w:szCs w:val="24"/>
              </w:rPr>
              <w:t>P=90%</w:t>
            </w:r>
          </w:p>
        </w:tc>
      </w:tr>
      <w:tr w14:paraId="5914B0E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7B6E29BB">
            <w:pPr>
              <w:widowControl/>
              <w:spacing w:line="240" w:lineRule="auto"/>
              <w:ind w:firstLine="0" w:firstLineChars="0"/>
              <w:jc w:val="center"/>
              <w:rPr>
                <w:rFonts w:eastAsia="仿宋"/>
                <w:sz w:val="21"/>
                <w:szCs w:val="24"/>
              </w:rPr>
            </w:pPr>
            <w:r>
              <w:rPr>
                <w:rFonts w:eastAsia="仿宋"/>
                <w:sz w:val="21"/>
                <w:szCs w:val="24"/>
              </w:rPr>
              <w:t>多年平均发电量</w:t>
            </w:r>
          </w:p>
        </w:tc>
        <w:tc>
          <w:tcPr>
            <w:tcW w:w="1079" w:type="dxa"/>
            <w:vAlign w:val="center"/>
          </w:tcPr>
          <w:p w14:paraId="51F013D1">
            <w:pPr>
              <w:widowControl/>
              <w:spacing w:line="240" w:lineRule="auto"/>
              <w:ind w:firstLine="0" w:firstLineChars="0"/>
              <w:jc w:val="center"/>
              <w:rPr>
                <w:rFonts w:eastAsia="仿宋"/>
                <w:sz w:val="21"/>
                <w:szCs w:val="24"/>
              </w:rPr>
            </w:pPr>
            <w:r>
              <w:rPr>
                <w:rFonts w:eastAsia="仿宋"/>
                <w:sz w:val="21"/>
                <w:szCs w:val="24"/>
              </w:rPr>
              <w:t>万kW·h</w:t>
            </w:r>
          </w:p>
        </w:tc>
        <w:tc>
          <w:tcPr>
            <w:tcW w:w="2327" w:type="dxa"/>
            <w:vAlign w:val="center"/>
          </w:tcPr>
          <w:p w14:paraId="4B11C947">
            <w:pPr>
              <w:pStyle w:val="84"/>
            </w:pPr>
            <w:r>
              <w:t>2208.43</w:t>
            </w:r>
          </w:p>
        </w:tc>
        <w:tc>
          <w:tcPr>
            <w:tcW w:w="2543" w:type="dxa"/>
            <w:vAlign w:val="center"/>
          </w:tcPr>
          <w:p w14:paraId="0B5234CC">
            <w:pPr>
              <w:widowControl/>
              <w:spacing w:line="240" w:lineRule="auto"/>
              <w:ind w:firstLine="0" w:firstLineChars="0"/>
              <w:jc w:val="center"/>
              <w:rPr>
                <w:rFonts w:eastAsia="仿宋"/>
                <w:sz w:val="21"/>
                <w:szCs w:val="24"/>
              </w:rPr>
            </w:pPr>
            <w:r>
              <w:rPr>
                <w:rFonts w:hint="eastAsia" w:eastAsia="仿宋"/>
                <w:sz w:val="21"/>
                <w:szCs w:val="24"/>
              </w:rPr>
              <w:t>—</w:t>
            </w:r>
          </w:p>
        </w:tc>
      </w:tr>
      <w:tr w14:paraId="2F6505D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41282F90">
            <w:pPr>
              <w:widowControl/>
              <w:spacing w:line="240" w:lineRule="auto"/>
              <w:ind w:firstLine="0" w:firstLineChars="0"/>
              <w:jc w:val="center"/>
              <w:rPr>
                <w:rFonts w:eastAsia="仿宋"/>
                <w:sz w:val="21"/>
                <w:szCs w:val="24"/>
              </w:rPr>
            </w:pPr>
            <w:r>
              <w:rPr>
                <w:rFonts w:hint="eastAsia" w:eastAsia="仿宋"/>
                <w:sz w:val="21"/>
                <w:szCs w:val="24"/>
              </w:rPr>
              <w:t>装机</w:t>
            </w:r>
            <w:r>
              <w:rPr>
                <w:rFonts w:eastAsia="仿宋"/>
                <w:sz w:val="21"/>
                <w:szCs w:val="24"/>
              </w:rPr>
              <w:t>年利用小时数</w:t>
            </w:r>
          </w:p>
        </w:tc>
        <w:tc>
          <w:tcPr>
            <w:tcW w:w="1079" w:type="dxa"/>
            <w:vAlign w:val="center"/>
          </w:tcPr>
          <w:p w14:paraId="12BDB068">
            <w:pPr>
              <w:widowControl/>
              <w:spacing w:line="240" w:lineRule="auto"/>
              <w:ind w:firstLine="0" w:firstLineChars="0"/>
              <w:jc w:val="center"/>
              <w:rPr>
                <w:rFonts w:eastAsia="仿宋"/>
                <w:sz w:val="21"/>
                <w:szCs w:val="24"/>
              </w:rPr>
            </w:pPr>
            <w:r>
              <w:rPr>
                <w:rFonts w:eastAsia="仿宋"/>
                <w:sz w:val="21"/>
                <w:szCs w:val="24"/>
              </w:rPr>
              <w:t>h</w:t>
            </w:r>
          </w:p>
        </w:tc>
        <w:tc>
          <w:tcPr>
            <w:tcW w:w="2327" w:type="dxa"/>
            <w:vAlign w:val="center"/>
          </w:tcPr>
          <w:p w14:paraId="5E8CB7D7">
            <w:pPr>
              <w:pStyle w:val="84"/>
            </w:pPr>
            <w:r>
              <w:rPr>
                <w:rFonts w:hint="eastAsia"/>
              </w:rPr>
              <w:t>4507</w:t>
            </w:r>
          </w:p>
        </w:tc>
        <w:tc>
          <w:tcPr>
            <w:tcW w:w="2543" w:type="dxa"/>
            <w:vAlign w:val="center"/>
          </w:tcPr>
          <w:p w14:paraId="5562EB25">
            <w:pPr>
              <w:widowControl/>
              <w:spacing w:line="240" w:lineRule="auto"/>
              <w:ind w:firstLine="0" w:firstLineChars="0"/>
              <w:jc w:val="center"/>
              <w:rPr>
                <w:rFonts w:eastAsia="仿宋"/>
                <w:sz w:val="21"/>
                <w:szCs w:val="24"/>
              </w:rPr>
            </w:pPr>
            <w:r>
              <w:rPr>
                <w:rFonts w:hint="eastAsia" w:eastAsia="仿宋"/>
                <w:sz w:val="21"/>
                <w:szCs w:val="24"/>
              </w:rPr>
              <w:t>—</w:t>
            </w:r>
          </w:p>
        </w:tc>
      </w:tr>
      <w:tr w14:paraId="3354D00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341008FB">
            <w:pPr>
              <w:widowControl/>
              <w:spacing w:line="240" w:lineRule="auto"/>
              <w:ind w:firstLine="0" w:firstLineChars="0"/>
              <w:jc w:val="center"/>
              <w:rPr>
                <w:rFonts w:eastAsia="仿宋"/>
                <w:sz w:val="21"/>
                <w:szCs w:val="24"/>
              </w:rPr>
            </w:pPr>
            <w:r>
              <w:rPr>
                <w:rFonts w:hint="eastAsia" w:eastAsia="仿宋"/>
                <w:sz w:val="21"/>
                <w:szCs w:val="24"/>
              </w:rPr>
              <w:t>发电引用流量</w:t>
            </w:r>
          </w:p>
        </w:tc>
        <w:tc>
          <w:tcPr>
            <w:tcW w:w="1079" w:type="dxa"/>
            <w:vAlign w:val="bottom"/>
          </w:tcPr>
          <w:p w14:paraId="6AD6D313">
            <w:pPr>
              <w:widowControl/>
              <w:spacing w:line="240" w:lineRule="auto"/>
              <w:ind w:firstLine="0" w:firstLineChars="0"/>
              <w:jc w:val="center"/>
              <w:rPr>
                <w:rFonts w:eastAsia="仿宋"/>
                <w:sz w:val="21"/>
                <w:szCs w:val="24"/>
              </w:rPr>
            </w:pPr>
            <w:r>
              <w:rPr>
                <w:rFonts w:hint="eastAsia" w:eastAsia="仿宋"/>
                <w:sz w:val="21"/>
                <w:szCs w:val="24"/>
              </w:rPr>
              <w:t>m</w:t>
            </w:r>
            <w:r>
              <w:rPr>
                <w:rFonts w:hint="eastAsia" w:ascii="宋体" w:hAnsi="宋体" w:cs="宋体"/>
                <w:sz w:val="21"/>
                <w:szCs w:val="24"/>
              </w:rPr>
              <w:t>³</w:t>
            </w:r>
            <w:r>
              <w:rPr>
                <w:rFonts w:hint="eastAsia" w:eastAsia="仿宋"/>
                <w:sz w:val="21"/>
                <w:szCs w:val="24"/>
              </w:rPr>
              <w:t>/s</w:t>
            </w:r>
          </w:p>
        </w:tc>
        <w:tc>
          <w:tcPr>
            <w:tcW w:w="2327" w:type="dxa"/>
            <w:vAlign w:val="bottom"/>
          </w:tcPr>
          <w:p w14:paraId="2D813E64">
            <w:pPr>
              <w:pStyle w:val="84"/>
            </w:pPr>
            <w:r>
              <w:rPr>
                <w:rFonts w:hint="eastAsia"/>
              </w:rPr>
              <w:t>106.3</w:t>
            </w:r>
          </w:p>
        </w:tc>
        <w:tc>
          <w:tcPr>
            <w:tcW w:w="2543" w:type="dxa"/>
            <w:vAlign w:val="center"/>
          </w:tcPr>
          <w:p w14:paraId="129C8FD2">
            <w:pPr>
              <w:widowControl/>
              <w:spacing w:line="240" w:lineRule="auto"/>
              <w:ind w:firstLine="0" w:firstLineChars="0"/>
              <w:jc w:val="center"/>
              <w:rPr>
                <w:rFonts w:eastAsia="仿宋"/>
                <w:sz w:val="21"/>
                <w:szCs w:val="24"/>
              </w:rPr>
            </w:pPr>
            <w:r>
              <w:rPr>
                <w:rFonts w:hint="eastAsia" w:eastAsia="仿宋"/>
                <w:sz w:val="21"/>
                <w:szCs w:val="24"/>
              </w:rPr>
              <w:t>—</w:t>
            </w:r>
          </w:p>
        </w:tc>
      </w:tr>
      <w:tr w14:paraId="7B696A7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4221" w:type="dxa"/>
            <w:gridSpan w:val="2"/>
            <w:vAlign w:val="center"/>
          </w:tcPr>
          <w:p w14:paraId="2F251D7F">
            <w:pPr>
              <w:pStyle w:val="84"/>
            </w:pPr>
            <w:r>
              <w:rPr>
                <w:rFonts w:hint="eastAsia"/>
              </w:rPr>
              <w:t>工程等别</w:t>
            </w:r>
          </w:p>
        </w:tc>
        <w:tc>
          <w:tcPr>
            <w:tcW w:w="4870" w:type="dxa"/>
            <w:gridSpan w:val="2"/>
            <w:vAlign w:val="center"/>
          </w:tcPr>
          <w:p w14:paraId="0C7A2A9F">
            <w:pPr>
              <w:pStyle w:val="84"/>
            </w:pPr>
            <w:r>
              <w:rPr>
                <w:rFonts w:hint="eastAsia"/>
              </w:rPr>
              <w:t>Ⅴ等</w:t>
            </w:r>
            <w:r>
              <w:t>5</w:t>
            </w:r>
            <w:r>
              <w:rPr>
                <w:rFonts w:hint="eastAsia"/>
              </w:rPr>
              <w:t>级</w:t>
            </w:r>
          </w:p>
        </w:tc>
      </w:tr>
      <w:tr w14:paraId="6B5E221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4221" w:type="dxa"/>
            <w:gridSpan w:val="2"/>
            <w:vAlign w:val="center"/>
          </w:tcPr>
          <w:p w14:paraId="7AAB9637">
            <w:pPr>
              <w:pStyle w:val="84"/>
            </w:pPr>
            <w:r>
              <w:rPr>
                <w:rFonts w:hint="eastAsia"/>
              </w:rPr>
              <w:t>开发方式</w:t>
            </w:r>
          </w:p>
        </w:tc>
        <w:tc>
          <w:tcPr>
            <w:tcW w:w="4870" w:type="dxa"/>
            <w:gridSpan w:val="2"/>
            <w:vAlign w:val="center"/>
          </w:tcPr>
          <w:p w14:paraId="180320BC">
            <w:pPr>
              <w:pStyle w:val="84"/>
            </w:pPr>
            <w:r>
              <w:rPr>
                <w:rFonts w:hint="eastAsia"/>
              </w:rPr>
              <w:t>河床式</w:t>
            </w:r>
          </w:p>
        </w:tc>
      </w:tr>
      <w:tr w14:paraId="4A2D21B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091" w:type="dxa"/>
            <w:gridSpan w:val="4"/>
            <w:vAlign w:val="center"/>
          </w:tcPr>
          <w:p w14:paraId="73E8D3CE">
            <w:pPr>
              <w:widowControl/>
              <w:spacing w:line="240" w:lineRule="auto"/>
              <w:ind w:firstLine="0" w:firstLineChars="0"/>
              <w:jc w:val="center"/>
              <w:rPr>
                <w:rFonts w:eastAsia="仿宋"/>
                <w:sz w:val="21"/>
                <w:szCs w:val="24"/>
              </w:rPr>
            </w:pPr>
            <w:r>
              <w:rPr>
                <w:rFonts w:eastAsia="仿宋"/>
                <w:sz w:val="21"/>
                <w:szCs w:val="24"/>
              </w:rPr>
              <w:t>四、建设征地及移民安置</w:t>
            </w:r>
          </w:p>
        </w:tc>
      </w:tr>
      <w:tr w14:paraId="647FBDC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457" w:hRule="atLeast"/>
          <w:jc w:val="center"/>
        </w:trPr>
        <w:tc>
          <w:tcPr>
            <w:tcW w:w="3142" w:type="dxa"/>
            <w:vAlign w:val="center"/>
          </w:tcPr>
          <w:p w14:paraId="7C7788F2">
            <w:pPr>
              <w:widowControl/>
              <w:spacing w:line="240" w:lineRule="auto"/>
              <w:ind w:firstLine="0" w:firstLineChars="0"/>
              <w:jc w:val="center"/>
              <w:rPr>
                <w:rFonts w:eastAsia="仿宋"/>
                <w:sz w:val="21"/>
                <w:szCs w:val="24"/>
              </w:rPr>
            </w:pPr>
            <w:r>
              <w:rPr>
                <w:rFonts w:eastAsia="仿宋"/>
                <w:sz w:val="21"/>
                <w:szCs w:val="24"/>
              </w:rPr>
              <w:t>工程永久征地</w:t>
            </w:r>
          </w:p>
        </w:tc>
        <w:tc>
          <w:tcPr>
            <w:tcW w:w="1079" w:type="dxa"/>
            <w:vAlign w:val="center"/>
          </w:tcPr>
          <w:p w14:paraId="2AE287E2">
            <w:pPr>
              <w:widowControl/>
              <w:spacing w:line="240" w:lineRule="auto"/>
              <w:ind w:firstLine="0" w:firstLineChars="0"/>
              <w:jc w:val="center"/>
              <w:rPr>
                <w:rFonts w:eastAsia="仿宋"/>
                <w:sz w:val="21"/>
                <w:szCs w:val="24"/>
              </w:rPr>
            </w:pPr>
            <w:r>
              <w:rPr>
                <w:kern w:val="0"/>
                <w:sz w:val="21"/>
                <w:szCs w:val="21"/>
              </w:rPr>
              <w:t>hm</w:t>
            </w:r>
            <w:r>
              <w:rPr>
                <w:kern w:val="0"/>
                <w:sz w:val="21"/>
                <w:szCs w:val="21"/>
                <w:vertAlign w:val="superscript"/>
              </w:rPr>
              <w:t>2</w:t>
            </w:r>
          </w:p>
        </w:tc>
        <w:tc>
          <w:tcPr>
            <w:tcW w:w="2327" w:type="dxa"/>
            <w:vAlign w:val="center"/>
          </w:tcPr>
          <w:p w14:paraId="532625BE">
            <w:pPr>
              <w:widowControl/>
              <w:spacing w:line="240" w:lineRule="auto"/>
              <w:ind w:firstLine="0" w:firstLineChars="0"/>
              <w:jc w:val="center"/>
              <w:rPr>
                <w:rFonts w:eastAsia="仿宋"/>
                <w:sz w:val="21"/>
                <w:szCs w:val="24"/>
              </w:rPr>
            </w:pPr>
            <w:r>
              <w:rPr>
                <w:rFonts w:hint="eastAsia" w:eastAsia="仿宋"/>
                <w:sz w:val="21"/>
                <w:szCs w:val="24"/>
              </w:rPr>
              <w:t>3.03</w:t>
            </w:r>
          </w:p>
        </w:tc>
        <w:tc>
          <w:tcPr>
            <w:tcW w:w="2543" w:type="dxa"/>
            <w:vMerge w:val="restart"/>
            <w:vAlign w:val="center"/>
          </w:tcPr>
          <w:p w14:paraId="5AF8A7A1">
            <w:pPr>
              <w:widowControl/>
              <w:spacing w:line="240" w:lineRule="auto"/>
              <w:ind w:firstLine="0" w:firstLineChars="0"/>
              <w:jc w:val="center"/>
              <w:rPr>
                <w:rFonts w:eastAsia="仿宋"/>
                <w:sz w:val="21"/>
                <w:szCs w:val="24"/>
                <w:highlight w:val="green"/>
              </w:rPr>
            </w:pPr>
            <w:r>
              <w:rPr>
                <w:rFonts w:hint="eastAsia" w:eastAsia="仿宋"/>
                <w:color w:val="FF0000"/>
                <w:sz w:val="21"/>
                <w:szCs w:val="24"/>
              </w:rPr>
              <w:t>水库淹没区主要为天然河道和少量坡耕地，未淹没房屋，无淹没移民，无需做移民安置规划</w:t>
            </w:r>
          </w:p>
        </w:tc>
      </w:tr>
      <w:tr w14:paraId="0CBED12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55F462EC">
            <w:pPr>
              <w:widowControl/>
              <w:spacing w:line="240" w:lineRule="auto"/>
              <w:ind w:firstLine="0" w:firstLineChars="0"/>
              <w:jc w:val="center"/>
              <w:rPr>
                <w:rFonts w:eastAsia="仿宋"/>
                <w:color w:val="FF0000"/>
                <w:sz w:val="21"/>
                <w:szCs w:val="24"/>
              </w:rPr>
            </w:pPr>
            <w:r>
              <w:rPr>
                <w:rFonts w:eastAsia="仿宋"/>
                <w:color w:val="FF0000"/>
                <w:sz w:val="21"/>
                <w:szCs w:val="24"/>
              </w:rPr>
              <w:t>临时征地</w:t>
            </w:r>
          </w:p>
        </w:tc>
        <w:tc>
          <w:tcPr>
            <w:tcW w:w="1079" w:type="dxa"/>
            <w:vAlign w:val="center"/>
          </w:tcPr>
          <w:p w14:paraId="3A53D25D">
            <w:pPr>
              <w:widowControl/>
              <w:spacing w:line="240" w:lineRule="auto"/>
              <w:ind w:firstLine="0" w:firstLineChars="0"/>
              <w:jc w:val="center"/>
              <w:rPr>
                <w:rFonts w:eastAsia="仿宋"/>
                <w:color w:val="FF0000"/>
                <w:sz w:val="21"/>
                <w:szCs w:val="24"/>
              </w:rPr>
            </w:pPr>
            <w:r>
              <w:rPr>
                <w:color w:val="FF0000"/>
                <w:kern w:val="0"/>
                <w:sz w:val="21"/>
                <w:szCs w:val="21"/>
              </w:rPr>
              <w:t>hm</w:t>
            </w:r>
            <w:r>
              <w:rPr>
                <w:color w:val="FF0000"/>
                <w:kern w:val="0"/>
                <w:sz w:val="21"/>
                <w:szCs w:val="21"/>
                <w:vertAlign w:val="superscript"/>
              </w:rPr>
              <w:t>2</w:t>
            </w:r>
          </w:p>
        </w:tc>
        <w:tc>
          <w:tcPr>
            <w:tcW w:w="2327" w:type="dxa"/>
            <w:vAlign w:val="center"/>
          </w:tcPr>
          <w:p w14:paraId="2DA18887">
            <w:pPr>
              <w:widowControl/>
              <w:spacing w:line="240" w:lineRule="auto"/>
              <w:ind w:firstLine="0" w:firstLineChars="0"/>
              <w:jc w:val="center"/>
              <w:rPr>
                <w:rFonts w:eastAsia="仿宋"/>
                <w:color w:val="FF0000"/>
                <w:sz w:val="21"/>
                <w:szCs w:val="24"/>
              </w:rPr>
            </w:pPr>
            <w:r>
              <w:rPr>
                <w:rFonts w:hint="eastAsia" w:eastAsia="仿宋"/>
                <w:color w:val="FF0000"/>
                <w:sz w:val="21"/>
                <w:szCs w:val="24"/>
              </w:rPr>
              <w:t>0.99</w:t>
            </w:r>
          </w:p>
        </w:tc>
        <w:tc>
          <w:tcPr>
            <w:tcW w:w="2543" w:type="dxa"/>
            <w:vMerge w:val="continue"/>
            <w:vAlign w:val="center"/>
          </w:tcPr>
          <w:p w14:paraId="75494374">
            <w:pPr>
              <w:widowControl/>
              <w:spacing w:line="240" w:lineRule="auto"/>
              <w:ind w:firstLine="0" w:firstLineChars="0"/>
              <w:jc w:val="center"/>
              <w:rPr>
                <w:rFonts w:eastAsia="仿宋"/>
                <w:sz w:val="21"/>
                <w:szCs w:val="24"/>
                <w:highlight w:val="green"/>
              </w:rPr>
            </w:pPr>
          </w:p>
        </w:tc>
      </w:tr>
      <w:tr w14:paraId="583C2A3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091" w:type="dxa"/>
            <w:gridSpan w:val="4"/>
            <w:vAlign w:val="center"/>
          </w:tcPr>
          <w:p w14:paraId="0B444C59">
            <w:pPr>
              <w:widowControl/>
              <w:spacing w:line="240" w:lineRule="auto"/>
              <w:ind w:firstLine="0" w:firstLineChars="0"/>
              <w:jc w:val="center"/>
              <w:rPr>
                <w:rFonts w:eastAsia="仿宋"/>
                <w:sz w:val="21"/>
                <w:szCs w:val="24"/>
              </w:rPr>
            </w:pPr>
            <w:r>
              <w:rPr>
                <w:rFonts w:eastAsia="仿宋"/>
                <w:sz w:val="21"/>
                <w:szCs w:val="24"/>
              </w:rPr>
              <w:t>五、主要建筑物及设备</w:t>
            </w:r>
          </w:p>
        </w:tc>
      </w:tr>
      <w:tr w14:paraId="519449F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4D8EBF8A">
            <w:pPr>
              <w:widowControl/>
              <w:spacing w:line="240" w:lineRule="auto"/>
              <w:ind w:firstLine="0" w:firstLineChars="0"/>
              <w:jc w:val="center"/>
              <w:rPr>
                <w:rFonts w:eastAsia="仿宋"/>
                <w:sz w:val="21"/>
                <w:szCs w:val="24"/>
              </w:rPr>
            </w:pPr>
            <w:r>
              <w:rPr>
                <w:rFonts w:eastAsia="仿宋"/>
                <w:sz w:val="21"/>
                <w:szCs w:val="24"/>
              </w:rPr>
              <w:t>1</w:t>
            </w:r>
            <w:r>
              <w:rPr>
                <w:rFonts w:hint="eastAsia" w:eastAsia="仿宋"/>
                <w:sz w:val="21"/>
                <w:szCs w:val="24"/>
              </w:rPr>
              <w:t>．</w:t>
            </w:r>
            <w:r>
              <w:rPr>
                <w:rFonts w:eastAsia="仿宋"/>
                <w:sz w:val="21"/>
                <w:szCs w:val="24"/>
              </w:rPr>
              <w:t>挡水建筑物</w:t>
            </w:r>
          </w:p>
        </w:tc>
        <w:tc>
          <w:tcPr>
            <w:tcW w:w="1079" w:type="dxa"/>
            <w:vAlign w:val="center"/>
          </w:tcPr>
          <w:p w14:paraId="2A57D284">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3B33C2DB">
            <w:pPr>
              <w:widowControl/>
              <w:spacing w:line="240" w:lineRule="auto"/>
              <w:ind w:firstLine="0" w:firstLineChars="0"/>
              <w:jc w:val="center"/>
              <w:rPr>
                <w:rFonts w:eastAsia="仿宋"/>
                <w:sz w:val="21"/>
                <w:szCs w:val="24"/>
              </w:rPr>
            </w:pPr>
            <w:r>
              <w:rPr>
                <w:rFonts w:hint="eastAsia" w:eastAsia="仿宋"/>
                <w:sz w:val="21"/>
                <w:szCs w:val="24"/>
              </w:rPr>
              <w:t>—</w:t>
            </w:r>
          </w:p>
        </w:tc>
        <w:tc>
          <w:tcPr>
            <w:tcW w:w="2543" w:type="dxa"/>
            <w:vAlign w:val="center"/>
          </w:tcPr>
          <w:p w14:paraId="36753C86">
            <w:pPr>
              <w:widowControl/>
              <w:spacing w:line="240" w:lineRule="auto"/>
              <w:ind w:firstLine="0" w:firstLineChars="0"/>
              <w:jc w:val="center"/>
              <w:rPr>
                <w:rFonts w:eastAsia="仿宋"/>
                <w:sz w:val="21"/>
                <w:szCs w:val="24"/>
              </w:rPr>
            </w:pPr>
            <w:r>
              <w:rPr>
                <w:rFonts w:hint="eastAsia" w:eastAsia="仿宋"/>
                <w:sz w:val="21"/>
                <w:szCs w:val="24"/>
              </w:rPr>
              <w:t>—</w:t>
            </w:r>
          </w:p>
        </w:tc>
      </w:tr>
      <w:tr w14:paraId="23AFCFF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297C6765">
            <w:pPr>
              <w:widowControl/>
              <w:spacing w:line="240" w:lineRule="auto"/>
              <w:ind w:firstLine="0" w:firstLineChars="0"/>
              <w:jc w:val="center"/>
              <w:rPr>
                <w:rFonts w:eastAsia="仿宋"/>
                <w:sz w:val="21"/>
                <w:szCs w:val="24"/>
              </w:rPr>
            </w:pPr>
            <w:r>
              <w:rPr>
                <w:rFonts w:hint="eastAsia" w:eastAsia="仿宋"/>
                <w:sz w:val="21"/>
                <w:szCs w:val="24"/>
              </w:rPr>
              <w:t>（</w:t>
            </w:r>
            <w:r>
              <w:rPr>
                <w:rFonts w:eastAsia="仿宋"/>
                <w:sz w:val="21"/>
                <w:szCs w:val="24"/>
              </w:rPr>
              <w:t>1</w:t>
            </w:r>
            <w:r>
              <w:rPr>
                <w:rFonts w:hint="eastAsia" w:eastAsia="仿宋"/>
                <w:sz w:val="21"/>
                <w:szCs w:val="24"/>
              </w:rPr>
              <w:t>）非</w:t>
            </w:r>
            <w:r>
              <w:rPr>
                <w:rFonts w:eastAsia="仿宋"/>
                <w:sz w:val="21"/>
                <w:szCs w:val="24"/>
              </w:rPr>
              <w:t>溢流坝</w:t>
            </w:r>
          </w:p>
        </w:tc>
        <w:tc>
          <w:tcPr>
            <w:tcW w:w="1079" w:type="dxa"/>
            <w:vAlign w:val="center"/>
          </w:tcPr>
          <w:p w14:paraId="4A8F1BAA">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40BAABC6">
            <w:pPr>
              <w:widowControl/>
              <w:spacing w:line="240" w:lineRule="auto"/>
              <w:ind w:firstLine="0" w:firstLineChars="0"/>
              <w:jc w:val="center"/>
              <w:rPr>
                <w:rFonts w:eastAsia="仿宋"/>
                <w:sz w:val="21"/>
                <w:szCs w:val="24"/>
              </w:rPr>
            </w:pPr>
            <w:r>
              <w:rPr>
                <w:rFonts w:hint="eastAsia" w:eastAsia="仿宋"/>
                <w:sz w:val="21"/>
                <w:szCs w:val="24"/>
              </w:rPr>
              <w:t>—</w:t>
            </w:r>
          </w:p>
        </w:tc>
        <w:tc>
          <w:tcPr>
            <w:tcW w:w="2543" w:type="dxa"/>
            <w:vAlign w:val="center"/>
          </w:tcPr>
          <w:p w14:paraId="653A5733">
            <w:pPr>
              <w:widowControl/>
              <w:spacing w:line="240" w:lineRule="auto"/>
              <w:ind w:firstLine="0" w:firstLineChars="0"/>
              <w:jc w:val="center"/>
              <w:rPr>
                <w:rFonts w:eastAsia="仿宋"/>
                <w:sz w:val="21"/>
                <w:szCs w:val="24"/>
              </w:rPr>
            </w:pPr>
            <w:r>
              <w:rPr>
                <w:rFonts w:hint="eastAsia" w:eastAsia="仿宋"/>
                <w:sz w:val="21"/>
                <w:szCs w:val="24"/>
              </w:rPr>
              <w:t>—</w:t>
            </w:r>
          </w:p>
        </w:tc>
      </w:tr>
      <w:tr w14:paraId="103E214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14140CC8">
            <w:pPr>
              <w:widowControl/>
              <w:spacing w:line="240" w:lineRule="auto"/>
              <w:ind w:firstLine="0" w:firstLineChars="0"/>
              <w:jc w:val="center"/>
              <w:rPr>
                <w:rFonts w:eastAsia="仿宋"/>
                <w:sz w:val="21"/>
                <w:szCs w:val="24"/>
              </w:rPr>
            </w:pPr>
            <w:r>
              <w:rPr>
                <w:rFonts w:eastAsia="仿宋"/>
                <w:sz w:val="21"/>
                <w:szCs w:val="24"/>
              </w:rPr>
              <w:t>型式</w:t>
            </w:r>
          </w:p>
        </w:tc>
        <w:tc>
          <w:tcPr>
            <w:tcW w:w="1079" w:type="dxa"/>
            <w:vAlign w:val="center"/>
          </w:tcPr>
          <w:p w14:paraId="3447C9A0">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7A615F59">
            <w:pPr>
              <w:widowControl/>
              <w:spacing w:line="240" w:lineRule="auto"/>
              <w:ind w:firstLine="0" w:firstLineChars="0"/>
              <w:jc w:val="center"/>
              <w:rPr>
                <w:rFonts w:eastAsia="仿宋"/>
                <w:sz w:val="21"/>
                <w:szCs w:val="24"/>
              </w:rPr>
            </w:pPr>
            <w:r>
              <w:rPr>
                <w:rFonts w:hint="eastAsia" w:eastAsia="仿宋"/>
                <w:sz w:val="21"/>
                <w:szCs w:val="24"/>
              </w:rPr>
              <w:t>重力坝</w:t>
            </w:r>
          </w:p>
        </w:tc>
        <w:tc>
          <w:tcPr>
            <w:tcW w:w="2543" w:type="dxa"/>
            <w:vAlign w:val="center"/>
          </w:tcPr>
          <w:p w14:paraId="10287029">
            <w:pPr>
              <w:widowControl/>
              <w:spacing w:line="240" w:lineRule="auto"/>
              <w:ind w:firstLine="0" w:firstLineChars="0"/>
              <w:jc w:val="center"/>
              <w:rPr>
                <w:rFonts w:eastAsia="仿宋"/>
                <w:sz w:val="21"/>
                <w:szCs w:val="24"/>
              </w:rPr>
            </w:pPr>
            <w:r>
              <w:rPr>
                <w:rFonts w:hint="eastAsia" w:eastAsia="仿宋"/>
                <w:sz w:val="21"/>
                <w:szCs w:val="24"/>
              </w:rPr>
              <w:t>—</w:t>
            </w:r>
          </w:p>
        </w:tc>
      </w:tr>
      <w:tr w14:paraId="441BBFD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7DF5DB4D">
            <w:pPr>
              <w:widowControl/>
              <w:spacing w:line="240" w:lineRule="auto"/>
              <w:ind w:firstLine="0" w:firstLineChars="0"/>
              <w:jc w:val="center"/>
              <w:rPr>
                <w:rFonts w:eastAsia="仿宋"/>
                <w:sz w:val="21"/>
                <w:szCs w:val="24"/>
              </w:rPr>
            </w:pPr>
            <w:r>
              <w:rPr>
                <w:rFonts w:eastAsia="仿宋"/>
                <w:sz w:val="21"/>
                <w:szCs w:val="24"/>
              </w:rPr>
              <w:t>地基特性</w:t>
            </w:r>
          </w:p>
        </w:tc>
        <w:tc>
          <w:tcPr>
            <w:tcW w:w="1079" w:type="dxa"/>
            <w:vAlign w:val="center"/>
          </w:tcPr>
          <w:p w14:paraId="1B80140E">
            <w:pPr>
              <w:widowControl/>
              <w:spacing w:line="240" w:lineRule="auto"/>
              <w:ind w:firstLine="0" w:firstLineChars="0"/>
              <w:jc w:val="center"/>
              <w:rPr>
                <w:rFonts w:eastAsia="仿宋"/>
                <w:sz w:val="21"/>
                <w:szCs w:val="24"/>
              </w:rPr>
            </w:pPr>
            <w:r>
              <w:rPr>
                <w:rFonts w:hint="eastAsia" w:eastAsia="仿宋"/>
                <w:sz w:val="21"/>
                <w:szCs w:val="24"/>
              </w:rPr>
              <w:t>—</w:t>
            </w:r>
          </w:p>
        </w:tc>
        <w:tc>
          <w:tcPr>
            <w:tcW w:w="4870" w:type="dxa"/>
            <w:gridSpan w:val="2"/>
            <w:vAlign w:val="center"/>
          </w:tcPr>
          <w:p w14:paraId="730DFCC9">
            <w:pPr>
              <w:widowControl/>
              <w:spacing w:line="240" w:lineRule="auto"/>
              <w:ind w:firstLine="0" w:firstLineChars="0"/>
              <w:jc w:val="center"/>
              <w:rPr>
                <w:rFonts w:eastAsia="仿宋"/>
                <w:sz w:val="21"/>
                <w:szCs w:val="24"/>
              </w:rPr>
            </w:pPr>
            <w:r>
              <w:rPr>
                <w:rFonts w:hint="eastAsia" w:eastAsia="仿宋"/>
                <w:sz w:val="21"/>
                <w:szCs w:val="24"/>
              </w:rPr>
              <w:t>寒武系花岗片麻岩</w:t>
            </w:r>
          </w:p>
        </w:tc>
      </w:tr>
      <w:tr w14:paraId="39CCD3F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6F8DB81C">
            <w:pPr>
              <w:widowControl/>
              <w:spacing w:line="240" w:lineRule="auto"/>
              <w:ind w:firstLine="0" w:firstLineChars="0"/>
              <w:jc w:val="center"/>
              <w:rPr>
                <w:rFonts w:eastAsia="仿宋"/>
                <w:sz w:val="21"/>
                <w:szCs w:val="24"/>
              </w:rPr>
            </w:pPr>
            <w:r>
              <w:rPr>
                <w:rFonts w:eastAsia="仿宋"/>
                <w:sz w:val="21"/>
                <w:szCs w:val="24"/>
              </w:rPr>
              <w:t>地震基本烈度/设防烈度</w:t>
            </w:r>
          </w:p>
        </w:tc>
        <w:tc>
          <w:tcPr>
            <w:tcW w:w="1079" w:type="dxa"/>
            <w:vAlign w:val="center"/>
          </w:tcPr>
          <w:p w14:paraId="10F682B6">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35EAB8F4">
            <w:pPr>
              <w:widowControl/>
              <w:spacing w:line="240" w:lineRule="auto"/>
              <w:ind w:firstLine="0" w:firstLineChars="0"/>
              <w:jc w:val="center"/>
              <w:rPr>
                <w:rFonts w:eastAsia="仿宋"/>
                <w:sz w:val="21"/>
                <w:szCs w:val="24"/>
              </w:rPr>
            </w:pPr>
            <w:r>
              <w:rPr>
                <w:rFonts w:hint="eastAsia" w:eastAsia="仿宋"/>
                <w:sz w:val="21"/>
                <w:szCs w:val="24"/>
              </w:rPr>
              <w:t>Ⅷ</w:t>
            </w:r>
          </w:p>
        </w:tc>
        <w:tc>
          <w:tcPr>
            <w:tcW w:w="2543" w:type="dxa"/>
            <w:vAlign w:val="center"/>
          </w:tcPr>
          <w:p w14:paraId="0798EA3B">
            <w:pPr>
              <w:widowControl/>
              <w:spacing w:line="240" w:lineRule="auto"/>
              <w:ind w:firstLine="0" w:firstLineChars="0"/>
              <w:jc w:val="center"/>
              <w:rPr>
                <w:rFonts w:eastAsia="仿宋"/>
                <w:sz w:val="21"/>
                <w:szCs w:val="24"/>
              </w:rPr>
            </w:pPr>
            <w:r>
              <w:rPr>
                <w:rFonts w:hint="eastAsia" w:eastAsia="仿宋"/>
                <w:sz w:val="21"/>
                <w:szCs w:val="24"/>
              </w:rPr>
              <w:t>—</w:t>
            </w:r>
          </w:p>
        </w:tc>
      </w:tr>
      <w:tr w14:paraId="619B3A4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0507F73F">
            <w:pPr>
              <w:widowControl/>
              <w:spacing w:line="240" w:lineRule="auto"/>
              <w:ind w:firstLine="0" w:firstLineChars="0"/>
              <w:jc w:val="center"/>
              <w:rPr>
                <w:rFonts w:eastAsia="仿宋"/>
                <w:sz w:val="21"/>
                <w:szCs w:val="24"/>
              </w:rPr>
            </w:pPr>
            <w:r>
              <w:rPr>
                <w:rFonts w:eastAsia="仿宋"/>
                <w:sz w:val="21"/>
                <w:szCs w:val="24"/>
              </w:rPr>
              <w:t>坝顶高程</w:t>
            </w:r>
          </w:p>
        </w:tc>
        <w:tc>
          <w:tcPr>
            <w:tcW w:w="1079" w:type="dxa"/>
            <w:vAlign w:val="center"/>
          </w:tcPr>
          <w:p w14:paraId="004F0A37">
            <w:pPr>
              <w:widowControl/>
              <w:spacing w:line="240" w:lineRule="auto"/>
              <w:ind w:firstLine="0" w:firstLineChars="0"/>
              <w:jc w:val="center"/>
              <w:rPr>
                <w:rFonts w:eastAsia="仿宋"/>
                <w:sz w:val="21"/>
                <w:szCs w:val="24"/>
              </w:rPr>
            </w:pPr>
            <w:r>
              <w:rPr>
                <w:rFonts w:eastAsia="仿宋"/>
                <w:sz w:val="21"/>
                <w:szCs w:val="24"/>
              </w:rPr>
              <w:t>m</w:t>
            </w:r>
          </w:p>
        </w:tc>
        <w:tc>
          <w:tcPr>
            <w:tcW w:w="2327" w:type="dxa"/>
            <w:vAlign w:val="bottom"/>
          </w:tcPr>
          <w:p w14:paraId="11F22B38">
            <w:pPr>
              <w:pStyle w:val="84"/>
            </w:pPr>
            <w:r>
              <w:rPr>
                <w:rFonts w:hint="eastAsia"/>
              </w:rPr>
              <w:t>805.40</w:t>
            </w:r>
          </w:p>
        </w:tc>
        <w:tc>
          <w:tcPr>
            <w:tcW w:w="2543" w:type="dxa"/>
            <w:vAlign w:val="center"/>
          </w:tcPr>
          <w:p w14:paraId="21898530">
            <w:pPr>
              <w:widowControl/>
              <w:spacing w:line="240" w:lineRule="auto"/>
              <w:ind w:firstLine="0" w:firstLineChars="0"/>
              <w:jc w:val="center"/>
              <w:rPr>
                <w:rFonts w:eastAsia="仿宋"/>
                <w:sz w:val="21"/>
                <w:szCs w:val="24"/>
              </w:rPr>
            </w:pPr>
            <w:r>
              <w:rPr>
                <w:rFonts w:hint="eastAsia" w:eastAsia="仿宋"/>
                <w:sz w:val="21"/>
                <w:szCs w:val="24"/>
              </w:rPr>
              <w:t>—</w:t>
            </w:r>
          </w:p>
        </w:tc>
      </w:tr>
      <w:tr w14:paraId="08C6024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09943512">
            <w:pPr>
              <w:widowControl/>
              <w:spacing w:line="240" w:lineRule="auto"/>
              <w:ind w:firstLine="0" w:firstLineChars="0"/>
              <w:jc w:val="center"/>
              <w:rPr>
                <w:rFonts w:eastAsia="仿宋"/>
                <w:sz w:val="21"/>
                <w:szCs w:val="24"/>
              </w:rPr>
            </w:pPr>
            <w:r>
              <w:rPr>
                <w:rFonts w:eastAsia="仿宋"/>
                <w:sz w:val="21"/>
                <w:szCs w:val="24"/>
              </w:rPr>
              <w:t>最大坝高</w:t>
            </w:r>
          </w:p>
        </w:tc>
        <w:tc>
          <w:tcPr>
            <w:tcW w:w="1079" w:type="dxa"/>
            <w:vAlign w:val="center"/>
          </w:tcPr>
          <w:p w14:paraId="2061426D">
            <w:pPr>
              <w:widowControl/>
              <w:spacing w:line="240" w:lineRule="auto"/>
              <w:ind w:firstLine="0" w:firstLineChars="0"/>
              <w:jc w:val="center"/>
              <w:rPr>
                <w:rFonts w:eastAsia="仿宋"/>
                <w:sz w:val="21"/>
                <w:szCs w:val="24"/>
              </w:rPr>
            </w:pPr>
            <w:r>
              <w:rPr>
                <w:rFonts w:eastAsia="仿宋"/>
                <w:sz w:val="21"/>
                <w:szCs w:val="24"/>
              </w:rPr>
              <w:t>m</w:t>
            </w:r>
          </w:p>
        </w:tc>
        <w:tc>
          <w:tcPr>
            <w:tcW w:w="2327" w:type="dxa"/>
            <w:vAlign w:val="bottom"/>
          </w:tcPr>
          <w:p w14:paraId="61DBCA7A">
            <w:pPr>
              <w:pStyle w:val="84"/>
            </w:pPr>
            <w:r>
              <w:rPr>
                <w:rFonts w:hint="eastAsia"/>
              </w:rPr>
              <w:t>8.4</w:t>
            </w:r>
          </w:p>
        </w:tc>
        <w:tc>
          <w:tcPr>
            <w:tcW w:w="2543" w:type="dxa"/>
            <w:vAlign w:val="center"/>
          </w:tcPr>
          <w:p w14:paraId="069B6883">
            <w:pPr>
              <w:widowControl/>
              <w:spacing w:line="240" w:lineRule="auto"/>
              <w:ind w:firstLine="0" w:firstLineChars="0"/>
              <w:jc w:val="center"/>
              <w:rPr>
                <w:rFonts w:eastAsia="仿宋"/>
                <w:sz w:val="21"/>
                <w:szCs w:val="24"/>
              </w:rPr>
            </w:pPr>
            <w:r>
              <w:rPr>
                <w:rFonts w:hint="eastAsia" w:eastAsia="仿宋"/>
                <w:sz w:val="21"/>
                <w:szCs w:val="24"/>
              </w:rPr>
              <w:t>—</w:t>
            </w:r>
          </w:p>
        </w:tc>
      </w:tr>
      <w:tr w14:paraId="0A41F48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0EFC259E">
            <w:pPr>
              <w:widowControl/>
              <w:spacing w:line="240" w:lineRule="auto"/>
              <w:ind w:firstLine="0" w:firstLineChars="0"/>
              <w:jc w:val="center"/>
              <w:rPr>
                <w:rFonts w:eastAsia="仿宋"/>
                <w:sz w:val="21"/>
                <w:szCs w:val="24"/>
              </w:rPr>
            </w:pPr>
            <w:r>
              <w:rPr>
                <w:rFonts w:hint="eastAsia" w:eastAsia="仿宋"/>
                <w:sz w:val="21"/>
                <w:szCs w:val="24"/>
              </w:rPr>
              <w:t>坝长</w:t>
            </w:r>
          </w:p>
        </w:tc>
        <w:tc>
          <w:tcPr>
            <w:tcW w:w="1079" w:type="dxa"/>
            <w:vAlign w:val="center"/>
          </w:tcPr>
          <w:p w14:paraId="728C634D">
            <w:pPr>
              <w:widowControl/>
              <w:spacing w:line="240" w:lineRule="auto"/>
              <w:ind w:firstLine="0" w:firstLineChars="0"/>
              <w:jc w:val="center"/>
              <w:rPr>
                <w:rFonts w:eastAsia="仿宋"/>
                <w:sz w:val="21"/>
                <w:szCs w:val="24"/>
              </w:rPr>
            </w:pPr>
            <w:r>
              <w:rPr>
                <w:rFonts w:hint="eastAsia" w:eastAsia="仿宋"/>
                <w:sz w:val="21"/>
                <w:szCs w:val="24"/>
              </w:rPr>
              <w:t>m</w:t>
            </w:r>
          </w:p>
        </w:tc>
        <w:tc>
          <w:tcPr>
            <w:tcW w:w="2327" w:type="dxa"/>
            <w:vAlign w:val="bottom"/>
          </w:tcPr>
          <w:p w14:paraId="5925873D">
            <w:pPr>
              <w:pStyle w:val="84"/>
            </w:pPr>
            <w:r>
              <w:rPr>
                <w:rFonts w:hint="eastAsia"/>
              </w:rPr>
              <w:t>30</w:t>
            </w:r>
          </w:p>
        </w:tc>
        <w:tc>
          <w:tcPr>
            <w:tcW w:w="2543" w:type="dxa"/>
            <w:vAlign w:val="center"/>
          </w:tcPr>
          <w:p w14:paraId="714464EA">
            <w:pPr>
              <w:widowControl/>
              <w:spacing w:line="240" w:lineRule="auto"/>
              <w:ind w:firstLine="0" w:firstLineChars="0"/>
              <w:jc w:val="center"/>
              <w:rPr>
                <w:rFonts w:eastAsia="仿宋"/>
                <w:sz w:val="21"/>
                <w:szCs w:val="24"/>
              </w:rPr>
            </w:pPr>
            <w:r>
              <w:rPr>
                <w:rFonts w:hint="eastAsia" w:eastAsia="仿宋"/>
                <w:sz w:val="21"/>
                <w:szCs w:val="24"/>
              </w:rPr>
              <w:t>—</w:t>
            </w:r>
          </w:p>
        </w:tc>
      </w:tr>
      <w:tr w14:paraId="405A9EF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5FEA4F28">
            <w:pPr>
              <w:pStyle w:val="84"/>
            </w:pPr>
            <w:r>
              <w:rPr>
                <w:rFonts w:hint="eastAsia"/>
              </w:rPr>
              <w:t>坝顶宽度</w:t>
            </w:r>
          </w:p>
        </w:tc>
        <w:tc>
          <w:tcPr>
            <w:tcW w:w="1079" w:type="dxa"/>
            <w:vAlign w:val="center"/>
          </w:tcPr>
          <w:p w14:paraId="7CDBCD70">
            <w:pPr>
              <w:pStyle w:val="84"/>
            </w:pPr>
            <w:r>
              <w:t>m</w:t>
            </w:r>
          </w:p>
        </w:tc>
        <w:tc>
          <w:tcPr>
            <w:tcW w:w="2327" w:type="dxa"/>
            <w:vAlign w:val="center"/>
          </w:tcPr>
          <w:p w14:paraId="4E237C83">
            <w:pPr>
              <w:pStyle w:val="84"/>
            </w:pPr>
            <w:r>
              <w:rPr>
                <w:rFonts w:hint="eastAsia"/>
              </w:rPr>
              <w:t>3</w:t>
            </w:r>
          </w:p>
        </w:tc>
        <w:tc>
          <w:tcPr>
            <w:tcW w:w="2543" w:type="dxa"/>
            <w:vAlign w:val="center"/>
          </w:tcPr>
          <w:p w14:paraId="19CCCBD1">
            <w:pPr>
              <w:pStyle w:val="84"/>
            </w:pPr>
            <w:r>
              <w:rPr>
                <w:rFonts w:hint="eastAsia"/>
              </w:rPr>
              <w:t>—</w:t>
            </w:r>
          </w:p>
        </w:tc>
      </w:tr>
      <w:tr w14:paraId="19B395E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75BC9211">
            <w:pPr>
              <w:pStyle w:val="84"/>
            </w:pPr>
            <w:r>
              <w:rPr>
                <w:rFonts w:hint="eastAsia"/>
              </w:rPr>
              <w:t>（2）</w:t>
            </w:r>
            <w:r>
              <w:t>冲砂闸</w:t>
            </w:r>
          </w:p>
        </w:tc>
        <w:tc>
          <w:tcPr>
            <w:tcW w:w="1079" w:type="dxa"/>
            <w:vAlign w:val="center"/>
          </w:tcPr>
          <w:p w14:paraId="2DF10291">
            <w:pPr>
              <w:pStyle w:val="84"/>
            </w:pPr>
            <w:r>
              <w:rPr>
                <w:rFonts w:hint="eastAsia"/>
              </w:rPr>
              <w:t>—</w:t>
            </w:r>
          </w:p>
        </w:tc>
        <w:tc>
          <w:tcPr>
            <w:tcW w:w="2327" w:type="dxa"/>
            <w:vAlign w:val="center"/>
          </w:tcPr>
          <w:p w14:paraId="64671256">
            <w:pPr>
              <w:pStyle w:val="84"/>
            </w:pPr>
            <w:r>
              <w:rPr>
                <w:rFonts w:hint="eastAsia"/>
              </w:rPr>
              <w:t>—</w:t>
            </w:r>
          </w:p>
        </w:tc>
        <w:tc>
          <w:tcPr>
            <w:tcW w:w="2543" w:type="dxa"/>
            <w:vAlign w:val="center"/>
          </w:tcPr>
          <w:p w14:paraId="2835D5C7">
            <w:pPr>
              <w:pStyle w:val="84"/>
            </w:pPr>
            <w:r>
              <w:rPr>
                <w:rFonts w:hint="eastAsia"/>
              </w:rPr>
              <w:t>—</w:t>
            </w:r>
          </w:p>
        </w:tc>
      </w:tr>
      <w:tr w14:paraId="35857C3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33B8C06A">
            <w:pPr>
              <w:pStyle w:val="84"/>
            </w:pPr>
            <w:r>
              <w:t>闸门型式</w:t>
            </w:r>
          </w:p>
        </w:tc>
        <w:tc>
          <w:tcPr>
            <w:tcW w:w="1079" w:type="dxa"/>
            <w:vAlign w:val="center"/>
          </w:tcPr>
          <w:p w14:paraId="7CDDD5F8">
            <w:pPr>
              <w:pStyle w:val="84"/>
            </w:pPr>
            <w:r>
              <w:rPr>
                <w:rFonts w:hint="eastAsia"/>
              </w:rPr>
              <w:t>—</w:t>
            </w:r>
          </w:p>
        </w:tc>
        <w:tc>
          <w:tcPr>
            <w:tcW w:w="2327" w:type="dxa"/>
            <w:vAlign w:val="bottom"/>
          </w:tcPr>
          <w:p w14:paraId="5BB02EC8">
            <w:pPr>
              <w:pStyle w:val="84"/>
            </w:pPr>
            <w:r>
              <w:rPr>
                <w:rFonts w:hint="eastAsia"/>
              </w:rPr>
              <w:t>平板闸门</w:t>
            </w:r>
          </w:p>
        </w:tc>
        <w:tc>
          <w:tcPr>
            <w:tcW w:w="2543" w:type="dxa"/>
            <w:vAlign w:val="center"/>
          </w:tcPr>
          <w:p w14:paraId="685BB23E">
            <w:pPr>
              <w:pStyle w:val="84"/>
            </w:pPr>
            <w:r>
              <w:rPr>
                <w:rFonts w:hint="eastAsia"/>
              </w:rPr>
              <w:t>—</w:t>
            </w:r>
          </w:p>
        </w:tc>
      </w:tr>
      <w:tr w14:paraId="3F9E541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1E527B07">
            <w:pPr>
              <w:pStyle w:val="84"/>
            </w:pPr>
            <w:r>
              <w:t>闸</w:t>
            </w:r>
            <w:r>
              <w:rPr>
                <w:rFonts w:hint="eastAsia"/>
              </w:rPr>
              <w:t>顶</w:t>
            </w:r>
            <w:r>
              <w:t>高程</w:t>
            </w:r>
          </w:p>
        </w:tc>
        <w:tc>
          <w:tcPr>
            <w:tcW w:w="1079" w:type="dxa"/>
            <w:vAlign w:val="center"/>
          </w:tcPr>
          <w:p w14:paraId="4870CE65">
            <w:pPr>
              <w:pStyle w:val="84"/>
            </w:pPr>
            <w:r>
              <w:t>m</w:t>
            </w:r>
          </w:p>
        </w:tc>
        <w:tc>
          <w:tcPr>
            <w:tcW w:w="2327" w:type="dxa"/>
            <w:vAlign w:val="bottom"/>
          </w:tcPr>
          <w:p w14:paraId="083585A1">
            <w:pPr>
              <w:pStyle w:val="84"/>
            </w:pPr>
            <w:r>
              <w:rPr>
                <w:rFonts w:hint="eastAsia"/>
              </w:rPr>
              <w:t>805.4</w:t>
            </w:r>
          </w:p>
        </w:tc>
        <w:tc>
          <w:tcPr>
            <w:tcW w:w="2543" w:type="dxa"/>
            <w:vAlign w:val="center"/>
          </w:tcPr>
          <w:p w14:paraId="466A7D99">
            <w:pPr>
              <w:pStyle w:val="84"/>
            </w:pPr>
            <w:r>
              <w:rPr>
                <w:rFonts w:hint="eastAsia"/>
              </w:rPr>
              <w:t>—</w:t>
            </w:r>
          </w:p>
        </w:tc>
      </w:tr>
      <w:tr w14:paraId="412BFD5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584E8BAB">
            <w:pPr>
              <w:pStyle w:val="84"/>
            </w:pPr>
            <w:r>
              <w:t>尺寸</w:t>
            </w:r>
            <w:r>
              <w:rPr>
                <w:rFonts w:hint="eastAsia"/>
              </w:rPr>
              <w:t>（高×宽）</w:t>
            </w:r>
          </w:p>
        </w:tc>
        <w:tc>
          <w:tcPr>
            <w:tcW w:w="1079" w:type="dxa"/>
            <w:vAlign w:val="center"/>
          </w:tcPr>
          <w:p w14:paraId="1197A21A">
            <w:pPr>
              <w:pStyle w:val="84"/>
            </w:pPr>
            <w:r>
              <w:t>m</w:t>
            </w:r>
          </w:p>
        </w:tc>
        <w:tc>
          <w:tcPr>
            <w:tcW w:w="2327" w:type="dxa"/>
            <w:vAlign w:val="bottom"/>
          </w:tcPr>
          <w:p w14:paraId="05121BBE">
            <w:pPr>
              <w:pStyle w:val="84"/>
            </w:pPr>
            <w:r>
              <w:t>8.4</w:t>
            </w:r>
            <w:r>
              <w:rPr>
                <w:rFonts w:hint="eastAsia"/>
              </w:rPr>
              <w:t>×</w:t>
            </w:r>
            <w:r>
              <w:t>7.6</w:t>
            </w:r>
          </w:p>
        </w:tc>
        <w:tc>
          <w:tcPr>
            <w:tcW w:w="2543" w:type="dxa"/>
            <w:vAlign w:val="center"/>
          </w:tcPr>
          <w:p w14:paraId="57DA2F1C">
            <w:pPr>
              <w:pStyle w:val="84"/>
            </w:pPr>
            <w:r>
              <w:rPr>
                <w:rFonts w:hint="eastAsia"/>
              </w:rPr>
              <w:t>—</w:t>
            </w:r>
          </w:p>
        </w:tc>
      </w:tr>
      <w:tr w14:paraId="7A08526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099D3937">
            <w:pPr>
              <w:widowControl/>
              <w:spacing w:line="240" w:lineRule="auto"/>
              <w:ind w:firstLine="0" w:firstLineChars="0"/>
              <w:jc w:val="center"/>
              <w:rPr>
                <w:rFonts w:eastAsia="仿宋"/>
                <w:sz w:val="21"/>
                <w:szCs w:val="24"/>
              </w:rPr>
            </w:pPr>
            <w:r>
              <w:rPr>
                <w:rFonts w:hint="eastAsia" w:eastAsia="仿宋"/>
                <w:sz w:val="21"/>
                <w:szCs w:val="24"/>
              </w:rPr>
              <w:t>（3）泄</w:t>
            </w:r>
            <w:r>
              <w:rPr>
                <w:rFonts w:eastAsia="仿宋"/>
                <w:sz w:val="21"/>
                <w:szCs w:val="24"/>
              </w:rPr>
              <w:t>水闸</w:t>
            </w:r>
          </w:p>
        </w:tc>
        <w:tc>
          <w:tcPr>
            <w:tcW w:w="1079" w:type="dxa"/>
            <w:vAlign w:val="center"/>
          </w:tcPr>
          <w:p w14:paraId="28F51A33">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03242402">
            <w:pPr>
              <w:widowControl/>
              <w:spacing w:line="240" w:lineRule="auto"/>
              <w:ind w:firstLine="0" w:firstLineChars="0"/>
              <w:jc w:val="center"/>
              <w:rPr>
                <w:rFonts w:eastAsia="仿宋"/>
                <w:sz w:val="21"/>
                <w:szCs w:val="24"/>
              </w:rPr>
            </w:pPr>
            <w:r>
              <w:rPr>
                <w:rFonts w:hint="eastAsia" w:eastAsia="仿宋"/>
                <w:sz w:val="21"/>
                <w:szCs w:val="24"/>
              </w:rPr>
              <w:t>—</w:t>
            </w:r>
          </w:p>
        </w:tc>
        <w:tc>
          <w:tcPr>
            <w:tcW w:w="2543" w:type="dxa"/>
            <w:vAlign w:val="center"/>
          </w:tcPr>
          <w:p w14:paraId="1FA1BEA1">
            <w:pPr>
              <w:widowControl/>
              <w:spacing w:line="240" w:lineRule="auto"/>
              <w:ind w:firstLine="0" w:firstLineChars="0"/>
              <w:jc w:val="center"/>
              <w:rPr>
                <w:rFonts w:eastAsia="仿宋"/>
                <w:sz w:val="21"/>
                <w:szCs w:val="24"/>
              </w:rPr>
            </w:pPr>
            <w:r>
              <w:rPr>
                <w:rFonts w:hint="eastAsia" w:eastAsia="仿宋"/>
                <w:sz w:val="21"/>
                <w:szCs w:val="24"/>
              </w:rPr>
              <w:t>—</w:t>
            </w:r>
          </w:p>
        </w:tc>
      </w:tr>
      <w:tr w14:paraId="4919138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0382CCA9">
            <w:pPr>
              <w:widowControl/>
              <w:spacing w:line="240" w:lineRule="auto"/>
              <w:ind w:firstLine="0" w:firstLineChars="0"/>
              <w:jc w:val="center"/>
              <w:rPr>
                <w:rFonts w:eastAsia="仿宋"/>
                <w:sz w:val="21"/>
                <w:szCs w:val="24"/>
              </w:rPr>
            </w:pPr>
            <w:r>
              <w:rPr>
                <w:rFonts w:eastAsia="仿宋"/>
                <w:sz w:val="21"/>
                <w:szCs w:val="24"/>
              </w:rPr>
              <w:t>闸门型式</w:t>
            </w:r>
          </w:p>
        </w:tc>
        <w:tc>
          <w:tcPr>
            <w:tcW w:w="1079" w:type="dxa"/>
            <w:vAlign w:val="center"/>
          </w:tcPr>
          <w:p w14:paraId="625E67A2">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3B3483AA">
            <w:pPr>
              <w:widowControl/>
              <w:spacing w:line="240" w:lineRule="auto"/>
              <w:ind w:firstLine="0" w:firstLineChars="0"/>
              <w:jc w:val="center"/>
              <w:rPr>
                <w:rFonts w:eastAsia="仿宋"/>
                <w:sz w:val="21"/>
                <w:szCs w:val="24"/>
              </w:rPr>
            </w:pPr>
            <w:r>
              <w:rPr>
                <w:rFonts w:hint="eastAsia" w:eastAsia="仿宋"/>
                <w:sz w:val="21"/>
                <w:szCs w:val="24"/>
              </w:rPr>
              <w:t>平板闸门</w:t>
            </w:r>
          </w:p>
        </w:tc>
        <w:tc>
          <w:tcPr>
            <w:tcW w:w="2543" w:type="dxa"/>
            <w:vAlign w:val="center"/>
          </w:tcPr>
          <w:p w14:paraId="6ED23365">
            <w:pPr>
              <w:widowControl/>
              <w:spacing w:line="240" w:lineRule="auto"/>
              <w:ind w:firstLine="0" w:firstLineChars="0"/>
              <w:jc w:val="center"/>
              <w:rPr>
                <w:rFonts w:eastAsia="仿宋"/>
                <w:sz w:val="21"/>
                <w:szCs w:val="24"/>
              </w:rPr>
            </w:pPr>
            <w:r>
              <w:rPr>
                <w:rFonts w:hint="eastAsia" w:eastAsia="仿宋"/>
                <w:sz w:val="21"/>
                <w:szCs w:val="24"/>
              </w:rPr>
              <w:t>—</w:t>
            </w:r>
          </w:p>
        </w:tc>
      </w:tr>
      <w:tr w14:paraId="1A2F804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44A40083">
            <w:pPr>
              <w:widowControl/>
              <w:spacing w:line="240" w:lineRule="auto"/>
              <w:ind w:firstLine="0" w:firstLineChars="0"/>
              <w:jc w:val="center"/>
              <w:rPr>
                <w:rFonts w:eastAsia="仿宋"/>
                <w:sz w:val="21"/>
                <w:szCs w:val="24"/>
              </w:rPr>
            </w:pPr>
            <w:r>
              <w:rPr>
                <w:rFonts w:eastAsia="仿宋"/>
                <w:sz w:val="21"/>
                <w:szCs w:val="24"/>
              </w:rPr>
              <w:t>闸</w:t>
            </w:r>
            <w:r>
              <w:rPr>
                <w:rFonts w:hint="eastAsia" w:eastAsia="仿宋"/>
                <w:sz w:val="21"/>
                <w:szCs w:val="24"/>
              </w:rPr>
              <w:t>顶</w:t>
            </w:r>
            <w:r>
              <w:rPr>
                <w:rFonts w:eastAsia="仿宋"/>
                <w:sz w:val="21"/>
                <w:szCs w:val="24"/>
              </w:rPr>
              <w:t>高程</w:t>
            </w:r>
          </w:p>
        </w:tc>
        <w:tc>
          <w:tcPr>
            <w:tcW w:w="1079" w:type="dxa"/>
            <w:vAlign w:val="center"/>
          </w:tcPr>
          <w:p w14:paraId="6DAA594E">
            <w:pPr>
              <w:widowControl/>
              <w:spacing w:line="240" w:lineRule="auto"/>
              <w:ind w:firstLine="0" w:firstLineChars="0"/>
              <w:jc w:val="center"/>
              <w:rPr>
                <w:rFonts w:eastAsia="仿宋"/>
                <w:sz w:val="21"/>
                <w:szCs w:val="24"/>
              </w:rPr>
            </w:pPr>
            <w:r>
              <w:rPr>
                <w:rFonts w:eastAsia="仿宋"/>
                <w:sz w:val="21"/>
                <w:szCs w:val="24"/>
              </w:rPr>
              <w:t>m</w:t>
            </w:r>
          </w:p>
        </w:tc>
        <w:tc>
          <w:tcPr>
            <w:tcW w:w="2327" w:type="dxa"/>
            <w:vAlign w:val="center"/>
          </w:tcPr>
          <w:p w14:paraId="4CDB5FD4">
            <w:pPr>
              <w:widowControl/>
              <w:spacing w:line="240" w:lineRule="auto"/>
              <w:ind w:firstLine="0" w:firstLineChars="0"/>
              <w:jc w:val="center"/>
              <w:rPr>
                <w:rFonts w:eastAsia="仿宋"/>
                <w:sz w:val="21"/>
                <w:szCs w:val="24"/>
              </w:rPr>
            </w:pPr>
            <w:r>
              <w:rPr>
                <w:rFonts w:hint="eastAsia" w:eastAsia="仿宋"/>
                <w:sz w:val="21"/>
                <w:szCs w:val="24"/>
              </w:rPr>
              <w:t>805.4</w:t>
            </w:r>
          </w:p>
        </w:tc>
        <w:tc>
          <w:tcPr>
            <w:tcW w:w="2543" w:type="dxa"/>
            <w:vAlign w:val="center"/>
          </w:tcPr>
          <w:p w14:paraId="65859A2E">
            <w:pPr>
              <w:widowControl/>
              <w:spacing w:line="240" w:lineRule="auto"/>
              <w:ind w:firstLine="0" w:firstLineChars="0"/>
              <w:jc w:val="center"/>
              <w:rPr>
                <w:rFonts w:eastAsia="仿宋"/>
                <w:sz w:val="21"/>
                <w:szCs w:val="24"/>
              </w:rPr>
            </w:pPr>
            <w:r>
              <w:rPr>
                <w:rFonts w:hint="eastAsia" w:eastAsia="仿宋"/>
                <w:sz w:val="21"/>
                <w:szCs w:val="24"/>
              </w:rPr>
              <w:t>—</w:t>
            </w:r>
          </w:p>
        </w:tc>
      </w:tr>
      <w:tr w14:paraId="1251F79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73ED1618">
            <w:pPr>
              <w:widowControl/>
              <w:spacing w:line="240" w:lineRule="auto"/>
              <w:ind w:firstLine="0" w:firstLineChars="0"/>
              <w:jc w:val="center"/>
              <w:rPr>
                <w:rFonts w:eastAsia="仿宋"/>
                <w:sz w:val="21"/>
                <w:szCs w:val="24"/>
              </w:rPr>
            </w:pPr>
            <w:r>
              <w:rPr>
                <w:rFonts w:eastAsia="仿宋"/>
                <w:sz w:val="21"/>
                <w:szCs w:val="24"/>
              </w:rPr>
              <w:t>尺寸</w:t>
            </w:r>
            <w:r>
              <w:rPr>
                <w:rFonts w:hint="eastAsia" w:eastAsia="仿宋"/>
                <w:sz w:val="21"/>
                <w:szCs w:val="24"/>
              </w:rPr>
              <w:t>（高×宽）</w:t>
            </w:r>
          </w:p>
        </w:tc>
        <w:tc>
          <w:tcPr>
            <w:tcW w:w="1079" w:type="dxa"/>
            <w:vAlign w:val="center"/>
          </w:tcPr>
          <w:p w14:paraId="4D542AFA">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283C6C32">
            <w:pPr>
              <w:pStyle w:val="84"/>
            </w:pPr>
            <w:r>
              <w:t>7.4</w:t>
            </w:r>
            <w:r>
              <w:rPr>
                <w:rFonts w:hint="eastAsia"/>
              </w:rPr>
              <w:t>×</w:t>
            </w:r>
            <w:r>
              <w:t>6.7</w:t>
            </w:r>
          </w:p>
        </w:tc>
        <w:tc>
          <w:tcPr>
            <w:tcW w:w="2543" w:type="dxa"/>
            <w:vAlign w:val="center"/>
          </w:tcPr>
          <w:p w14:paraId="75743615">
            <w:pPr>
              <w:widowControl/>
              <w:spacing w:line="240" w:lineRule="auto"/>
              <w:ind w:firstLine="0" w:firstLineChars="0"/>
              <w:jc w:val="center"/>
              <w:rPr>
                <w:rFonts w:eastAsia="仿宋"/>
                <w:sz w:val="21"/>
                <w:szCs w:val="24"/>
              </w:rPr>
            </w:pPr>
            <w:r>
              <w:rPr>
                <w:rFonts w:hint="eastAsia" w:eastAsia="仿宋"/>
                <w:sz w:val="21"/>
                <w:szCs w:val="24"/>
              </w:rPr>
              <w:t>—</w:t>
            </w:r>
          </w:p>
        </w:tc>
      </w:tr>
      <w:tr w14:paraId="06D1644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5C9F19DD">
            <w:pPr>
              <w:widowControl/>
              <w:spacing w:line="240" w:lineRule="auto"/>
              <w:ind w:firstLine="0" w:firstLineChars="0"/>
              <w:jc w:val="center"/>
              <w:rPr>
                <w:rFonts w:eastAsia="仿宋"/>
                <w:sz w:val="21"/>
                <w:szCs w:val="24"/>
              </w:rPr>
            </w:pPr>
            <w:r>
              <w:rPr>
                <w:rFonts w:hint="eastAsia" w:eastAsia="仿宋"/>
                <w:sz w:val="21"/>
                <w:szCs w:val="24"/>
              </w:rPr>
              <w:t>2．</w:t>
            </w:r>
            <w:r>
              <w:rPr>
                <w:rFonts w:eastAsia="仿宋"/>
                <w:sz w:val="21"/>
                <w:szCs w:val="24"/>
              </w:rPr>
              <w:t>厂房</w:t>
            </w:r>
          </w:p>
        </w:tc>
        <w:tc>
          <w:tcPr>
            <w:tcW w:w="1079" w:type="dxa"/>
            <w:vAlign w:val="center"/>
          </w:tcPr>
          <w:p w14:paraId="440A2119">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0404CB4D">
            <w:pPr>
              <w:widowControl/>
              <w:spacing w:line="240" w:lineRule="auto"/>
              <w:ind w:firstLine="0" w:firstLineChars="0"/>
              <w:jc w:val="center"/>
              <w:rPr>
                <w:rFonts w:eastAsia="仿宋"/>
                <w:sz w:val="21"/>
                <w:szCs w:val="24"/>
              </w:rPr>
            </w:pPr>
            <w:r>
              <w:rPr>
                <w:rFonts w:hint="eastAsia" w:eastAsia="仿宋"/>
                <w:sz w:val="21"/>
                <w:szCs w:val="24"/>
              </w:rPr>
              <w:t>—</w:t>
            </w:r>
          </w:p>
        </w:tc>
        <w:tc>
          <w:tcPr>
            <w:tcW w:w="2543" w:type="dxa"/>
            <w:vAlign w:val="center"/>
          </w:tcPr>
          <w:p w14:paraId="20676569">
            <w:pPr>
              <w:widowControl/>
              <w:spacing w:line="240" w:lineRule="auto"/>
              <w:ind w:firstLine="0" w:firstLineChars="0"/>
              <w:jc w:val="center"/>
              <w:rPr>
                <w:rFonts w:eastAsia="仿宋"/>
                <w:sz w:val="21"/>
                <w:szCs w:val="24"/>
              </w:rPr>
            </w:pPr>
            <w:r>
              <w:rPr>
                <w:rFonts w:hint="eastAsia" w:eastAsia="仿宋"/>
                <w:sz w:val="21"/>
                <w:szCs w:val="24"/>
              </w:rPr>
              <w:t>—</w:t>
            </w:r>
          </w:p>
        </w:tc>
      </w:tr>
      <w:tr w14:paraId="29F2C0A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4F128FEA">
            <w:pPr>
              <w:widowControl/>
              <w:spacing w:line="240" w:lineRule="auto"/>
              <w:ind w:firstLine="0" w:firstLineChars="0"/>
              <w:jc w:val="center"/>
              <w:rPr>
                <w:rFonts w:eastAsia="仿宋"/>
                <w:sz w:val="21"/>
                <w:szCs w:val="24"/>
              </w:rPr>
            </w:pPr>
            <w:r>
              <w:rPr>
                <w:rFonts w:eastAsia="仿宋"/>
                <w:sz w:val="21"/>
                <w:szCs w:val="24"/>
              </w:rPr>
              <w:t>型式</w:t>
            </w:r>
          </w:p>
        </w:tc>
        <w:tc>
          <w:tcPr>
            <w:tcW w:w="1079" w:type="dxa"/>
            <w:vAlign w:val="center"/>
          </w:tcPr>
          <w:p w14:paraId="26B73578">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05FBD57A">
            <w:pPr>
              <w:widowControl/>
              <w:spacing w:line="240" w:lineRule="auto"/>
              <w:ind w:firstLine="0" w:firstLineChars="0"/>
              <w:jc w:val="center"/>
              <w:rPr>
                <w:rFonts w:eastAsia="仿宋"/>
                <w:sz w:val="21"/>
                <w:szCs w:val="24"/>
              </w:rPr>
            </w:pPr>
            <w:r>
              <w:rPr>
                <w:rFonts w:eastAsia="仿宋"/>
                <w:sz w:val="21"/>
                <w:szCs w:val="24"/>
              </w:rPr>
              <w:t>地面式</w:t>
            </w:r>
          </w:p>
        </w:tc>
        <w:tc>
          <w:tcPr>
            <w:tcW w:w="2543" w:type="dxa"/>
            <w:vAlign w:val="center"/>
          </w:tcPr>
          <w:p w14:paraId="36E8EE3A">
            <w:pPr>
              <w:widowControl/>
              <w:spacing w:line="240" w:lineRule="auto"/>
              <w:ind w:firstLine="0" w:firstLineChars="0"/>
              <w:jc w:val="center"/>
              <w:rPr>
                <w:rFonts w:eastAsia="仿宋"/>
                <w:sz w:val="21"/>
                <w:szCs w:val="24"/>
              </w:rPr>
            </w:pPr>
            <w:r>
              <w:rPr>
                <w:rFonts w:hint="eastAsia" w:eastAsia="仿宋"/>
                <w:sz w:val="21"/>
                <w:szCs w:val="24"/>
              </w:rPr>
              <w:t>—</w:t>
            </w:r>
          </w:p>
        </w:tc>
      </w:tr>
      <w:tr w14:paraId="5B9D98A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35EAA724">
            <w:pPr>
              <w:widowControl/>
              <w:spacing w:line="240" w:lineRule="auto"/>
              <w:ind w:firstLine="0" w:firstLineChars="0"/>
              <w:jc w:val="center"/>
              <w:rPr>
                <w:rFonts w:eastAsia="仿宋"/>
                <w:sz w:val="21"/>
                <w:szCs w:val="24"/>
              </w:rPr>
            </w:pPr>
            <w:r>
              <w:rPr>
                <w:rFonts w:eastAsia="仿宋"/>
                <w:sz w:val="21"/>
                <w:szCs w:val="24"/>
              </w:rPr>
              <w:t>地基特性</w:t>
            </w:r>
          </w:p>
        </w:tc>
        <w:tc>
          <w:tcPr>
            <w:tcW w:w="1079" w:type="dxa"/>
            <w:vAlign w:val="center"/>
          </w:tcPr>
          <w:p w14:paraId="6B13D51C">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03DD3369">
            <w:pPr>
              <w:widowControl/>
              <w:spacing w:line="240" w:lineRule="auto"/>
              <w:ind w:firstLine="0" w:firstLineChars="0"/>
              <w:jc w:val="center"/>
              <w:rPr>
                <w:rFonts w:eastAsia="仿宋"/>
                <w:sz w:val="21"/>
                <w:szCs w:val="24"/>
              </w:rPr>
            </w:pPr>
            <w:r>
              <w:rPr>
                <w:rFonts w:hint="eastAsia" w:eastAsia="仿宋"/>
                <w:sz w:val="21"/>
                <w:szCs w:val="24"/>
              </w:rPr>
              <w:t>岩基</w:t>
            </w:r>
          </w:p>
        </w:tc>
        <w:tc>
          <w:tcPr>
            <w:tcW w:w="2543" w:type="dxa"/>
            <w:vAlign w:val="center"/>
          </w:tcPr>
          <w:p w14:paraId="20B7FD53">
            <w:pPr>
              <w:widowControl/>
              <w:spacing w:line="240" w:lineRule="auto"/>
              <w:ind w:firstLine="0" w:firstLineChars="0"/>
              <w:jc w:val="center"/>
              <w:rPr>
                <w:rFonts w:eastAsia="仿宋"/>
                <w:sz w:val="21"/>
                <w:szCs w:val="24"/>
              </w:rPr>
            </w:pPr>
            <w:r>
              <w:rPr>
                <w:rFonts w:hint="eastAsia" w:eastAsia="仿宋"/>
                <w:sz w:val="21"/>
                <w:szCs w:val="24"/>
              </w:rPr>
              <w:t>—</w:t>
            </w:r>
          </w:p>
        </w:tc>
      </w:tr>
      <w:tr w14:paraId="6A57592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440E7667">
            <w:pPr>
              <w:widowControl/>
              <w:spacing w:line="240" w:lineRule="auto"/>
              <w:ind w:firstLine="0" w:firstLineChars="0"/>
              <w:jc w:val="center"/>
              <w:rPr>
                <w:rFonts w:eastAsia="仿宋"/>
                <w:sz w:val="21"/>
                <w:szCs w:val="24"/>
              </w:rPr>
            </w:pPr>
            <w:r>
              <w:rPr>
                <w:rFonts w:eastAsia="仿宋"/>
                <w:sz w:val="21"/>
                <w:szCs w:val="24"/>
              </w:rPr>
              <w:t>主厂房尺寸</w:t>
            </w:r>
            <w:r>
              <w:rPr>
                <w:rFonts w:hint="eastAsia" w:eastAsia="仿宋"/>
                <w:sz w:val="21"/>
                <w:szCs w:val="24"/>
              </w:rPr>
              <w:t>（</w:t>
            </w:r>
            <w:r>
              <w:rPr>
                <w:rFonts w:eastAsia="仿宋"/>
                <w:sz w:val="21"/>
                <w:szCs w:val="24"/>
              </w:rPr>
              <w:t>长×宽×高</w:t>
            </w:r>
            <w:r>
              <w:rPr>
                <w:rFonts w:hint="eastAsia" w:eastAsia="仿宋"/>
                <w:sz w:val="21"/>
                <w:szCs w:val="24"/>
              </w:rPr>
              <w:t>）</w:t>
            </w:r>
          </w:p>
        </w:tc>
        <w:tc>
          <w:tcPr>
            <w:tcW w:w="1079" w:type="dxa"/>
            <w:vAlign w:val="center"/>
          </w:tcPr>
          <w:p w14:paraId="1B1E0CD1">
            <w:pPr>
              <w:widowControl/>
              <w:spacing w:line="240" w:lineRule="auto"/>
              <w:ind w:firstLine="0" w:firstLineChars="0"/>
              <w:jc w:val="center"/>
              <w:rPr>
                <w:rFonts w:eastAsia="仿宋"/>
                <w:sz w:val="21"/>
                <w:szCs w:val="24"/>
              </w:rPr>
            </w:pPr>
            <w:r>
              <w:rPr>
                <w:rFonts w:eastAsia="仿宋"/>
                <w:sz w:val="21"/>
                <w:szCs w:val="24"/>
              </w:rPr>
              <w:t>m</w:t>
            </w:r>
          </w:p>
        </w:tc>
        <w:tc>
          <w:tcPr>
            <w:tcW w:w="2327" w:type="dxa"/>
            <w:vAlign w:val="center"/>
          </w:tcPr>
          <w:p w14:paraId="640328A1">
            <w:pPr>
              <w:pStyle w:val="84"/>
            </w:pPr>
            <w:r>
              <w:rPr>
                <w:rFonts w:hint="eastAsia"/>
                <w:color w:val="FF0000"/>
              </w:rPr>
              <w:t>28.22×13.9×13.5</w:t>
            </w:r>
          </w:p>
        </w:tc>
        <w:tc>
          <w:tcPr>
            <w:tcW w:w="2543" w:type="dxa"/>
            <w:vAlign w:val="center"/>
          </w:tcPr>
          <w:p w14:paraId="08246D11">
            <w:pPr>
              <w:widowControl/>
              <w:spacing w:line="240" w:lineRule="auto"/>
              <w:ind w:firstLine="0" w:firstLineChars="0"/>
              <w:jc w:val="center"/>
              <w:rPr>
                <w:rFonts w:eastAsia="仿宋"/>
                <w:sz w:val="21"/>
                <w:szCs w:val="24"/>
              </w:rPr>
            </w:pPr>
            <w:r>
              <w:rPr>
                <w:rFonts w:hint="eastAsia" w:eastAsia="仿宋"/>
                <w:sz w:val="21"/>
                <w:szCs w:val="24"/>
              </w:rPr>
              <w:t>—</w:t>
            </w:r>
          </w:p>
        </w:tc>
      </w:tr>
      <w:tr w14:paraId="49DC64A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3883B55A">
            <w:pPr>
              <w:widowControl/>
              <w:spacing w:line="240" w:lineRule="auto"/>
              <w:ind w:firstLine="0" w:firstLineChars="0"/>
              <w:jc w:val="center"/>
              <w:rPr>
                <w:rFonts w:eastAsia="仿宋"/>
                <w:sz w:val="21"/>
                <w:szCs w:val="24"/>
              </w:rPr>
            </w:pPr>
            <w:r>
              <w:rPr>
                <w:rFonts w:eastAsia="仿宋"/>
                <w:sz w:val="21"/>
                <w:szCs w:val="24"/>
              </w:rPr>
              <w:t>副厂房尺寸</w:t>
            </w:r>
            <w:r>
              <w:rPr>
                <w:rFonts w:hint="eastAsia" w:eastAsia="仿宋"/>
                <w:sz w:val="21"/>
                <w:szCs w:val="24"/>
              </w:rPr>
              <w:t>（</w:t>
            </w:r>
            <w:r>
              <w:rPr>
                <w:rFonts w:eastAsia="仿宋"/>
                <w:sz w:val="21"/>
                <w:szCs w:val="24"/>
              </w:rPr>
              <w:t>长×宽×高</w:t>
            </w:r>
            <w:r>
              <w:rPr>
                <w:rFonts w:hint="eastAsia" w:eastAsia="仿宋"/>
                <w:sz w:val="21"/>
                <w:szCs w:val="24"/>
              </w:rPr>
              <w:t>）</w:t>
            </w:r>
          </w:p>
        </w:tc>
        <w:tc>
          <w:tcPr>
            <w:tcW w:w="1079" w:type="dxa"/>
            <w:vAlign w:val="center"/>
          </w:tcPr>
          <w:p w14:paraId="083D7121">
            <w:pPr>
              <w:widowControl/>
              <w:spacing w:line="240" w:lineRule="auto"/>
              <w:ind w:firstLine="0" w:firstLineChars="0"/>
              <w:jc w:val="center"/>
              <w:rPr>
                <w:rFonts w:eastAsia="仿宋"/>
                <w:sz w:val="21"/>
                <w:szCs w:val="24"/>
              </w:rPr>
            </w:pPr>
            <w:r>
              <w:rPr>
                <w:rFonts w:eastAsia="仿宋"/>
                <w:sz w:val="21"/>
                <w:szCs w:val="24"/>
              </w:rPr>
              <w:t>m</w:t>
            </w:r>
          </w:p>
        </w:tc>
        <w:tc>
          <w:tcPr>
            <w:tcW w:w="2327" w:type="dxa"/>
            <w:vAlign w:val="center"/>
          </w:tcPr>
          <w:p w14:paraId="60E9FCB5">
            <w:pPr>
              <w:pStyle w:val="84"/>
            </w:pPr>
            <w:r>
              <w:rPr>
                <w:rFonts w:hint="eastAsia"/>
                <w:color w:val="FF0000"/>
              </w:rPr>
              <w:t>14.24×5.1×5.5</w:t>
            </w:r>
          </w:p>
        </w:tc>
        <w:tc>
          <w:tcPr>
            <w:tcW w:w="2543" w:type="dxa"/>
            <w:vAlign w:val="center"/>
          </w:tcPr>
          <w:p w14:paraId="2D1EEAF3">
            <w:pPr>
              <w:pStyle w:val="84"/>
            </w:pPr>
            <w:r>
              <w:rPr>
                <w:rFonts w:hint="eastAsia"/>
              </w:rPr>
              <w:t>位于主厂房下游侧</w:t>
            </w:r>
          </w:p>
        </w:tc>
      </w:tr>
      <w:tr w14:paraId="6A7CA69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2D7B44F9">
            <w:pPr>
              <w:widowControl/>
              <w:spacing w:line="240" w:lineRule="auto"/>
              <w:ind w:firstLine="0" w:firstLineChars="0"/>
              <w:jc w:val="center"/>
              <w:rPr>
                <w:rFonts w:eastAsia="仿宋"/>
                <w:sz w:val="21"/>
                <w:szCs w:val="24"/>
              </w:rPr>
            </w:pPr>
            <w:r>
              <w:rPr>
                <w:rFonts w:eastAsia="仿宋"/>
                <w:sz w:val="21"/>
                <w:szCs w:val="24"/>
              </w:rPr>
              <w:t>水轮机安装高程</w:t>
            </w:r>
          </w:p>
        </w:tc>
        <w:tc>
          <w:tcPr>
            <w:tcW w:w="1079" w:type="dxa"/>
            <w:vAlign w:val="center"/>
          </w:tcPr>
          <w:p w14:paraId="0E39030D">
            <w:pPr>
              <w:widowControl/>
              <w:spacing w:line="240" w:lineRule="auto"/>
              <w:ind w:firstLine="0" w:firstLineChars="0"/>
              <w:jc w:val="center"/>
              <w:rPr>
                <w:rFonts w:eastAsia="仿宋"/>
                <w:sz w:val="21"/>
                <w:szCs w:val="24"/>
              </w:rPr>
            </w:pPr>
            <w:r>
              <w:rPr>
                <w:rFonts w:eastAsia="仿宋"/>
                <w:sz w:val="21"/>
                <w:szCs w:val="24"/>
              </w:rPr>
              <w:t>m</w:t>
            </w:r>
          </w:p>
        </w:tc>
        <w:tc>
          <w:tcPr>
            <w:tcW w:w="2327" w:type="dxa"/>
            <w:vAlign w:val="center"/>
          </w:tcPr>
          <w:p w14:paraId="09B570BA">
            <w:pPr>
              <w:widowControl/>
              <w:spacing w:line="240" w:lineRule="auto"/>
              <w:ind w:firstLine="0" w:firstLineChars="0"/>
              <w:jc w:val="center"/>
              <w:rPr>
                <w:rFonts w:eastAsia="仿宋"/>
                <w:sz w:val="21"/>
                <w:szCs w:val="24"/>
              </w:rPr>
            </w:pPr>
            <w:r>
              <w:rPr>
                <w:rFonts w:hint="eastAsia" w:eastAsia="仿宋"/>
                <w:sz w:val="21"/>
                <w:szCs w:val="24"/>
              </w:rPr>
              <w:t>801.3</w:t>
            </w:r>
          </w:p>
        </w:tc>
        <w:tc>
          <w:tcPr>
            <w:tcW w:w="2543" w:type="dxa"/>
            <w:vAlign w:val="center"/>
          </w:tcPr>
          <w:p w14:paraId="1A2AF0C3">
            <w:pPr>
              <w:widowControl/>
              <w:spacing w:line="240" w:lineRule="auto"/>
              <w:ind w:firstLine="0" w:firstLineChars="0"/>
              <w:jc w:val="center"/>
              <w:rPr>
                <w:rFonts w:eastAsia="仿宋"/>
                <w:sz w:val="21"/>
                <w:szCs w:val="24"/>
              </w:rPr>
            </w:pPr>
            <w:r>
              <w:rPr>
                <w:rFonts w:hint="eastAsia" w:eastAsia="仿宋"/>
                <w:sz w:val="21"/>
                <w:szCs w:val="24"/>
              </w:rPr>
              <w:t>—</w:t>
            </w:r>
          </w:p>
        </w:tc>
      </w:tr>
      <w:tr w14:paraId="3AF652B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073092E7">
            <w:pPr>
              <w:widowControl/>
              <w:spacing w:line="240" w:lineRule="auto"/>
              <w:ind w:firstLine="0" w:firstLineChars="0"/>
              <w:jc w:val="center"/>
              <w:rPr>
                <w:rFonts w:eastAsia="仿宋"/>
                <w:sz w:val="21"/>
                <w:szCs w:val="24"/>
              </w:rPr>
            </w:pPr>
            <w:r>
              <w:rPr>
                <w:rFonts w:hint="eastAsia" w:eastAsia="仿宋"/>
                <w:sz w:val="21"/>
                <w:szCs w:val="24"/>
              </w:rPr>
              <w:t>机组间距</w:t>
            </w:r>
          </w:p>
        </w:tc>
        <w:tc>
          <w:tcPr>
            <w:tcW w:w="1079" w:type="dxa"/>
            <w:vAlign w:val="center"/>
          </w:tcPr>
          <w:p w14:paraId="705B93DC">
            <w:pPr>
              <w:widowControl/>
              <w:spacing w:line="240" w:lineRule="auto"/>
              <w:ind w:firstLine="0" w:firstLineChars="0"/>
              <w:jc w:val="center"/>
              <w:rPr>
                <w:rFonts w:eastAsia="仿宋"/>
                <w:sz w:val="21"/>
                <w:szCs w:val="24"/>
              </w:rPr>
            </w:pPr>
            <w:r>
              <w:rPr>
                <w:rFonts w:hint="eastAsia" w:eastAsia="仿宋"/>
                <w:sz w:val="21"/>
                <w:szCs w:val="24"/>
              </w:rPr>
              <w:t>m</w:t>
            </w:r>
          </w:p>
        </w:tc>
        <w:tc>
          <w:tcPr>
            <w:tcW w:w="2327" w:type="dxa"/>
            <w:vAlign w:val="center"/>
          </w:tcPr>
          <w:p w14:paraId="67646661">
            <w:pPr>
              <w:widowControl/>
              <w:spacing w:line="240" w:lineRule="auto"/>
              <w:ind w:firstLine="0" w:firstLineChars="0"/>
              <w:jc w:val="center"/>
              <w:rPr>
                <w:rFonts w:eastAsia="仿宋"/>
                <w:sz w:val="21"/>
                <w:szCs w:val="24"/>
              </w:rPr>
            </w:pPr>
            <w:r>
              <w:rPr>
                <w:rFonts w:hint="eastAsia" w:eastAsia="仿宋"/>
                <w:sz w:val="21"/>
                <w:szCs w:val="24"/>
              </w:rPr>
              <w:t>13</w:t>
            </w:r>
          </w:p>
        </w:tc>
        <w:tc>
          <w:tcPr>
            <w:tcW w:w="2543" w:type="dxa"/>
            <w:vAlign w:val="center"/>
          </w:tcPr>
          <w:p w14:paraId="2E9899EE">
            <w:pPr>
              <w:widowControl/>
              <w:spacing w:line="240" w:lineRule="auto"/>
              <w:ind w:firstLine="0" w:firstLineChars="0"/>
              <w:jc w:val="center"/>
              <w:rPr>
                <w:rFonts w:eastAsia="仿宋"/>
                <w:sz w:val="21"/>
                <w:szCs w:val="24"/>
              </w:rPr>
            </w:pPr>
            <w:r>
              <w:rPr>
                <w:rFonts w:hint="eastAsia" w:eastAsia="仿宋"/>
                <w:sz w:val="21"/>
                <w:szCs w:val="24"/>
              </w:rPr>
              <w:t>—</w:t>
            </w:r>
          </w:p>
        </w:tc>
      </w:tr>
      <w:tr w14:paraId="3E65E00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095D79A3">
            <w:pPr>
              <w:pStyle w:val="84"/>
            </w:pPr>
            <w:r>
              <w:t>主厂房地坪高程</w:t>
            </w:r>
          </w:p>
        </w:tc>
        <w:tc>
          <w:tcPr>
            <w:tcW w:w="1079" w:type="dxa"/>
            <w:vAlign w:val="center"/>
          </w:tcPr>
          <w:p w14:paraId="6E2F89EF">
            <w:pPr>
              <w:pStyle w:val="84"/>
            </w:pPr>
            <w:r>
              <w:t>m</w:t>
            </w:r>
          </w:p>
        </w:tc>
        <w:tc>
          <w:tcPr>
            <w:tcW w:w="2327" w:type="dxa"/>
            <w:vAlign w:val="center"/>
          </w:tcPr>
          <w:p w14:paraId="028120CE">
            <w:pPr>
              <w:pStyle w:val="84"/>
            </w:pPr>
            <w:r>
              <w:rPr>
                <w:rFonts w:hint="eastAsia"/>
              </w:rPr>
              <w:t>808.08</w:t>
            </w:r>
          </w:p>
        </w:tc>
        <w:tc>
          <w:tcPr>
            <w:tcW w:w="2543" w:type="dxa"/>
            <w:vAlign w:val="center"/>
          </w:tcPr>
          <w:p w14:paraId="42B6A695">
            <w:pPr>
              <w:pStyle w:val="84"/>
            </w:pPr>
            <w:r>
              <w:rPr>
                <w:rFonts w:hint="eastAsia"/>
              </w:rPr>
              <w:t>—</w:t>
            </w:r>
          </w:p>
        </w:tc>
      </w:tr>
      <w:tr w14:paraId="157EB6D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4F3125E4">
            <w:pPr>
              <w:widowControl/>
              <w:spacing w:line="240" w:lineRule="auto"/>
              <w:ind w:firstLine="0" w:firstLineChars="0"/>
              <w:jc w:val="center"/>
              <w:rPr>
                <w:rFonts w:eastAsia="仿宋"/>
                <w:sz w:val="21"/>
                <w:szCs w:val="24"/>
              </w:rPr>
            </w:pPr>
            <w:r>
              <w:rPr>
                <w:rFonts w:eastAsia="仿宋"/>
                <w:sz w:val="21"/>
                <w:szCs w:val="24"/>
              </w:rPr>
              <w:t>正常尾水位</w:t>
            </w:r>
          </w:p>
        </w:tc>
        <w:tc>
          <w:tcPr>
            <w:tcW w:w="1079" w:type="dxa"/>
            <w:vAlign w:val="center"/>
          </w:tcPr>
          <w:p w14:paraId="262A0EE7">
            <w:pPr>
              <w:widowControl/>
              <w:spacing w:line="240" w:lineRule="auto"/>
              <w:ind w:firstLine="0" w:firstLineChars="0"/>
              <w:jc w:val="center"/>
              <w:rPr>
                <w:rFonts w:eastAsia="仿宋"/>
                <w:sz w:val="21"/>
                <w:szCs w:val="24"/>
              </w:rPr>
            </w:pPr>
            <w:r>
              <w:rPr>
                <w:rFonts w:eastAsia="仿宋"/>
                <w:sz w:val="21"/>
                <w:szCs w:val="24"/>
              </w:rPr>
              <w:t>m</w:t>
            </w:r>
          </w:p>
        </w:tc>
        <w:tc>
          <w:tcPr>
            <w:tcW w:w="2327" w:type="dxa"/>
            <w:vAlign w:val="center"/>
          </w:tcPr>
          <w:p w14:paraId="229BCB42">
            <w:pPr>
              <w:widowControl/>
              <w:spacing w:line="240" w:lineRule="auto"/>
              <w:ind w:firstLine="0" w:firstLineChars="0"/>
              <w:jc w:val="center"/>
              <w:rPr>
                <w:rFonts w:eastAsia="仿宋"/>
                <w:sz w:val="21"/>
                <w:szCs w:val="24"/>
              </w:rPr>
            </w:pPr>
            <w:r>
              <w:rPr>
                <w:rFonts w:hint="eastAsia" w:eastAsia="仿宋"/>
                <w:sz w:val="21"/>
                <w:szCs w:val="24"/>
              </w:rPr>
              <w:t>799.4</w:t>
            </w:r>
          </w:p>
        </w:tc>
        <w:tc>
          <w:tcPr>
            <w:tcW w:w="2543" w:type="dxa"/>
            <w:vAlign w:val="center"/>
          </w:tcPr>
          <w:p w14:paraId="6D2067A2">
            <w:pPr>
              <w:widowControl/>
              <w:spacing w:line="240" w:lineRule="auto"/>
              <w:ind w:firstLine="0" w:firstLineChars="0"/>
              <w:jc w:val="center"/>
              <w:rPr>
                <w:rFonts w:eastAsia="仿宋"/>
                <w:sz w:val="21"/>
                <w:szCs w:val="24"/>
              </w:rPr>
            </w:pPr>
            <w:r>
              <w:rPr>
                <w:rFonts w:hint="eastAsia" w:eastAsia="仿宋"/>
                <w:sz w:val="21"/>
                <w:szCs w:val="24"/>
              </w:rPr>
              <w:t>—</w:t>
            </w:r>
          </w:p>
        </w:tc>
      </w:tr>
      <w:tr w14:paraId="74F8B4B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05886069">
            <w:pPr>
              <w:widowControl/>
              <w:spacing w:line="240" w:lineRule="auto"/>
              <w:ind w:firstLine="0" w:firstLineChars="0"/>
              <w:jc w:val="center"/>
              <w:rPr>
                <w:rFonts w:eastAsia="仿宋"/>
                <w:sz w:val="21"/>
                <w:szCs w:val="24"/>
              </w:rPr>
            </w:pPr>
            <w:r>
              <w:rPr>
                <w:rFonts w:hint="eastAsia" w:eastAsia="仿宋"/>
                <w:sz w:val="21"/>
                <w:szCs w:val="24"/>
              </w:rPr>
              <w:t>最低</w:t>
            </w:r>
            <w:r>
              <w:rPr>
                <w:rFonts w:eastAsia="仿宋"/>
                <w:sz w:val="21"/>
                <w:szCs w:val="24"/>
              </w:rPr>
              <w:t>尾水位</w:t>
            </w:r>
          </w:p>
        </w:tc>
        <w:tc>
          <w:tcPr>
            <w:tcW w:w="1079" w:type="dxa"/>
            <w:vAlign w:val="center"/>
          </w:tcPr>
          <w:p w14:paraId="2880036D">
            <w:pPr>
              <w:widowControl/>
              <w:spacing w:line="240" w:lineRule="auto"/>
              <w:ind w:firstLine="0" w:firstLineChars="0"/>
              <w:jc w:val="center"/>
              <w:rPr>
                <w:rFonts w:eastAsia="仿宋"/>
                <w:sz w:val="21"/>
                <w:szCs w:val="24"/>
              </w:rPr>
            </w:pPr>
            <w:r>
              <w:rPr>
                <w:rFonts w:eastAsia="仿宋"/>
                <w:sz w:val="21"/>
                <w:szCs w:val="24"/>
              </w:rPr>
              <w:t>m</w:t>
            </w:r>
          </w:p>
        </w:tc>
        <w:tc>
          <w:tcPr>
            <w:tcW w:w="2327" w:type="dxa"/>
            <w:vAlign w:val="center"/>
          </w:tcPr>
          <w:p w14:paraId="7EFF59A9">
            <w:pPr>
              <w:widowControl/>
              <w:spacing w:line="240" w:lineRule="auto"/>
              <w:ind w:firstLine="0" w:firstLineChars="0"/>
              <w:jc w:val="center"/>
              <w:rPr>
                <w:rFonts w:eastAsia="仿宋"/>
                <w:sz w:val="21"/>
                <w:szCs w:val="24"/>
              </w:rPr>
            </w:pPr>
            <w:r>
              <w:rPr>
                <w:rFonts w:hint="eastAsia" w:eastAsia="仿宋"/>
                <w:sz w:val="21"/>
                <w:szCs w:val="24"/>
              </w:rPr>
              <w:t>798.9</w:t>
            </w:r>
          </w:p>
        </w:tc>
        <w:tc>
          <w:tcPr>
            <w:tcW w:w="2543" w:type="dxa"/>
            <w:vAlign w:val="center"/>
          </w:tcPr>
          <w:p w14:paraId="3D589452">
            <w:pPr>
              <w:widowControl/>
              <w:spacing w:line="240" w:lineRule="auto"/>
              <w:ind w:firstLine="0" w:firstLineChars="0"/>
              <w:jc w:val="center"/>
              <w:rPr>
                <w:rFonts w:eastAsia="仿宋"/>
                <w:sz w:val="21"/>
                <w:szCs w:val="24"/>
              </w:rPr>
            </w:pPr>
            <w:r>
              <w:rPr>
                <w:rFonts w:hint="eastAsia" w:eastAsia="仿宋"/>
                <w:sz w:val="21"/>
                <w:szCs w:val="24"/>
              </w:rPr>
              <w:t>—</w:t>
            </w:r>
          </w:p>
        </w:tc>
      </w:tr>
      <w:tr w14:paraId="7DC69A0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4CF883CD">
            <w:pPr>
              <w:widowControl/>
              <w:spacing w:line="240" w:lineRule="auto"/>
              <w:ind w:firstLine="0" w:firstLineChars="0"/>
              <w:jc w:val="center"/>
              <w:rPr>
                <w:rFonts w:eastAsia="仿宋"/>
                <w:sz w:val="21"/>
                <w:szCs w:val="24"/>
              </w:rPr>
            </w:pPr>
            <w:r>
              <w:rPr>
                <w:rFonts w:hint="eastAsia" w:eastAsia="仿宋"/>
                <w:sz w:val="21"/>
                <w:szCs w:val="24"/>
              </w:rPr>
              <w:t>发电引用流量</w:t>
            </w:r>
          </w:p>
        </w:tc>
        <w:tc>
          <w:tcPr>
            <w:tcW w:w="1079" w:type="dxa"/>
            <w:vAlign w:val="center"/>
          </w:tcPr>
          <w:p w14:paraId="4ACFB923">
            <w:pPr>
              <w:widowControl/>
              <w:spacing w:line="240" w:lineRule="auto"/>
              <w:ind w:firstLine="0" w:firstLineChars="0"/>
              <w:jc w:val="center"/>
              <w:rPr>
                <w:rFonts w:eastAsia="仿宋"/>
                <w:sz w:val="21"/>
                <w:szCs w:val="24"/>
              </w:rPr>
            </w:pPr>
            <w:r>
              <w:rPr>
                <w:rFonts w:eastAsia="仿宋"/>
                <w:sz w:val="21"/>
                <w:szCs w:val="28"/>
              </w:rPr>
              <w:t>m³/s</w:t>
            </w:r>
          </w:p>
        </w:tc>
        <w:tc>
          <w:tcPr>
            <w:tcW w:w="2327" w:type="dxa"/>
            <w:vAlign w:val="center"/>
          </w:tcPr>
          <w:p w14:paraId="5E74C20D">
            <w:pPr>
              <w:widowControl/>
              <w:spacing w:line="240" w:lineRule="auto"/>
              <w:ind w:firstLine="0" w:firstLineChars="0"/>
              <w:jc w:val="center"/>
              <w:rPr>
                <w:rFonts w:eastAsia="仿宋"/>
                <w:sz w:val="21"/>
                <w:szCs w:val="24"/>
              </w:rPr>
            </w:pPr>
            <w:r>
              <w:rPr>
                <w:rFonts w:eastAsia="仿宋"/>
                <w:sz w:val="21"/>
                <w:szCs w:val="24"/>
              </w:rPr>
              <w:t>106.3</w:t>
            </w:r>
          </w:p>
        </w:tc>
        <w:tc>
          <w:tcPr>
            <w:tcW w:w="2543" w:type="dxa"/>
            <w:vAlign w:val="center"/>
          </w:tcPr>
          <w:p w14:paraId="5DEDE2FE">
            <w:pPr>
              <w:widowControl/>
              <w:spacing w:line="240" w:lineRule="auto"/>
              <w:ind w:firstLine="0" w:firstLineChars="0"/>
              <w:jc w:val="center"/>
              <w:rPr>
                <w:rFonts w:eastAsia="仿宋"/>
                <w:sz w:val="21"/>
                <w:szCs w:val="24"/>
              </w:rPr>
            </w:pPr>
            <w:r>
              <w:rPr>
                <w:rFonts w:hint="eastAsia" w:eastAsia="仿宋"/>
                <w:sz w:val="21"/>
                <w:szCs w:val="24"/>
              </w:rPr>
              <w:t>—</w:t>
            </w:r>
          </w:p>
        </w:tc>
      </w:tr>
      <w:tr w14:paraId="6925EE6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1898D094">
            <w:pPr>
              <w:widowControl/>
              <w:spacing w:line="240" w:lineRule="auto"/>
              <w:ind w:firstLine="0" w:firstLineChars="0"/>
              <w:jc w:val="center"/>
              <w:rPr>
                <w:rFonts w:eastAsia="仿宋"/>
                <w:sz w:val="21"/>
                <w:szCs w:val="24"/>
              </w:rPr>
            </w:pPr>
            <w:r>
              <w:rPr>
                <w:rFonts w:hint="eastAsia" w:eastAsia="仿宋"/>
                <w:sz w:val="21"/>
                <w:szCs w:val="24"/>
              </w:rPr>
              <w:t>3．升压</w:t>
            </w:r>
            <w:r>
              <w:rPr>
                <w:rFonts w:eastAsia="仿宋"/>
                <w:sz w:val="21"/>
                <w:szCs w:val="24"/>
              </w:rPr>
              <w:t>站</w:t>
            </w:r>
          </w:p>
        </w:tc>
        <w:tc>
          <w:tcPr>
            <w:tcW w:w="1079" w:type="dxa"/>
            <w:vAlign w:val="center"/>
          </w:tcPr>
          <w:p w14:paraId="0FA1037B">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42E95C03">
            <w:pPr>
              <w:widowControl/>
              <w:spacing w:line="240" w:lineRule="auto"/>
              <w:ind w:firstLine="0" w:firstLineChars="0"/>
              <w:jc w:val="center"/>
              <w:rPr>
                <w:rFonts w:eastAsia="仿宋"/>
                <w:sz w:val="21"/>
                <w:szCs w:val="24"/>
              </w:rPr>
            </w:pPr>
            <w:r>
              <w:rPr>
                <w:rFonts w:hint="eastAsia" w:eastAsia="仿宋"/>
                <w:sz w:val="21"/>
                <w:szCs w:val="24"/>
              </w:rPr>
              <w:t>—</w:t>
            </w:r>
          </w:p>
        </w:tc>
        <w:tc>
          <w:tcPr>
            <w:tcW w:w="2543" w:type="dxa"/>
            <w:vMerge w:val="restart"/>
            <w:vAlign w:val="center"/>
          </w:tcPr>
          <w:p w14:paraId="61A83A7F">
            <w:pPr>
              <w:widowControl/>
              <w:spacing w:line="240" w:lineRule="auto"/>
              <w:ind w:firstLine="0" w:firstLineChars="0"/>
              <w:jc w:val="center"/>
              <w:rPr>
                <w:rFonts w:eastAsia="仿宋"/>
                <w:sz w:val="21"/>
                <w:szCs w:val="24"/>
              </w:rPr>
            </w:pPr>
            <w:r>
              <w:rPr>
                <w:rFonts w:hint="eastAsia" w:eastAsia="仿宋"/>
                <w:sz w:val="21"/>
                <w:szCs w:val="24"/>
              </w:rPr>
              <w:t>升压站内</w:t>
            </w:r>
            <w:r>
              <w:rPr>
                <w:rFonts w:eastAsia="仿宋"/>
                <w:sz w:val="21"/>
                <w:szCs w:val="24"/>
              </w:rPr>
              <w:t>布置了一台</w:t>
            </w:r>
            <w:r>
              <w:rPr>
                <w:rFonts w:hint="eastAsia" w:eastAsia="仿宋"/>
                <w:sz w:val="21"/>
                <w:szCs w:val="24"/>
              </w:rPr>
              <w:t>容量6300kVA升压变压器</w:t>
            </w:r>
          </w:p>
        </w:tc>
      </w:tr>
      <w:tr w14:paraId="35A608A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565D5F06">
            <w:pPr>
              <w:widowControl/>
              <w:spacing w:line="240" w:lineRule="auto"/>
              <w:ind w:firstLine="0" w:firstLineChars="0"/>
              <w:jc w:val="center"/>
              <w:rPr>
                <w:rFonts w:eastAsia="仿宋"/>
                <w:sz w:val="21"/>
                <w:szCs w:val="24"/>
              </w:rPr>
            </w:pPr>
            <w:r>
              <w:rPr>
                <w:rFonts w:eastAsia="仿宋"/>
                <w:sz w:val="21"/>
                <w:szCs w:val="24"/>
              </w:rPr>
              <w:t>型式</w:t>
            </w:r>
          </w:p>
        </w:tc>
        <w:tc>
          <w:tcPr>
            <w:tcW w:w="1079" w:type="dxa"/>
            <w:vAlign w:val="center"/>
          </w:tcPr>
          <w:p w14:paraId="55AB2015">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1EBCD799">
            <w:pPr>
              <w:widowControl/>
              <w:spacing w:line="240" w:lineRule="auto"/>
              <w:ind w:firstLine="0" w:firstLineChars="0"/>
              <w:jc w:val="center"/>
              <w:rPr>
                <w:rFonts w:eastAsia="仿宋"/>
                <w:sz w:val="21"/>
                <w:szCs w:val="24"/>
              </w:rPr>
            </w:pPr>
            <w:r>
              <w:rPr>
                <w:rFonts w:eastAsia="仿宋"/>
                <w:sz w:val="21"/>
                <w:szCs w:val="24"/>
              </w:rPr>
              <w:t>地面式</w:t>
            </w:r>
          </w:p>
        </w:tc>
        <w:tc>
          <w:tcPr>
            <w:tcW w:w="2543" w:type="dxa"/>
            <w:vMerge w:val="continue"/>
            <w:vAlign w:val="center"/>
          </w:tcPr>
          <w:p w14:paraId="5B85A5ED">
            <w:pPr>
              <w:widowControl/>
              <w:spacing w:line="240" w:lineRule="auto"/>
              <w:ind w:firstLine="0" w:firstLineChars="0"/>
              <w:jc w:val="center"/>
              <w:rPr>
                <w:rFonts w:eastAsia="仿宋"/>
                <w:sz w:val="21"/>
                <w:szCs w:val="24"/>
              </w:rPr>
            </w:pPr>
          </w:p>
        </w:tc>
      </w:tr>
      <w:tr w14:paraId="7944EA1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7D832144">
            <w:pPr>
              <w:widowControl/>
              <w:spacing w:line="240" w:lineRule="auto"/>
              <w:ind w:firstLine="0" w:firstLineChars="0"/>
              <w:jc w:val="center"/>
              <w:rPr>
                <w:rFonts w:eastAsia="仿宋"/>
                <w:sz w:val="21"/>
                <w:szCs w:val="24"/>
              </w:rPr>
            </w:pPr>
            <w:r>
              <w:rPr>
                <w:rFonts w:hint="eastAsia" w:eastAsia="仿宋"/>
                <w:sz w:val="21"/>
                <w:szCs w:val="24"/>
              </w:rPr>
              <w:t>尺寸（</w:t>
            </w:r>
            <w:r>
              <w:rPr>
                <w:rFonts w:eastAsia="仿宋"/>
                <w:sz w:val="21"/>
                <w:szCs w:val="24"/>
              </w:rPr>
              <w:t>长×宽</w:t>
            </w:r>
            <w:r>
              <w:rPr>
                <w:rFonts w:hint="eastAsia" w:eastAsia="仿宋"/>
                <w:sz w:val="21"/>
                <w:szCs w:val="24"/>
              </w:rPr>
              <w:t>）</w:t>
            </w:r>
          </w:p>
        </w:tc>
        <w:tc>
          <w:tcPr>
            <w:tcW w:w="1079" w:type="dxa"/>
            <w:vAlign w:val="center"/>
          </w:tcPr>
          <w:p w14:paraId="5E24BE46">
            <w:pPr>
              <w:widowControl/>
              <w:spacing w:line="240" w:lineRule="auto"/>
              <w:ind w:firstLine="0" w:firstLineChars="0"/>
              <w:jc w:val="center"/>
              <w:rPr>
                <w:rFonts w:eastAsia="仿宋"/>
                <w:sz w:val="21"/>
                <w:szCs w:val="24"/>
              </w:rPr>
            </w:pPr>
            <w:r>
              <w:rPr>
                <w:rFonts w:eastAsia="仿宋"/>
                <w:sz w:val="21"/>
                <w:szCs w:val="24"/>
              </w:rPr>
              <w:t>m</w:t>
            </w:r>
          </w:p>
        </w:tc>
        <w:tc>
          <w:tcPr>
            <w:tcW w:w="2327" w:type="dxa"/>
            <w:vAlign w:val="center"/>
          </w:tcPr>
          <w:p w14:paraId="50163E15">
            <w:pPr>
              <w:widowControl/>
              <w:spacing w:line="240" w:lineRule="auto"/>
              <w:ind w:firstLine="0" w:firstLineChars="0"/>
              <w:jc w:val="center"/>
              <w:rPr>
                <w:rFonts w:eastAsia="仿宋"/>
                <w:sz w:val="21"/>
                <w:szCs w:val="24"/>
              </w:rPr>
            </w:pPr>
            <w:r>
              <w:rPr>
                <w:rFonts w:eastAsia="仿宋"/>
                <w:sz w:val="21"/>
                <w:szCs w:val="24"/>
              </w:rPr>
              <w:t>2</w:t>
            </w:r>
            <w:r>
              <w:rPr>
                <w:rFonts w:hint="eastAsia" w:eastAsia="仿宋"/>
                <w:sz w:val="21"/>
                <w:szCs w:val="24"/>
              </w:rPr>
              <w:t>0</w:t>
            </w:r>
            <w:r>
              <w:rPr>
                <w:rFonts w:eastAsia="仿宋"/>
                <w:sz w:val="21"/>
                <w:szCs w:val="24"/>
              </w:rPr>
              <w:t>×1</w:t>
            </w:r>
            <w:r>
              <w:rPr>
                <w:rFonts w:hint="eastAsia" w:eastAsia="仿宋"/>
                <w:sz w:val="21"/>
                <w:szCs w:val="24"/>
              </w:rPr>
              <w:t>0</w:t>
            </w:r>
          </w:p>
        </w:tc>
        <w:tc>
          <w:tcPr>
            <w:tcW w:w="2543" w:type="dxa"/>
            <w:vMerge w:val="continue"/>
            <w:vAlign w:val="center"/>
          </w:tcPr>
          <w:p w14:paraId="560F0ADA">
            <w:pPr>
              <w:widowControl/>
              <w:spacing w:line="240" w:lineRule="auto"/>
              <w:ind w:firstLine="0" w:firstLineChars="0"/>
              <w:jc w:val="center"/>
              <w:rPr>
                <w:rFonts w:eastAsia="仿宋"/>
                <w:sz w:val="21"/>
                <w:szCs w:val="24"/>
              </w:rPr>
            </w:pPr>
          </w:p>
        </w:tc>
      </w:tr>
      <w:tr w14:paraId="4531D4C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6BCF0D14">
            <w:pPr>
              <w:widowControl/>
              <w:spacing w:line="240" w:lineRule="auto"/>
              <w:ind w:firstLine="0" w:firstLineChars="0"/>
              <w:jc w:val="center"/>
              <w:rPr>
                <w:rFonts w:eastAsia="仿宋"/>
                <w:sz w:val="21"/>
                <w:szCs w:val="24"/>
              </w:rPr>
            </w:pPr>
            <w:r>
              <w:rPr>
                <w:rFonts w:eastAsia="仿宋"/>
                <w:sz w:val="21"/>
                <w:szCs w:val="24"/>
              </w:rPr>
              <w:t>地平高程</w:t>
            </w:r>
          </w:p>
        </w:tc>
        <w:tc>
          <w:tcPr>
            <w:tcW w:w="1079" w:type="dxa"/>
            <w:vAlign w:val="center"/>
          </w:tcPr>
          <w:p w14:paraId="06BE7E01">
            <w:pPr>
              <w:widowControl/>
              <w:spacing w:line="240" w:lineRule="auto"/>
              <w:ind w:firstLine="0" w:firstLineChars="0"/>
              <w:jc w:val="center"/>
              <w:rPr>
                <w:rFonts w:eastAsia="仿宋"/>
                <w:sz w:val="21"/>
                <w:szCs w:val="24"/>
              </w:rPr>
            </w:pPr>
            <w:r>
              <w:rPr>
                <w:rFonts w:eastAsia="仿宋"/>
                <w:sz w:val="21"/>
                <w:szCs w:val="24"/>
              </w:rPr>
              <w:t>m</w:t>
            </w:r>
          </w:p>
        </w:tc>
        <w:tc>
          <w:tcPr>
            <w:tcW w:w="2327" w:type="dxa"/>
            <w:vAlign w:val="center"/>
          </w:tcPr>
          <w:p w14:paraId="0F08F68C">
            <w:pPr>
              <w:pStyle w:val="84"/>
            </w:pPr>
            <w:r>
              <w:rPr>
                <w:rFonts w:hint="eastAsia"/>
              </w:rPr>
              <w:t>808.08</w:t>
            </w:r>
          </w:p>
        </w:tc>
        <w:tc>
          <w:tcPr>
            <w:tcW w:w="2543" w:type="dxa"/>
            <w:vMerge w:val="continue"/>
            <w:vAlign w:val="center"/>
          </w:tcPr>
          <w:p w14:paraId="254B8BED">
            <w:pPr>
              <w:widowControl/>
              <w:spacing w:line="240" w:lineRule="auto"/>
              <w:ind w:firstLine="0" w:firstLineChars="0"/>
              <w:jc w:val="center"/>
              <w:rPr>
                <w:rFonts w:eastAsia="仿宋"/>
                <w:sz w:val="21"/>
                <w:szCs w:val="24"/>
              </w:rPr>
            </w:pPr>
          </w:p>
        </w:tc>
      </w:tr>
      <w:tr w14:paraId="45D4CC3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62DA77FF">
            <w:pPr>
              <w:widowControl/>
              <w:spacing w:line="240" w:lineRule="auto"/>
              <w:ind w:firstLine="0" w:firstLineChars="0"/>
              <w:jc w:val="center"/>
              <w:rPr>
                <w:rFonts w:eastAsia="仿宋"/>
                <w:sz w:val="21"/>
                <w:szCs w:val="24"/>
              </w:rPr>
            </w:pPr>
            <w:r>
              <w:rPr>
                <w:rFonts w:hint="eastAsia" w:eastAsia="仿宋"/>
                <w:sz w:val="21"/>
                <w:szCs w:val="24"/>
              </w:rPr>
              <w:t>4．</w:t>
            </w:r>
            <w:r>
              <w:rPr>
                <w:rFonts w:eastAsia="仿宋"/>
                <w:sz w:val="21"/>
                <w:szCs w:val="24"/>
              </w:rPr>
              <w:t>主要机电设备</w:t>
            </w:r>
          </w:p>
        </w:tc>
        <w:tc>
          <w:tcPr>
            <w:tcW w:w="1079" w:type="dxa"/>
            <w:vAlign w:val="center"/>
          </w:tcPr>
          <w:p w14:paraId="4E6F0EF6">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2A629B28">
            <w:pPr>
              <w:widowControl/>
              <w:spacing w:line="240" w:lineRule="auto"/>
              <w:ind w:firstLine="0" w:firstLineChars="0"/>
              <w:jc w:val="center"/>
              <w:rPr>
                <w:rFonts w:eastAsia="仿宋"/>
                <w:sz w:val="21"/>
                <w:szCs w:val="24"/>
              </w:rPr>
            </w:pPr>
            <w:r>
              <w:rPr>
                <w:rFonts w:hint="eastAsia" w:eastAsia="仿宋"/>
                <w:sz w:val="21"/>
                <w:szCs w:val="24"/>
              </w:rPr>
              <w:t>—</w:t>
            </w:r>
          </w:p>
        </w:tc>
        <w:tc>
          <w:tcPr>
            <w:tcW w:w="2543" w:type="dxa"/>
            <w:vAlign w:val="center"/>
          </w:tcPr>
          <w:p w14:paraId="0339ADE5">
            <w:pPr>
              <w:widowControl/>
              <w:spacing w:line="240" w:lineRule="auto"/>
              <w:ind w:firstLine="0" w:firstLineChars="0"/>
              <w:jc w:val="center"/>
              <w:rPr>
                <w:rFonts w:eastAsia="仿宋"/>
                <w:sz w:val="21"/>
                <w:szCs w:val="24"/>
              </w:rPr>
            </w:pPr>
            <w:r>
              <w:rPr>
                <w:rFonts w:hint="eastAsia" w:eastAsia="仿宋"/>
                <w:sz w:val="21"/>
                <w:szCs w:val="24"/>
              </w:rPr>
              <w:t>—</w:t>
            </w:r>
          </w:p>
        </w:tc>
      </w:tr>
      <w:tr w14:paraId="6F4C28C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2A013C58">
            <w:pPr>
              <w:widowControl/>
              <w:spacing w:line="240" w:lineRule="auto"/>
              <w:ind w:firstLine="0" w:firstLineChars="0"/>
              <w:jc w:val="center"/>
              <w:rPr>
                <w:rFonts w:eastAsia="仿宋"/>
                <w:sz w:val="21"/>
                <w:szCs w:val="24"/>
              </w:rPr>
            </w:pPr>
            <w:r>
              <w:rPr>
                <w:rFonts w:hint="eastAsia" w:eastAsia="仿宋"/>
                <w:sz w:val="21"/>
                <w:szCs w:val="24"/>
              </w:rPr>
              <w:t>（</w:t>
            </w:r>
            <w:r>
              <w:rPr>
                <w:rFonts w:eastAsia="仿宋"/>
                <w:sz w:val="21"/>
                <w:szCs w:val="24"/>
              </w:rPr>
              <w:t>1</w:t>
            </w:r>
            <w:r>
              <w:rPr>
                <w:rFonts w:hint="eastAsia" w:eastAsia="仿宋"/>
                <w:sz w:val="21"/>
                <w:szCs w:val="24"/>
              </w:rPr>
              <w:t>）</w:t>
            </w:r>
            <w:r>
              <w:rPr>
                <w:rFonts w:eastAsia="仿宋"/>
                <w:sz w:val="21"/>
                <w:szCs w:val="24"/>
              </w:rPr>
              <w:t>水轮机</w:t>
            </w:r>
          </w:p>
        </w:tc>
        <w:tc>
          <w:tcPr>
            <w:tcW w:w="1079" w:type="dxa"/>
            <w:vAlign w:val="center"/>
          </w:tcPr>
          <w:p w14:paraId="71095F6A">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3D11F480">
            <w:pPr>
              <w:widowControl/>
              <w:spacing w:line="240" w:lineRule="auto"/>
              <w:ind w:firstLine="0" w:firstLineChars="0"/>
              <w:jc w:val="center"/>
              <w:rPr>
                <w:rFonts w:eastAsia="仿宋"/>
                <w:sz w:val="21"/>
                <w:szCs w:val="24"/>
              </w:rPr>
            </w:pPr>
            <w:r>
              <w:rPr>
                <w:rFonts w:hint="eastAsia" w:eastAsia="仿宋"/>
                <w:sz w:val="21"/>
                <w:szCs w:val="24"/>
              </w:rPr>
              <w:t>—</w:t>
            </w:r>
          </w:p>
        </w:tc>
        <w:tc>
          <w:tcPr>
            <w:tcW w:w="2543" w:type="dxa"/>
            <w:vAlign w:val="center"/>
          </w:tcPr>
          <w:p w14:paraId="22528224">
            <w:pPr>
              <w:widowControl/>
              <w:spacing w:line="240" w:lineRule="auto"/>
              <w:ind w:firstLine="0" w:firstLineChars="0"/>
              <w:jc w:val="center"/>
              <w:rPr>
                <w:rFonts w:eastAsia="仿宋"/>
                <w:sz w:val="21"/>
                <w:szCs w:val="24"/>
              </w:rPr>
            </w:pPr>
            <w:r>
              <w:rPr>
                <w:rFonts w:hint="eastAsia" w:eastAsia="仿宋"/>
                <w:sz w:val="21"/>
                <w:szCs w:val="24"/>
              </w:rPr>
              <w:t>—</w:t>
            </w:r>
          </w:p>
        </w:tc>
      </w:tr>
      <w:tr w14:paraId="5F66542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711B466C">
            <w:pPr>
              <w:widowControl/>
              <w:spacing w:line="240" w:lineRule="auto"/>
              <w:ind w:firstLine="0" w:firstLineChars="0"/>
              <w:jc w:val="center"/>
              <w:rPr>
                <w:rFonts w:eastAsia="仿宋"/>
                <w:sz w:val="21"/>
                <w:szCs w:val="24"/>
              </w:rPr>
            </w:pPr>
            <w:r>
              <w:rPr>
                <w:rFonts w:eastAsia="仿宋"/>
                <w:sz w:val="21"/>
                <w:szCs w:val="24"/>
              </w:rPr>
              <w:t>型号</w:t>
            </w:r>
          </w:p>
        </w:tc>
        <w:tc>
          <w:tcPr>
            <w:tcW w:w="1079" w:type="dxa"/>
            <w:vAlign w:val="center"/>
          </w:tcPr>
          <w:p w14:paraId="20E2AC55">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42A4F858">
            <w:pPr>
              <w:pStyle w:val="84"/>
            </w:pPr>
            <w:r>
              <w:rPr>
                <w:rFonts w:hint="eastAsia"/>
              </w:rPr>
              <w:t>ZDX536-LH-350</w:t>
            </w:r>
          </w:p>
        </w:tc>
        <w:tc>
          <w:tcPr>
            <w:tcW w:w="2543" w:type="dxa"/>
            <w:vAlign w:val="center"/>
          </w:tcPr>
          <w:p w14:paraId="3F2A51C6">
            <w:pPr>
              <w:widowControl/>
              <w:spacing w:line="240" w:lineRule="auto"/>
              <w:ind w:firstLine="0" w:firstLineChars="0"/>
              <w:jc w:val="center"/>
              <w:rPr>
                <w:rFonts w:eastAsia="仿宋"/>
                <w:sz w:val="21"/>
                <w:szCs w:val="24"/>
              </w:rPr>
            </w:pPr>
            <w:r>
              <w:rPr>
                <w:rFonts w:hint="eastAsia" w:eastAsia="仿宋"/>
                <w:sz w:val="21"/>
                <w:szCs w:val="24"/>
              </w:rPr>
              <w:t>—</w:t>
            </w:r>
          </w:p>
        </w:tc>
      </w:tr>
      <w:tr w14:paraId="4C5E574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2CB57F7F">
            <w:pPr>
              <w:widowControl/>
              <w:spacing w:line="240" w:lineRule="auto"/>
              <w:ind w:firstLine="0" w:firstLineChars="0"/>
              <w:jc w:val="center"/>
              <w:rPr>
                <w:rFonts w:eastAsia="仿宋"/>
                <w:sz w:val="21"/>
                <w:szCs w:val="24"/>
              </w:rPr>
            </w:pPr>
            <w:r>
              <w:rPr>
                <w:rFonts w:eastAsia="仿宋"/>
                <w:sz w:val="21"/>
                <w:szCs w:val="24"/>
              </w:rPr>
              <w:t>台数</w:t>
            </w:r>
          </w:p>
        </w:tc>
        <w:tc>
          <w:tcPr>
            <w:tcW w:w="1079" w:type="dxa"/>
            <w:vAlign w:val="center"/>
          </w:tcPr>
          <w:p w14:paraId="3EA34567">
            <w:pPr>
              <w:widowControl/>
              <w:spacing w:line="240" w:lineRule="auto"/>
              <w:ind w:firstLine="0" w:firstLineChars="0"/>
              <w:jc w:val="center"/>
              <w:rPr>
                <w:rFonts w:eastAsia="仿宋"/>
                <w:sz w:val="21"/>
                <w:szCs w:val="24"/>
              </w:rPr>
            </w:pPr>
            <w:r>
              <w:rPr>
                <w:rFonts w:eastAsia="仿宋"/>
                <w:sz w:val="21"/>
                <w:szCs w:val="24"/>
              </w:rPr>
              <w:t>台</w:t>
            </w:r>
          </w:p>
        </w:tc>
        <w:tc>
          <w:tcPr>
            <w:tcW w:w="2327" w:type="dxa"/>
            <w:vAlign w:val="center"/>
          </w:tcPr>
          <w:p w14:paraId="1B17DE2C">
            <w:pPr>
              <w:pStyle w:val="84"/>
            </w:pPr>
            <w:r>
              <w:rPr>
                <w:rFonts w:hint="eastAsia"/>
              </w:rPr>
              <w:t>2</w:t>
            </w:r>
          </w:p>
        </w:tc>
        <w:tc>
          <w:tcPr>
            <w:tcW w:w="2543" w:type="dxa"/>
            <w:vAlign w:val="center"/>
          </w:tcPr>
          <w:p w14:paraId="5C48644F">
            <w:pPr>
              <w:widowControl/>
              <w:spacing w:line="240" w:lineRule="auto"/>
              <w:ind w:firstLine="0" w:firstLineChars="0"/>
              <w:jc w:val="center"/>
              <w:rPr>
                <w:rFonts w:eastAsia="仿宋"/>
                <w:sz w:val="21"/>
                <w:szCs w:val="24"/>
              </w:rPr>
            </w:pPr>
            <w:r>
              <w:rPr>
                <w:rFonts w:hint="eastAsia" w:eastAsia="仿宋"/>
                <w:sz w:val="21"/>
                <w:szCs w:val="24"/>
              </w:rPr>
              <w:t>—</w:t>
            </w:r>
          </w:p>
        </w:tc>
      </w:tr>
      <w:tr w14:paraId="1FFF7E2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1D3B537C">
            <w:pPr>
              <w:widowControl/>
              <w:spacing w:line="240" w:lineRule="auto"/>
              <w:ind w:firstLine="0" w:firstLineChars="0"/>
              <w:jc w:val="center"/>
              <w:rPr>
                <w:rFonts w:eastAsia="仿宋"/>
                <w:sz w:val="21"/>
                <w:szCs w:val="24"/>
              </w:rPr>
            </w:pPr>
            <w:r>
              <w:rPr>
                <w:rFonts w:eastAsia="仿宋"/>
                <w:sz w:val="21"/>
                <w:szCs w:val="24"/>
              </w:rPr>
              <w:t>单机额定出力</w:t>
            </w:r>
          </w:p>
        </w:tc>
        <w:tc>
          <w:tcPr>
            <w:tcW w:w="1079" w:type="dxa"/>
            <w:vAlign w:val="center"/>
          </w:tcPr>
          <w:p w14:paraId="667332D1">
            <w:pPr>
              <w:widowControl/>
              <w:spacing w:line="240" w:lineRule="auto"/>
              <w:ind w:firstLine="0" w:firstLineChars="0"/>
              <w:jc w:val="center"/>
              <w:rPr>
                <w:rFonts w:eastAsia="仿宋"/>
                <w:sz w:val="21"/>
                <w:szCs w:val="24"/>
              </w:rPr>
            </w:pPr>
            <w:r>
              <w:rPr>
                <w:rFonts w:eastAsia="仿宋"/>
                <w:sz w:val="21"/>
                <w:szCs w:val="24"/>
              </w:rPr>
              <w:t>kW</w:t>
            </w:r>
          </w:p>
        </w:tc>
        <w:tc>
          <w:tcPr>
            <w:tcW w:w="2327" w:type="dxa"/>
            <w:vAlign w:val="center"/>
          </w:tcPr>
          <w:p w14:paraId="55BF479C">
            <w:pPr>
              <w:pStyle w:val="84"/>
            </w:pPr>
            <w:r>
              <w:rPr>
                <w:rFonts w:hint="eastAsia"/>
              </w:rPr>
              <w:t>2450</w:t>
            </w:r>
          </w:p>
        </w:tc>
        <w:tc>
          <w:tcPr>
            <w:tcW w:w="2543" w:type="dxa"/>
            <w:vAlign w:val="center"/>
          </w:tcPr>
          <w:p w14:paraId="756D49BF">
            <w:pPr>
              <w:widowControl/>
              <w:spacing w:line="240" w:lineRule="auto"/>
              <w:ind w:firstLine="0" w:firstLineChars="0"/>
              <w:jc w:val="center"/>
              <w:rPr>
                <w:rFonts w:eastAsia="仿宋"/>
                <w:sz w:val="21"/>
                <w:szCs w:val="24"/>
              </w:rPr>
            </w:pPr>
            <w:r>
              <w:rPr>
                <w:rFonts w:hint="eastAsia" w:eastAsia="仿宋"/>
                <w:sz w:val="21"/>
                <w:szCs w:val="24"/>
              </w:rPr>
              <w:t>—</w:t>
            </w:r>
          </w:p>
        </w:tc>
      </w:tr>
      <w:tr w14:paraId="345FDAE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1A5333A1">
            <w:pPr>
              <w:widowControl/>
              <w:spacing w:line="240" w:lineRule="auto"/>
              <w:ind w:firstLine="0" w:firstLineChars="0"/>
              <w:jc w:val="center"/>
              <w:rPr>
                <w:rFonts w:eastAsia="仿宋"/>
                <w:sz w:val="21"/>
                <w:szCs w:val="24"/>
              </w:rPr>
            </w:pPr>
            <w:r>
              <w:rPr>
                <w:rFonts w:hint="eastAsia" w:eastAsia="仿宋"/>
                <w:sz w:val="21"/>
                <w:szCs w:val="24"/>
              </w:rPr>
              <w:t>额定流量</w:t>
            </w:r>
          </w:p>
        </w:tc>
        <w:tc>
          <w:tcPr>
            <w:tcW w:w="1079" w:type="dxa"/>
            <w:vAlign w:val="center"/>
          </w:tcPr>
          <w:p w14:paraId="25A41C43">
            <w:pPr>
              <w:widowControl/>
              <w:spacing w:line="240" w:lineRule="auto"/>
              <w:ind w:firstLine="0" w:firstLineChars="0"/>
              <w:jc w:val="center"/>
              <w:rPr>
                <w:rFonts w:eastAsia="仿宋"/>
                <w:sz w:val="21"/>
                <w:szCs w:val="24"/>
              </w:rPr>
            </w:pPr>
            <w:r>
              <w:rPr>
                <w:rFonts w:eastAsia="仿宋"/>
                <w:sz w:val="21"/>
                <w:szCs w:val="28"/>
              </w:rPr>
              <w:t>m³/s</w:t>
            </w:r>
          </w:p>
        </w:tc>
        <w:tc>
          <w:tcPr>
            <w:tcW w:w="2327" w:type="dxa"/>
            <w:vAlign w:val="center"/>
          </w:tcPr>
          <w:p w14:paraId="083DD70C">
            <w:pPr>
              <w:pStyle w:val="84"/>
            </w:pPr>
            <w:r>
              <w:rPr>
                <w:rFonts w:hint="eastAsia"/>
              </w:rPr>
              <w:t>53.44</w:t>
            </w:r>
          </w:p>
        </w:tc>
        <w:tc>
          <w:tcPr>
            <w:tcW w:w="2543" w:type="dxa"/>
            <w:vAlign w:val="center"/>
          </w:tcPr>
          <w:p w14:paraId="70497602">
            <w:pPr>
              <w:widowControl/>
              <w:spacing w:line="240" w:lineRule="auto"/>
              <w:ind w:firstLine="0" w:firstLineChars="0"/>
              <w:jc w:val="center"/>
              <w:rPr>
                <w:rFonts w:eastAsia="仿宋"/>
                <w:sz w:val="21"/>
                <w:szCs w:val="24"/>
              </w:rPr>
            </w:pPr>
            <w:r>
              <w:rPr>
                <w:rFonts w:hint="eastAsia" w:eastAsia="仿宋"/>
                <w:sz w:val="21"/>
                <w:szCs w:val="24"/>
              </w:rPr>
              <w:t>—</w:t>
            </w:r>
          </w:p>
        </w:tc>
      </w:tr>
      <w:tr w14:paraId="6F26F00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3D78AD15">
            <w:pPr>
              <w:widowControl/>
              <w:spacing w:line="240" w:lineRule="auto"/>
              <w:ind w:firstLine="0" w:firstLineChars="0"/>
              <w:jc w:val="center"/>
              <w:rPr>
                <w:rFonts w:eastAsia="仿宋"/>
                <w:sz w:val="21"/>
                <w:szCs w:val="24"/>
              </w:rPr>
            </w:pPr>
            <w:r>
              <w:rPr>
                <w:rFonts w:eastAsia="仿宋"/>
                <w:sz w:val="21"/>
                <w:szCs w:val="24"/>
              </w:rPr>
              <w:t>额定转速</w:t>
            </w:r>
          </w:p>
        </w:tc>
        <w:tc>
          <w:tcPr>
            <w:tcW w:w="1079" w:type="dxa"/>
            <w:vAlign w:val="center"/>
          </w:tcPr>
          <w:p w14:paraId="01C3F991">
            <w:pPr>
              <w:widowControl/>
              <w:spacing w:line="240" w:lineRule="auto"/>
              <w:ind w:firstLine="0" w:firstLineChars="0"/>
              <w:jc w:val="center"/>
              <w:rPr>
                <w:rFonts w:eastAsia="仿宋"/>
                <w:sz w:val="21"/>
                <w:szCs w:val="24"/>
              </w:rPr>
            </w:pPr>
            <w:r>
              <w:rPr>
                <w:rFonts w:eastAsia="仿宋"/>
                <w:sz w:val="21"/>
                <w:szCs w:val="24"/>
              </w:rPr>
              <w:t>r/min</w:t>
            </w:r>
          </w:p>
        </w:tc>
        <w:tc>
          <w:tcPr>
            <w:tcW w:w="2327" w:type="dxa"/>
            <w:vAlign w:val="center"/>
          </w:tcPr>
          <w:p w14:paraId="74366AD9">
            <w:pPr>
              <w:pStyle w:val="84"/>
            </w:pPr>
            <w:r>
              <w:rPr>
                <w:rFonts w:hint="eastAsia"/>
              </w:rPr>
              <w:t>107.2</w:t>
            </w:r>
          </w:p>
        </w:tc>
        <w:tc>
          <w:tcPr>
            <w:tcW w:w="2543" w:type="dxa"/>
            <w:vAlign w:val="center"/>
          </w:tcPr>
          <w:p w14:paraId="0F81F4AD">
            <w:pPr>
              <w:widowControl/>
              <w:spacing w:line="240" w:lineRule="auto"/>
              <w:ind w:firstLine="0" w:firstLineChars="0"/>
              <w:jc w:val="center"/>
              <w:rPr>
                <w:rFonts w:eastAsia="仿宋"/>
                <w:sz w:val="21"/>
                <w:szCs w:val="24"/>
              </w:rPr>
            </w:pPr>
            <w:r>
              <w:rPr>
                <w:rFonts w:hint="eastAsia" w:eastAsia="仿宋"/>
                <w:sz w:val="21"/>
                <w:szCs w:val="24"/>
              </w:rPr>
              <w:t>—</w:t>
            </w:r>
          </w:p>
        </w:tc>
      </w:tr>
      <w:tr w14:paraId="2A13BBB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544233EF">
            <w:pPr>
              <w:widowControl/>
              <w:spacing w:line="240" w:lineRule="auto"/>
              <w:ind w:firstLine="0" w:firstLineChars="0"/>
              <w:jc w:val="center"/>
              <w:rPr>
                <w:rFonts w:eastAsia="仿宋"/>
                <w:sz w:val="21"/>
                <w:szCs w:val="24"/>
              </w:rPr>
            </w:pPr>
            <w:r>
              <w:rPr>
                <w:rFonts w:hint="eastAsia" w:eastAsia="仿宋"/>
                <w:sz w:val="21"/>
                <w:szCs w:val="24"/>
              </w:rPr>
              <w:t>额定效率</w:t>
            </w:r>
          </w:p>
        </w:tc>
        <w:tc>
          <w:tcPr>
            <w:tcW w:w="1079" w:type="dxa"/>
            <w:vAlign w:val="center"/>
          </w:tcPr>
          <w:p w14:paraId="41550DB4">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78210C86">
            <w:pPr>
              <w:pStyle w:val="84"/>
            </w:pPr>
            <w:r>
              <w:rPr>
                <w:rFonts w:hint="eastAsia"/>
              </w:rPr>
              <w:t>92</w:t>
            </w:r>
          </w:p>
        </w:tc>
        <w:tc>
          <w:tcPr>
            <w:tcW w:w="2543" w:type="dxa"/>
            <w:vAlign w:val="center"/>
          </w:tcPr>
          <w:p w14:paraId="2AC565B1">
            <w:pPr>
              <w:widowControl/>
              <w:spacing w:line="240" w:lineRule="auto"/>
              <w:ind w:firstLine="0" w:firstLineChars="0"/>
              <w:jc w:val="center"/>
              <w:rPr>
                <w:rFonts w:eastAsia="仿宋"/>
                <w:sz w:val="21"/>
                <w:szCs w:val="24"/>
              </w:rPr>
            </w:pPr>
            <w:r>
              <w:rPr>
                <w:rFonts w:hint="eastAsia" w:eastAsia="仿宋"/>
                <w:sz w:val="21"/>
                <w:szCs w:val="24"/>
              </w:rPr>
              <w:t>—</w:t>
            </w:r>
          </w:p>
        </w:tc>
      </w:tr>
      <w:tr w14:paraId="473A3BE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4445938B">
            <w:pPr>
              <w:widowControl/>
              <w:spacing w:line="240" w:lineRule="auto"/>
              <w:ind w:firstLine="0" w:firstLineChars="0"/>
              <w:jc w:val="center"/>
              <w:rPr>
                <w:rFonts w:eastAsia="仿宋"/>
                <w:sz w:val="21"/>
                <w:szCs w:val="24"/>
              </w:rPr>
            </w:pPr>
            <w:r>
              <w:rPr>
                <w:rFonts w:eastAsia="仿宋"/>
                <w:sz w:val="21"/>
                <w:szCs w:val="24"/>
              </w:rPr>
              <w:t>设计水头</w:t>
            </w:r>
          </w:p>
        </w:tc>
        <w:tc>
          <w:tcPr>
            <w:tcW w:w="1079" w:type="dxa"/>
            <w:vAlign w:val="center"/>
          </w:tcPr>
          <w:p w14:paraId="21C5B689">
            <w:pPr>
              <w:widowControl/>
              <w:spacing w:line="240" w:lineRule="auto"/>
              <w:ind w:firstLine="0" w:firstLineChars="0"/>
              <w:jc w:val="center"/>
              <w:rPr>
                <w:rFonts w:eastAsia="仿宋"/>
                <w:sz w:val="21"/>
                <w:szCs w:val="24"/>
              </w:rPr>
            </w:pPr>
            <w:r>
              <w:rPr>
                <w:rFonts w:eastAsia="仿宋"/>
                <w:sz w:val="21"/>
                <w:szCs w:val="24"/>
              </w:rPr>
              <w:t>m</w:t>
            </w:r>
          </w:p>
        </w:tc>
        <w:tc>
          <w:tcPr>
            <w:tcW w:w="2327" w:type="dxa"/>
            <w:vAlign w:val="center"/>
          </w:tcPr>
          <w:p w14:paraId="6B0C3E96">
            <w:pPr>
              <w:pStyle w:val="84"/>
            </w:pPr>
            <w:r>
              <w:rPr>
                <w:rFonts w:hint="eastAsia"/>
              </w:rPr>
              <w:t>5.5</w:t>
            </w:r>
          </w:p>
        </w:tc>
        <w:tc>
          <w:tcPr>
            <w:tcW w:w="2543" w:type="dxa"/>
            <w:vAlign w:val="center"/>
          </w:tcPr>
          <w:p w14:paraId="1F1B5E09">
            <w:pPr>
              <w:widowControl/>
              <w:spacing w:line="240" w:lineRule="auto"/>
              <w:ind w:firstLine="0" w:firstLineChars="0"/>
              <w:jc w:val="center"/>
              <w:rPr>
                <w:rFonts w:eastAsia="仿宋"/>
                <w:sz w:val="21"/>
                <w:szCs w:val="24"/>
              </w:rPr>
            </w:pPr>
            <w:r>
              <w:rPr>
                <w:rFonts w:hint="eastAsia" w:eastAsia="仿宋"/>
                <w:sz w:val="21"/>
                <w:szCs w:val="24"/>
              </w:rPr>
              <w:t>—</w:t>
            </w:r>
          </w:p>
        </w:tc>
      </w:tr>
      <w:tr w14:paraId="0BEF973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46A2ACA0">
            <w:pPr>
              <w:widowControl/>
              <w:spacing w:line="240" w:lineRule="auto"/>
              <w:ind w:firstLine="0" w:firstLineChars="0"/>
              <w:jc w:val="center"/>
              <w:rPr>
                <w:rFonts w:eastAsia="仿宋"/>
                <w:sz w:val="21"/>
                <w:szCs w:val="24"/>
              </w:rPr>
            </w:pPr>
            <w:r>
              <w:rPr>
                <w:rFonts w:hint="eastAsia" w:eastAsia="仿宋"/>
                <w:sz w:val="21"/>
                <w:szCs w:val="24"/>
              </w:rPr>
              <w:t>（</w:t>
            </w:r>
            <w:r>
              <w:rPr>
                <w:rFonts w:eastAsia="仿宋"/>
                <w:sz w:val="21"/>
                <w:szCs w:val="24"/>
              </w:rPr>
              <w:t>2</w:t>
            </w:r>
            <w:r>
              <w:rPr>
                <w:rFonts w:hint="eastAsia" w:eastAsia="仿宋"/>
                <w:sz w:val="21"/>
                <w:szCs w:val="24"/>
              </w:rPr>
              <w:t>）</w:t>
            </w:r>
            <w:r>
              <w:rPr>
                <w:rFonts w:eastAsia="仿宋"/>
                <w:sz w:val="21"/>
                <w:szCs w:val="24"/>
              </w:rPr>
              <w:t>发电机</w:t>
            </w:r>
          </w:p>
        </w:tc>
        <w:tc>
          <w:tcPr>
            <w:tcW w:w="1079" w:type="dxa"/>
            <w:vAlign w:val="center"/>
          </w:tcPr>
          <w:p w14:paraId="1DD72746">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1272C974">
            <w:pPr>
              <w:pStyle w:val="84"/>
            </w:pPr>
            <w:r>
              <w:rPr>
                <w:rFonts w:hint="eastAsia"/>
              </w:rPr>
              <w:t>—</w:t>
            </w:r>
          </w:p>
        </w:tc>
        <w:tc>
          <w:tcPr>
            <w:tcW w:w="2543" w:type="dxa"/>
            <w:vAlign w:val="center"/>
          </w:tcPr>
          <w:p w14:paraId="53D77908">
            <w:pPr>
              <w:widowControl/>
              <w:spacing w:line="240" w:lineRule="auto"/>
              <w:ind w:firstLine="0" w:firstLineChars="0"/>
              <w:jc w:val="center"/>
              <w:rPr>
                <w:rFonts w:eastAsia="仿宋"/>
                <w:sz w:val="21"/>
                <w:szCs w:val="24"/>
              </w:rPr>
            </w:pPr>
            <w:r>
              <w:rPr>
                <w:rFonts w:hint="eastAsia" w:eastAsia="仿宋"/>
                <w:sz w:val="21"/>
                <w:szCs w:val="24"/>
              </w:rPr>
              <w:t>—</w:t>
            </w:r>
          </w:p>
        </w:tc>
      </w:tr>
      <w:tr w14:paraId="368DE5A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199" w:hRule="atLeast"/>
          <w:jc w:val="center"/>
        </w:trPr>
        <w:tc>
          <w:tcPr>
            <w:tcW w:w="3142" w:type="dxa"/>
            <w:vAlign w:val="center"/>
          </w:tcPr>
          <w:p w14:paraId="6FEAA69D">
            <w:pPr>
              <w:widowControl/>
              <w:spacing w:line="240" w:lineRule="auto"/>
              <w:ind w:firstLine="0" w:firstLineChars="0"/>
              <w:jc w:val="center"/>
              <w:rPr>
                <w:rFonts w:eastAsia="仿宋"/>
                <w:sz w:val="21"/>
                <w:szCs w:val="24"/>
              </w:rPr>
            </w:pPr>
            <w:r>
              <w:rPr>
                <w:rFonts w:eastAsia="仿宋"/>
                <w:sz w:val="21"/>
                <w:szCs w:val="24"/>
              </w:rPr>
              <w:t>型号</w:t>
            </w:r>
          </w:p>
        </w:tc>
        <w:tc>
          <w:tcPr>
            <w:tcW w:w="1079" w:type="dxa"/>
            <w:vAlign w:val="center"/>
          </w:tcPr>
          <w:p w14:paraId="593B8BF5">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3E994C58">
            <w:pPr>
              <w:pStyle w:val="84"/>
            </w:pPr>
            <w:r>
              <w:rPr>
                <w:rFonts w:hint="eastAsia"/>
              </w:rPr>
              <w:t>SF2450-56/4250</w:t>
            </w:r>
          </w:p>
        </w:tc>
        <w:tc>
          <w:tcPr>
            <w:tcW w:w="2543" w:type="dxa"/>
            <w:vAlign w:val="center"/>
          </w:tcPr>
          <w:p w14:paraId="4183DCB2">
            <w:pPr>
              <w:widowControl/>
              <w:spacing w:line="240" w:lineRule="auto"/>
              <w:ind w:firstLine="0" w:firstLineChars="0"/>
              <w:jc w:val="center"/>
              <w:rPr>
                <w:rFonts w:eastAsia="仿宋"/>
                <w:sz w:val="21"/>
                <w:szCs w:val="24"/>
              </w:rPr>
            </w:pPr>
            <w:r>
              <w:rPr>
                <w:rFonts w:hint="eastAsia" w:eastAsia="仿宋"/>
                <w:sz w:val="21"/>
                <w:szCs w:val="24"/>
              </w:rPr>
              <w:t>—</w:t>
            </w:r>
          </w:p>
        </w:tc>
      </w:tr>
      <w:tr w14:paraId="74E8F8F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6E2651CE">
            <w:pPr>
              <w:widowControl/>
              <w:spacing w:line="240" w:lineRule="auto"/>
              <w:ind w:firstLine="0" w:firstLineChars="0"/>
              <w:jc w:val="center"/>
              <w:rPr>
                <w:rFonts w:eastAsia="仿宋"/>
                <w:sz w:val="21"/>
                <w:szCs w:val="24"/>
              </w:rPr>
            </w:pPr>
            <w:r>
              <w:rPr>
                <w:rFonts w:eastAsia="仿宋"/>
                <w:sz w:val="21"/>
                <w:szCs w:val="24"/>
              </w:rPr>
              <w:t>台数</w:t>
            </w:r>
          </w:p>
        </w:tc>
        <w:tc>
          <w:tcPr>
            <w:tcW w:w="1079" w:type="dxa"/>
            <w:vAlign w:val="center"/>
          </w:tcPr>
          <w:p w14:paraId="5D9FA4F4">
            <w:pPr>
              <w:widowControl/>
              <w:spacing w:line="240" w:lineRule="auto"/>
              <w:ind w:firstLine="0" w:firstLineChars="0"/>
              <w:jc w:val="center"/>
              <w:rPr>
                <w:rFonts w:eastAsia="仿宋"/>
                <w:sz w:val="21"/>
                <w:szCs w:val="24"/>
              </w:rPr>
            </w:pPr>
            <w:r>
              <w:rPr>
                <w:rFonts w:eastAsia="仿宋"/>
                <w:sz w:val="21"/>
                <w:szCs w:val="24"/>
              </w:rPr>
              <w:t>台</w:t>
            </w:r>
          </w:p>
        </w:tc>
        <w:tc>
          <w:tcPr>
            <w:tcW w:w="2327" w:type="dxa"/>
            <w:vAlign w:val="center"/>
          </w:tcPr>
          <w:p w14:paraId="4D19BD6D">
            <w:pPr>
              <w:pStyle w:val="84"/>
            </w:pPr>
            <w:r>
              <w:rPr>
                <w:rFonts w:hint="eastAsia"/>
              </w:rPr>
              <w:t>2</w:t>
            </w:r>
          </w:p>
        </w:tc>
        <w:tc>
          <w:tcPr>
            <w:tcW w:w="2543" w:type="dxa"/>
            <w:vAlign w:val="center"/>
          </w:tcPr>
          <w:p w14:paraId="1F6AEB9A">
            <w:pPr>
              <w:widowControl/>
              <w:spacing w:line="240" w:lineRule="auto"/>
              <w:ind w:firstLine="0" w:firstLineChars="0"/>
              <w:jc w:val="center"/>
              <w:rPr>
                <w:rFonts w:eastAsia="仿宋"/>
                <w:sz w:val="21"/>
                <w:szCs w:val="24"/>
              </w:rPr>
            </w:pPr>
            <w:r>
              <w:rPr>
                <w:rFonts w:hint="eastAsia" w:eastAsia="仿宋"/>
                <w:sz w:val="21"/>
                <w:szCs w:val="24"/>
              </w:rPr>
              <w:t>—</w:t>
            </w:r>
          </w:p>
        </w:tc>
      </w:tr>
      <w:tr w14:paraId="6742730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2E47C1CD">
            <w:pPr>
              <w:widowControl/>
              <w:spacing w:line="240" w:lineRule="auto"/>
              <w:ind w:firstLine="0" w:firstLineChars="0"/>
              <w:jc w:val="center"/>
              <w:rPr>
                <w:rFonts w:eastAsia="仿宋"/>
                <w:sz w:val="21"/>
                <w:szCs w:val="24"/>
              </w:rPr>
            </w:pPr>
            <w:r>
              <w:rPr>
                <w:rFonts w:eastAsia="仿宋"/>
                <w:sz w:val="21"/>
                <w:szCs w:val="24"/>
              </w:rPr>
              <w:t>单机额定容量</w:t>
            </w:r>
          </w:p>
        </w:tc>
        <w:tc>
          <w:tcPr>
            <w:tcW w:w="1079" w:type="dxa"/>
            <w:vAlign w:val="center"/>
          </w:tcPr>
          <w:p w14:paraId="10BD18BA">
            <w:pPr>
              <w:widowControl/>
              <w:spacing w:line="240" w:lineRule="auto"/>
              <w:ind w:firstLine="0" w:firstLineChars="0"/>
              <w:jc w:val="center"/>
              <w:rPr>
                <w:rFonts w:eastAsia="仿宋"/>
                <w:sz w:val="21"/>
                <w:szCs w:val="24"/>
              </w:rPr>
            </w:pPr>
            <w:r>
              <w:rPr>
                <w:rFonts w:eastAsia="仿宋"/>
                <w:sz w:val="21"/>
                <w:szCs w:val="24"/>
              </w:rPr>
              <w:t>kW</w:t>
            </w:r>
          </w:p>
        </w:tc>
        <w:tc>
          <w:tcPr>
            <w:tcW w:w="2327" w:type="dxa"/>
            <w:vAlign w:val="center"/>
          </w:tcPr>
          <w:p w14:paraId="42A846C8">
            <w:pPr>
              <w:pStyle w:val="84"/>
            </w:pPr>
            <w:r>
              <w:rPr>
                <w:rFonts w:hint="eastAsia"/>
              </w:rPr>
              <w:t>2450</w:t>
            </w:r>
          </w:p>
        </w:tc>
        <w:tc>
          <w:tcPr>
            <w:tcW w:w="2543" w:type="dxa"/>
            <w:vAlign w:val="center"/>
          </w:tcPr>
          <w:p w14:paraId="040FBED5">
            <w:pPr>
              <w:widowControl/>
              <w:spacing w:line="240" w:lineRule="auto"/>
              <w:ind w:firstLine="0" w:firstLineChars="0"/>
              <w:jc w:val="center"/>
              <w:rPr>
                <w:rFonts w:eastAsia="仿宋"/>
                <w:sz w:val="21"/>
                <w:szCs w:val="24"/>
              </w:rPr>
            </w:pPr>
            <w:r>
              <w:rPr>
                <w:rFonts w:hint="eastAsia" w:eastAsia="仿宋"/>
                <w:sz w:val="21"/>
                <w:szCs w:val="24"/>
              </w:rPr>
              <w:t>—</w:t>
            </w:r>
          </w:p>
        </w:tc>
      </w:tr>
      <w:tr w14:paraId="584572D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1980397C">
            <w:pPr>
              <w:widowControl/>
              <w:spacing w:line="240" w:lineRule="auto"/>
              <w:ind w:firstLine="0" w:firstLineChars="0"/>
              <w:jc w:val="center"/>
              <w:rPr>
                <w:rFonts w:eastAsia="仿宋"/>
                <w:sz w:val="21"/>
                <w:szCs w:val="24"/>
              </w:rPr>
            </w:pPr>
            <w:r>
              <w:rPr>
                <w:rFonts w:eastAsia="仿宋"/>
                <w:sz w:val="21"/>
                <w:szCs w:val="24"/>
              </w:rPr>
              <w:t>额定电压</w:t>
            </w:r>
          </w:p>
        </w:tc>
        <w:tc>
          <w:tcPr>
            <w:tcW w:w="1079" w:type="dxa"/>
            <w:vAlign w:val="center"/>
          </w:tcPr>
          <w:p w14:paraId="232552EE">
            <w:pPr>
              <w:widowControl/>
              <w:spacing w:line="240" w:lineRule="auto"/>
              <w:ind w:firstLine="0" w:firstLineChars="0"/>
              <w:jc w:val="center"/>
              <w:rPr>
                <w:rFonts w:eastAsia="仿宋"/>
                <w:sz w:val="21"/>
                <w:szCs w:val="24"/>
              </w:rPr>
            </w:pPr>
            <w:r>
              <w:rPr>
                <w:rFonts w:eastAsia="仿宋"/>
                <w:sz w:val="21"/>
                <w:szCs w:val="24"/>
              </w:rPr>
              <w:t>kV</w:t>
            </w:r>
          </w:p>
        </w:tc>
        <w:tc>
          <w:tcPr>
            <w:tcW w:w="2327" w:type="dxa"/>
            <w:vAlign w:val="center"/>
          </w:tcPr>
          <w:p w14:paraId="0AB590D0">
            <w:pPr>
              <w:pStyle w:val="84"/>
            </w:pPr>
            <w:r>
              <w:rPr>
                <w:rFonts w:hint="eastAsia"/>
              </w:rPr>
              <w:t>6.3</w:t>
            </w:r>
          </w:p>
        </w:tc>
        <w:tc>
          <w:tcPr>
            <w:tcW w:w="2543" w:type="dxa"/>
            <w:vAlign w:val="center"/>
          </w:tcPr>
          <w:p w14:paraId="3603927F">
            <w:pPr>
              <w:widowControl/>
              <w:spacing w:line="240" w:lineRule="auto"/>
              <w:ind w:firstLine="0" w:firstLineChars="0"/>
              <w:jc w:val="center"/>
              <w:rPr>
                <w:rFonts w:eastAsia="仿宋"/>
                <w:sz w:val="21"/>
                <w:szCs w:val="24"/>
              </w:rPr>
            </w:pPr>
            <w:r>
              <w:rPr>
                <w:rFonts w:hint="eastAsia" w:eastAsia="仿宋"/>
                <w:sz w:val="21"/>
                <w:szCs w:val="24"/>
              </w:rPr>
              <w:t>—</w:t>
            </w:r>
          </w:p>
        </w:tc>
      </w:tr>
      <w:tr w14:paraId="586BEDD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2B622099">
            <w:pPr>
              <w:widowControl/>
              <w:spacing w:line="240" w:lineRule="auto"/>
              <w:ind w:firstLine="0" w:firstLineChars="0"/>
              <w:jc w:val="center"/>
              <w:rPr>
                <w:rFonts w:eastAsia="仿宋"/>
                <w:sz w:val="21"/>
                <w:szCs w:val="24"/>
              </w:rPr>
            </w:pPr>
            <w:r>
              <w:rPr>
                <w:rFonts w:hint="eastAsia" w:eastAsia="仿宋"/>
                <w:sz w:val="21"/>
                <w:szCs w:val="24"/>
              </w:rPr>
              <w:t>额定电流</w:t>
            </w:r>
          </w:p>
        </w:tc>
        <w:tc>
          <w:tcPr>
            <w:tcW w:w="1079" w:type="dxa"/>
            <w:vAlign w:val="center"/>
          </w:tcPr>
          <w:p w14:paraId="48221129">
            <w:pPr>
              <w:widowControl/>
              <w:spacing w:line="240" w:lineRule="auto"/>
              <w:ind w:firstLine="0" w:firstLineChars="0"/>
              <w:jc w:val="center"/>
              <w:rPr>
                <w:rFonts w:eastAsia="仿宋"/>
                <w:sz w:val="21"/>
                <w:szCs w:val="24"/>
              </w:rPr>
            </w:pPr>
            <w:r>
              <w:rPr>
                <w:rFonts w:hint="eastAsia" w:eastAsia="仿宋"/>
                <w:sz w:val="21"/>
                <w:szCs w:val="24"/>
              </w:rPr>
              <w:t>A</w:t>
            </w:r>
          </w:p>
        </w:tc>
        <w:tc>
          <w:tcPr>
            <w:tcW w:w="2327" w:type="dxa"/>
            <w:vAlign w:val="center"/>
          </w:tcPr>
          <w:p w14:paraId="7DD22506">
            <w:pPr>
              <w:pStyle w:val="84"/>
            </w:pPr>
            <w:r>
              <w:rPr>
                <w:rFonts w:hint="eastAsia"/>
              </w:rPr>
              <w:t>280.66</w:t>
            </w:r>
          </w:p>
        </w:tc>
        <w:tc>
          <w:tcPr>
            <w:tcW w:w="2543" w:type="dxa"/>
            <w:vAlign w:val="center"/>
          </w:tcPr>
          <w:p w14:paraId="7F1D854E">
            <w:pPr>
              <w:widowControl/>
              <w:spacing w:line="240" w:lineRule="auto"/>
              <w:ind w:firstLine="0" w:firstLineChars="0"/>
              <w:jc w:val="center"/>
              <w:rPr>
                <w:rFonts w:eastAsia="仿宋"/>
                <w:sz w:val="21"/>
                <w:szCs w:val="24"/>
              </w:rPr>
            </w:pPr>
            <w:r>
              <w:rPr>
                <w:rFonts w:hint="eastAsia" w:eastAsia="仿宋"/>
                <w:sz w:val="21"/>
                <w:szCs w:val="24"/>
              </w:rPr>
              <w:t>—</w:t>
            </w:r>
          </w:p>
        </w:tc>
      </w:tr>
      <w:tr w14:paraId="06308EF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33" w:hRule="atLeast"/>
          <w:jc w:val="center"/>
        </w:trPr>
        <w:tc>
          <w:tcPr>
            <w:tcW w:w="3142" w:type="dxa"/>
            <w:vAlign w:val="center"/>
          </w:tcPr>
          <w:p w14:paraId="69C5B86E">
            <w:pPr>
              <w:widowControl/>
              <w:spacing w:line="240" w:lineRule="auto"/>
              <w:ind w:firstLine="0" w:firstLineChars="0"/>
              <w:jc w:val="center"/>
              <w:rPr>
                <w:rFonts w:eastAsia="仿宋"/>
                <w:sz w:val="21"/>
                <w:szCs w:val="24"/>
              </w:rPr>
            </w:pPr>
            <w:r>
              <w:rPr>
                <w:rFonts w:eastAsia="仿宋"/>
                <w:sz w:val="21"/>
                <w:szCs w:val="24"/>
              </w:rPr>
              <w:t>额定功率因数</w:t>
            </w:r>
          </w:p>
        </w:tc>
        <w:tc>
          <w:tcPr>
            <w:tcW w:w="1079" w:type="dxa"/>
            <w:vAlign w:val="center"/>
          </w:tcPr>
          <w:p w14:paraId="23E47FFF">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4F07B502">
            <w:pPr>
              <w:widowControl/>
              <w:spacing w:line="240" w:lineRule="auto"/>
              <w:ind w:firstLine="0" w:firstLineChars="0"/>
              <w:jc w:val="center"/>
              <w:rPr>
                <w:rFonts w:eastAsia="仿宋"/>
                <w:sz w:val="21"/>
                <w:szCs w:val="24"/>
              </w:rPr>
            </w:pPr>
            <w:r>
              <w:rPr>
                <w:rFonts w:hint="eastAsia" w:eastAsia="仿宋"/>
                <w:sz w:val="21"/>
                <w:szCs w:val="24"/>
              </w:rPr>
              <w:t>0.8</w:t>
            </w:r>
          </w:p>
        </w:tc>
        <w:tc>
          <w:tcPr>
            <w:tcW w:w="2543" w:type="dxa"/>
            <w:vAlign w:val="center"/>
          </w:tcPr>
          <w:p w14:paraId="2BA45F07">
            <w:pPr>
              <w:widowControl/>
              <w:spacing w:line="240" w:lineRule="auto"/>
              <w:ind w:firstLine="0" w:firstLineChars="0"/>
              <w:jc w:val="center"/>
              <w:rPr>
                <w:rFonts w:eastAsia="仿宋"/>
                <w:sz w:val="21"/>
                <w:szCs w:val="24"/>
              </w:rPr>
            </w:pPr>
            <w:r>
              <w:rPr>
                <w:rFonts w:hint="eastAsia" w:eastAsia="仿宋"/>
                <w:sz w:val="21"/>
                <w:szCs w:val="24"/>
              </w:rPr>
              <w:t>—</w:t>
            </w:r>
          </w:p>
        </w:tc>
      </w:tr>
      <w:tr w14:paraId="74E83E3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4074BBFC">
            <w:pPr>
              <w:widowControl/>
              <w:spacing w:line="240" w:lineRule="auto"/>
              <w:ind w:firstLine="0" w:firstLineChars="0"/>
              <w:jc w:val="center"/>
              <w:rPr>
                <w:rFonts w:eastAsia="仿宋"/>
                <w:sz w:val="21"/>
                <w:szCs w:val="24"/>
              </w:rPr>
            </w:pPr>
            <w:r>
              <w:rPr>
                <w:rFonts w:eastAsia="仿宋"/>
                <w:sz w:val="21"/>
                <w:szCs w:val="24"/>
              </w:rPr>
              <w:t>额定转速</w:t>
            </w:r>
          </w:p>
        </w:tc>
        <w:tc>
          <w:tcPr>
            <w:tcW w:w="1079" w:type="dxa"/>
            <w:vAlign w:val="center"/>
          </w:tcPr>
          <w:p w14:paraId="08C780F4">
            <w:pPr>
              <w:widowControl/>
              <w:spacing w:line="240" w:lineRule="auto"/>
              <w:ind w:firstLine="0" w:firstLineChars="0"/>
              <w:jc w:val="center"/>
              <w:rPr>
                <w:rFonts w:eastAsia="仿宋"/>
                <w:sz w:val="21"/>
                <w:szCs w:val="24"/>
              </w:rPr>
            </w:pPr>
            <w:r>
              <w:rPr>
                <w:rFonts w:eastAsia="仿宋"/>
                <w:sz w:val="21"/>
                <w:szCs w:val="24"/>
              </w:rPr>
              <w:t>r/min</w:t>
            </w:r>
          </w:p>
        </w:tc>
        <w:tc>
          <w:tcPr>
            <w:tcW w:w="2327" w:type="dxa"/>
            <w:vAlign w:val="center"/>
          </w:tcPr>
          <w:p w14:paraId="16DAFA84">
            <w:pPr>
              <w:widowControl/>
              <w:spacing w:line="240" w:lineRule="auto"/>
              <w:ind w:firstLine="0" w:firstLineChars="0"/>
              <w:jc w:val="center"/>
              <w:rPr>
                <w:rFonts w:eastAsia="仿宋"/>
                <w:sz w:val="21"/>
                <w:szCs w:val="24"/>
              </w:rPr>
            </w:pPr>
            <w:r>
              <w:rPr>
                <w:rFonts w:hint="eastAsia" w:eastAsia="仿宋"/>
                <w:sz w:val="21"/>
                <w:szCs w:val="24"/>
              </w:rPr>
              <w:t>107.2</w:t>
            </w:r>
          </w:p>
        </w:tc>
        <w:tc>
          <w:tcPr>
            <w:tcW w:w="2543" w:type="dxa"/>
            <w:vAlign w:val="center"/>
          </w:tcPr>
          <w:p w14:paraId="7167A49D">
            <w:pPr>
              <w:widowControl/>
              <w:spacing w:line="240" w:lineRule="auto"/>
              <w:ind w:firstLine="0" w:firstLineChars="0"/>
              <w:jc w:val="center"/>
              <w:rPr>
                <w:rFonts w:eastAsia="仿宋"/>
                <w:sz w:val="21"/>
                <w:szCs w:val="24"/>
              </w:rPr>
            </w:pPr>
            <w:r>
              <w:rPr>
                <w:rFonts w:hint="eastAsia" w:eastAsia="仿宋"/>
                <w:sz w:val="21"/>
                <w:szCs w:val="24"/>
              </w:rPr>
              <w:t>—</w:t>
            </w:r>
          </w:p>
        </w:tc>
      </w:tr>
      <w:tr w14:paraId="4397118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0EC97041">
            <w:pPr>
              <w:widowControl/>
              <w:spacing w:line="240" w:lineRule="auto"/>
              <w:ind w:firstLine="0" w:firstLineChars="0"/>
              <w:jc w:val="center"/>
              <w:rPr>
                <w:rFonts w:eastAsia="仿宋"/>
                <w:sz w:val="21"/>
                <w:szCs w:val="24"/>
              </w:rPr>
            </w:pPr>
            <w:r>
              <w:rPr>
                <w:rFonts w:hint="eastAsia" w:eastAsia="仿宋"/>
                <w:sz w:val="21"/>
                <w:szCs w:val="24"/>
              </w:rPr>
              <w:t>额定效率</w:t>
            </w:r>
          </w:p>
        </w:tc>
        <w:tc>
          <w:tcPr>
            <w:tcW w:w="1079" w:type="dxa"/>
            <w:vAlign w:val="center"/>
          </w:tcPr>
          <w:p w14:paraId="0A0F3300">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5327BE14">
            <w:pPr>
              <w:widowControl/>
              <w:spacing w:line="240" w:lineRule="auto"/>
              <w:ind w:firstLine="0" w:firstLineChars="0"/>
              <w:jc w:val="center"/>
              <w:rPr>
                <w:rFonts w:eastAsia="仿宋"/>
                <w:sz w:val="21"/>
                <w:szCs w:val="24"/>
              </w:rPr>
            </w:pPr>
            <w:r>
              <w:rPr>
                <w:rFonts w:hint="eastAsia" w:eastAsia="仿宋"/>
                <w:sz w:val="21"/>
                <w:szCs w:val="24"/>
              </w:rPr>
              <w:t>94</w:t>
            </w:r>
          </w:p>
        </w:tc>
        <w:tc>
          <w:tcPr>
            <w:tcW w:w="2543" w:type="dxa"/>
            <w:vAlign w:val="center"/>
          </w:tcPr>
          <w:p w14:paraId="6FEA4152">
            <w:pPr>
              <w:widowControl/>
              <w:spacing w:line="240" w:lineRule="auto"/>
              <w:ind w:firstLine="0" w:firstLineChars="0"/>
              <w:jc w:val="center"/>
              <w:rPr>
                <w:rFonts w:eastAsia="仿宋"/>
                <w:sz w:val="21"/>
                <w:szCs w:val="24"/>
              </w:rPr>
            </w:pPr>
            <w:r>
              <w:rPr>
                <w:rFonts w:hint="eastAsia" w:eastAsia="仿宋"/>
                <w:sz w:val="21"/>
                <w:szCs w:val="24"/>
              </w:rPr>
              <w:t>—</w:t>
            </w:r>
          </w:p>
        </w:tc>
      </w:tr>
      <w:tr w14:paraId="6A162FA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10F3CAEB">
            <w:pPr>
              <w:widowControl/>
              <w:spacing w:line="240" w:lineRule="auto"/>
              <w:ind w:firstLine="0" w:firstLineChars="0"/>
              <w:jc w:val="center"/>
              <w:rPr>
                <w:rFonts w:eastAsia="仿宋"/>
                <w:sz w:val="21"/>
                <w:szCs w:val="24"/>
              </w:rPr>
            </w:pPr>
            <w:r>
              <w:rPr>
                <w:rFonts w:hint="eastAsia" w:eastAsia="仿宋"/>
                <w:sz w:val="21"/>
                <w:szCs w:val="24"/>
              </w:rPr>
              <w:t>额定频率</w:t>
            </w:r>
          </w:p>
        </w:tc>
        <w:tc>
          <w:tcPr>
            <w:tcW w:w="1079" w:type="dxa"/>
            <w:vAlign w:val="center"/>
          </w:tcPr>
          <w:p w14:paraId="6D1AD5C2">
            <w:pPr>
              <w:widowControl/>
              <w:spacing w:line="240" w:lineRule="auto"/>
              <w:ind w:firstLine="0" w:firstLineChars="0"/>
              <w:jc w:val="center"/>
              <w:rPr>
                <w:rFonts w:eastAsia="仿宋"/>
                <w:sz w:val="21"/>
                <w:szCs w:val="24"/>
              </w:rPr>
            </w:pPr>
            <w:r>
              <w:rPr>
                <w:rFonts w:hint="eastAsia" w:eastAsia="仿宋"/>
                <w:sz w:val="21"/>
                <w:szCs w:val="24"/>
              </w:rPr>
              <w:t>Hz</w:t>
            </w:r>
          </w:p>
        </w:tc>
        <w:tc>
          <w:tcPr>
            <w:tcW w:w="2327" w:type="dxa"/>
            <w:vAlign w:val="center"/>
          </w:tcPr>
          <w:p w14:paraId="415AEDA5">
            <w:pPr>
              <w:widowControl/>
              <w:spacing w:line="240" w:lineRule="auto"/>
              <w:ind w:firstLine="0" w:firstLineChars="0"/>
              <w:jc w:val="center"/>
              <w:rPr>
                <w:rFonts w:eastAsia="仿宋"/>
                <w:sz w:val="21"/>
                <w:szCs w:val="24"/>
              </w:rPr>
            </w:pPr>
            <w:r>
              <w:rPr>
                <w:rFonts w:hint="eastAsia" w:eastAsia="仿宋"/>
                <w:sz w:val="21"/>
                <w:szCs w:val="24"/>
              </w:rPr>
              <w:t>50</w:t>
            </w:r>
          </w:p>
        </w:tc>
        <w:tc>
          <w:tcPr>
            <w:tcW w:w="2543" w:type="dxa"/>
            <w:vAlign w:val="center"/>
          </w:tcPr>
          <w:p w14:paraId="79BA6002">
            <w:pPr>
              <w:widowControl/>
              <w:spacing w:line="240" w:lineRule="auto"/>
              <w:ind w:firstLine="0" w:firstLineChars="0"/>
              <w:jc w:val="center"/>
              <w:rPr>
                <w:rFonts w:eastAsia="仿宋"/>
                <w:sz w:val="21"/>
                <w:szCs w:val="24"/>
              </w:rPr>
            </w:pPr>
          </w:p>
        </w:tc>
      </w:tr>
      <w:tr w14:paraId="48D3671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396A23A5">
            <w:pPr>
              <w:widowControl/>
              <w:spacing w:line="240" w:lineRule="auto"/>
              <w:ind w:firstLine="0" w:firstLineChars="0"/>
              <w:jc w:val="center"/>
              <w:rPr>
                <w:rFonts w:eastAsia="仿宋"/>
                <w:sz w:val="21"/>
                <w:szCs w:val="24"/>
              </w:rPr>
            </w:pPr>
            <w:r>
              <w:rPr>
                <w:rFonts w:hint="eastAsia" w:eastAsia="仿宋"/>
                <w:sz w:val="21"/>
                <w:szCs w:val="24"/>
              </w:rPr>
              <w:t>（</w:t>
            </w:r>
            <w:r>
              <w:rPr>
                <w:rFonts w:eastAsia="仿宋"/>
                <w:sz w:val="21"/>
                <w:szCs w:val="24"/>
              </w:rPr>
              <w:t>3</w:t>
            </w:r>
            <w:r>
              <w:rPr>
                <w:rFonts w:hint="eastAsia" w:eastAsia="仿宋"/>
                <w:sz w:val="21"/>
                <w:szCs w:val="24"/>
              </w:rPr>
              <w:t>）</w:t>
            </w:r>
            <w:r>
              <w:rPr>
                <w:rFonts w:eastAsia="仿宋"/>
                <w:sz w:val="21"/>
                <w:szCs w:val="24"/>
              </w:rPr>
              <w:t>主变压器</w:t>
            </w:r>
          </w:p>
        </w:tc>
        <w:tc>
          <w:tcPr>
            <w:tcW w:w="1079" w:type="dxa"/>
            <w:vAlign w:val="center"/>
          </w:tcPr>
          <w:p w14:paraId="6CB48A89">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4B689F9D">
            <w:pPr>
              <w:widowControl/>
              <w:spacing w:line="240" w:lineRule="auto"/>
              <w:ind w:firstLine="0" w:firstLineChars="0"/>
              <w:jc w:val="center"/>
              <w:rPr>
                <w:rFonts w:eastAsia="仿宋"/>
                <w:sz w:val="21"/>
                <w:szCs w:val="24"/>
              </w:rPr>
            </w:pPr>
            <w:r>
              <w:rPr>
                <w:rFonts w:hint="eastAsia" w:eastAsia="仿宋"/>
                <w:sz w:val="21"/>
                <w:szCs w:val="24"/>
              </w:rPr>
              <w:t>—</w:t>
            </w:r>
          </w:p>
        </w:tc>
        <w:tc>
          <w:tcPr>
            <w:tcW w:w="2543" w:type="dxa"/>
            <w:vAlign w:val="center"/>
          </w:tcPr>
          <w:p w14:paraId="1462AC3D">
            <w:pPr>
              <w:widowControl/>
              <w:spacing w:line="240" w:lineRule="auto"/>
              <w:ind w:firstLine="0" w:firstLineChars="0"/>
              <w:jc w:val="center"/>
              <w:rPr>
                <w:rFonts w:eastAsia="仿宋"/>
                <w:sz w:val="21"/>
                <w:szCs w:val="24"/>
              </w:rPr>
            </w:pPr>
            <w:r>
              <w:rPr>
                <w:rFonts w:hint="eastAsia" w:eastAsia="仿宋"/>
                <w:sz w:val="21"/>
                <w:szCs w:val="24"/>
              </w:rPr>
              <w:t>—</w:t>
            </w:r>
          </w:p>
        </w:tc>
      </w:tr>
      <w:tr w14:paraId="262203E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03409A39">
            <w:pPr>
              <w:widowControl/>
              <w:spacing w:line="240" w:lineRule="auto"/>
              <w:ind w:firstLine="0" w:firstLineChars="0"/>
              <w:jc w:val="center"/>
              <w:rPr>
                <w:rFonts w:eastAsia="仿宋"/>
                <w:sz w:val="21"/>
                <w:szCs w:val="24"/>
              </w:rPr>
            </w:pPr>
            <w:r>
              <w:rPr>
                <w:rFonts w:eastAsia="仿宋"/>
                <w:sz w:val="21"/>
                <w:szCs w:val="24"/>
              </w:rPr>
              <w:t>型号</w:t>
            </w:r>
          </w:p>
        </w:tc>
        <w:tc>
          <w:tcPr>
            <w:tcW w:w="1079" w:type="dxa"/>
            <w:vAlign w:val="center"/>
          </w:tcPr>
          <w:p w14:paraId="685A40DF">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613E3438">
            <w:pPr>
              <w:widowControl/>
              <w:spacing w:line="240" w:lineRule="auto"/>
              <w:ind w:firstLine="0" w:firstLineChars="0"/>
              <w:jc w:val="center"/>
              <w:rPr>
                <w:rFonts w:eastAsia="仿宋"/>
                <w:sz w:val="21"/>
                <w:szCs w:val="24"/>
              </w:rPr>
            </w:pPr>
            <w:r>
              <w:rPr>
                <w:rFonts w:eastAsia="仿宋"/>
                <w:sz w:val="21"/>
                <w:szCs w:val="24"/>
              </w:rPr>
              <w:t>SF</w:t>
            </w:r>
            <w:r>
              <w:rPr>
                <w:rFonts w:hint="eastAsia" w:eastAsia="仿宋"/>
                <w:sz w:val="21"/>
                <w:szCs w:val="24"/>
              </w:rPr>
              <w:t>11-6300</w:t>
            </w:r>
            <w:r>
              <w:rPr>
                <w:rFonts w:eastAsia="仿宋"/>
                <w:sz w:val="21"/>
                <w:szCs w:val="24"/>
              </w:rPr>
              <w:t>/</w:t>
            </w:r>
            <w:r>
              <w:rPr>
                <w:rFonts w:hint="eastAsia" w:eastAsia="仿宋"/>
                <w:sz w:val="21"/>
                <w:szCs w:val="24"/>
              </w:rPr>
              <w:t>35</w:t>
            </w:r>
          </w:p>
        </w:tc>
        <w:tc>
          <w:tcPr>
            <w:tcW w:w="2543" w:type="dxa"/>
            <w:vAlign w:val="center"/>
          </w:tcPr>
          <w:p w14:paraId="0587C969">
            <w:pPr>
              <w:widowControl/>
              <w:spacing w:line="240" w:lineRule="auto"/>
              <w:ind w:firstLine="0" w:firstLineChars="0"/>
              <w:jc w:val="center"/>
              <w:rPr>
                <w:rFonts w:eastAsia="仿宋"/>
                <w:sz w:val="21"/>
                <w:szCs w:val="24"/>
              </w:rPr>
            </w:pPr>
            <w:r>
              <w:rPr>
                <w:rFonts w:hint="eastAsia" w:eastAsia="仿宋"/>
                <w:sz w:val="21"/>
                <w:szCs w:val="24"/>
              </w:rPr>
              <w:t>—</w:t>
            </w:r>
          </w:p>
        </w:tc>
      </w:tr>
      <w:tr w14:paraId="5450816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282ED713">
            <w:pPr>
              <w:widowControl/>
              <w:spacing w:line="240" w:lineRule="auto"/>
              <w:ind w:firstLine="0" w:firstLineChars="0"/>
              <w:jc w:val="center"/>
              <w:rPr>
                <w:rFonts w:eastAsia="仿宋"/>
                <w:sz w:val="21"/>
                <w:szCs w:val="24"/>
              </w:rPr>
            </w:pPr>
            <w:r>
              <w:rPr>
                <w:rFonts w:eastAsia="仿宋"/>
                <w:sz w:val="21"/>
                <w:szCs w:val="24"/>
              </w:rPr>
              <w:t>台数</w:t>
            </w:r>
          </w:p>
        </w:tc>
        <w:tc>
          <w:tcPr>
            <w:tcW w:w="1079" w:type="dxa"/>
            <w:vAlign w:val="center"/>
          </w:tcPr>
          <w:p w14:paraId="20CBD543">
            <w:pPr>
              <w:widowControl/>
              <w:spacing w:line="240" w:lineRule="auto"/>
              <w:ind w:firstLine="0" w:firstLineChars="0"/>
              <w:jc w:val="center"/>
              <w:rPr>
                <w:rFonts w:eastAsia="仿宋"/>
                <w:sz w:val="21"/>
                <w:szCs w:val="24"/>
              </w:rPr>
            </w:pPr>
            <w:r>
              <w:rPr>
                <w:rFonts w:eastAsia="仿宋"/>
                <w:sz w:val="21"/>
                <w:szCs w:val="24"/>
              </w:rPr>
              <w:t>台</w:t>
            </w:r>
          </w:p>
        </w:tc>
        <w:tc>
          <w:tcPr>
            <w:tcW w:w="2327" w:type="dxa"/>
            <w:vAlign w:val="center"/>
          </w:tcPr>
          <w:p w14:paraId="5D9F267D">
            <w:pPr>
              <w:widowControl/>
              <w:spacing w:line="240" w:lineRule="auto"/>
              <w:ind w:firstLine="0" w:firstLineChars="0"/>
              <w:jc w:val="center"/>
              <w:rPr>
                <w:rFonts w:eastAsia="仿宋"/>
                <w:sz w:val="21"/>
                <w:szCs w:val="24"/>
              </w:rPr>
            </w:pPr>
            <w:r>
              <w:rPr>
                <w:rFonts w:hint="eastAsia" w:eastAsia="仿宋"/>
                <w:sz w:val="21"/>
                <w:szCs w:val="24"/>
              </w:rPr>
              <w:t>1</w:t>
            </w:r>
          </w:p>
        </w:tc>
        <w:tc>
          <w:tcPr>
            <w:tcW w:w="2543" w:type="dxa"/>
            <w:vAlign w:val="center"/>
          </w:tcPr>
          <w:p w14:paraId="07E904B1">
            <w:pPr>
              <w:widowControl/>
              <w:spacing w:line="240" w:lineRule="auto"/>
              <w:ind w:firstLine="0" w:firstLineChars="0"/>
              <w:jc w:val="center"/>
              <w:rPr>
                <w:rFonts w:eastAsia="仿宋"/>
                <w:sz w:val="21"/>
                <w:szCs w:val="24"/>
              </w:rPr>
            </w:pPr>
            <w:r>
              <w:rPr>
                <w:rFonts w:hint="eastAsia" w:eastAsia="仿宋"/>
                <w:sz w:val="21"/>
                <w:szCs w:val="24"/>
              </w:rPr>
              <w:t>—</w:t>
            </w:r>
          </w:p>
        </w:tc>
      </w:tr>
      <w:tr w14:paraId="1F02BE0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015A6515">
            <w:pPr>
              <w:widowControl/>
              <w:spacing w:line="240" w:lineRule="auto"/>
              <w:ind w:firstLine="0" w:firstLineChars="0"/>
              <w:jc w:val="center"/>
              <w:rPr>
                <w:rFonts w:eastAsia="仿宋"/>
                <w:sz w:val="21"/>
                <w:szCs w:val="24"/>
              </w:rPr>
            </w:pPr>
            <w:r>
              <w:rPr>
                <w:rFonts w:eastAsia="仿宋"/>
                <w:sz w:val="21"/>
                <w:szCs w:val="24"/>
              </w:rPr>
              <w:t>容量</w:t>
            </w:r>
          </w:p>
        </w:tc>
        <w:tc>
          <w:tcPr>
            <w:tcW w:w="1079" w:type="dxa"/>
            <w:vAlign w:val="center"/>
          </w:tcPr>
          <w:p w14:paraId="5404E5E1">
            <w:pPr>
              <w:widowControl/>
              <w:spacing w:line="240" w:lineRule="auto"/>
              <w:ind w:firstLine="0" w:firstLineChars="0"/>
              <w:jc w:val="center"/>
              <w:rPr>
                <w:rFonts w:eastAsia="仿宋"/>
                <w:sz w:val="21"/>
                <w:szCs w:val="24"/>
              </w:rPr>
            </w:pPr>
            <w:r>
              <w:rPr>
                <w:rFonts w:eastAsia="仿宋"/>
                <w:sz w:val="21"/>
                <w:szCs w:val="24"/>
              </w:rPr>
              <w:t>kVA</w:t>
            </w:r>
          </w:p>
        </w:tc>
        <w:tc>
          <w:tcPr>
            <w:tcW w:w="2327" w:type="dxa"/>
            <w:vAlign w:val="center"/>
          </w:tcPr>
          <w:p w14:paraId="204AA189">
            <w:pPr>
              <w:widowControl/>
              <w:spacing w:line="240" w:lineRule="auto"/>
              <w:ind w:firstLine="0" w:firstLineChars="0"/>
              <w:jc w:val="center"/>
              <w:rPr>
                <w:rFonts w:eastAsia="仿宋"/>
                <w:sz w:val="21"/>
                <w:szCs w:val="24"/>
              </w:rPr>
            </w:pPr>
            <w:r>
              <w:rPr>
                <w:rFonts w:hint="eastAsia" w:eastAsia="仿宋"/>
                <w:sz w:val="21"/>
                <w:szCs w:val="24"/>
              </w:rPr>
              <w:t>6300</w:t>
            </w:r>
          </w:p>
        </w:tc>
        <w:tc>
          <w:tcPr>
            <w:tcW w:w="2543" w:type="dxa"/>
            <w:vAlign w:val="center"/>
          </w:tcPr>
          <w:p w14:paraId="1235C8E1">
            <w:pPr>
              <w:widowControl/>
              <w:spacing w:line="240" w:lineRule="auto"/>
              <w:ind w:firstLine="0" w:firstLineChars="0"/>
              <w:jc w:val="center"/>
              <w:rPr>
                <w:rFonts w:eastAsia="仿宋"/>
                <w:sz w:val="21"/>
                <w:szCs w:val="24"/>
              </w:rPr>
            </w:pPr>
            <w:r>
              <w:rPr>
                <w:rFonts w:hint="eastAsia" w:eastAsia="仿宋"/>
                <w:sz w:val="21"/>
                <w:szCs w:val="24"/>
              </w:rPr>
              <w:t>—</w:t>
            </w:r>
          </w:p>
        </w:tc>
      </w:tr>
      <w:tr w14:paraId="56AA59C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65F20807">
            <w:pPr>
              <w:pStyle w:val="84"/>
            </w:pPr>
            <w:r>
              <w:rPr>
                <w:rFonts w:hint="eastAsia"/>
              </w:rPr>
              <w:t>额定电压比</w:t>
            </w:r>
          </w:p>
        </w:tc>
        <w:tc>
          <w:tcPr>
            <w:tcW w:w="1079" w:type="dxa"/>
            <w:vAlign w:val="center"/>
          </w:tcPr>
          <w:p w14:paraId="674BD7B3">
            <w:pPr>
              <w:pStyle w:val="84"/>
            </w:pPr>
            <w:r>
              <w:rPr>
                <w:rFonts w:hint="eastAsia"/>
              </w:rPr>
              <w:t>—</w:t>
            </w:r>
          </w:p>
        </w:tc>
        <w:tc>
          <w:tcPr>
            <w:tcW w:w="2327" w:type="dxa"/>
            <w:vAlign w:val="center"/>
          </w:tcPr>
          <w:p w14:paraId="3A91E106">
            <w:pPr>
              <w:pStyle w:val="84"/>
            </w:pPr>
            <w:r>
              <w:rPr>
                <w:rFonts w:hint="eastAsia"/>
              </w:rPr>
              <w:t>38.5/6.3</w:t>
            </w:r>
          </w:p>
        </w:tc>
        <w:tc>
          <w:tcPr>
            <w:tcW w:w="2543" w:type="dxa"/>
            <w:vAlign w:val="center"/>
          </w:tcPr>
          <w:p w14:paraId="46B09B47">
            <w:pPr>
              <w:pStyle w:val="84"/>
            </w:pPr>
            <w:r>
              <w:rPr>
                <w:rFonts w:hint="eastAsia"/>
              </w:rPr>
              <w:t>—</w:t>
            </w:r>
          </w:p>
        </w:tc>
      </w:tr>
      <w:tr w14:paraId="465C85B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091" w:type="dxa"/>
            <w:gridSpan w:val="4"/>
            <w:vAlign w:val="center"/>
          </w:tcPr>
          <w:p w14:paraId="0EF4E29E">
            <w:pPr>
              <w:widowControl/>
              <w:spacing w:line="240" w:lineRule="auto"/>
              <w:ind w:firstLine="0" w:firstLineChars="0"/>
              <w:jc w:val="center"/>
              <w:rPr>
                <w:rFonts w:eastAsia="仿宋"/>
                <w:sz w:val="21"/>
                <w:szCs w:val="24"/>
              </w:rPr>
            </w:pPr>
            <w:r>
              <w:rPr>
                <w:rFonts w:eastAsia="仿宋"/>
                <w:sz w:val="21"/>
                <w:szCs w:val="24"/>
              </w:rPr>
              <w:t>六、施工</w:t>
            </w:r>
          </w:p>
        </w:tc>
      </w:tr>
      <w:tr w14:paraId="5DA5350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1912C466">
            <w:pPr>
              <w:widowControl/>
              <w:spacing w:line="240" w:lineRule="auto"/>
              <w:ind w:firstLine="0" w:firstLineChars="0"/>
              <w:jc w:val="center"/>
              <w:rPr>
                <w:rFonts w:eastAsia="仿宋"/>
                <w:sz w:val="21"/>
                <w:szCs w:val="24"/>
              </w:rPr>
            </w:pPr>
            <w:r>
              <w:rPr>
                <w:rFonts w:eastAsia="仿宋"/>
                <w:sz w:val="21"/>
                <w:szCs w:val="24"/>
              </w:rPr>
              <w:t>1</w:t>
            </w:r>
            <w:r>
              <w:rPr>
                <w:rFonts w:hint="eastAsia" w:eastAsia="仿宋"/>
                <w:sz w:val="21"/>
                <w:szCs w:val="24"/>
              </w:rPr>
              <w:t>．</w:t>
            </w:r>
            <w:r>
              <w:rPr>
                <w:rFonts w:eastAsia="仿宋"/>
                <w:sz w:val="21"/>
                <w:szCs w:val="24"/>
              </w:rPr>
              <w:t>主体工程的主要工程量</w:t>
            </w:r>
          </w:p>
        </w:tc>
        <w:tc>
          <w:tcPr>
            <w:tcW w:w="1079" w:type="dxa"/>
            <w:vAlign w:val="center"/>
          </w:tcPr>
          <w:p w14:paraId="09C7C2D1">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62E9242B">
            <w:pPr>
              <w:widowControl/>
              <w:spacing w:line="240" w:lineRule="auto"/>
              <w:ind w:firstLine="0" w:firstLineChars="0"/>
              <w:jc w:val="center"/>
              <w:rPr>
                <w:rFonts w:eastAsia="仿宋"/>
                <w:sz w:val="21"/>
                <w:szCs w:val="24"/>
              </w:rPr>
            </w:pPr>
            <w:r>
              <w:rPr>
                <w:rFonts w:hint="eastAsia" w:eastAsia="仿宋"/>
                <w:sz w:val="21"/>
                <w:szCs w:val="24"/>
              </w:rPr>
              <w:t>—</w:t>
            </w:r>
          </w:p>
        </w:tc>
        <w:tc>
          <w:tcPr>
            <w:tcW w:w="2543" w:type="dxa"/>
            <w:vAlign w:val="center"/>
          </w:tcPr>
          <w:p w14:paraId="28A8673A">
            <w:pPr>
              <w:widowControl/>
              <w:spacing w:line="240" w:lineRule="auto"/>
              <w:ind w:firstLine="0" w:firstLineChars="0"/>
              <w:jc w:val="center"/>
              <w:rPr>
                <w:rFonts w:eastAsia="仿宋"/>
                <w:sz w:val="21"/>
                <w:szCs w:val="24"/>
              </w:rPr>
            </w:pPr>
            <w:r>
              <w:rPr>
                <w:rFonts w:hint="eastAsia" w:eastAsia="仿宋"/>
                <w:sz w:val="21"/>
                <w:szCs w:val="24"/>
              </w:rPr>
              <w:t>—</w:t>
            </w:r>
          </w:p>
        </w:tc>
      </w:tr>
      <w:tr w14:paraId="6439F54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30CF89FE">
            <w:pPr>
              <w:widowControl/>
              <w:spacing w:line="240" w:lineRule="auto"/>
              <w:ind w:firstLine="0" w:firstLineChars="0"/>
              <w:jc w:val="center"/>
              <w:rPr>
                <w:rFonts w:eastAsia="仿宋"/>
                <w:color w:val="FF0000"/>
                <w:sz w:val="21"/>
                <w:szCs w:val="24"/>
              </w:rPr>
            </w:pPr>
            <w:r>
              <w:rPr>
                <w:rFonts w:eastAsia="仿宋"/>
                <w:color w:val="FF0000"/>
                <w:sz w:val="21"/>
                <w:szCs w:val="24"/>
              </w:rPr>
              <w:t>土石方</w:t>
            </w:r>
            <w:r>
              <w:rPr>
                <w:rFonts w:hint="eastAsia" w:eastAsia="仿宋"/>
                <w:color w:val="FF0000"/>
                <w:sz w:val="21"/>
                <w:szCs w:val="24"/>
              </w:rPr>
              <w:t>开</w:t>
            </w:r>
            <w:r>
              <w:rPr>
                <w:rFonts w:eastAsia="仿宋"/>
                <w:color w:val="FF0000"/>
                <w:sz w:val="21"/>
                <w:szCs w:val="24"/>
              </w:rPr>
              <w:t>挖</w:t>
            </w:r>
          </w:p>
        </w:tc>
        <w:tc>
          <w:tcPr>
            <w:tcW w:w="1079" w:type="dxa"/>
            <w:vAlign w:val="center"/>
          </w:tcPr>
          <w:p w14:paraId="29D4E13B">
            <w:pPr>
              <w:widowControl/>
              <w:spacing w:line="240" w:lineRule="auto"/>
              <w:ind w:firstLine="0" w:firstLineChars="0"/>
              <w:jc w:val="center"/>
              <w:rPr>
                <w:rFonts w:eastAsia="仿宋"/>
                <w:color w:val="FF0000"/>
                <w:sz w:val="21"/>
                <w:szCs w:val="24"/>
              </w:rPr>
            </w:pPr>
            <w:r>
              <w:rPr>
                <w:rFonts w:eastAsia="仿宋"/>
                <w:color w:val="FF0000"/>
                <w:sz w:val="21"/>
                <w:szCs w:val="24"/>
              </w:rPr>
              <w:t>m³</w:t>
            </w:r>
          </w:p>
        </w:tc>
        <w:tc>
          <w:tcPr>
            <w:tcW w:w="2327" w:type="dxa"/>
            <w:vAlign w:val="center"/>
          </w:tcPr>
          <w:p w14:paraId="3D5AD6DB">
            <w:pPr>
              <w:pStyle w:val="84"/>
              <w:rPr>
                <w:color w:val="FF0000"/>
              </w:rPr>
            </w:pPr>
            <w:r>
              <w:rPr>
                <w:rFonts w:hint="eastAsia"/>
                <w:color w:val="FF0000"/>
              </w:rPr>
              <w:t>609</w:t>
            </w:r>
            <w:r>
              <w:rPr>
                <w:color w:val="FF0000"/>
              </w:rPr>
              <w:t>37</w:t>
            </w:r>
          </w:p>
        </w:tc>
        <w:tc>
          <w:tcPr>
            <w:tcW w:w="2543" w:type="dxa"/>
            <w:vAlign w:val="center"/>
          </w:tcPr>
          <w:p w14:paraId="3743152D">
            <w:pPr>
              <w:widowControl/>
              <w:spacing w:line="240" w:lineRule="auto"/>
              <w:ind w:firstLine="0" w:firstLineChars="0"/>
              <w:jc w:val="center"/>
              <w:rPr>
                <w:rFonts w:eastAsia="仿宋"/>
                <w:color w:val="FF0000"/>
                <w:sz w:val="21"/>
                <w:szCs w:val="24"/>
              </w:rPr>
            </w:pPr>
            <w:r>
              <w:rPr>
                <w:rFonts w:hint="eastAsia" w:eastAsia="仿宋"/>
                <w:color w:val="FF0000"/>
                <w:sz w:val="21"/>
                <w:szCs w:val="24"/>
              </w:rPr>
              <w:t>—</w:t>
            </w:r>
          </w:p>
        </w:tc>
      </w:tr>
      <w:tr w14:paraId="5DF2839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4E22B40A">
            <w:pPr>
              <w:pStyle w:val="84"/>
            </w:pPr>
            <w:r>
              <w:t>回填土石方</w:t>
            </w:r>
          </w:p>
        </w:tc>
        <w:tc>
          <w:tcPr>
            <w:tcW w:w="1079" w:type="dxa"/>
            <w:vAlign w:val="center"/>
          </w:tcPr>
          <w:p w14:paraId="3411D082">
            <w:pPr>
              <w:pStyle w:val="84"/>
            </w:pPr>
            <w:r>
              <w:t>m³</w:t>
            </w:r>
          </w:p>
        </w:tc>
        <w:tc>
          <w:tcPr>
            <w:tcW w:w="2327" w:type="dxa"/>
            <w:vAlign w:val="center"/>
          </w:tcPr>
          <w:p w14:paraId="02484A2F">
            <w:pPr>
              <w:pStyle w:val="84"/>
            </w:pPr>
            <w:r>
              <w:rPr>
                <w:rFonts w:hint="eastAsia"/>
              </w:rPr>
              <w:t>25922</w:t>
            </w:r>
          </w:p>
        </w:tc>
        <w:tc>
          <w:tcPr>
            <w:tcW w:w="2543" w:type="dxa"/>
            <w:vAlign w:val="center"/>
          </w:tcPr>
          <w:p w14:paraId="3BFDC9B3">
            <w:pPr>
              <w:pStyle w:val="84"/>
            </w:pPr>
            <w:r>
              <w:rPr>
                <w:rFonts w:hint="eastAsia"/>
              </w:rPr>
              <w:t>—</w:t>
            </w:r>
          </w:p>
        </w:tc>
      </w:tr>
      <w:tr w14:paraId="6C291D8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bottom"/>
          </w:tcPr>
          <w:p w14:paraId="5233C6F2">
            <w:pPr>
              <w:pStyle w:val="84"/>
            </w:pPr>
            <w:r>
              <w:rPr>
                <w:rFonts w:hint="eastAsia"/>
              </w:rPr>
              <w:t>基础固结灌浆</w:t>
            </w:r>
          </w:p>
        </w:tc>
        <w:tc>
          <w:tcPr>
            <w:tcW w:w="1079" w:type="dxa"/>
            <w:vAlign w:val="bottom"/>
          </w:tcPr>
          <w:p w14:paraId="358172C0">
            <w:pPr>
              <w:pStyle w:val="84"/>
            </w:pPr>
            <w:r>
              <w:rPr>
                <w:rFonts w:hint="eastAsia"/>
              </w:rPr>
              <w:t>m</w:t>
            </w:r>
          </w:p>
        </w:tc>
        <w:tc>
          <w:tcPr>
            <w:tcW w:w="2327" w:type="dxa"/>
            <w:vAlign w:val="bottom"/>
          </w:tcPr>
          <w:p w14:paraId="6D53F32A">
            <w:pPr>
              <w:pStyle w:val="84"/>
            </w:pPr>
            <w:r>
              <w:rPr>
                <w:rFonts w:hint="eastAsia"/>
              </w:rPr>
              <w:t>102</w:t>
            </w:r>
          </w:p>
        </w:tc>
        <w:tc>
          <w:tcPr>
            <w:tcW w:w="2543" w:type="dxa"/>
            <w:vAlign w:val="center"/>
          </w:tcPr>
          <w:p w14:paraId="32FD7379">
            <w:pPr>
              <w:widowControl/>
              <w:spacing w:line="240" w:lineRule="auto"/>
              <w:ind w:firstLine="0" w:firstLineChars="0"/>
              <w:jc w:val="center"/>
              <w:rPr>
                <w:rFonts w:eastAsia="仿宋"/>
                <w:sz w:val="21"/>
                <w:szCs w:val="24"/>
              </w:rPr>
            </w:pPr>
            <w:r>
              <w:rPr>
                <w:rFonts w:hint="eastAsia" w:eastAsia="仿宋"/>
                <w:sz w:val="21"/>
                <w:szCs w:val="24"/>
              </w:rPr>
              <w:t>—</w:t>
            </w:r>
          </w:p>
        </w:tc>
      </w:tr>
      <w:tr w14:paraId="215245D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bottom"/>
          </w:tcPr>
          <w:p w14:paraId="47883C80">
            <w:pPr>
              <w:pStyle w:val="84"/>
            </w:pPr>
            <w:r>
              <w:rPr>
                <w:rFonts w:hint="eastAsia"/>
              </w:rPr>
              <w:t>C20混凝土</w:t>
            </w:r>
          </w:p>
        </w:tc>
        <w:tc>
          <w:tcPr>
            <w:tcW w:w="1079" w:type="dxa"/>
            <w:vAlign w:val="bottom"/>
          </w:tcPr>
          <w:p w14:paraId="5ABFBBAC">
            <w:pPr>
              <w:pStyle w:val="84"/>
            </w:pPr>
            <w:r>
              <w:rPr>
                <w:rFonts w:hint="eastAsia"/>
              </w:rPr>
              <w:t>m</w:t>
            </w:r>
            <w:r>
              <w:rPr>
                <w:rFonts w:hint="eastAsia" w:ascii="宋体" w:hAnsi="宋体" w:eastAsia="宋体" w:cs="宋体"/>
              </w:rPr>
              <w:t>³</w:t>
            </w:r>
          </w:p>
        </w:tc>
        <w:tc>
          <w:tcPr>
            <w:tcW w:w="2327" w:type="dxa"/>
            <w:vAlign w:val="bottom"/>
          </w:tcPr>
          <w:p w14:paraId="4B0E9A4F">
            <w:pPr>
              <w:pStyle w:val="84"/>
            </w:pPr>
            <w:r>
              <w:t>17652</w:t>
            </w:r>
          </w:p>
        </w:tc>
        <w:tc>
          <w:tcPr>
            <w:tcW w:w="2543" w:type="dxa"/>
            <w:vAlign w:val="center"/>
          </w:tcPr>
          <w:p w14:paraId="7B569785">
            <w:pPr>
              <w:pStyle w:val="84"/>
            </w:pPr>
            <w:r>
              <w:rPr>
                <w:rFonts w:hint="eastAsia"/>
              </w:rPr>
              <w:t>—</w:t>
            </w:r>
          </w:p>
        </w:tc>
      </w:tr>
      <w:tr w14:paraId="3D055E8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bottom"/>
          </w:tcPr>
          <w:p w14:paraId="36D4E28A">
            <w:pPr>
              <w:widowControl/>
              <w:spacing w:line="240" w:lineRule="auto"/>
              <w:ind w:firstLine="0" w:firstLineChars="0"/>
              <w:jc w:val="center"/>
              <w:rPr>
                <w:rFonts w:eastAsia="仿宋"/>
                <w:sz w:val="21"/>
                <w:szCs w:val="24"/>
              </w:rPr>
            </w:pPr>
            <w:r>
              <w:rPr>
                <w:rFonts w:hint="eastAsia" w:eastAsia="仿宋"/>
                <w:sz w:val="21"/>
                <w:szCs w:val="24"/>
              </w:rPr>
              <w:t>河道清淤</w:t>
            </w:r>
          </w:p>
        </w:tc>
        <w:tc>
          <w:tcPr>
            <w:tcW w:w="1079" w:type="dxa"/>
            <w:vAlign w:val="bottom"/>
          </w:tcPr>
          <w:p w14:paraId="4264091C">
            <w:pPr>
              <w:widowControl/>
              <w:spacing w:line="240" w:lineRule="auto"/>
              <w:ind w:firstLine="0" w:firstLineChars="0"/>
              <w:jc w:val="center"/>
              <w:rPr>
                <w:rFonts w:eastAsia="仿宋"/>
                <w:sz w:val="21"/>
                <w:szCs w:val="24"/>
              </w:rPr>
            </w:pPr>
            <w:r>
              <w:rPr>
                <w:rFonts w:hint="eastAsia" w:eastAsia="仿宋"/>
                <w:sz w:val="21"/>
                <w:szCs w:val="24"/>
              </w:rPr>
              <w:t>m</w:t>
            </w:r>
            <w:r>
              <w:rPr>
                <w:rFonts w:hint="eastAsia" w:ascii="宋体" w:hAnsi="宋体" w:cs="宋体"/>
                <w:sz w:val="21"/>
                <w:szCs w:val="24"/>
              </w:rPr>
              <w:t>³</w:t>
            </w:r>
          </w:p>
        </w:tc>
        <w:tc>
          <w:tcPr>
            <w:tcW w:w="2327" w:type="dxa"/>
            <w:vAlign w:val="bottom"/>
          </w:tcPr>
          <w:p w14:paraId="00D9E1A9">
            <w:pPr>
              <w:widowControl/>
              <w:spacing w:line="240" w:lineRule="auto"/>
              <w:ind w:firstLine="0" w:firstLineChars="0"/>
              <w:jc w:val="center"/>
              <w:rPr>
                <w:rFonts w:eastAsia="仿宋"/>
                <w:sz w:val="21"/>
                <w:szCs w:val="24"/>
              </w:rPr>
            </w:pPr>
            <w:r>
              <w:rPr>
                <w:rFonts w:hint="eastAsia" w:eastAsia="仿宋"/>
                <w:sz w:val="21"/>
                <w:szCs w:val="24"/>
              </w:rPr>
              <w:t>50000</w:t>
            </w:r>
          </w:p>
        </w:tc>
        <w:tc>
          <w:tcPr>
            <w:tcW w:w="2543" w:type="dxa"/>
            <w:vAlign w:val="center"/>
          </w:tcPr>
          <w:p w14:paraId="70CC96A0">
            <w:pPr>
              <w:widowControl/>
              <w:spacing w:line="240" w:lineRule="auto"/>
              <w:ind w:firstLine="0" w:firstLineChars="0"/>
              <w:jc w:val="center"/>
              <w:rPr>
                <w:rFonts w:eastAsia="仿宋"/>
                <w:sz w:val="21"/>
                <w:szCs w:val="24"/>
              </w:rPr>
            </w:pPr>
            <w:r>
              <w:rPr>
                <w:rFonts w:hint="eastAsia" w:eastAsia="仿宋"/>
                <w:sz w:val="21"/>
                <w:szCs w:val="24"/>
              </w:rPr>
              <w:t>—</w:t>
            </w:r>
          </w:p>
        </w:tc>
      </w:tr>
      <w:tr w14:paraId="7637236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52CD835E">
            <w:pPr>
              <w:widowControl/>
              <w:spacing w:line="240" w:lineRule="auto"/>
              <w:ind w:firstLine="0" w:firstLineChars="0"/>
              <w:jc w:val="center"/>
              <w:rPr>
                <w:rFonts w:eastAsia="仿宋"/>
                <w:sz w:val="21"/>
                <w:szCs w:val="24"/>
              </w:rPr>
            </w:pPr>
            <w:r>
              <w:rPr>
                <w:rFonts w:hint="eastAsia" w:eastAsia="仿宋"/>
                <w:sz w:val="21"/>
                <w:szCs w:val="24"/>
              </w:rPr>
              <w:t>水泥</w:t>
            </w:r>
          </w:p>
        </w:tc>
        <w:tc>
          <w:tcPr>
            <w:tcW w:w="1079" w:type="dxa"/>
            <w:vAlign w:val="center"/>
          </w:tcPr>
          <w:p w14:paraId="2C7E25B7">
            <w:pPr>
              <w:widowControl/>
              <w:spacing w:line="240" w:lineRule="auto"/>
              <w:ind w:firstLine="0" w:firstLineChars="0"/>
              <w:jc w:val="center"/>
              <w:rPr>
                <w:rFonts w:eastAsia="仿宋"/>
                <w:sz w:val="21"/>
                <w:szCs w:val="24"/>
              </w:rPr>
            </w:pPr>
            <w:r>
              <w:rPr>
                <w:rFonts w:eastAsia="仿宋"/>
                <w:sz w:val="21"/>
                <w:szCs w:val="24"/>
              </w:rPr>
              <w:t>t</w:t>
            </w:r>
          </w:p>
        </w:tc>
        <w:tc>
          <w:tcPr>
            <w:tcW w:w="2327" w:type="dxa"/>
            <w:vAlign w:val="center"/>
          </w:tcPr>
          <w:p w14:paraId="0095D11E">
            <w:pPr>
              <w:pStyle w:val="84"/>
              <w:rPr>
                <w:rFonts w:cs="宋体"/>
              </w:rPr>
            </w:pPr>
            <w:r>
              <w:rPr>
                <w:rFonts w:hint="eastAsia"/>
              </w:rPr>
              <w:t>5613.93</w:t>
            </w:r>
          </w:p>
        </w:tc>
        <w:tc>
          <w:tcPr>
            <w:tcW w:w="2543" w:type="dxa"/>
            <w:vAlign w:val="center"/>
          </w:tcPr>
          <w:p w14:paraId="7E49DF28">
            <w:pPr>
              <w:widowControl/>
              <w:spacing w:line="240" w:lineRule="auto"/>
              <w:ind w:firstLine="0" w:firstLineChars="0"/>
              <w:jc w:val="center"/>
              <w:rPr>
                <w:rFonts w:eastAsia="仿宋"/>
                <w:sz w:val="21"/>
                <w:szCs w:val="24"/>
              </w:rPr>
            </w:pPr>
            <w:r>
              <w:rPr>
                <w:rFonts w:hint="eastAsia" w:eastAsia="仿宋"/>
                <w:sz w:val="21"/>
                <w:szCs w:val="24"/>
              </w:rPr>
              <w:t>—</w:t>
            </w:r>
          </w:p>
        </w:tc>
      </w:tr>
      <w:tr w14:paraId="71757FB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4D9F8601">
            <w:pPr>
              <w:widowControl/>
              <w:spacing w:line="240" w:lineRule="auto"/>
              <w:ind w:firstLine="0" w:firstLineChars="0"/>
              <w:jc w:val="center"/>
              <w:rPr>
                <w:rFonts w:eastAsia="仿宋"/>
                <w:sz w:val="21"/>
                <w:szCs w:val="24"/>
              </w:rPr>
            </w:pPr>
            <w:r>
              <w:rPr>
                <w:rFonts w:eastAsia="仿宋"/>
                <w:sz w:val="21"/>
                <w:szCs w:val="24"/>
              </w:rPr>
              <w:t>钢</w:t>
            </w:r>
            <w:r>
              <w:rPr>
                <w:rFonts w:hint="eastAsia" w:eastAsia="仿宋"/>
                <w:sz w:val="21"/>
                <w:szCs w:val="24"/>
              </w:rPr>
              <w:t>筋</w:t>
            </w:r>
          </w:p>
        </w:tc>
        <w:tc>
          <w:tcPr>
            <w:tcW w:w="1079" w:type="dxa"/>
            <w:vAlign w:val="center"/>
          </w:tcPr>
          <w:p w14:paraId="7AEBE8E1">
            <w:pPr>
              <w:widowControl/>
              <w:spacing w:line="240" w:lineRule="auto"/>
              <w:ind w:firstLine="0" w:firstLineChars="0"/>
              <w:jc w:val="center"/>
              <w:rPr>
                <w:rFonts w:eastAsia="仿宋"/>
                <w:sz w:val="21"/>
                <w:szCs w:val="24"/>
              </w:rPr>
            </w:pPr>
            <w:r>
              <w:rPr>
                <w:rFonts w:eastAsia="仿宋"/>
                <w:sz w:val="21"/>
                <w:szCs w:val="24"/>
              </w:rPr>
              <w:t>t</w:t>
            </w:r>
          </w:p>
        </w:tc>
        <w:tc>
          <w:tcPr>
            <w:tcW w:w="2327" w:type="dxa"/>
            <w:vAlign w:val="center"/>
          </w:tcPr>
          <w:p w14:paraId="4A1EFA0D">
            <w:pPr>
              <w:pStyle w:val="84"/>
              <w:rPr>
                <w:rFonts w:cs="宋体"/>
              </w:rPr>
            </w:pPr>
            <w:r>
              <w:rPr>
                <w:rFonts w:hint="eastAsia"/>
              </w:rPr>
              <w:t>67.17</w:t>
            </w:r>
          </w:p>
        </w:tc>
        <w:tc>
          <w:tcPr>
            <w:tcW w:w="2543" w:type="dxa"/>
            <w:vAlign w:val="center"/>
          </w:tcPr>
          <w:p w14:paraId="43755987">
            <w:pPr>
              <w:widowControl/>
              <w:spacing w:line="240" w:lineRule="auto"/>
              <w:ind w:firstLine="0" w:firstLineChars="0"/>
              <w:jc w:val="center"/>
              <w:rPr>
                <w:rFonts w:eastAsia="仿宋"/>
                <w:sz w:val="21"/>
                <w:szCs w:val="24"/>
              </w:rPr>
            </w:pPr>
            <w:r>
              <w:rPr>
                <w:rFonts w:hint="eastAsia" w:eastAsia="仿宋"/>
                <w:sz w:val="21"/>
                <w:szCs w:val="24"/>
              </w:rPr>
              <w:t>—</w:t>
            </w:r>
          </w:p>
        </w:tc>
      </w:tr>
      <w:tr w14:paraId="0967ADE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5AC39737">
            <w:pPr>
              <w:pStyle w:val="84"/>
              <w:rPr>
                <w:szCs w:val="21"/>
              </w:rPr>
            </w:pPr>
            <w:r>
              <w:rPr>
                <w:szCs w:val="21"/>
              </w:rPr>
              <w:t>砂料</w:t>
            </w:r>
          </w:p>
        </w:tc>
        <w:tc>
          <w:tcPr>
            <w:tcW w:w="1079" w:type="dxa"/>
            <w:vAlign w:val="center"/>
          </w:tcPr>
          <w:p w14:paraId="62CB0F9C">
            <w:pPr>
              <w:pStyle w:val="84"/>
              <w:rPr>
                <w:szCs w:val="21"/>
              </w:rPr>
            </w:pPr>
            <w:r>
              <w:rPr>
                <w:szCs w:val="21"/>
              </w:rPr>
              <w:t>m</w:t>
            </w:r>
            <w:r>
              <w:rPr>
                <w:rFonts w:eastAsia="宋体"/>
                <w:szCs w:val="21"/>
              </w:rPr>
              <w:t>³</w:t>
            </w:r>
          </w:p>
        </w:tc>
        <w:tc>
          <w:tcPr>
            <w:tcW w:w="2327" w:type="dxa"/>
            <w:vAlign w:val="center"/>
          </w:tcPr>
          <w:p w14:paraId="048275D1">
            <w:pPr>
              <w:pStyle w:val="84"/>
              <w:rPr>
                <w:szCs w:val="21"/>
              </w:rPr>
            </w:pPr>
            <w:r>
              <w:rPr>
                <w:szCs w:val="21"/>
              </w:rPr>
              <w:t xml:space="preserve">11714.47 </w:t>
            </w:r>
          </w:p>
        </w:tc>
        <w:tc>
          <w:tcPr>
            <w:tcW w:w="2543" w:type="dxa"/>
            <w:vAlign w:val="center"/>
          </w:tcPr>
          <w:p w14:paraId="41DAA9F8">
            <w:pPr>
              <w:pStyle w:val="84"/>
              <w:rPr>
                <w:szCs w:val="21"/>
              </w:rPr>
            </w:pPr>
          </w:p>
        </w:tc>
      </w:tr>
      <w:tr w14:paraId="72B59F9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433B3C75">
            <w:pPr>
              <w:pStyle w:val="84"/>
              <w:rPr>
                <w:szCs w:val="21"/>
              </w:rPr>
            </w:pPr>
            <w:r>
              <w:rPr>
                <w:szCs w:val="21"/>
              </w:rPr>
              <w:t>石料</w:t>
            </w:r>
          </w:p>
        </w:tc>
        <w:tc>
          <w:tcPr>
            <w:tcW w:w="1079" w:type="dxa"/>
            <w:vAlign w:val="center"/>
          </w:tcPr>
          <w:p w14:paraId="36797F81">
            <w:pPr>
              <w:pStyle w:val="84"/>
              <w:rPr>
                <w:szCs w:val="21"/>
              </w:rPr>
            </w:pPr>
            <w:r>
              <w:rPr>
                <w:szCs w:val="21"/>
              </w:rPr>
              <w:t>m</w:t>
            </w:r>
            <w:r>
              <w:rPr>
                <w:rFonts w:eastAsia="宋体"/>
                <w:szCs w:val="21"/>
              </w:rPr>
              <w:t>³</w:t>
            </w:r>
          </w:p>
        </w:tc>
        <w:tc>
          <w:tcPr>
            <w:tcW w:w="2327" w:type="dxa"/>
            <w:vAlign w:val="center"/>
          </w:tcPr>
          <w:p w14:paraId="7E1FA756">
            <w:pPr>
              <w:pStyle w:val="84"/>
              <w:rPr>
                <w:szCs w:val="21"/>
              </w:rPr>
            </w:pPr>
            <w:r>
              <w:rPr>
                <w:szCs w:val="21"/>
              </w:rPr>
              <w:t xml:space="preserve">14839.68 </w:t>
            </w:r>
          </w:p>
        </w:tc>
        <w:tc>
          <w:tcPr>
            <w:tcW w:w="2543" w:type="dxa"/>
            <w:vAlign w:val="center"/>
          </w:tcPr>
          <w:p w14:paraId="6BABCB64">
            <w:pPr>
              <w:pStyle w:val="84"/>
              <w:rPr>
                <w:szCs w:val="21"/>
              </w:rPr>
            </w:pPr>
          </w:p>
        </w:tc>
      </w:tr>
      <w:tr w14:paraId="7A47ED4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7" w:hRule="atLeast"/>
          <w:jc w:val="center"/>
        </w:trPr>
        <w:tc>
          <w:tcPr>
            <w:tcW w:w="3142" w:type="dxa"/>
            <w:vAlign w:val="center"/>
          </w:tcPr>
          <w:p w14:paraId="1B3C04CB">
            <w:pPr>
              <w:widowControl/>
              <w:spacing w:line="240" w:lineRule="auto"/>
              <w:ind w:firstLine="0" w:firstLineChars="0"/>
              <w:jc w:val="center"/>
              <w:rPr>
                <w:rFonts w:eastAsia="仿宋"/>
                <w:color w:val="FF0000"/>
                <w:sz w:val="21"/>
                <w:szCs w:val="24"/>
              </w:rPr>
            </w:pPr>
            <w:r>
              <w:rPr>
                <w:rFonts w:hint="eastAsia" w:eastAsia="仿宋"/>
                <w:color w:val="FF0000"/>
                <w:sz w:val="21"/>
                <w:szCs w:val="24"/>
              </w:rPr>
              <w:t>2.工程占地</w:t>
            </w:r>
          </w:p>
        </w:tc>
        <w:tc>
          <w:tcPr>
            <w:tcW w:w="1079" w:type="dxa"/>
            <w:vAlign w:val="center"/>
          </w:tcPr>
          <w:p w14:paraId="740D6E07">
            <w:pPr>
              <w:widowControl/>
              <w:spacing w:line="240" w:lineRule="auto"/>
              <w:ind w:firstLine="0" w:firstLineChars="0"/>
              <w:jc w:val="center"/>
              <w:rPr>
                <w:rFonts w:eastAsia="仿宋"/>
                <w:color w:val="FF0000"/>
                <w:sz w:val="21"/>
                <w:szCs w:val="24"/>
              </w:rPr>
            </w:pPr>
            <w:r>
              <w:rPr>
                <w:color w:val="FF0000"/>
                <w:kern w:val="0"/>
                <w:sz w:val="21"/>
                <w:szCs w:val="21"/>
              </w:rPr>
              <w:t>hm</w:t>
            </w:r>
            <w:r>
              <w:rPr>
                <w:color w:val="FF0000"/>
                <w:kern w:val="0"/>
                <w:sz w:val="21"/>
                <w:szCs w:val="21"/>
                <w:vertAlign w:val="superscript"/>
              </w:rPr>
              <w:t>2</w:t>
            </w:r>
          </w:p>
        </w:tc>
        <w:tc>
          <w:tcPr>
            <w:tcW w:w="2327" w:type="dxa"/>
            <w:vAlign w:val="center"/>
          </w:tcPr>
          <w:p w14:paraId="77207271">
            <w:pPr>
              <w:widowControl/>
              <w:spacing w:line="240" w:lineRule="auto"/>
              <w:ind w:firstLine="0" w:firstLineChars="0"/>
              <w:jc w:val="center"/>
              <w:rPr>
                <w:rFonts w:eastAsia="仿宋"/>
                <w:color w:val="FF0000"/>
                <w:sz w:val="21"/>
                <w:szCs w:val="24"/>
              </w:rPr>
            </w:pPr>
            <w:r>
              <w:rPr>
                <w:rFonts w:hint="eastAsia" w:eastAsia="仿宋"/>
                <w:color w:val="FF0000"/>
                <w:sz w:val="21"/>
                <w:szCs w:val="24"/>
              </w:rPr>
              <w:t>4.02</w:t>
            </w:r>
          </w:p>
        </w:tc>
        <w:tc>
          <w:tcPr>
            <w:tcW w:w="2543" w:type="dxa"/>
            <w:vAlign w:val="center"/>
          </w:tcPr>
          <w:p w14:paraId="0E3421D1">
            <w:pPr>
              <w:widowControl/>
              <w:spacing w:line="240" w:lineRule="auto"/>
              <w:ind w:firstLine="0" w:firstLineChars="0"/>
              <w:jc w:val="center"/>
              <w:rPr>
                <w:rFonts w:eastAsia="仿宋"/>
                <w:color w:val="FF0000"/>
                <w:sz w:val="21"/>
                <w:szCs w:val="24"/>
              </w:rPr>
            </w:pPr>
            <w:r>
              <w:rPr>
                <w:rFonts w:hint="eastAsia" w:eastAsia="仿宋"/>
                <w:color w:val="FF0000"/>
                <w:sz w:val="21"/>
                <w:szCs w:val="24"/>
              </w:rPr>
              <w:t>永久3.03</w:t>
            </w:r>
            <w:r>
              <w:rPr>
                <w:color w:val="FF0000"/>
                <w:kern w:val="0"/>
                <w:sz w:val="21"/>
                <w:szCs w:val="21"/>
              </w:rPr>
              <w:t>hm</w:t>
            </w:r>
            <w:r>
              <w:rPr>
                <w:color w:val="FF0000"/>
                <w:kern w:val="0"/>
                <w:sz w:val="21"/>
                <w:szCs w:val="21"/>
                <w:vertAlign w:val="superscript"/>
              </w:rPr>
              <w:t>2</w:t>
            </w:r>
            <w:r>
              <w:rPr>
                <w:rFonts w:hint="eastAsia" w:eastAsia="仿宋"/>
                <w:color w:val="FF0000"/>
                <w:sz w:val="21"/>
                <w:szCs w:val="24"/>
              </w:rPr>
              <w:t>，临时0.99</w:t>
            </w:r>
            <w:r>
              <w:rPr>
                <w:color w:val="FF0000"/>
                <w:kern w:val="0"/>
                <w:sz w:val="21"/>
                <w:szCs w:val="21"/>
              </w:rPr>
              <w:t>hm</w:t>
            </w:r>
            <w:r>
              <w:rPr>
                <w:color w:val="FF0000"/>
                <w:kern w:val="0"/>
                <w:sz w:val="21"/>
                <w:szCs w:val="21"/>
                <w:vertAlign w:val="superscript"/>
              </w:rPr>
              <w:t>2</w:t>
            </w:r>
          </w:p>
        </w:tc>
      </w:tr>
      <w:tr w14:paraId="2E99421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1F92FC77">
            <w:pPr>
              <w:widowControl/>
              <w:spacing w:line="240" w:lineRule="auto"/>
              <w:ind w:firstLine="0" w:firstLineChars="0"/>
              <w:jc w:val="center"/>
              <w:rPr>
                <w:rFonts w:eastAsia="仿宋"/>
                <w:sz w:val="21"/>
                <w:szCs w:val="24"/>
              </w:rPr>
            </w:pPr>
            <w:r>
              <w:rPr>
                <w:rFonts w:hint="eastAsia" w:eastAsia="仿宋"/>
                <w:sz w:val="21"/>
                <w:szCs w:val="24"/>
              </w:rPr>
              <w:t>3．</w:t>
            </w:r>
            <w:r>
              <w:rPr>
                <w:rFonts w:eastAsia="仿宋"/>
                <w:sz w:val="21"/>
                <w:szCs w:val="24"/>
              </w:rPr>
              <w:t>施工期限</w:t>
            </w:r>
          </w:p>
        </w:tc>
        <w:tc>
          <w:tcPr>
            <w:tcW w:w="1079" w:type="dxa"/>
            <w:vAlign w:val="center"/>
          </w:tcPr>
          <w:p w14:paraId="3D616E06">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0618F3C4">
            <w:pPr>
              <w:widowControl/>
              <w:spacing w:line="240" w:lineRule="auto"/>
              <w:ind w:firstLine="0" w:firstLineChars="0"/>
              <w:jc w:val="center"/>
              <w:rPr>
                <w:rFonts w:eastAsia="仿宋"/>
                <w:sz w:val="21"/>
                <w:szCs w:val="24"/>
              </w:rPr>
            </w:pPr>
            <w:r>
              <w:rPr>
                <w:rFonts w:hint="eastAsia" w:eastAsia="仿宋"/>
                <w:sz w:val="21"/>
                <w:szCs w:val="24"/>
              </w:rPr>
              <w:t>—</w:t>
            </w:r>
          </w:p>
        </w:tc>
        <w:tc>
          <w:tcPr>
            <w:tcW w:w="2543" w:type="dxa"/>
            <w:vAlign w:val="center"/>
          </w:tcPr>
          <w:p w14:paraId="331F7C6F">
            <w:pPr>
              <w:widowControl/>
              <w:spacing w:line="240" w:lineRule="auto"/>
              <w:ind w:firstLine="0" w:firstLineChars="0"/>
              <w:jc w:val="center"/>
              <w:rPr>
                <w:rFonts w:eastAsia="仿宋"/>
                <w:sz w:val="21"/>
                <w:szCs w:val="24"/>
              </w:rPr>
            </w:pPr>
            <w:r>
              <w:rPr>
                <w:rFonts w:hint="eastAsia" w:eastAsia="仿宋"/>
                <w:sz w:val="21"/>
                <w:szCs w:val="24"/>
              </w:rPr>
              <w:t>—</w:t>
            </w:r>
          </w:p>
        </w:tc>
      </w:tr>
      <w:tr w14:paraId="7A73A48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63CC6688">
            <w:pPr>
              <w:widowControl/>
              <w:spacing w:line="240" w:lineRule="auto"/>
              <w:ind w:firstLine="0" w:firstLineChars="0"/>
              <w:jc w:val="center"/>
              <w:rPr>
                <w:rFonts w:eastAsia="仿宋"/>
                <w:sz w:val="21"/>
                <w:szCs w:val="24"/>
              </w:rPr>
            </w:pPr>
            <w:r>
              <w:rPr>
                <w:rFonts w:hint="eastAsia" w:eastAsia="仿宋"/>
                <w:sz w:val="21"/>
                <w:szCs w:val="24"/>
              </w:rPr>
              <w:t>总工期</w:t>
            </w:r>
          </w:p>
        </w:tc>
        <w:tc>
          <w:tcPr>
            <w:tcW w:w="1079" w:type="dxa"/>
            <w:vAlign w:val="center"/>
          </w:tcPr>
          <w:p w14:paraId="34C0F136">
            <w:pPr>
              <w:widowControl/>
              <w:spacing w:line="240" w:lineRule="auto"/>
              <w:ind w:firstLine="0" w:firstLineChars="0"/>
              <w:jc w:val="center"/>
              <w:rPr>
                <w:rFonts w:eastAsia="仿宋"/>
                <w:sz w:val="21"/>
                <w:szCs w:val="24"/>
              </w:rPr>
            </w:pPr>
            <w:r>
              <w:rPr>
                <w:rFonts w:eastAsia="仿宋"/>
                <w:sz w:val="21"/>
                <w:szCs w:val="24"/>
              </w:rPr>
              <w:t>月</w:t>
            </w:r>
          </w:p>
        </w:tc>
        <w:tc>
          <w:tcPr>
            <w:tcW w:w="2327" w:type="dxa"/>
            <w:vAlign w:val="center"/>
          </w:tcPr>
          <w:p w14:paraId="30510604">
            <w:pPr>
              <w:widowControl/>
              <w:spacing w:line="240" w:lineRule="auto"/>
              <w:ind w:firstLine="0" w:firstLineChars="0"/>
              <w:jc w:val="center"/>
              <w:rPr>
                <w:rFonts w:eastAsia="仿宋"/>
                <w:sz w:val="21"/>
                <w:szCs w:val="24"/>
              </w:rPr>
            </w:pPr>
            <w:r>
              <w:rPr>
                <w:rFonts w:hint="eastAsia" w:eastAsia="仿宋"/>
                <w:sz w:val="21"/>
                <w:szCs w:val="24"/>
              </w:rPr>
              <w:t>12</w:t>
            </w:r>
          </w:p>
        </w:tc>
        <w:tc>
          <w:tcPr>
            <w:tcW w:w="2543" w:type="dxa"/>
            <w:vAlign w:val="center"/>
          </w:tcPr>
          <w:p w14:paraId="274829DE">
            <w:pPr>
              <w:widowControl/>
              <w:spacing w:line="240" w:lineRule="auto"/>
              <w:ind w:firstLine="0" w:firstLineChars="0"/>
              <w:jc w:val="center"/>
              <w:rPr>
                <w:rFonts w:eastAsia="仿宋"/>
                <w:sz w:val="21"/>
                <w:szCs w:val="24"/>
              </w:rPr>
            </w:pPr>
            <w:r>
              <w:rPr>
                <w:rFonts w:hint="eastAsia" w:eastAsia="仿宋"/>
                <w:sz w:val="21"/>
                <w:szCs w:val="24"/>
              </w:rPr>
              <w:t>—</w:t>
            </w:r>
          </w:p>
        </w:tc>
      </w:tr>
      <w:tr w14:paraId="5A87286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091" w:type="dxa"/>
            <w:gridSpan w:val="4"/>
            <w:vAlign w:val="center"/>
          </w:tcPr>
          <w:p w14:paraId="702FD83F">
            <w:pPr>
              <w:widowControl/>
              <w:spacing w:line="240" w:lineRule="auto"/>
              <w:ind w:firstLine="0" w:firstLineChars="0"/>
              <w:jc w:val="center"/>
              <w:rPr>
                <w:rFonts w:eastAsia="仿宋"/>
                <w:sz w:val="21"/>
                <w:szCs w:val="24"/>
              </w:rPr>
            </w:pPr>
            <w:r>
              <w:rPr>
                <w:rFonts w:hint="eastAsia" w:eastAsia="仿宋"/>
                <w:sz w:val="21"/>
                <w:szCs w:val="24"/>
              </w:rPr>
              <w:t>七</w:t>
            </w:r>
            <w:r>
              <w:rPr>
                <w:rFonts w:eastAsia="仿宋"/>
                <w:sz w:val="21"/>
                <w:szCs w:val="24"/>
              </w:rPr>
              <w:t>、经济指标</w:t>
            </w:r>
          </w:p>
        </w:tc>
      </w:tr>
      <w:tr w14:paraId="35787E8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44838A66">
            <w:pPr>
              <w:widowControl/>
              <w:spacing w:line="240" w:lineRule="auto"/>
              <w:ind w:firstLine="0" w:firstLineChars="0"/>
              <w:jc w:val="center"/>
              <w:rPr>
                <w:rFonts w:eastAsia="仿宋"/>
                <w:sz w:val="21"/>
                <w:szCs w:val="24"/>
              </w:rPr>
            </w:pPr>
            <w:r>
              <w:rPr>
                <w:rFonts w:eastAsia="仿宋"/>
                <w:sz w:val="21"/>
                <w:szCs w:val="24"/>
              </w:rPr>
              <w:t>1．</w:t>
            </w:r>
            <w:r>
              <w:rPr>
                <w:rFonts w:hint="eastAsia" w:eastAsia="仿宋"/>
                <w:sz w:val="21"/>
                <w:szCs w:val="24"/>
              </w:rPr>
              <w:t>工程</w:t>
            </w:r>
            <w:r>
              <w:rPr>
                <w:rFonts w:eastAsia="仿宋"/>
                <w:sz w:val="21"/>
                <w:szCs w:val="24"/>
              </w:rPr>
              <w:t>总投资</w:t>
            </w:r>
          </w:p>
        </w:tc>
        <w:tc>
          <w:tcPr>
            <w:tcW w:w="1079" w:type="dxa"/>
            <w:vAlign w:val="center"/>
          </w:tcPr>
          <w:p w14:paraId="01849D22">
            <w:pPr>
              <w:widowControl/>
              <w:spacing w:line="240" w:lineRule="auto"/>
              <w:ind w:firstLine="0" w:firstLineChars="0"/>
              <w:jc w:val="center"/>
              <w:rPr>
                <w:rFonts w:eastAsia="仿宋"/>
                <w:sz w:val="21"/>
                <w:szCs w:val="24"/>
              </w:rPr>
            </w:pPr>
            <w:r>
              <w:rPr>
                <w:rFonts w:eastAsia="仿宋"/>
                <w:sz w:val="21"/>
                <w:szCs w:val="24"/>
              </w:rPr>
              <w:t>万元</w:t>
            </w:r>
          </w:p>
        </w:tc>
        <w:tc>
          <w:tcPr>
            <w:tcW w:w="2327" w:type="dxa"/>
            <w:vAlign w:val="bottom"/>
          </w:tcPr>
          <w:p w14:paraId="39153C63">
            <w:pPr>
              <w:pStyle w:val="84"/>
            </w:pPr>
            <w:r>
              <w:rPr>
                <w:rFonts w:hint="eastAsia"/>
              </w:rPr>
              <w:t>4333.14</w:t>
            </w:r>
          </w:p>
        </w:tc>
        <w:tc>
          <w:tcPr>
            <w:tcW w:w="2543" w:type="dxa"/>
            <w:vAlign w:val="center"/>
          </w:tcPr>
          <w:p w14:paraId="689C128F">
            <w:pPr>
              <w:widowControl/>
              <w:spacing w:line="240" w:lineRule="auto"/>
              <w:ind w:firstLine="0" w:firstLineChars="0"/>
              <w:jc w:val="center"/>
              <w:rPr>
                <w:rFonts w:eastAsia="仿宋"/>
                <w:sz w:val="21"/>
                <w:szCs w:val="24"/>
              </w:rPr>
            </w:pPr>
            <w:r>
              <w:rPr>
                <w:rFonts w:hint="eastAsia" w:eastAsia="仿宋"/>
                <w:sz w:val="21"/>
                <w:szCs w:val="24"/>
              </w:rPr>
              <w:t>—</w:t>
            </w:r>
          </w:p>
        </w:tc>
      </w:tr>
      <w:tr w14:paraId="67B524E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42B262FE">
            <w:pPr>
              <w:widowControl/>
              <w:spacing w:line="240" w:lineRule="auto"/>
              <w:ind w:firstLine="0" w:firstLineChars="0"/>
              <w:jc w:val="center"/>
              <w:rPr>
                <w:rFonts w:eastAsia="仿宋"/>
                <w:sz w:val="21"/>
                <w:szCs w:val="24"/>
              </w:rPr>
            </w:pPr>
            <w:r>
              <w:rPr>
                <w:rFonts w:hint="eastAsia" w:eastAsia="仿宋"/>
                <w:sz w:val="21"/>
                <w:szCs w:val="24"/>
              </w:rPr>
              <w:t>（1）枢纽工程</w:t>
            </w:r>
            <w:r>
              <w:rPr>
                <w:rFonts w:eastAsia="仿宋"/>
                <w:sz w:val="21"/>
                <w:szCs w:val="24"/>
              </w:rPr>
              <w:t>投资</w:t>
            </w:r>
          </w:p>
        </w:tc>
        <w:tc>
          <w:tcPr>
            <w:tcW w:w="1079" w:type="dxa"/>
            <w:vAlign w:val="center"/>
          </w:tcPr>
          <w:p w14:paraId="6701193F">
            <w:pPr>
              <w:widowControl/>
              <w:spacing w:line="240" w:lineRule="auto"/>
              <w:ind w:firstLine="0" w:firstLineChars="0"/>
              <w:jc w:val="center"/>
              <w:rPr>
                <w:rFonts w:eastAsia="仿宋"/>
                <w:sz w:val="21"/>
                <w:szCs w:val="21"/>
              </w:rPr>
            </w:pPr>
            <w:r>
              <w:rPr>
                <w:rFonts w:eastAsia="仿宋"/>
                <w:sz w:val="21"/>
                <w:szCs w:val="21"/>
              </w:rPr>
              <w:t>万元</w:t>
            </w:r>
          </w:p>
        </w:tc>
        <w:tc>
          <w:tcPr>
            <w:tcW w:w="2327" w:type="dxa"/>
            <w:vAlign w:val="bottom"/>
          </w:tcPr>
          <w:p w14:paraId="7D2D165A">
            <w:pPr>
              <w:pStyle w:val="84"/>
            </w:pPr>
            <w:r>
              <w:rPr>
                <w:rFonts w:hint="eastAsia"/>
                <w:color w:val="FF0000"/>
              </w:rPr>
              <w:t>4304.175</w:t>
            </w:r>
          </w:p>
        </w:tc>
        <w:tc>
          <w:tcPr>
            <w:tcW w:w="2543" w:type="dxa"/>
            <w:vAlign w:val="center"/>
          </w:tcPr>
          <w:p w14:paraId="0994A7D0">
            <w:pPr>
              <w:widowControl/>
              <w:spacing w:line="240" w:lineRule="auto"/>
              <w:ind w:firstLine="0" w:firstLineChars="0"/>
              <w:jc w:val="center"/>
              <w:rPr>
                <w:rFonts w:eastAsia="仿宋"/>
                <w:sz w:val="21"/>
                <w:szCs w:val="24"/>
              </w:rPr>
            </w:pPr>
            <w:r>
              <w:rPr>
                <w:rFonts w:hint="eastAsia" w:eastAsia="仿宋"/>
                <w:sz w:val="21"/>
                <w:szCs w:val="24"/>
              </w:rPr>
              <w:t>—</w:t>
            </w:r>
          </w:p>
        </w:tc>
      </w:tr>
      <w:tr w14:paraId="274E897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278EC56C">
            <w:pPr>
              <w:widowControl/>
              <w:spacing w:line="240" w:lineRule="auto"/>
              <w:ind w:firstLine="0" w:firstLineChars="0"/>
              <w:jc w:val="center"/>
              <w:rPr>
                <w:rFonts w:eastAsia="仿宋"/>
                <w:sz w:val="21"/>
                <w:szCs w:val="24"/>
              </w:rPr>
            </w:pPr>
            <w:r>
              <w:rPr>
                <w:rFonts w:eastAsia="仿宋"/>
                <w:sz w:val="21"/>
                <w:szCs w:val="24"/>
              </w:rPr>
              <w:t>建筑工程</w:t>
            </w:r>
          </w:p>
        </w:tc>
        <w:tc>
          <w:tcPr>
            <w:tcW w:w="1079" w:type="dxa"/>
            <w:vAlign w:val="center"/>
          </w:tcPr>
          <w:p w14:paraId="2BEFB805">
            <w:pPr>
              <w:widowControl/>
              <w:spacing w:line="240" w:lineRule="auto"/>
              <w:ind w:firstLine="0" w:firstLineChars="0"/>
              <w:jc w:val="center"/>
              <w:rPr>
                <w:rFonts w:eastAsia="仿宋"/>
                <w:sz w:val="21"/>
                <w:szCs w:val="24"/>
              </w:rPr>
            </w:pPr>
            <w:r>
              <w:rPr>
                <w:rFonts w:eastAsia="仿宋"/>
                <w:sz w:val="21"/>
                <w:szCs w:val="24"/>
              </w:rPr>
              <w:t>万元</w:t>
            </w:r>
          </w:p>
        </w:tc>
        <w:tc>
          <w:tcPr>
            <w:tcW w:w="2327" w:type="dxa"/>
            <w:vAlign w:val="center"/>
          </w:tcPr>
          <w:p w14:paraId="62BF2939">
            <w:pPr>
              <w:pStyle w:val="84"/>
            </w:pPr>
            <w:r>
              <w:rPr>
                <w:rFonts w:hint="eastAsia"/>
              </w:rPr>
              <w:t>1408.32</w:t>
            </w:r>
          </w:p>
        </w:tc>
        <w:tc>
          <w:tcPr>
            <w:tcW w:w="2543" w:type="dxa"/>
            <w:vAlign w:val="center"/>
          </w:tcPr>
          <w:p w14:paraId="16A62DBC">
            <w:pPr>
              <w:widowControl/>
              <w:spacing w:line="240" w:lineRule="auto"/>
              <w:ind w:firstLine="0" w:firstLineChars="0"/>
              <w:jc w:val="center"/>
              <w:rPr>
                <w:rFonts w:eastAsia="仿宋"/>
                <w:sz w:val="21"/>
                <w:szCs w:val="24"/>
              </w:rPr>
            </w:pPr>
            <w:r>
              <w:rPr>
                <w:rFonts w:hint="eastAsia" w:eastAsia="仿宋"/>
                <w:sz w:val="21"/>
                <w:szCs w:val="24"/>
              </w:rPr>
              <w:t>—</w:t>
            </w:r>
          </w:p>
        </w:tc>
      </w:tr>
      <w:tr w14:paraId="5001C35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3F29037A">
            <w:pPr>
              <w:widowControl/>
              <w:spacing w:line="240" w:lineRule="auto"/>
              <w:ind w:firstLine="0" w:firstLineChars="0"/>
              <w:jc w:val="center"/>
              <w:rPr>
                <w:rFonts w:eastAsia="仿宋"/>
                <w:sz w:val="21"/>
                <w:szCs w:val="24"/>
              </w:rPr>
            </w:pPr>
            <w:r>
              <w:rPr>
                <w:rFonts w:eastAsia="仿宋"/>
                <w:sz w:val="21"/>
                <w:szCs w:val="24"/>
              </w:rPr>
              <w:t>机电设备及安装工程</w:t>
            </w:r>
          </w:p>
        </w:tc>
        <w:tc>
          <w:tcPr>
            <w:tcW w:w="1079" w:type="dxa"/>
            <w:vAlign w:val="center"/>
          </w:tcPr>
          <w:p w14:paraId="508B6448">
            <w:pPr>
              <w:widowControl/>
              <w:spacing w:line="240" w:lineRule="auto"/>
              <w:ind w:firstLine="0" w:firstLineChars="0"/>
              <w:jc w:val="center"/>
              <w:rPr>
                <w:rFonts w:eastAsia="仿宋"/>
                <w:sz w:val="21"/>
                <w:szCs w:val="24"/>
              </w:rPr>
            </w:pPr>
            <w:r>
              <w:rPr>
                <w:rFonts w:eastAsia="仿宋"/>
                <w:sz w:val="21"/>
                <w:szCs w:val="24"/>
              </w:rPr>
              <w:t>万元</w:t>
            </w:r>
          </w:p>
        </w:tc>
        <w:tc>
          <w:tcPr>
            <w:tcW w:w="2327" w:type="dxa"/>
            <w:vAlign w:val="center"/>
          </w:tcPr>
          <w:p w14:paraId="1691F4A1">
            <w:pPr>
              <w:pStyle w:val="84"/>
            </w:pPr>
            <w:r>
              <w:rPr>
                <w:rFonts w:hint="eastAsia"/>
              </w:rPr>
              <w:t>1452.45</w:t>
            </w:r>
          </w:p>
        </w:tc>
        <w:tc>
          <w:tcPr>
            <w:tcW w:w="2543" w:type="dxa"/>
            <w:vAlign w:val="center"/>
          </w:tcPr>
          <w:p w14:paraId="295A96BE">
            <w:pPr>
              <w:widowControl/>
              <w:spacing w:line="240" w:lineRule="auto"/>
              <w:ind w:firstLine="0" w:firstLineChars="0"/>
              <w:jc w:val="center"/>
              <w:rPr>
                <w:rFonts w:eastAsia="仿宋"/>
                <w:sz w:val="21"/>
                <w:szCs w:val="24"/>
              </w:rPr>
            </w:pPr>
            <w:r>
              <w:rPr>
                <w:rFonts w:hint="eastAsia" w:eastAsia="仿宋"/>
                <w:sz w:val="21"/>
                <w:szCs w:val="24"/>
              </w:rPr>
              <w:t>—</w:t>
            </w:r>
          </w:p>
        </w:tc>
      </w:tr>
      <w:tr w14:paraId="5132769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386E9CB2">
            <w:pPr>
              <w:widowControl/>
              <w:spacing w:line="240" w:lineRule="auto"/>
              <w:ind w:firstLine="0" w:firstLineChars="0"/>
              <w:jc w:val="center"/>
              <w:rPr>
                <w:rFonts w:eastAsia="仿宋"/>
                <w:sz w:val="21"/>
                <w:szCs w:val="24"/>
              </w:rPr>
            </w:pPr>
            <w:r>
              <w:rPr>
                <w:rFonts w:eastAsia="仿宋"/>
                <w:sz w:val="21"/>
                <w:szCs w:val="24"/>
              </w:rPr>
              <w:t>金属结构设备及安装工程</w:t>
            </w:r>
          </w:p>
        </w:tc>
        <w:tc>
          <w:tcPr>
            <w:tcW w:w="1079" w:type="dxa"/>
            <w:vAlign w:val="center"/>
          </w:tcPr>
          <w:p w14:paraId="730C3D16">
            <w:pPr>
              <w:widowControl/>
              <w:spacing w:line="240" w:lineRule="auto"/>
              <w:ind w:firstLine="0" w:firstLineChars="0"/>
              <w:jc w:val="center"/>
              <w:rPr>
                <w:rFonts w:eastAsia="仿宋"/>
                <w:sz w:val="21"/>
                <w:szCs w:val="24"/>
              </w:rPr>
            </w:pPr>
            <w:r>
              <w:rPr>
                <w:rFonts w:eastAsia="仿宋"/>
                <w:sz w:val="21"/>
                <w:szCs w:val="24"/>
              </w:rPr>
              <w:t>万元</w:t>
            </w:r>
          </w:p>
        </w:tc>
        <w:tc>
          <w:tcPr>
            <w:tcW w:w="2327" w:type="dxa"/>
            <w:vAlign w:val="center"/>
          </w:tcPr>
          <w:p w14:paraId="17D86557">
            <w:pPr>
              <w:pStyle w:val="84"/>
            </w:pPr>
            <w:r>
              <w:rPr>
                <w:rFonts w:hint="eastAsia"/>
              </w:rPr>
              <w:t>580.34</w:t>
            </w:r>
          </w:p>
        </w:tc>
        <w:tc>
          <w:tcPr>
            <w:tcW w:w="2543" w:type="dxa"/>
            <w:vAlign w:val="center"/>
          </w:tcPr>
          <w:p w14:paraId="565BA1C6">
            <w:pPr>
              <w:widowControl/>
              <w:spacing w:line="240" w:lineRule="auto"/>
              <w:ind w:firstLine="0" w:firstLineChars="0"/>
              <w:jc w:val="center"/>
              <w:rPr>
                <w:rFonts w:eastAsia="仿宋"/>
                <w:sz w:val="21"/>
                <w:szCs w:val="24"/>
              </w:rPr>
            </w:pPr>
            <w:r>
              <w:rPr>
                <w:rFonts w:hint="eastAsia" w:eastAsia="仿宋"/>
                <w:sz w:val="21"/>
                <w:szCs w:val="24"/>
              </w:rPr>
              <w:t>—</w:t>
            </w:r>
          </w:p>
        </w:tc>
      </w:tr>
      <w:tr w14:paraId="48B4091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75B4339F">
            <w:pPr>
              <w:widowControl/>
              <w:spacing w:line="240" w:lineRule="auto"/>
              <w:ind w:firstLine="0" w:firstLineChars="0"/>
              <w:jc w:val="center"/>
              <w:rPr>
                <w:rFonts w:eastAsia="仿宋"/>
                <w:sz w:val="21"/>
                <w:szCs w:val="24"/>
              </w:rPr>
            </w:pPr>
            <w:r>
              <w:rPr>
                <w:rFonts w:eastAsia="仿宋"/>
                <w:sz w:val="21"/>
                <w:szCs w:val="24"/>
              </w:rPr>
              <w:t>临时工程</w:t>
            </w:r>
          </w:p>
        </w:tc>
        <w:tc>
          <w:tcPr>
            <w:tcW w:w="1079" w:type="dxa"/>
            <w:vAlign w:val="center"/>
          </w:tcPr>
          <w:p w14:paraId="5B9CFE05">
            <w:pPr>
              <w:widowControl/>
              <w:spacing w:line="240" w:lineRule="auto"/>
              <w:ind w:firstLine="0" w:firstLineChars="0"/>
              <w:jc w:val="center"/>
              <w:rPr>
                <w:rFonts w:eastAsia="仿宋"/>
                <w:sz w:val="21"/>
                <w:szCs w:val="24"/>
              </w:rPr>
            </w:pPr>
            <w:r>
              <w:rPr>
                <w:rFonts w:eastAsia="仿宋"/>
                <w:sz w:val="21"/>
                <w:szCs w:val="24"/>
              </w:rPr>
              <w:t>万元</w:t>
            </w:r>
          </w:p>
        </w:tc>
        <w:tc>
          <w:tcPr>
            <w:tcW w:w="2327" w:type="dxa"/>
            <w:vAlign w:val="center"/>
          </w:tcPr>
          <w:p w14:paraId="7C79940E">
            <w:pPr>
              <w:pStyle w:val="84"/>
            </w:pPr>
            <w:r>
              <w:rPr>
                <w:rFonts w:hint="eastAsia"/>
              </w:rPr>
              <w:t>132.53</w:t>
            </w:r>
          </w:p>
        </w:tc>
        <w:tc>
          <w:tcPr>
            <w:tcW w:w="2543" w:type="dxa"/>
            <w:vAlign w:val="center"/>
          </w:tcPr>
          <w:p w14:paraId="780FED95">
            <w:pPr>
              <w:widowControl/>
              <w:spacing w:line="240" w:lineRule="auto"/>
              <w:ind w:firstLine="0" w:firstLineChars="0"/>
              <w:jc w:val="center"/>
              <w:rPr>
                <w:rFonts w:eastAsia="仿宋"/>
                <w:sz w:val="21"/>
                <w:szCs w:val="24"/>
              </w:rPr>
            </w:pPr>
            <w:r>
              <w:rPr>
                <w:rFonts w:hint="eastAsia" w:eastAsia="仿宋"/>
                <w:sz w:val="21"/>
                <w:szCs w:val="24"/>
              </w:rPr>
              <w:t>—</w:t>
            </w:r>
          </w:p>
        </w:tc>
      </w:tr>
      <w:tr w14:paraId="74CFC56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681D948E">
            <w:pPr>
              <w:widowControl/>
              <w:spacing w:line="240" w:lineRule="auto"/>
              <w:ind w:firstLine="0" w:firstLineChars="0"/>
              <w:jc w:val="center"/>
              <w:rPr>
                <w:rFonts w:eastAsia="仿宋"/>
                <w:sz w:val="21"/>
                <w:szCs w:val="24"/>
              </w:rPr>
            </w:pPr>
            <w:r>
              <w:rPr>
                <w:rFonts w:eastAsia="仿宋"/>
                <w:sz w:val="21"/>
                <w:szCs w:val="24"/>
              </w:rPr>
              <w:t>独立费用</w:t>
            </w:r>
          </w:p>
        </w:tc>
        <w:tc>
          <w:tcPr>
            <w:tcW w:w="1079" w:type="dxa"/>
            <w:vAlign w:val="center"/>
          </w:tcPr>
          <w:p w14:paraId="3BC0A511">
            <w:pPr>
              <w:widowControl/>
              <w:spacing w:line="240" w:lineRule="auto"/>
              <w:ind w:firstLine="0" w:firstLineChars="0"/>
              <w:jc w:val="center"/>
              <w:rPr>
                <w:rFonts w:eastAsia="仿宋"/>
                <w:sz w:val="21"/>
                <w:szCs w:val="24"/>
              </w:rPr>
            </w:pPr>
            <w:r>
              <w:rPr>
                <w:rFonts w:eastAsia="仿宋"/>
                <w:sz w:val="21"/>
                <w:szCs w:val="24"/>
              </w:rPr>
              <w:t>万元</w:t>
            </w:r>
          </w:p>
        </w:tc>
        <w:tc>
          <w:tcPr>
            <w:tcW w:w="2327" w:type="dxa"/>
            <w:vAlign w:val="center"/>
          </w:tcPr>
          <w:p w14:paraId="2F82844E">
            <w:pPr>
              <w:pStyle w:val="84"/>
            </w:pPr>
            <w:r>
              <w:rPr>
                <w:rFonts w:hint="eastAsia"/>
              </w:rPr>
              <w:t>325.33</w:t>
            </w:r>
          </w:p>
        </w:tc>
        <w:tc>
          <w:tcPr>
            <w:tcW w:w="2543" w:type="dxa"/>
            <w:vAlign w:val="center"/>
          </w:tcPr>
          <w:p w14:paraId="7BBC286B">
            <w:pPr>
              <w:widowControl/>
              <w:spacing w:line="240" w:lineRule="auto"/>
              <w:ind w:firstLine="0" w:firstLineChars="0"/>
              <w:jc w:val="center"/>
              <w:rPr>
                <w:rFonts w:eastAsia="仿宋"/>
                <w:sz w:val="21"/>
                <w:szCs w:val="24"/>
              </w:rPr>
            </w:pPr>
            <w:r>
              <w:rPr>
                <w:rFonts w:hint="eastAsia" w:eastAsia="仿宋"/>
                <w:sz w:val="21"/>
                <w:szCs w:val="24"/>
              </w:rPr>
              <w:t>—</w:t>
            </w:r>
          </w:p>
        </w:tc>
      </w:tr>
      <w:tr w14:paraId="066713D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0960A1A4">
            <w:pPr>
              <w:widowControl/>
              <w:spacing w:line="240" w:lineRule="auto"/>
              <w:ind w:firstLine="0" w:firstLineChars="0"/>
              <w:jc w:val="center"/>
              <w:rPr>
                <w:rFonts w:eastAsia="仿宋"/>
                <w:color w:val="FF0000"/>
                <w:sz w:val="21"/>
                <w:szCs w:val="24"/>
              </w:rPr>
            </w:pPr>
            <w:r>
              <w:rPr>
                <w:rFonts w:eastAsia="仿宋"/>
                <w:color w:val="FF0000"/>
                <w:sz w:val="21"/>
                <w:szCs w:val="24"/>
              </w:rPr>
              <w:t>预备费</w:t>
            </w:r>
          </w:p>
        </w:tc>
        <w:tc>
          <w:tcPr>
            <w:tcW w:w="1079" w:type="dxa"/>
            <w:vAlign w:val="center"/>
          </w:tcPr>
          <w:p w14:paraId="749937D1">
            <w:pPr>
              <w:widowControl/>
              <w:spacing w:line="240" w:lineRule="auto"/>
              <w:ind w:firstLine="0" w:firstLineChars="0"/>
              <w:jc w:val="center"/>
              <w:rPr>
                <w:rFonts w:eastAsia="仿宋"/>
                <w:color w:val="FF0000"/>
                <w:sz w:val="21"/>
                <w:szCs w:val="24"/>
              </w:rPr>
            </w:pPr>
            <w:r>
              <w:rPr>
                <w:rFonts w:eastAsia="仿宋"/>
                <w:color w:val="FF0000"/>
                <w:sz w:val="21"/>
                <w:szCs w:val="24"/>
              </w:rPr>
              <w:t>万元</w:t>
            </w:r>
          </w:p>
        </w:tc>
        <w:tc>
          <w:tcPr>
            <w:tcW w:w="2327" w:type="dxa"/>
            <w:vAlign w:val="center"/>
          </w:tcPr>
          <w:p w14:paraId="2D56AC5C">
            <w:pPr>
              <w:pStyle w:val="84"/>
              <w:rPr>
                <w:color w:val="FF0000"/>
              </w:rPr>
            </w:pPr>
            <w:r>
              <w:rPr>
                <w:rFonts w:hint="eastAsia"/>
                <w:color w:val="FF0000"/>
              </w:rPr>
              <w:t>405.205</w:t>
            </w:r>
          </w:p>
        </w:tc>
        <w:tc>
          <w:tcPr>
            <w:tcW w:w="2543" w:type="dxa"/>
            <w:vAlign w:val="center"/>
          </w:tcPr>
          <w:p w14:paraId="5A874E67">
            <w:pPr>
              <w:widowControl/>
              <w:spacing w:line="240" w:lineRule="auto"/>
              <w:ind w:firstLine="0" w:firstLineChars="0"/>
              <w:jc w:val="center"/>
              <w:rPr>
                <w:rFonts w:eastAsia="仿宋"/>
                <w:color w:val="FF0000"/>
                <w:sz w:val="21"/>
                <w:szCs w:val="24"/>
              </w:rPr>
            </w:pPr>
            <w:r>
              <w:rPr>
                <w:rFonts w:hint="eastAsia" w:eastAsia="仿宋"/>
                <w:color w:val="FF0000"/>
                <w:sz w:val="21"/>
                <w:szCs w:val="24"/>
              </w:rPr>
              <w:t>—</w:t>
            </w:r>
          </w:p>
        </w:tc>
      </w:tr>
      <w:tr w14:paraId="4081D77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37" w:hRule="atLeast"/>
          <w:jc w:val="center"/>
        </w:trPr>
        <w:tc>
          <w:tcPr>
            <w:tcW w:w="3142" w:type="dxa"/>
            <w:vAlign w:val="center"/>
          </w:tcPr>
          <w:p w14:paraId="279CF6D0">
            <w:pPr>
              <w:pStyle w:val="84"/>
              <w:rPr>
                <w:color w:val="FF0000"/>
              </w:rPr>
            </w:pPr>
            <w:r>
              <w:rPr>
                <w:rFonts w:hint="eastAsia"/>
                <w:color w:val="FF0000"/>
              </w:rPr>
              <w:t>（2）</w:t>
            </w:r>
            <w:r>
              <w:rPr>
                <w:color w:val="FF0000"/>
              </w:rPr>
              <w:t>环</w:t>
            </w:r>
            <w:r>
              <w:rPr>
                <w:rFonts w:hint="eastAsia"/>
                <w:color w:val="FF0000"/>
              </w:rPr>
              <w:t>保</w:t>
            </w:r>
            <w:r>
              <w:rPr>
                <w:color w:val="FF0000"/>
              </w:rPr>
              <w:t>投资</w:t>
            </w:r>
          </w:p>
        </w:tc>
        <w:tc>
          <w:tcPr>
            <w:tcW w:w="1079" w:type="dxa"/>
            <w:vAlign w:val="center"/>
          </w:tcPr>
          <w:p w14:paraId="7BBC318E">
            <w:pPr>
              <w:pStyle w:val="84"/>
              <w:rPr>
                <w:color w:val="FF0000"/>
              </w:rPr>
            </w:pPr>
            <w:r>
              <w:rPr>
                <w:color w:val="FF0000"/>
              </w:rPr>
              <w:t>万元</w:t>
            </w:r>
          </w:p>
        </w:tc>
        <w:tc>
          <w:tcPr>
            <w:tcW w:w="2327" w:type="dxa"/>
            <w:vAlign w:val="center"/>
          </w:tcPr>
          <w:p w14:paraId="61E8B27F">
            <w:pPr>
              <w:pStyle w:val="84"/>
              <w:rPr>
                <w:color w:val="FF0000"/>
              </w:rPr>
            </w:pPr>
            <w:r>
              <w:rPr>
                <w:rFonts w:hint="eastAsia"/>
                <w:color w:val="FF0000"/>
              </w:rPr>
              <w:t>38.965</w:t>
            </w:r>
          </w:p>
        </w:tc>
        <w:tc>
          <w:tcPr>
            <w:tcW w:w="2543" w:type="dxa"/>
            <w:vAlign w:val="center"/>
          </w:tcPr>
          <w:p w14:paraId="0109CA13">
            <w:pPr>
              <w:pStyle w:val="84"/>
              <w:rPr>
                <w:color w:val="FF0000"/>
              </w:rPr>
            </w:pPr>
            <w:r>
              <w:rPr>
                <w:color w:val="FF0000"/>
              </w:rPr>
              <w:t>占总投资</w:t>
            </w:r>
            <w:r>
              <w:rPr>
                <w:rFonts w:hint="eastAsia"/>
                <w:color w:val="FF0000"/>
              </w:rPr>
              <w:t>的0.9</w:t>
            </w:r>
            <w:r>
              <w:rPr>
                <w:color w:val="FF0000"/>
              </w:rPr>
              <w:t>%</w:t>
            </w:r>
          </w:p>
        </w:tc>
      </w:tr>
      <w:tr w14:paraId="20D0937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18479543">
            <w:pPr>
              <w:widowControl/>
              <w:spacing w:line="240" w:lineRule="auto"/>
              <w:ind w:firstLine="0" w:firstLineChars="0"/>
              <w:jc w:val="center"/>
              <w:rPr>
                <w:rFonts w:eastAsia="仿宋"/>
                <w:sz w:val="21"/>
                <w:szCs w:val="24"/>
              </w:rPr>
            </w:pPr>
            <w:r>
              <w:rPr>
                <w:rFonts w:hint="eastAsia" w:eastAsia="仿宋"/>
                <w:sz w:val="21"/>
                <w:szCs w:val="24"/>
              </w:rPr>
              <w:t>2</w:t>
            </w:r>
            <w:r>
              <w:rPr>
                <w:rFonts w:eastAsia="仿宋"/>
                <w:sz w:val="21"/>
                <w:szCs w:val="24"/>
              </w:rPr>
              <w:t>．综合利用经济指标</w:t>
            </w:r>
          </w:p>
        </w:tc>
        <w:tc>
          <w:tcPr>
            <w:tcW w:w="1079" w:type="dxa"/>
            <w:vAlign w:val="center"/>
          </w:tcPr>
          <w:p w14:paraId="016BD4CB">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49BD269D">
            <w:pPr>
              <w:widowControl/>
              <w:spacing w:line="240" w:lineRule="auto"/>
              <w:ind w:firstLine="0" w:firstLineChars="0"/>
              <w:jc w:val="center"/>
              <w:rPr>
                <w:rFonts w:eastAsia="仿宋"/>
                <w:sz w:val="21"/>
                <w:szCs w:val="24"/>
              </w:rPr>
            </w:pPr>
            <w:r>
              <w:rPr>
                <w:rFonts w:hint="eastAsia" w:eastAsia="仿宋"/>
                <w:sz w:val="21"/>
                <w:szCs w:val="24"/>
              </w:rPr>
              <w:t>—</w:t>
            </w:r>
          </w:p>
        </w:tc>
        <w:tc>
          <w:tcPr>
            <w:tcW w:w="2543" w:type="dxa"/>
            <w:vAlign w:val="center"/>
          </w:tcPr>
          <w:p w14:paraId="3A4074E3">
            <w:pPr>
              <w:widowControl/>
              <w:spacing w:line="240" w:lineRule="auto"/>
              <w:ind w:firstLine="0" w:firstLineChars="0"/>
              <w:jc w:val="center"/>
              <w:rPr>
                <w:rFonts w:eastAsia="仿宋"/>
                <w:sz w:val="21"/>
                <w:szCs w:val="24"/>
              </w:rPr>
            </w:pPr>
            <w:r>
              <w:rPr>
                <w:rFonts w:hint="eastAsia" w:eastAsia="仿宋"/>
                <w:sz w:val="21"/>
                <w:szCs w:val="24"/>
              </w:rPr>
              <w:t>—</w:t>
            </w:r>
          </w:p>
        </w:tc>
      </w:tr>
      <w:tr w14:paraId="31870C8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0F93060D">
            <w:pPr>
              <w:pStyle w:val="84"/>
            </w:pPr>
            <w:r>
              <w:t>单位千瓦投资</w:t>
            </w:r>
          </w:p>
        </w:tc>
        <w:tc>
          <w:tcPr>
            <w:tcW w:w="1079" w:type="dxa"/>
            <w:vAlign w:val="center"/>
          </w:tcPr>
          <w:p w14:paraId="1658B1B2">
            <w:pPr>
              <w:pStyle w:val="84"/>
            </w:pPr>
            <w:r>
              <w:t>元/kW</w:t>
            </w:r>
          </w:p>
        </w:tc>
        <w:tc>
          <w:tcPr>
            <w:tcW w:w="2327" w:type="dxa"/>
            <w:vAlign w:val="bottom"/>
          </w:tcPr>
          <w:p w14:paraId="09992085">
            <w:pPr>
              <w:pStyle w:val="84"/>
            </w:pPr>
            <w:r>
              <w:rPr>
                <w:rFonts w:hint="eastAsia"/>
              </w:rPr>
              <w:t>8843.15</w:t>
            </w:r>
          </w:p>
        </w:tc>
        <w:tc>
          <w:tcPr>
            <w:tcW w:w="2543" w:type="dxa"/>
            <w:vAlign w:val="center"/>
          </w:tcPr>
          <w:p w14:paraId="7603E248">
            <w:pPr>
              <w:pStyle w:val="84"/>
            </w:pPr>
            <w:r>
              <w:rPr>
                <w:rFonts w:hint="eastAsia"/>
              </w:rPr>
              <w:t>—</w:t>
            </w:r>
          </w:p>
        </w:tc>
      </w:tr>
      <w:tr w14:paraId="36A41B3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2DF21DC0">
            <w:pPr>
              <w:pStyle w:val="84"/>
            </w:pPr>
            <w:r>
              <w:t>单位电度投资</w:t>
            </w:r>
          </w:p>
        </w:tc>
        <w:tc>
          <w:tcPr>
            <w:tcW w:w="1079" w:type="dxa"/>
            <w:vAlign w:val="center"/>
          </w:tcPr>
          <w:p w14:paraId="3A776409">
            <w:pPr>
              <w:pStyle w:val="84"/>
            </w:pPr>
            <w:r>
              <w:t>元/kW·h</w:t>
            </w:r>
          </w:p>
        </w:tc>
        <w:tc>
          <w:tcPr>
            <w:tcW w:w="2327" w:type="dxa"/>
            <w:vAlign w:val="bottom"/>
          </w:tcPr>
          <w:p w14:paraId="62539F6F">
            <w:pPr>
              <w:pStyle w:val="84"/>
            </w:pPr>
            <w:r>
              <w:rPr>
                <w:rFonts w:hint="eastAsia"/>
              </w:rPr>
              <w:t>1.96</w:t>
            </w:r>
          </w:p>
        </w:tc>
        <w:tc>
          <w:tcPr>
            <w:tcW w:w="2543" w:type="dxa"/>
            <w:vAlign w:val="center"/>
          </w:tcPr>
          <w:p w14:paraId="5122E8B3">
            <w:pPr>
              <w:pStyle w:val="84"/>
            </w:pPr>
            <w:r>
              <w:rPr>
                <w:rFonts w:hint="eastAsia"/>
              </w:rPr>
              <w:t>—</w:t>
            </w:r>
          </w:p>
        </w:tc>
      </w:tr>
      <w:tr w14:paraId="15E8982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71D09F32">
            <w:pPr>
              <w:widowControl/>
              <w:spacing w:line="240" w:lineRule="auto"/>
              <w:ind w:firstLine="0" w:firstLineChars="0"/>
              <w:jc w:val="center"/>
              <w:rPr>
                <w:rFonts w:eastAsia="仿宋"/>
                <w:sz w:val="21"/>
                <w:szCs w:val="24"/>
              </w:rPr>
            </w:pPr>
            <w:r>
              <w:rPr>
                <w:rFonts w:eastAsia="仿宋"/>
                <w:sz w:val="21"/>
                <w:szCs w:val="24"/>
              </w:rPr>
              <w:t>财务内部收益率</w:t>
            </w:r>
          </w:p>
        </w:tc>
        <w:tc>
          <w:tcPr>
            <w:tcW w:w="1079" w:type="dxa"/>
            <w:vAlign w:val="center"/>
          </w:tcPr>
          <w:p w14:paraId="1D90472B">
            <w:pPr>
              <w:widowControl/>
              <w:spacing w:line="240" w:lineRule="auto"/>
              <w:ind w:firstLine="0" w:firstLineChars="0"/>
              <w:jc w:val="center"/>
              <w:rPr>
                <w:rFonts w:eastAsia="仿宋"/>
                <w:sz w:val="21"/>
                <w:szCs w:val="24"/>
              </w:rPr>
            </w:pPr>
            <w:r>
              <w:rPr>
                <w:rFonts w:eastAsia="仿宋"/>
                <w:sz w:val="21"/>
                <w:szCs w:val="24"/>
              </w:rPr>
              <w:t>%</w:t>
            </w:r>
          </w:p>
        </w:tc>
        <w:tc>
          <w:tcPr>
            <w:tcW w:w="2327" w:type="dxa"/>
            <w:vAlign w:val="center"/>
          </w:tcPr>
          <w:p w14:paraId="08D9697D">
            <w:pPr>
              <w:pStyle w:val="84"/>
            </w:pPr>
            <w:r>
              <w:t>8.77</w:t>
            </w:r>
          </w:p>
        </w:tc>
        <w:tc>
          <w:tcPr>
            <w:tcW w:w="2543" w:type="dxa"/>
            <w:vAlign w:val="center"/>
          </w:tcPr>
          <w:p w14:paraId="22AD83A0">
            <w:pPr>
              <w:widowControl/>
              <w:spacing w:line="240" w:lineRule="auto"/>
              <w:ind w:firstLine="0" w:firstLineChars="0"/>
              <w:jc w:val="center"/>
              <w:rPr>
                <w:rFonts w:eastAsia="仿宋"/>
                <w:sz w:val="21"/>
                <w:szCs w:val="24"/>
              </w:rPr>
            </w:pPr>
            <w:r>
              <w:rPr>
                <w:rFonts w:eastAsia="仿宋"/>
                <w:sz w:val="21"/>
                <w:szCs w:val="24"/>
              </w:rPr>
              <w:t>税前</w:t>
            </w:r>
          </w:p>
        </w:tc>
      </w:tr>
      <w:tr w14:paraId="4A51351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0E84D0F9">
            <w:pPr>
              <w:widowControl/>
              <w:spacing w:line="240" w:lineRule="auto"/>
              <w:ind w:firstLine="0" w:firstLineChars="0"/>
              <w:jc w:val="center"/>
              <w:rPr>
                <w:rFonts w:eastAsia="仿宋"/>
                <w:sz w:val="21"/>
                <w:szCs w:val="24"/>
              </w:rPr>
            </w:pPr>
            <w:r>
              <w:rPr>
                <w:rFonts w:eastAsia="仿宋"/>
                <w:sz w:val="21"/>
                <w:szCs w:val="24"/>
              </w:rPr>
              <w:t>投资回收期</w:t>
            </w:r>
          </w:p>
        </w:tc>
        <w:tc>
          <w:tcPr>
            <w:tcW w:w="1079" w:type="dxa"/>
            <w:vAlign w:val="center"/>
          </w:tcPr>
          <w:p w14:paraId="0AD40231">
            <w:pPr>
              <w:widowControl/>
              <w:spacing w:line="240" w:lineRule="auto"/>
              <w:ind w:firstLine="0" w:firstLineChars="0"/>
              <w:jc w:val="center"/>
              <w:rPr>
                <w:rFonts w:eastAsia="仿宋"/>
                <w:sz w:val="21"/>
                <w:szCs w:val="24"/>
              </w:rPr>
            </w:pPr>
            <w:r>
              <w:rPr>
                <w:rFonts w:eastAsia="仿宋"/>
                <w:sz w:val="21"/>
                <w:szCs w:val="24"/>
              </w:rPr>
              <w:t>年</w:t>
            </w:r>
          </w:p>
        </w:tc>
        <w:tc>
          <w:tcPr>
            <w:tcW w:w="2327" w:type="dxa"/>
            <w:vAlign w:val="center"/>
          </w:tcPr>
          <w:p w14:paraId="6C32FB66">
            <w:pPr>
              <w:pStyle w:val="84"/>
            </w:pPr>
            <w:r>
              <w:t>10.4</w:t>
            </w:r>
          </w:p>
        </w:tc>
        <w:tc>
          <w:tcPr>
            <w:tcW w:w="2543" w:type="dxa"/>
            <w:vAlign w:val="center"/>
          </w:tcPr>
          <w:p w14:paraId="73E4D9EB">
            <w:pPr>
              <w:widowControl/>
              <w:spacing w:line="240" w:lineRule="auto"/>
              <w:ind w:firstLine="0" w:firstLineChars="0"/>
              <w:jc w:val="center"/>
              <w:rPr>
                <w:rFonts w:eastAsia="仿宋"/>
                <w:sz w:val="21"/>
                <w:szCs w:val="24"/>
              </w:rPr>
            </w:pPr>
            <w:r>
              <w:rPr>
                <w:rFonts w:hint="eastAsia" w:eastAsia="仿宋"/>
                <w:sz w:val="21"/>
                <w:szCs w:val="24"/>
              </w:rPr>
              <w:t>—</w:t>
            </w:r>
          </w:p>
        </w:tc>
      </w:tr>
      <w:tr w14:paraId="73060CE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18F90C2D">
            <w:pPr>
              <w:widowControl/>
              <w:spacing w:line="240" w:lineRule="auto"/>
              <w:ind w:firstLine="0" w:firstLineChars="0"/>
              <w:jc w:val="center"/>
              <w:rPr>
                <w:rFonts w:eastAsia="仿宋"/>
                <w:sz w:val="21"/>
                <w:szCs w:val="24"/>
              </w:rPr>
            </w:pPr>
            <w:r>
              <w:rPr>
                <w:rFonts w:eastAsia="仿宋"/>
                <w:sz w:val="21"/>
                <w:szCs w:val="24"/>
              </w:rPr>
              <w:t>上网电价</w:t>
            </w:r>
          </w:p>
        </w:tc>
        <w:tc>
          <w:tcPr>
            <w:tcW w:w="1079" w:type="dxa"/>
            <w:vAlign w:val="center"/>
          </w:tcPr>
          <w:p w14:paraId="6489DAEC">
            <w:pPr>
              <w:widowControl/>
              <w:spacing w:line="240" w:lineRule="auto"/>
              <w:ind w:firstLine="0" w:firstLineChars="0"/>
              <w:jc w:val="center"/>
              <w:rPr>
                <w:rFonts w:eastAsia="仿宋"/>
                <w:sz w:val="21"/>
                <w:szCs w:val="24"/>
              </w:rPr>
            </w:pPr>
            <w:r>
              <w:rPr>
                <w:rFonts w:eastAsia="仿宋"/>
                <w:sz w:val="21"/>
                <w:szCs w:val="24"/>
              </w:rPr>
              <w:t>元/kW·h</w:t>
            </w:r>
          </w:p>
        </w:tc>
        <w:tc>
          <w:tcPr>
            <w:tcW w:w="2327" w:type="dxa"/>
            <w:vAlign w:val="center"/>
          </w:tcPr>
          <w:p w14:paraId="6FE145BB">
            <w:pPr>
              <w:pStyle w:val="84"/>
            </w:pPr>
            <w:r>
              <w:t>0.3043965</w:t>
            </w:r>
          </w:p>
        </w:tc>
        <w:tc>
          <w:tcPr>
            <w:tcW w:w="2543" w:type="dxa"/>
            <w:vAlign w:val="center"/>
          </w:tcPr>
          <w:p w14:paraId="3A595341">
            <w:pPr>
              <w:widowControl/>
              <w:spacing w:line="240" w:lineRule="auto"/>
              <w:ind w:firstLine="0" w:firstLineChars="0"/>
              <w:jc w:val="center"/>
              <w:rPr>
                <w:rFonts w:eastAsia="仿宋"/>
                <w:sz w:val="21"/>
                <w:szCs w:val="24"/>
              </w:rPr>
            </w:pPr>
            <w:r>
              <w:rPr>
                <w:rFonts w:hint="eastAsia" w:eastAsia="仿宋"/>
                <w:sz w:val="21"/>
                <w:szCs w:val="24"/>
              </w:rPr>
              <w:t>—</w:t>
            </w:r>
          </w:p>
        </w:tc>
      </w:tr>
      <w:tr w14:paraId="5B8DE92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0B8143EA">
            <w:pPr>
              <w:widowControl/>
              <w:spacing w:line="240" w:lineRule="auto"/>
              <w:ind w:firstLine="0" w:firstLineChars="0"/>
              <w:jc w:val="center"/>
              <w:rPr>
                <w:rFonts w:eastAsia="仿宋"/>
                <w:sz w:val="21"/>
                <w:szCs w:val="24"/>
              </w:rPr>
            </w:pPr>
            <w:r>
              <w:rPr>
                <w:rFonts w:eastAsia="仿宋"/>
                <w:sz w:val="21"/>
                <w:szCs w:val="24"/>
              </w:rPr>
              <w:t>经济净现值</w:t>
            </w:r>
          </w:p>
        </w:tc>
        <w:tc>
          <w:tcPr>
            <w:tcW w:w="1079" w:type="dxa"/>
            <w:vAlign w:val="center"/>
          </w:tcPr>
          <w:p w14:paraId="421B6C7E">
            <w:pPr>
              <w:widowControl/>
              <w:spacing w:line="240" w:lineRule="auto"/>
              <w:ind w:firstLine="0" w:firstLineChars="0"/>
              <w:jc w:val="center"/>
              <w:rPr>
                <w:rFonts w:eastAsia="仿宋"/>
                <w:sz w:val="21"/>
                <w:szCs w:val="24"/>
              </w:rPr>
            </w:pPr>
            <w:r>
              <w:rPr>
                <w:rFonts w:eastAsia="仿宋"/>
                <w:sz w:val="21"/>
                <w:szCs w:val="24"/>
              </w:rPr>
              <w:t>万元</w:t>
            </w:r>
          </w:p>
        </w:tc>
        <w:tc>
          <w:tcPr>
            <w:tcW w:w="2327" w:type="dxa"/>
            <w:vAlign w:val="center"/>
          </w:tcPr>
          <w:p w14:paraId="0B38090C">
            <w:pPr>
              <w:pStyle w:val="84"/>
            </w:pPr>
            <w:r>
              <w:t>279.47</w:t>
            </w:r>
          </w:p>
        </w:tc>
        <w:tc>
          <w:tcPr>
            <w:tcW w:w="2543" w:type="dxa"/>
            <w:vAlign w:val="center"/>
          </w:tcPr>
          <w:p w14:paraId="33B77DF1">
            <w:pPr>
              <w:widowControl/>
              <w:spacing w:line="240" w:lineRule="auto"/>
              <w:ind w:firstLine="0" w:firstLineChars="0"/>
              <w:jc w:val="center"/>
              <w:rPr>
                <w:rFonts w:eastAsia="仿宋"/>
                <w:sz w:val="21"/>
                <w:szCs w:val="24"/>
              </w:rPr>
            </w:pPr>
            <w:r>
              <w:rPr>
                <w:rFonts w:hint="eastAsia" w:eastAsia="仿宋"/>
                <w:sz w:val="21"/>
                <w:szCs w:val="24"/>
              </w:rPr>
              <w:t>—</w:t>
            </w:r>
          </w:p>
        </w:tc>
      </w:tr>
      <w:tr w14:paraId="7777ABD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3142" w:type="dxa"/>
            <w:vAlign w:val="center"/>
          </w:tcPr>
          <w:p w14:paraId="12A73237">
            <w:pPr>
              <w:widowControl/>
              <w:spacing w:line="240" w:lineRule="auto"/>
              <w:ind w:firstLine="0" w:firstLineChars="0"/>
              <w:jc w:val="center"/>
              <w:rPr>
                <w:rFonts w:eastAsia="仿宋"/>
                <w:sz w:val="21"/>
                <w:szCs w:val="24"/>
              </w:rPr>
            </w:pPr>
            <w:r>
              <w:rPr>
                <w:rFonts w:hint="eastAsia" w:eastAsia="仿宋"/>
                <w:sz w:val="21"/>
                <w:szCs w:val="24"/>
              </w:rPr>
              <w:t>经济效益费用比</w:t>
            </w:r>
          </w:p>
        </w:tc>
        <w:tc>
          <w:tcPr>
            <w:tcW w:w="1079" w:type="dxa"/>
            <w:vAlign w:val="center"/>
          </w:tcPr>
          <w:p w14:paraId="5C223F8E">
            <w:pPr>
              <w:widowControl/>
              <w:spacing w:line="240" w:lineRule="auto"/>
              <w:ind w:firstLine="0" w:firstLineChars="0"/>
              <w:jc w:val="center"/>
              <w:rPr>
                <w:rFonts w:eastAsia="仿宋"/>
                <w:sz w:val="21"/>
                <w:szCs w:val="24"/>
              </w:rPr>
            </w:pPr>
            <w:r>
              <w:rPr>
                <w:rFonts w:hint="eastAsia" w:eastAsia="仿宋"/>
                <w:sz w:val="21"/>
                <w:szCs w:val="24"/>
              </w:rPr>
              <w:t>—</w:t>
            </w:r>
          </w:p>
        </w:tc>
        <w:tc>
          <w:tcPr>
            <w:tcW w:w="2327" w:type="dxa"/>
            <w:vAlign w:val="center"/>
          </w:tcPr>
          <w:p w14:paraId="57134988">
            <w:pPr>
              <w:pStyle w:val="84"/>
            </w:pPr>
            <w:r>
              <w:rPr>
                <w:rFonts w:hint="eastAsia"/>
              </w:rPr>
              <w:t>1.062</w:t>
            </w:r>
          </w:p>
        </w:tc>
        <w:tc>
          <w:tcPr>
            <w:tcW w:w="2543" w:type="dxa"/>
            <w:vAlign w:val="center"/>
          </w:tcPr>
          <w:p w14:paraId="39E9464C">
            <w:pPr>
              <w:widowControl/>
              <w:spacing w:line="240" w:lineRule="auto"/>
              <w:ind w:firstLine="0" w:firstLineChars="0"/>
              <w:jc w:val="center"/>
              <w:rPr>
                <w:rFonts w:eastAsia="仿宋"/>
                <w:sz w:val="21"/>
                <w:szCs w:val="24"/>
              </w:rPr>
            </w:pPr>
            <w:r>
              <w:rPr>
                <w:rFonts w:hint="eastAsia" w:eastAsia="仿宋"/>
                <w:sz w:val="21"/>
                <w:szCs w:val="24"/>
              </w:rPr>
              <w:t>—</w:t>
            </w:r>
          </w:p>
        </w:tc>
      </w:tr>
    </w:tbl>
    <w:p w14:paraId="3A59134B">
      <w:pPr>
        <w:pStyle w:val="113"/>
      </w:pPr>
      <w:bookmarkStart w:id="294" w:name="_Toc471737976"/>
      <w:bookmarkStart w:id="295" w:name="_Toc508642427"/>
      <w:bookmarkStart w:id="296" w:name="_Toc445465433"/>
      <w:r>
        <w:rPr>
          <w:rFonts w:hint="eastAsia"/>
        </w:rPr>
        <w:t>2.2.6</w:t>
      </w:r>
      <w:r>
        <w:t>工程总体布</w:t>
      </w:r>
      <w:r>
        <w:rPr>
          <w:rFonts w:hint="eastAsia"/>
        </w:rPr>
        <w:t>置</w:t>
      </w:r>
      <w:bookmarkEnd w:id="294"/>
      <w:bookmarkEnd w:id="295"/>
      <w:bookmarkEnd w:id="296"/>
    </w:p>
    <w:p w14:paraId="4E979753">
      <w:pPr>
        <w:ind w:firstLine="480"/>
      </w:pPr>
      <w:r>
        <w:rPr>
          <w:rFonts w:hint="eastAsia"/>
        </w:rPr>
        <w:t>电站施工布置遵循因地制宜、因时制宜、有利生产、方便生活、易于管理、安全可靠、经济合理的原则。</w:t>
      </w:r>
    </w:p>
    <w:p w14:paraId="339CAF9B">
      <w:pPr>
        <w:ind w:firstLine="480"/>
      </w:pPr>
      <w:r>
        <w:rPr>
          <w:rFonts w:hint="eastAsia"/>
        </w:rPr>
        <w:t>本工程布置比较集中，施工场地窄小，生活区及生产区布置考虑兼顾大坝、电站厂房等工程的施工，并结合实际地形综合考虑布置。具体布置如下：</w:t>
      </w:r>
    </w:p>
    <w:p w14:paraId="47858EF1">
      <w:pPr>
        <w:ind w:firstLine="480"/>
        <w:rPr>
          <w:color w:val="FF0000"/>
        </w:rPr>
      </w:pPr>
      <w:r>
        <w:t>1、大坝及厂房枢纽区</w:t>
      </w:r>
      <w:r>
        <w:rPr>
          <w:rFonts w:hint="eastAsia"/>
        </w:rPr>
        <w:t>：团结水电站属于低水头、大流量的轴流</w:t>
      </w:r>
      <w:r>
        <w:rPr>
          <w:rFonts w:hint="eastAsia" w:hAnsi="宋体"/>
        </w:rPr>
        <w:t>定桨</w:t>
      </w:r>
      <w:r>
        <w:rPr>
          <w:rFonts w:hint="eastAsia"/>
        </w:rPr>
        <w:t>式机组电站，拦河坝位于现有滚水坝上游76m处。</w:t>
      </w:r>
      <w:r>
        <w:rPr>
          <w:rFonts w:hint="eastAsia"/>
          <w:color w:val="FF0000"/>
        </w:rPr>
        <w:t>厂区建筑物包括进厂公路、厂房、升压站等。</w:t>
      </w:r>
      <w:r>
        <w:rPr>
          <w:rFonts w:hint="eastAsia"/>
        </w:rPr>
        <w:t>电站厂房布置在芒市河右岸，厂房总长度</w:t>
      </w:r>
      <w:r>
        <w:rPr>
          <w:rFonts w:hint="eastAsia"/>
          <w:color w:val="FF0000"/>
        </w:rPr>
        <w:t>28</w:t>
      </w:r>
      <w:r>
        <w:rPr>
          <w:color w:val="FF0000"/>
        </w:rPr>
        <w:t>.22m</w:t>
      </w:r>
      <w:r>
        <w:rPr>
          <w:rFonts w:hint="eastAsia"/>
          <w:color w:val="FF0000"/>
        </w:rPr>
        <w:t>，总宽度13.9</w:t>
      </w:r>
      <w:r>
        <w:rPr>
          <w:color w:val="FF0000"/>
        </w:rPr>
        <w:t>m</w:t>
      </w:r>
      <w:r>
        <w:rPr>
          <w:rFonts w:hint="eastAsia"/>
          <w:color w:val="FF0000"/>
        </w:rPr>
        <w:t>，尾水渠后设消力池将部分尾水回引至坝址附近排放，以补足河道正常所需生态环境用水量。</w:t>
      </w:r>
    </w:p>
    <w:p w14:paraId="07868751">
      <w:pPr>
        <w:ind w:firstLine="480"/>
        <w:rPr>
          <w:color w:val="FF0000"/>
        </w:rPr>
      </w:pPr>
      <w:r>
        <w:rPr>
          <w:rFonts w:hint="eastAsia"/>
          <w:color w:val="FF0000"/>
        </w:rPr>
        <w:t>2、</w:t>
      </w:r>
      <w:r>
        <w:rPr>
          <w:color w:val="FF0000"/>
        </w:rPr>
        <w:t>施工生产生活区</w:t>
      </w:r>
      <w:r>
        <w:rPr>
          <w:rFonts w:hint="eastAsia"/>
          <w:color w:val="FF0000"/>
        </w:rPr>
        <w:t>：在坝址下游右侧约2</w:t>
      </w:r>
      <w:r>
        <w:rPr>
          <w:color w:val="FF0000"/>
        </w:rPr>
        <w:t>7</w:t>
      </w:r>
      <w:r>
        <w:rPr>
          <w:rFonts w:hint="eastAsia"/>
          <w:color w:val="FF0000"/>
        </w:rPr>
        <w:t>m处布置混凝土拌和机及其他施工机械；施工生活区布置于坝址下游右侧约</w:t>
      </w:r>
      <w:r>
        <w:rPr>
          <w:color w:val="FF0000"/>
        </w:rPr>
        <w:t>19m</w:t>
      </w:r>
      <w:r>
        <w:rPr>
          <w:rFonts w:hint="eastAsia"/>
          <w:color w:val="FF0000"/>
        </w:rPr>
        <w:t>处，主要包括</w:t>
      </w:r>
      <w:r>
        <w:rPr>
          <w:rFonts w:ascii="宋体" w:hAnsi="宋体"/>
          <w:color w:val="FF0000"/>
          <w:szCs w:val="24"/>
        </w:rPr>
        <w:t>施工办公和生活用房</w:t>
      </w:r>
      <w:r>
        <w:rPr>
          <w:rFonts w:hint="eastAsia" w:ascii="宋体" w:hAnsi="宋体"/>
          <w:color w:val="FF0000"/>
          <w:szCs w:val="24"/>
        </w:rPr>
        <w:t>；</w:t>
      </w:r>
    </w:p>
    <w:p w14:paraId="3EF12A1F">
      <w:pPr>
        <w:ind w:firstLine="480"/>
        <w:rPr>
          <w:color w:val="FF0000"/>
        </w:rPr>
      </w:pPr>
      <w:r>
        <w:rPr>
          <w:rFonts w:hint="eastAsia"/>
          <w:color w:val="FF0000"/>
        </w:rPr>
        <w:t>3、</w:t>
      </w:r>
      <w:r>
        <w:rPr>
          <w:color w:val="FF0000"/>
        </w:rPr>
        <w:t>砂砾石料场区</w:t>
      </w:r>
      <w:r>
        <w:rPr>
          <w:rFonts w:hint="eastAsia"/>
          <w:color w:val="FF0000"/>
        </w:rPr>
        <w:t>：布置于</w:t>
      </w:r>
      <w:r>
        <w:rPr>
          <w:color w:val="FF0000"/>
        </w:rPr>
        <w:t>大坝下游</w:t>
      </w:r>
      <w:r>
        <w:rPr>
          <w:rFonts w:hint="eastAsia"/>
          <w:color w:val="FF0000"/>
        </w:rPr>
        <w:t>1.8km处，占地类型为</w:t>
      </w:r>
      <w:r>
        <w:rPr>
          <w:rFonts w:hint="eastAsia" w:hAnsi="宋体"/>
          <w:color w:val="FF0000"/>
          <w:szCs w:val="24"/>
        </w:rPr>
        <w:t>水域及水利设施</w:t>
      </w:r>
      <w:r>
        <w:rPr>
          <w:rFonts w:hAnsi="宋体"/>
          <w:color w:val="FF0000"/>
          <w:szCs w:val="24"/>
        </w:rPr>
        <w:t>用地</w:t>
      </w:r>
      <w:r>
        <w:rPr>
          <w:rFonts w:hint="eastAsia"/>
          <w:color w:val="FF0000"/>
        </w:rPr>
        <w:t>，占地面积为0.61</w:t>
      </w:r>
      <w:r>
        <w:rPr>
          <w:color w:val="FF0000"/>
        </w:rPr>
        <w:t>hm²</w:t>
      </w:r>
      <w:r>
        <w:rPr>
          <w:rFonts w:hint="eastAsia"/>
          <w:color w:val="FF0000"/>
        </w:rPr>
        <w:t>。</w:t>
      </w:r>
    </w:p>
    <w:p w14:paraId="22A8BDB2">
      <w:pPr>
        <w:ind w:firstLine="480"/>
      </w:pPr>
      <w:r>
        <w:rPr>
          <w:rFonts w:hint="eastAsia"/>
        </w:rPr>
        <w:t>工程总平面布置图见附图5。</w:t>
      </w:r>
    </w:p>
    <w:p w14:paraId="57470215">
      <w:pPr>
        <w:pStyle w:val="4"/>
      </w:pPr>
      <w:bookmarkStart w:id="297" w:name="_Toc471737977"/>
      <w:bookmarkStart w:id="298" w:name="_Toc508642428"/>
      <w:bookmarkStart w:id="299" w:name="_Toc454046491"/>
      <w:bookmarkStart w:id="300" w:name="_Toc443655394"/>
      <w:r>
        <w:rPr>
          <w:rFonts w:hint="eastAsia"/>
        </w:rPr>
        <w:t>2.3施工规划</w:t>
      </w:r>
      <w:bookmarkEnd w:id="297"/>
      <w:bookmarkEnd w:id="298"/>
      <w:bookmarkEnd w:id="299"/>
      <w:bookmarkEnd w:id="300"/>
    </w:p>
    <w:p w14:paraId="7D29A966">
      <w:pPr>
        <w:pStyle w:val="113"/>
      </w:pPr>
      <w:bookmarkStart w:id="301" w:name="_Toc471737978"/>
      <w:bookmarkStart w:id="302" w:name="_Toc508642429"/>
      <w:bookmarkStart w:id="303" w:name="_Toc443655395"/>
      <w:bookmarkStart w:id="304" w:name="_Toc454046492"/>
      <w:r>
        <w:rPr>
          <w:rFonts w:hint="eastAsia"/>
        </w:rPr>
        <w:t>2.3.1施工导流</w:t>
      </w:r>
      <w:bookmarkEnd w:id="301"/>
      <w:bookmarkEnd w:id="302"/>
      <w:bookmarkEnd w:id="303"/>
      <w:bookmarkEnd w:id="304"/>
    </w:p>
    <w:p w14:paraId="3A134C2B">
      <w:pPr>
        <w:pStyle w:val="141"/>
      </w:pPr>
      <w:bookmarkStart w:id="305" w:name="_Toc354815678"/>
      <w:bookmarkStart w:id="306" w:name="_Toc290280317"/>
      <w:bookmarkStart w:id="307" w:name="_Toc373419565"/>
      <w:bookmarkStart w:id="308" w:name="_Toc397428288"/>
      <w:bookmarkStart w:id="309" w:name="_Toc443655396"/>
      <w:bookmarkStart w:id="310" w:name="_Toc454046493"/>
      <w:r>
        <w:rPr>
          <w:rFonts w:hint="eastAsia"/>
        </w:rPr>
        <w:t>2.3.1.1导流标准</w:t>
      </w:r>
      <w:bookmarkEnd w:id="305"/>
      <w:bookmarkEnd w:id="306"/>
      <w:bookmarkEnd w:id="307"/>
    </w:p>
    <w:p w14:paraId="4DA8A419">
      <w:pPr>
        <w:ind w:firstLine="480"/>
      </w:pPr>
      <w:r>
        <w:rPr>
          <w:rFonts w:hint="eastAsia"/>
        </w:rPr>
        <w:t>根据《水利水电工程施工组织设计规范》（SL303-2004</w:t>
      </w:r>
      <w:r>
        <w:t>）</w:t>
      </w:r>
      <w:r>
        <w:rPr>
          <w:rFonts w:hint="eastAsia"/>
        </w:rPr>
        <w:t>规定，导流建筑物级别为Ⅴ级。根据本区降雨、洪水分布特点及径流变化规律，施工导流划分为枯期和汛期两个时段，即12月至次年5月为枯期，6月至11月为汛期。</w:t>
      </w:r>
    </w:p>
    <w:p w14:paraId="55504B7F">
      <w:pPr>
        <w:ind w:firstLine="480"/>
      </w:pPr>
      <w:r>
        <w:rPr>
          <w:rFonts w:hint="eastAsia"/>
        </w:rPr>
        <w:t>施工导流标准为：枯期采用5年一遇（P=20%），设计洪峰流量Q=70.2m</w:t>
      </w:r>
      <w:r>
        <w:rPr>
          <w:rFonts w:hint="eastAsia"/>
          <w:vertAlign w:val="superscript"/>
        </w:rPr>
        <w:t>3</w:t>
      </w:r>
      <w:r>
        <w:rPr>
          <w:rFonts w:hint="eastAsia"/>
        </w:rPr>
        <w:t>/s；度汛标准为全汛期10年一遇（P=10%），设计洪峰流量Q=632m</w:t>
      </w:r>
      <w:r>
        <w:rPr>
          <w:rFonts w:hint="eastAsia"/>
          <w:vertAlign w:val="superscript"/>
        </w:rPr>
        <w:t>3</w:t>
      </w:r>
      <w:r>
        <w:rPr>
          <w:rFonts w:hint="eastAsia"/>
        </w:rPr>
        <w:t>/s。</w:t>
      </w:r>
    </w:p>
    <w:p w14:paraId="7145DCBF">
      <w:pPr>
        <w:pStyle w:val="141"/>
      </w:pPr>
      <w:bookmarkStart w:id="311" w:name="_Toc373419566"/>
      <w:bookmarkStart w:id="312" w:name="_Toc354815679"/>
      <w:bookmarkStart w:id="313" w:name="_Toc290280318"/>
      <w:r>
        <w:rPr>
          <w:rFonts w:hint="eastAsia"/>
        </w:rPr>
        <w:t>2.3.1.2施工导流时段</w:t>
      </w:r>
      <w:bookmarkEnd w:id="311"/>
      <w:bookmarkEnd w:id="312"/>
      <w:bookmarkEnd w:id="313"/>
    </w:p>
    <w:p w14:paraId="004487CE">
      <w:pPr>
        <w:ind w:firstLine="480"/>
      </w:pPr>
      <w:r>
        <w:rPr>
          <w:rFonts w:hint="eastAsia"/>
        </w:rPr>
        <w:t>根据工程区降雨、洪水分布特点及径流变化规律，综合考虑工程工期短，施工难度小，选择全年12个月均为导流时段。</w:t>
      </w:r>
    </w:p>
    <w:p w14:paraId="6DEFDF0B">
      <w:pPr>
        <w:pStyle w:val="141"/>
        <w:rPr>
          <w:color w:val="FF0000"/>
        </w:rPr>
      </w:pPr>
      <w:bookmarkStart w:id="314" w:name="_Toc373419567"/>
      <w:bookmarkStart w:id="315" w:name="_Toc290280319"/>
      <w:bookmarkStart w:id="316" w:name="_Toc354815680"/>
      <w:r>
        <w:rPr>
          <w:rFonts w:hint="eastAsia"/>
          <w:color w:val="FF0000"/>
        </w:rPr>
        <w:t>2.3.1.3导流方式</w:t>
      </w:r>
      <w:bookmarkEnd w:id="314"/>
      <w:bookmarkEnd w:id="315"/>
      <w:bookmarkEnd w:id="316"/>
    </w:p>
    <w:p w14:paraId="4B2261D8">
      <w:pPr>
        <w:ind w:firstLine="480"/>
        <w:rPr>
          <w:color w:val="FF0000"/>
        </w:rPr>
      </w:pPr>
      <w:r>
        <w:rPr>
          <w:rFonts w:hint="eastAsia"/>
          <w:color w:val="FF0000"/>
        </w:rPr>
        <w:t>施工枯期采用临时围堰挡水，对下游河道开挖清淤整治，利用河床过流。拦河坝施工采用临时围堰挡水，对左岸开挖后，完成冲砂闸、四道泄水闸、非溢流坝的施工</w:t>
      </w:r>
      <w:r>
        <w:rPr>
          <w:color w:val="FF0000"/>
        </w:rPr>
        <w:t>，</w:t>
      </w:r>
      <w:r>
        <w:rPr>
          <w:rFonts w:hint="eastAsia"/>
          <w:color w:val="FF0000"/>
        </w:rPr>
        <w:t>利用右岸河道泄洪。汛期采用上下游临时围堰挡水，对右岸开挖后，完成进水闸、厂房、安装间和中央控制室及闸门、机电设备的安装，采用已建好的冲砂闸、四道泄水闸导流。</w:t>
      </w:r>
    </w:p>
    <w:p w14:paraId="4C390BC7">
      <w:pPr>
        <w:pStyle w:val="82"/>
        <w:framePr w:hSpace="0" w:wrap="auto" w:vAnchor="margin" w:hAnchor="text" w:xAlign="left" w:yAlign="inline"/>
        <w:rPr>
          <w:color w:val="FF0000"/>
        </w:rPr>
      </w:pPr>
      <w:r>
        <w:rPr>
          <w:rFonts w:hint="eastAsia"/>
          <w:color w:val="FF0000"/>
        </w:rPr>
        <w:t>表2-3-1    施工导流程序表</w:t>
      </w:r>
    </w:p>
    <w:tbl>
      <w:tblPr>
        <w:tblStyle w:val="56"/>
        <w:tblW w:w="0" w:type="auto"/>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6"/>
        <w:gridCol w:w="1606"/>
        <w:gridCol w:w="1061"/>
        <w:gridCol w:w="1693"/>
        <w:gridCol w:w="3708"/>
      </w:tblGrid>
      <w:tr w14:paraId="6060BA7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32" w:type="dxa"/>
            <w:gridSpan w:val="2"/>
            <w:vAlign w:val="center"/>
          </w:tcPr>
          <w:p w14:paraId="03E86E5D">
            <w:pPr>
              <w:pStyle w:val="84"/>
              <w:spacing w:line="276" w:lineRule="auto"/>
              <w:rPr>
                <w:color w:val="FF0000"/>
              </w:rPr>
            </w:pPr>
            <w:r>
              <w:rPr>
                <w:rFonts w:hint="eastAsia"/>
                <w:color w:val="FF0000"/>
              </w:rPr>
              <w:t>导流时段</w:t>
            </w:r>
          </w:p>
        </w:tc>
        <w:tc>
          <w:tcPr>
            <w:tcW w:w="1061" w:type="dxa"/>
            <w:vAlign w:val="center"/>
          </w:tcPr>
          <w:p w14:paraId="5883F93C">
            <w:pPr>
              <w:pStyle w:val="84"/>
              <w:spacing w:line="276" w:lineRule="auto"/>
              <w:rPr>
                <w:color w:val="FF0000"/>
              </w:rPr>
            </w:pPr>
            <w:r>
              <w:rPr>
                <w:rFonts w:hint="eastAsia"/>
                <w:color w:val="FF0000"/>
              </w:rPr>
              <w:t>挡水建</w:t>
            </w:r>
          </w:p>
          <w:p w14:paraId="04F40AFE">
            <w:pPr>
              <w:pStyle w:val="84"/>
              <w:spacing w:line="276" w:lineRule="auto"/>
              <w:rPr>
                <w:color w:val="FF0000"/>
              </w:rPr>
            </w:pPr>
            <w:r>
              <w:rPr>
                <w:rFonts w:hint="eastAsia"/>
                <w:color w:val="FF0000"/>
              </w:rPr>
              <w:t>筑物</w:t>
            </w:r>
          </w:p>
        </w:tc>
        <w:tc>
          <w:tcPr>
            <w:tcW w:w="1693" w:type="dxa"/>
            <w:vAlign w:val="center"/>
          </w:tcPr>
          <w:p w14:paraId="1FF76E45">
            <w:pPr>
              <w:pStyle w:val="84"/>
              <w:spacing w:line="276" w:lineRule="auto"/>
              <w:rPr>
                <w:color w:val="FF0000"/>
              </w:rPr>
            </w:pPr>
            <w:r>
              <w:rPr>
                <w:rFonts w:hint="eastAsia"/>
                <w:color w:val="FF0000"/>
              </w:rPr>
              <w:t>泄水建筑物</w:t>
            </w:r>
          </w:p>
        </w:tc>
        <w:tc>
          <w:tcPr>
            <w:tcW w:w="3708" w:type="dxa"/>
            <w:vAlign w:val="center"/>
          </w:tcPr>
          <w:p w14:paraId="746BD9C3">
            <w:pPr>
              <w:pStyle w:val="84"/>
              <w:spacing w:line="276" w:lineRule="auto"/>
              <w:rPr>
                <w:color w:val="FF0000"/>
              </w:rPr>
            </w:pPr>
            <w:r>
              <w:rPr>
                <w:rFonts w:hint="eastAsia"/>
                <w:color w:val="FF0000"/>
              </w:rPr>
              <w:t>主要施工进度</w:t>
            </w:r>
          </w:p>
        </w:tc>
      </w:tr>
      <w:tr w14:paraId="27E070B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Align w:val="center"/>
          </w:tcPr>
          <w:p w14:paraId="0BF30C88">
            <w:pPr>
              <w:pStyle w:val="84"/>
              <w:rPr>
                <w:color w:val="FF0000"/>
              </w:rPr>
            </w:pPr>
            <w:r>
              <w:rPr>
                <w:rFonts w:hint="eastAsia"/>
                <w:color w:val="FF0000"/>
              </w:rPr>
              <w:t>枯期</w:t>
            </w:r>
          </w:p>
        </w:tc>
        <w:tc>
          <w:tcPr>
            <w:tcW w:w="1606" w:type="dxa"/>
            <w:vAlign w:val="center"/>
          </w:tcPr>
          <w:p w14:paraId="48D209C2">
            <w:pPr>
              <w:pStyle w:val="84"/>
              <w:spacing w:line="276" w:lineRule="auto"/>
              <w:rPr>
                <w:color w:val="FF0000"/>
              </w:rPr>
            </w:pPr>
            <w:r>
              <w:rPr>
                <w:rFonts w:hint="eastAsia"/>
                <w:color w:val="FF0000"/>
              </w:rPr>
              <w:t>第一年12月～</w:t>
            </w:r>
          </w:p>
          <w:p w14:paraId="40620C63">
            <w:pPr>
              <w:pStyle w:val="84"/>
              <w:spacing w:line="276" w:lineRule="auto"/>
              <w:rPr>
                <w:color w:val="FF0000"/>
              </w:rPr>
            </w:pPr>
            <w:r>
              <w:rPr>
                <w:rFonts w:hint="eastAsia"/>
                <w:color w:val="FF0000"/>
              </w:rPr>
              <w:t>第一年5月</w:t>
            </w:r>
          </w:p>
        </w:tc>
        <w:tc>
          <w:tcPr>
            <w:tcW w:w="1061" w:type="dxa"/>
            <w:vAlign w:val="center"/>
          </w:tcPr>
          <w:p w14:paraId="17FE2CAF">
            <w:pPr>
              <w:pStyle w:val="84"/>
              <w:spacing w:line="276" w:lineRule="auto"/>
              <w:rPr>
                <w:color w:val="FF0000"/>
              </w:rPr>
            </w:pPr>
            <w:r>
              <w:rPr>
                <w:rFonts w:hint="eastAsia"/>
                <w:color w:val="FF0000"/>
              </w:rPr>
              <w:t>土石围堰</w:t>
            </w:r>
          </w:p>
        </w:tc>
        <w:tc>
          <w:tcPr>
            <w:tcW w:w="1693" w:type="dxa"/>
            <w:vAlign w:val="center"/>
          </w:tcPr>
          <w:p w14:paraId="57345BA6">
            <w:pPr>
              <w:pStyle w:val="84"/>
              <w:spacing w:line="276" w:lineRule="auto"/>
              <w:rPr>
                <w:color w:val="FF0000"/>
              </w:rPr>
            </w:pPr>
            <w:r>
              <w:rPr>
                <w:rFonts w:hint="eastAsia"/>
                <w:color w:val="FF0000"/>
              </w:rPr>
              <w:t>右岸原河道</w:t>
            </w:r>
          </w:p>
        </w:tc>
        <w:tc>
          <w:tcPr>
            <w:tcW w:w="3708" w:type="dxa"/>
            <w:vAlign w:val="center"/>
          </w:tcPr>
          <w:p w14:paraId="07B7A9AE">
            <w:pPr>
              <w:pStyle w:val="84"/>
              <w:spacing w:line="276" w:lineRule="auto"/>
              <w:rPr>
                <w:color w:val="FF0000"/>
              </w:rPr>
            </w:pPr>
            <w:r>
              <w:rPr>
                <w:rFonts w:hint="eastAsia"/>
                <w:color w:val="FF0000"/>
              </w:rPr>
              <w:t>完成大坝左岸开挖，冲砂闸、四道泄水闸、非溢流坝的施工。</w:t>
            </w:r>
          </w:p>
        </w:tc>
      </w:tr>
      <w:tr w14:paraId="64DC9F8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Align w:val="center"/>
          </w:tcPr>
          <w:p w14:paraId="55765D8E">
            <w:pPr>
              <w:pStyle w:val="84"/>
              <w:rPr>
                <w:color w:val="FF0000"/>
              </w:rPr>
            </w:pPr>
            <w:r>
              <w:rPr>
                <w:rFonts w:hint="eastAsia"/>
                <w:color w:val="FF0000"/>
              </w:rPr>
              <w:t>汛期</w:t>
            </w:r>
          </w:p>
        </w:tc>
        <w:tc>
          <w:tcPr>
            <w:tcW w:w="1606" w:type="dxa"/>
            <w:vAlign w:val="center"/>
          </w:tcPr>
          <w:p w14:paraId="393C355E">
            <w:pPr>
              <w:pStyle w:val="84"/>
              <w:spacing w:line="276" w:lineRule="auto"/>
              <w:rPr>
                <w:color w:val="FF0000"/>
              </w:rPr>
            </w:pPr>
            <w:r>
              <w:rPr>
                <w:rFonts w:hint="eastAsia"/>
                <w:color w:val="FF0000"/>
              </w:rPr>
              <w:t>第一年6月～</w:t>
            </w:r>
          </w:p>
          <w:p w14:paraId="083C615C">
            <w:pPr>
              <w:pStyle w:val="84"/>
              <w:spacing w:line="276" w:lineRule="auto"/>
              <w:rPr>
                <w:color w:val="FF0000"/>
              </w:rPr>
            </w:pPr>
            <w:r>
              <w:rPr>
                <w:rFonts w:hint="eastAsia"/>
                <w:color w:val="FF0000"/>
              </w:rPr>
              <w:t>第一年11月</w:t>
            </w:r>
          </w:p>
        </w:tc>
        <w:tc>
          <w:tcPr>
            <w:tcW w:w="1061" w:type="dxa"/>
            <w:vAlign w:val="center"/>
          </w:tcPr>
          <w:p w14:paraId="5AD80009">
            <w:pPr>
              <w:pStyle w:val="84"/>
              <w:spacing w:line="276" w:lineRule="auto"/>
              <w:rPr>
                <w:color w:val="FF0000"/>
              </w:rPr>
            </w:pPr>
            <w:r>
              <w:rPr>
                <w:rFonts w:hint="eastAsia"/>
                <w:color w:val="FF0000"/>
              </w:rPr>
              <w:t>土石围堰</w:t>
            </w:r>
          </w:p>
        </w:tc>
        <w:tc>
          <w:tcPr>
            <w:tcW w:w="1693" w:type="dxa"/>
            <w:vAlign w:val="center"/>
          </w:tcPr>
          <w:p w14:paraId="6DA42964">
            <w:pPr>
              <w:pStyle w:val="84"/>
              <w:spacing w:line="276" w:lineRule="auto"/>
              <w:rPr>
                <w:color w:val="FF0000"/>
              </w:rPr>
            </w:pPr>
            <w:r>
              <w:rPr>
                <w:rFonts w:hint="eastAsia"/>
                <w:color w:val="FF0000"/>
              </w:rPr>
              <w:t>已建冲砂闸、四道泄水闸导流</w:t>
            </w:r>
          </w:p>
        </w:tc>
        <w:tc>
          <w:tcPr>
            <w:tcW w:w="3708" w:type="dxa"/>
            <w:vAlign w:val="center"/>
          </w:tcPr>
          <w:p w14:paraId="6552434D">
            <w:pPr>
              <w:pStyle w:val="84"/>
              <w:spacing w:line="276" w:lineRule="auto"/>
              <w:rPr>
                <w:color w:val="FF0000"/>
              </w:rPr>
            </w:pPr>
            <w:r>
              <w:rPr>
                <w:rFonts w:hint="eastAsia"/>
                <w:color w:val="FF0000"/>
              </w:rPr>
              <w:t>完成进水闸、河道上厂房、安装间和中央控制室及闸门、机电设备的安装。</w:t>
            </w:r>
          </w:p>
        </w:tc>
      </w:tr>
    </w:tbl>
    <w:p w14:paraId="21E75668">
      <w:pPr>
        <w:pStyle w:val="113"/>
        <w:rPr>
          <w:color w:val="FF0000"/>
        </w:rPr>
      </w:pPr>
      <w:bookmarkStart w:id="317" w:name="_Toc471737979"/>
      <w:bookmarkStart w:id="318" w:name="_Toc508642430"/>
      <w:r>
        <w:rPr>
          <w:rFonts w:hint="eastAsia"/>
          <w:color w:val="FF0000"/>
        </w:rPr>
        <w:t>2.3.2初期下闸蓄水计划</w:t>
      </w:r>
      <w:bookmarkEnd w:id="308"/>
      <w:bookmarkEnd w:id="309"/>
      <w:bookmarkEnd w:id="310"/>
      <w:bookmarkEnd w:id="317"/>
      <w:bookmarkEnd w:id="318"/>
    </w:p>
    <w:p w14:paraId="2CE30CCA">
      <w:pPr>
        <w:ind w:firstLine="480"/>
        <w:rPr>
          <w:color w:val="FF0000"/>
          <w:highlight w:val="green"/>
        </w:rPr>
      </w:pPr>
      <w:r>
        <w:rPr>
          <w:rFonts w:hint="eastAsia"/>
          <w:color w:val="FF0000"/>
        </w:rPr>
        <w:t>根据施工计划安排，工程将于</w:t>
      </w:r>
      <w:r>
        <w:rPr>
          <w:rFonts w:hint="eastAsia"/>
          <w:color w:val="FF0000"/>
          <w:kern w:val="0"/>
        </w:rPr>
        <w:t>7月初</w:t>
      </w:r>
      <w:r>
        <w:rPr>
          <w:rFonts w:hint="eastAsia"/>
          <w:color w:val="FF0000"/>
        </w:rPr>
        <w:t>进行下闸蓄水，拟由冲砂闸按5.28</w:t>
      </w:r>
      <w:r>
        <w:rPr>
          <w:color w:val="FF0000"/>
        </w:rPr>
        <w:t>m</w:t>
      </w:r>
      <w:r>
        <w:rPr>
          <w:color w:val="FF0000"/>
          <w:vertAlign w:val="superscript"/>
        </w:rPr>
        <w:t>3</w:t>
      </w:r>
      <w:r>
        <w:rPr>
          <w:color w:val="FF0000"/>
        </w:rPr>
        <w:t>/s的</w:t>
      </w:r>
      <w:r>
        <w:rPr>
          <w:rFonts w:hint="eastAsia"/>
          <w:color w:val="FF0000"/>
        </w:rPr>
        <w:t>最小生态流量</w:t>
      </w:r>
      <w:r>
        <w:rPr>
          <w:color w:val="FF0000"/>
        </w:rPr>
        <w:t>下泄到原河道中</w:t>
      </w:r>
      <w:r>
        <w:rPr>
          <w:rFonts w:hint="eastAsia"/>
          <w:color w:val="FF0000"/>
        </w:rPr>
        <w:t>，满足下游生态用水，其余来水蓄进库内。在水库蓄水完毕后，打开取水口闸门，电站即进入试运行阶段，此时并不关闭冲砂闸门，待尾水正常回引至大坝附近补足河道正常生态流量后，再关闭冲砂闸。</w:t>
      </w:r>
    </w:p>
    <w:p w14:paraId="26114ED4">
      <w:pPr>
        <w:pStyle w:val="113"/>
      </w:pPr>
      <w:bookmarkStart w:id="319" w:name="_Toc443655397"/>
      <w:bookmarkStart w:id="320" w:name="_Toc508642431"/>
      <w:bookmarkStart w:id="321" w:name="_Toc471737980"/>
      <w:bookmarkStart w:id="322" w:name="_Toc454046494"/>
      <w:bookmarkStart w:id="323" w:name="_Toc397428289"/>
      <w:r>
        <w:rPr>
          <w:rFonts w:hint="eastAsia"/>
        </w:rPr>
        <w:t>2.3.3施工条件</w:t>
      </w:r>
      <w:bookmarkEnd w:id="319"/>
      <w:bookmarkEnd w:id="320"/>
      <w:bookmarkEnd w:id="321"/>
      <w:bookmarkEnd w:id="322"/>
      <w:bookmarkEnd w:id="323"/>
    </w:p>
    <w:p w14:paraId="33F83AAB">
      <w:pPr>
        <w:pStyle w:val="141"/>
      </w:pPr>
      <w:r>
        <w:rPr>
          <w:rFonts w:hint="eastAsia"/>
        </w:rPr>
        <w:t>2.3.3.1</w:t>
      </w:r>
      <w:r>
        <w:t>施工交通运输</w:t>
      </w:r>
    </w:p>
    <w:p w14:paraId="30516F05">
      <w:pPr>
        <w:ind w:firstLine="480"/>
      </w:pPr>
      <w:r>
        <w:rPr>
          <w:rFonts w:hint="eastAsia"/>
        </w:rPr>
        <w:t>1、</w:t>
      </w:r>
      <w:r>
        <w:t>对外交通运输</w:t>
      </w:r>
    </w:p>
    <w:p w14:paraId="75546C29">
      <w:pPr>
        <w:ind w:firstLine="480"/>
      </w:pPr>
      <w:r>
        <w:rPr>
          <w:rFonts w:hint="eastAsia"/>
        </w:rPr>
        <w:t>工程区距</w:t>
      </w:r>
      <w:r>
        <w:t>32</w:t>
      </w:r>
      <w:r>
        <w:rPr>
          <w:rFonts w:hint="eastAsia"/>
        </w:rPr>
        <w:t>0国道仅5km，距遮放镇约5km，本工程施工期较短，场内运输强度不大，工程区内地势平缓，现有机耕路可直达，交通较为方便。此外，团结水电站</w:t>
      </w:r>
      <w:r>
        <w:rPr>
          <w:rFonts w:hint="eastAsia"/>
          <w:color w:val="FF0000"/>
        </w:rPr>
        <w:t>电站主厂房南侧39.3m处为龙瑞高速，东北侧约54.5m处为芒瑞大道</w:t>
      </w:r>
      <w:r>
        <w:rPr>
          <w:rFonts w:hint="eastAsia"/>
        </w:rPr>
        <w:t>。</w:t>
      </w:r>
    </w:p>
    <w:p w14:paraId="1408F6DA">
      <w:pPr>
        <w:ind w:firstLine="480"/>
      </w:pPr>
      <w:r>
        <w:rPr>
          <w:rFonts w:hint="eastAsia"/>
        </w:rPr>
        <w:t>2、场</w:t>
      </w:r>
      <w:r>
        <w:t>内交通</w:t>
      </w:r>
    </w:p>
    <w:p w14:paraId="3214367E">
      <w:pPr>
        <w:ind w:firstLine="480"/>
      </w:pPr>
      <w:r>
        <w:rPr>
          <w:rFonts w:hint="eastAsia"/>
        </w:rPr>
        <w:t>根据施工总体布置，工程无需修建场内施工道路，原有道路即可满足需求。</w:t>
      </w:r>
    </w:p>
    <w:p w14:paraId="4C4A4E38">
      <w:pPr>
        <w:pStyle w:val="141"/>
      </w:pPr>
      <w:r>
        <w:rPr>
          <w:rFonts w:hint="eastAsia"/>
        </w:rPr>
        <w:t>2.3.3.2</w:t>
      </w:r>
      <w:r>
        <w:t>主要建筑材料</w:t>
      </w:r>
    </w:p>
    <w:p w14:paraId="06C5F302">
      <w:pPr>
        <w:ind w:firstLine="480"/>
        <w:rPr>
          <w:szCs w:val="24"/>
        </w:rPr>
      </w:pPr>
      <w:bookmarkStart w:id="324" w:name="_Toc397428292"/>
      <w:r>
        <w:rPr>
          <w:rFonts w:hint="eastAsia"/>
          <w:szCs w:val="24"/>
        </w:rPr>
        <w:t>1、</w:t>
      </w:r>
      <w:r>
        <w:rPr>
          <w:szCs w:val="24"/>
        </w:rPr>
        <w:t>石料场</w:t>
      </w:r>
    </w:p>
    <w:p w14:paraId="48062DFD">
      <w:pPr>
        <w:ind w:firstLine="480"/>
        <w:rPr>
          <w:szCs w:val="24"/>
        </w:rPr>
      </w:pPr>
      <w:r>
        <w:t>本工程不专门设置石料场。工程用石料主要从坝基、</w:t>
      </w:r>
      <w:r>
        <w:rPr>
          <w:rFonts w:hint="eastAsia"/>
        </w:rPr>
        <w:t>厂房</w:t>
      </w:r>
      <w:r>
        <w:t>等工程开挖弃渣加工利用</w:t>
      </w:r>
      <w:r>
        <w:rPr>
          <w:rFonts w:hint="eastAsia"/>
        </w:rPr>
        <w:t>，</w:t>
      </w:r>
      <w:r>
        <w:t>不足部分可</w:t>
      </w:r>
      <w:r>
        <w:rPr>
          <w:szCs w:val="24"/>
        </w:rPr>
        <w:t>从</w:t>
      </w:r>
      <w:r>
        <w:rPr>
          <w:rFonts w:hint="eastAsia"/>
        </w:rPr>
        <w:t>户育附近</w:t>
      </w:r>
      <w:r>
        <w:rPr>
          <w:szCs w:val="24"/>
        </w:rPr>
        <w:t>采</w:t>
      </w:r>
      <w:r>
        <w:rPr>
          <w:rFonts w:hint="eastAsia"/>
          <w:szCs w:val="24"/>
        </w:rPr>
        <w:t>石</w:t>
      </w:r>
      <w:r>
        <w:rPr>
          <w:szCs w:val="24"/>
        </w:rPr>
        <w:t>场</w:t>
      </w:r>
      <w:r>
        <w:rPr>
          <w:rFonts w:hint="eastAsia"/>
          <w:szCs w:val="24"/>
        </w:rPr>
        <w:t>购买</w:t>
      </w:r>
      <w:r>
        <w:rPr>
          <w:szCs w:val="24"/>
        </w:rPr>
        <w:t>，其质量与数量均能满足工程建设需求</w:t>
      </w:r>
      <w:r>
        <w:rPr>
          <w:rFonts w:hint="eastAsia"/>
        </w:rPr>
        <w:t>。</w:t>
      </w:r>
    </w:p>
    <w:p w14:paraId="23ECED9C">
      <w:pPr>
        <w:tabs>
          <w:tab w:val="left" w:pos="480"/>
        </w:tabs>
        <w:ind w:firstLine="480"/>
        <w:rPr>
          <w:rFonts w:hAnsi="宋体"/>
          <w:kern w:val="0"/>
          <w:szCs w:val="20"/>
        </w:rPr>
      </w:pPr>
      <w:r>
        <w:rPr>
          <w:rFonts w:hint="eastAsia" w:hAnsi="宋体"/>
          <w:kern w:val="0"/>
          <w:szCs w:val="20"/>
        </w:rPr>
        <w:t>2、</w:t>
      </w:r>
      <w:r>
        <w:rPr>
          <w:rFonts w:hAnsi="宋体"/>
          <w:kern w:val="0"/>
          <w:szCs w:val="20"/>
        </w:rPr>
        <w:t>砂料场</w:t>
      </w:r>
    </w:p>
    <w:p w14:paraId="559BA882">
      <w:pPr>
        <w:ind w:firstLine="480"/>
        <w:rPr>
          <w:szCs w:val="24"/>
        </w:rPr>
      </w:pPr>
      <w:r>
        <w:rPr>
          <w:rFonts w:hint="eastAsia"/>
        </w:rPr>
        <w:t>根据野外地质测绘及初步鉴定，</w:t>
      </w:r>
      <w:r>
        <w:rPr>
          <w:rFonts w:hint="eastAsia" w:hAnsi="宋体"/>
          <w:szCs w:val="24"/>
        </w:rPr>
        <w:t>电站</w:t>
      </w:r>
      <w:r>
        <w:rPr>
          <w:rFonts w:hint="eastAsia"/>
        </w:rPr>
        <w:t>坝址下游1.8km处芒市河河床内云母含量偏高，目估获得率较高，质量中等，具备开采价值。</w:t>
      </w:r>
      <w:r>
        <w:rPr>
          <w:rFonts w:hint="eastAsia" w:ascii="宋体" w:hAnsi="宋体"/>
        </w:rPr>
        <w:t>工程所需砂料可由河床砂砾加工获得，不足部分可就近购买。</w:t>
      </w:r>
    </w:p>
    <w:p w14:paraId="124179A2">
      <w:pPr>
        <w:tabs>
          <w:tab w:val="left" w:pos="480"/>
        </w:tabs>
        <w:ind w:firstLine="480"/>
        <w:rPr>
          <w:kern w:val="0"/>
          <w:szCs w:val="24"/>
        </w:rPr>
      </w:pPr>
      <w:r>
        <w:rPr>
          <w:rFonts w:hint="eastAsia"/>
          <w:kern w:val="0"/>
          <w:szCs w:val="24"/>
        </w:rPr>
        <w:t>3、</w:t>
      </w:r>
      <w:r>
        <w:rPr>
          <w:kern w:val="0"/>
          <w:szCs w:val="24"/>
        </w:rPr>
        <w:t>其他</w:t>
      </w:r>
    </w:p>
    <w:p w14:paraId="72C384AE">
      <w:pPr>
        <w:ind w:firstLine="480"/>
      </w:pPr>
      <w:r>
        <w:rPr>
          <w:szCs w:val="24"/>
        </w:rPr>
        <w:t>工程建设所需主要外来建材有水泥、钢材、木材、油料等。根据工程外来物资供应情况，</w:t>
      </w:r>
      <w:r>
        <w:rPr>
          <w:rFonts w:hint="eastAsia"/>
        </w:rPr>
        <w:t>水泥可由德宏、保山、下关等水泥厂采购，钢筋、钢材可从昆明采运，木材可由芒市林区供给。</w:t>
      </w:r>
    </w:p>
    <w:p w14:paraId="24E732B6">
      <w:pPr>
        <w:pStyle w:val="141"/>
      </w:pPr>
      <w:r>
        <w:rPr>
          <w:rFonts w:hint="eastAsia"/>
        </w:rPr>
        <w:t>2.3.3.3</w:t>
      </w:r>
      <w:r>
        <w:t>主要施工机械设备</w:t>
      </w:r>
      <w:bookmarkEnd w:id="324"/>
    </w:p>
    <w:p w14:paraId="294D8578">
      <w:pPr>
        <w:ind w:firstLine="480"/>
      </w:pPr>
      <w:r>
        <w:rPr>
          <w:rFonts w:hint="eastAsia"/>
        </w:rPr>
        <w:t>电站</w:t>
      </w:r>
      <w:r>
        <w:t>主要施工机械设备见</w:t>
      </w:r>
      <w:r>
        <w:rPr>
          <w:rFonts w:hint="eastAsia"/>
        </w:rPr>
        <w:t>下表：</w:t>
      </w:r>
    </w:p>
    <w:p w14:paraId="6F8ACC45">
      <w:pPr>
        <w:pStyle w:val="82"/>
        <w:framePr w:hSpace="0" w:wrap="auto" w:vAnchor="margin" w:hAnchor="text" w:xAlign="left" w:yAlign="inline"/>
      </w:pPr>
      <w:r>
        <w:rPr>
          <w:rFonts w:hint="eastAsia"/>
        </w:rPr>
        <w:t xml:space="preserve">2-3-2  </w:t>
      </w:r>
      <w:r>
        <w:t>主要施工机械设备</w:t>
      </w:r>
      <w:r>
        <w:rPr>
          <w:rFonts w:hint="eastAsia"/>
        </w:rPr>
        <w:t>一览表</w:t>
      </w:r>
    </w:p>
    <w:tbl>
      <w:tblPr>
        <w:tblStyle w:val="56"/>
        <w:tblW w:w="8088"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62"/>
        <w:gridCol w:w="2073"/>
        <w:gridCol w:w="2201"/>
        <w:gridCol w:w="1276"/>
        <w:gridCol w:w="1676"/>
      </w:tblGrid>
      <w:tr w14:paraId="03D8F218">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2" w:hRule="atLeast"/>
          <w:tblHeader/>
          <w:jc w:val="center"/>
        </w:trPr>
        <w:tc>
          <w:tcPr>
            <w:tcW w:w="862" w:type="dxa"/>
            <w:vAlign w:val="center"/>
          </w:tcPr>
          <w:p w14:paraId="7D34A185">
            <w:pPr>
              <w:pStyle w:val="84"/>
            </w:pPr>
            <w:r>
              <w:rPr>
                <w:rFonts w:hint="eastAsia"/>
              </w:rPr>
              <w:t>序号</w:t>
            </w:r>
          </w:p>
        </w:tc>
        <w:tc>
          <w:tcPr>
            <w:tcW w:w="2073" w:type="dxa"/>
            <w:vAlign w:val="center"/>
          </w:tcPr>
          <w:p w14:paraId="2318B469">
            <w:pPr>
              <w:pStyle w:val="84"/>
            </w:pPr>
            <w:r>
              <w:rPr>
                <w:rFonts w:hint="eastAsia"/>
              </w:rPr>
              <w:t>设备名称</w:t>
            </w:r>
          </w:p>
        </w:tc>
        <w:tc>
          <w:tcPr>
            <w:tcW w:w="2201" w:type="dxa"/>
            <w:vAlign w:val="center"/>
          </w:tcPr>
          <w:p w14:paraId="42B0377D">
            <w:pPr>
              <w:pStyle w:val="84"/>
            </w:pPr>
            <w:r>
              <w:rPr>
                <w:rFonts w:hint="eastAsia"/>
              </w:rPr>
              <w:t>型号规格</w:t>
            </w:r>
          </w:p>
        </w:tc>
        <w:tc>
          <w:tcPr>
            <w:tcW w:w="1276" w:type="dxa"/>
            <w:vAlign w:val="center"/>
          </w:tcPr>
          <w:p w14:paraId="4363FBA2">
            <w:pPr>
              <w:pStyle w:val="84"/>
            </w:pPr>
            <w:r>
              <w:rPr>
                <w:rFonts w:hint="eastAsia"/>
              </w:rPr>
              <w:t>单位</w:t>
            </w:r>
          </w:p>
        </w:tc>
        <w:tc>
          <w:tcPr>
            <w:tcW w:w="1676" w:type="dxa"/>
            <w:vAlign w:val="center"/>
          </w:tcPr>
          <w:p w14:paraId="5B5E9571">
            <w:pPr>
              <w:pStyle w:val="84"/>
            </w:pPr>
            <w:r>
              <w:rPr>
                <w:rFonts w:hint="eastAsia"/>
              </w:rPr>
              <w:t>数量</w:t>
            </w:r>
          </w:p>
        </w:tc>
      </w:tr>
      <w:tr w14:paraId="2592AA8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vAlign w:val="center"/>
          </w:tcPr>
          <w:p w14:paraId="3CFAA3DA">
            <w:pPr>
              <w:pStyle w:val="84"/>
            </w:pPr>
            <w:r>
              <w:rPr>
                <w:rFonts w:hint="eastAsia"/>
              </w:rPr>
              <w:t>1</w:t>
            </w:r>
          </w:p>
        </w:tc>
        <w:tc>
          <w:tcPr>
            <w:tcW w:w="2073" w:type="dxa"/>
            <w:vAlign w:val="center"/>
          </w:tcPr>
          <w:p w14:paraId="65055626">
            <w:pPr>
              <w:pStyle w:val="84"/>
            </w:pPr>
            <w:r>
              <w:rPr>
                <w:rFonts w:hint="eastAsia"/>
              </w:rPr>
              <w:t>挖掘机</w:t>
            </w:r>
          </w:p>
        </w:tc>
        <w:tc>
          <w:tcPr>
            <w:tcW w:w="2201" w:type="dxa"/>
            <w:vAlign w:val="center"/>
          </w:tcPr>
          <w:p w14:paraId="237EDEB1">
            <w:pPr>
              <w:pStyle w:val="84"/>
            </w:pPr>
            <w:r>
              <w:rPr>
                <w:rFonts w:hint="eastAsia"/>
              </w:rPr>
              <w:t>1m</w:t>
            </w:r>
            <w:r>
              <w:rPr>
                <w:rFonts w:hint="eastAsia" w:ascii="宋体" w:hAnsi="宋体" w:eastAsia="宋体" w:cs="宋体"/>
              </w:rPr>
              <w:t>³</w:t>
            </w:r>
          </w:p>
        </w:tc>
        <w:tc>
          <w:tcPr>
            <w:tcW w:w="1276" w:type="dxa"/>
            <w:vAlign w:val="center"/>
          </w:tcPr>
          <w:p w14:paraId="3D1FF00C">
            <w:pPr>
              <w:pStyle w:val="84"/>
            </w:pPr>
            <w:r>
              <w:rPr>
                <w:rFonts w:hint="eastAsia"/>
              </w:rPr>
              <w:t>台</w:t>
            </w:r>
          </w:p>
        </w:tc>
        <w:tc>
          <w:tcPr>
            <w:tcW w:w="1676" w:type="dxa"/>
            <w:vAlign w:val="center"/>
          </w:tcPr>
          <w:p w14:paraId="35831DFC">
            <w:pPr>
              <w:pStyle w:val="84"/>
            </w:pPr>
            <w:r>
              <w:rPr>
                <w:rFonts w:hint="eastAsia"/>
              </w:rPr>
              <w:t>2</w:t>
            </w:r>
          </w:p>
        </w:tc>
      </w:tr>
      <w:tr w14:paraId="4905D7E0">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01" w:hRule="atLeast"/>
          <w:jc w:val="center"/>
        </w:trPr>
        <w:tc>
          <w:tcPr>
            <w:tcW w:w="862" w:type="dxa"/>
            <w:vAlign w:val="center"/>
          </w:tcPr>
          <w:p w14:paraId="0B93AED7">
            <w:pPr>
              <w:pStyle w:val="84"/>
            </w:pPr>
            <w:r>
              <w:rPr>
                <w:rFonts w:hint="eastAsia"/>
              </w:rPr>
              <w:t>2</w:t>
            </w:r>
          </w:p>
        </w:tc>
        <w:tc>
          <w:tcPr>
            <w:tcW w:w="2073" w:type="dxa"/>
            <w:vAlign w:val="center"/>
          </w:tcPr>
          <w:p w14:paraId="53D42C91">
            <w:pPr>
              <w:pStyle w:val="84"/>
            </w:pPr>
            <w:r>
              <w:rPr>
                <w:rFonts w:hint="eastAsia"/>
              </w:rPr>
              <w:t>推土机</w:t>
            </w:r>
          </w:p>
        </w:tc>
        <w:tc>
          <w:tcPr>
            <w:tcW w:w="2201" w:type="dxa"/>
            <w:vAlign w:val="center"/>
          </w:tcPr>
          <w:p w14:paraId="2BA3EE4A">
            <w:pPr>
              <w:pStyle w:val="84"/>
            </w:pPr>
            <w:r>
              <w:rPr>
                <w:rFonts w:hint="eastAsia"/>
              </w:rPr>
              <w:t>59kW</w:t>
            </w:r>
          </w:p>
        </w:tc>
        <w:tc>
          <w:tcPr>
            <w:tcW w:w="1276" w:type="dxa"/>
            <w:vAlign w:val="center"/>
          </w:tcPr>
          <w:p w14:paraId="616B67DA">
            <w:pPr>
              <w:pStyle w:val="84"/>
            </w:pPr>
            <w:r>
              <w:rPr>
                <w:rFonts w:hint="eastAsia"/>
              </w:rPr>
              <w:t>台</w:t>
            </w:r>
          </w:p>
        </w:tc>
        <w:tc>
          <w:tcPr>
            <w:tcW w:w="1676" w:type="dxa"/>
            <w:vAlign w:val="center"/>
          </w:tcPr>
          <w:p w14:paraId="1F65E2E2">
            <w:pPr>
              <w:pStyle w:val="84"/>
            </w:pPr>
            <w:r>
              <w:rPr>
                <w:rFonts w:hint="eastAsia"/>
              </w:rPr>
              <w:t>2</w:t>
            </w:r>
          </w:p>
        </w:tc>
      </w:tr>
      <w:tr w14:paraId="3ADDD608">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vAlign w:val="center"/>
          </w:tcPr>
          <w:p w14:paraId="14536DDE">
            <w:pPr>
              <w:pStyle w:val="84"/>
            </w:pPr>
            <w:r>
              <w:rPr>
                <w:rFonts w:hint="eastAsia"/>
              </w:rPr>
              <w:t>3</w:t>
            </w:r>
          </w:p>
        </w:tc>
        <w:tc>
          <w:tcPr>
            <w:tcW w:w="2073" w:type="dxa"/>
            <w:vAlign w:val="center"/>
          </w:tcPr>
          <w:p w14:paraId="5FB1F8D2">
            <w:pPr>
              <w:pStyle w:val="84"/>
            </w:pPr>
            <w:r>
              <w:rPr>
                <w:rFonts w:hint="eastAsia"/>
              </w:rPr>
              <w:t>推土机</w:t>
            </w:r>
          </w:p>
        </w:tc>
        <w:tc>
          <w:tcPr>
            <w:tcW w:w="2201" w:type="dxa"/>
            <w:vAlign w:val="center"/>
          </w:tcPr>
          <w:p w14:paraId="685ECE4B">
            <w:pPr>
              <w:pStyle w:val="84"/>
            </w:pPr>
            <w:r>
              <w:rPr>
                <w:rFonts w:hint="eastAsia"/>
              </w:rPr>
              <w:t>88kW</w:t>
            </w:r>
          </w:p>
        </w:tc>
        <w:tc>
          <w:tcPr>
            <w:tcW w:w="1276" w:type="dxa"/>
            <w:vAlign w:val="center"/>
          </w:tcPr>
          <w:p w14:paraId="165D8607">
            <w:pPr>
              <w:pStyle w:val="84"/>
            </w:pPr>
            <w:r>
              <w:rPr>
                <w:rFonts w:hint="eastAsia"/>
              </w:rPr>
              <w:t>台</w:t>
            </w:r>
          </w:p>
        </w:tc>
        <w:tc>
          <w:tcPr>
            <w:tcW w:w="1676" w:type="dxa"/>
            <w:vAlign w:val="center"/>
          </w:tcPr>
          <w:p w14:paraId="03C347EA">
            <w:pPr>
              <w:pStyle w:val="84"/>
            </w:pPr>
            <w:r>
              <w:rPr>
                <w:rFonts w:hint="eastAsia"/>
              </w:rPr>
              <w:t>1</w:t>
            </w:r>
          </w:p>
        </w:tc>
      </w:tr>
      <w:tr w14:paraId="4A60959D">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vAlign w:val="center"/>
          </w:tcPr>
          <w:p w14:paraId="14BCD49A">
            <w:pPr>
              <w:pStyle w:val="84"/>
            </w:pPr>
            <w:r>
              <w:rPr>
                <w:rFonts w:hint="eastAsia"/>
              </w:rPr>
              <w:t>4</w:t>
            </w:r>
          </w:p>
        </w:tc>
        <w:tc>
          <w:tcPr>
            <w:tcW w:w="2073" w:type="dxa"/>
            <w:vAlign w:val="center"/>
          </w:tcPr>
          <w:p w14:paraId="047671D0">
            <w:pPr>
              <w:pStyle w:val="84"/>
            </w:pPr>
            <w:r>
              <w:rPr>
                <w:rFonts w:hint="eastAsia"/>
              </w:rPr>
              <w:t>装载机</w:t>
            </w:r>
          </w:p>
        </w:tc>
        <w:tc>
          <w:tcPr>
            <w:tcW w:w="2201" w:type="dxa"/>
            <w:vAlign w:val="center"/>
          </w:tcPr>
          <w:p w14:paraId="1324022A">
            <w:pPr>
              <w:pStyle w:val="84"/>
            </w:pPr>
            <w:r>
              <w:rPr>
                <w:rFonts w:hint="eastAsia"/>
              </w:rPr>
              <w:t>1m</w:t>
            </w:r>
            <w:r>
              <w:rPr>
                <w:rFonts w:hint="eastAsia" w:ascii="宋体" w:hAnsi="宋体" w:eastAsia="宋体" w:cs="宋体"/>
              </w:rPr>
              <w:t>³</w:t>
            </w:r>
          </w:p>
        </w:tc>
        <w:tc>
          <w:tcPr>
            <w:tcW w:w="1276" w:type="dxa"/>
            <w:vAlign w:val="center"/>
          </w:tcPr>
          <w:p w14:paraId="788DAFDD">
            <w:pPr>
              <w:pStyle w:val="84"/>
            </w:pPr>
            <w:r>
              <w:rPr>
                <w:rFonts w:hint="eastAsia"/>
              </w:rPr>
              <w:t>台</w:t>
            </w:r>
          </w:p>
        </w:tc>
        <w:tc>
          <w:tcPr>
            <w:tcW w:w="1676" w:type="dxa"/>
            <w:vAlign w:val="center"/>
          </w:tcPr>
          <w:p w14:paraId="15F9ED1D">
            <w:pPr>
              <w:pStyle w:val="84"/>
            </w:pPr>
            <w:r>
              <w:rPr>
                <w:rFonts w:hint="eastAsia"/>
              </w:rPr>
              <w:t>1</w:t>
            </w:r>
          </w:p>
        </w:tc>
      </w:tr>
      <w:tr w14:paraId="027579D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vAlign w:val="center"/>
          </w:tcPr>
          <w:p w14:paraId="2459658D">
            <w:pPr>
              <w:pStyle w:val="84"/>
            </w:pPr>
            <w:r>
              <w:rPr>
                <w:rFonts w:hint="eastAsia"/>
              </w:rPr>
              <w:t>5</w:t>
            </w:r>
          </w:p>
        </w:tc>
        <w:tc>
          <w:tcPr>
            <w:tcW w:w="2073" w:type="dxa"/>
            <w:vAlign w:val="center"/>
          </w:tcPr>
          <w:p w14:paraId="4FF36F02">
            <w:pPr>
              <w:pStyle w:val="84"/>
            </w:pPr>
            <w:r>
              <w:rPr>
                <w:rFonts w:hint="eastAsia"/>
              </w:rPr>
              <w:t>手风钻</w:t>
            </w:r>
          </w:p>
        </w:tc>
        <w:tc>
          <w:tcPr>
            <w:tcW w:w="2201" w:type="dxa"/>
            <w:vAlign w:val="center"/>
          </w:tcPr>
          <w:p w14:paraId="718D4530">
            <w:pPr>
              <w:pStyle w:val="84"/>
            </w:pPr>
            <w:r>
              <w:t>YT-24</w:t>
            </w:r>
          </w:p>
        </w:tc>
        <w:tc>
          <w:tcPr>
            <w:tcW w:w="1276" w:type="dxa"/>
            <w:vAlign w:val="center"/>
          </w:tcPr>
          <w:p w14:paraId="690570D7">
            <w:pPr>
              <w:pStyle w:val="84"/>
            </w:pPr>
            <w:r>
              <w:rPr>
                <w:rFonts w:hint="eastAsia"/>
              </w:rPr>
              <w:t>台</w:t>
            </w:r>
          </w:p>
        </w:tc>
        <w:tc>
          <w:tcPr>
            <w:tcW w:w="1676" w:type="dxa"/>
            <w:vAlign w:val="center"/>
          </w:tcPr>
          <w:p w14:paraId="71398878">
            <w:pPr>
              <w:pStyle w:val="84"/>
            </w:pPr>
            <w:r>
              <w:rPr>
                <w:rFonts w:hint="eastAsia"/>
              </w:rPr>
              <w:t>3</w:t>
            </w:r>
          </w:p>
        </w:tc>
      </w:tr>
      <w:tr w14:paraId="3A93D8E3">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vAlign w:val="center"/>
          </w:tcPr>
          <w:p w14:paraId="169CA419">
            <w:pPr>
              <w:pStyle w:val="84"/>
            </w:pPr>
            <w:r>
              <w:rPr>
                <w:rFonts w:hint="eastAsia"/>
              </w:rPr>
              <w:t>7</w:t>
            </w:r>
          </w:p>
        </w:tc>
        <w:tc>
          <w:tcPr>
            <w:tcW w:w="2073" w:type="dxa"/>
            <w:vAlign w:val="center"/>
          </w:tcPr>
          <w:p w14:paraId="73889CD9">
            <w:pPr>
              <w:pStyle w:val="84"/>
            </w:pPr>
            <w:r>
              <w:t>混凝土搅拌机</w:t>
            </w:r>
          </w:p>
        </w:tc>
        <w:tc>
          <w:tcPr>
            <w:tcW w:w="2201" w:type="dxa"/>
            <w:vAlign w:val="center"/>
          </w:tcPr>
          <w:p w14:paraId="62132B12">
            <w:pPr>
              <w:pStyle w:val="84"/>
            </w:pPr>
            <w:r>
              <w:rPr>
                <w:sz w:val="20"/>
                <w:szCs w:val="20"/>
              </w:rPr>
              <w:t>0.4m</w:t>
            </w:r>
            <w:r>
              <w:rPr>
                <w:sz w:val="20"/>
                <w:szCs w:val="20"/>
                <w:vertAlign w:val="superscript"/>
              </w:rPr>
              <w:t>3</w:t>
            </w:r>
          </w:p>
        </w:tc>
        <w:tc>
          <w:tcPr>
            <w:tcW w:w="1276" w:type="dxa"/>
            <w:vAlign w:val="center"/>
          </w:tcPr>
          <w:p w14:paraId="7B9ACDCE">
            <w:pPr>
              <w:pStyle w:val="84"/>
            </w:pPr>
            <w:r>
              <w:t>台</w:t>
            </w:r>
          </w:p>
        </w:tc>
        <w:tc>
          <w:tcPr>
            <w:tcW w:w="1676" w:type="dxa"/>
            <w:vAlign w:val="center"/>
          </w:tcPr>
          <w:p w14:paraId="32963A01">
            <w:pPr>
              <w:pStyle w:val="84"/>
            </w:pPr>
            <w:r>
              <w:t>1</w:t>
            </w:r>
          </w:p>
        </w:tc>
      </w:tr>
      <w:tr w14:paraId="7AB8004F">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vAlign w:val="center"/>
          </w:tcPr>
          <w:p w14:paraId="3EA9C57D">
            <w:pPr>
              <w:pStyle w:val="84"/>
            </w:pPr>
            <w:r>
              <w:rPr>
                <w:rFonts w:hint="eastAsia"/>
              </w:rPr>
              <w:t>9</w:t>
            </w:r>
          </w:p>
        </w:tc>
        <w:tc>
          <w:tcPr>
            <w:tcW w:w="2073" w:type="dxa"/>
            <w:vAlign w:val="center"/>
          </w:tcPr>
          <w:p w14:paraId="0EBB6E6B">
            <w:pPr>
              <w:pStyle w:val="84"/>
            </w:pPr>
            <w:r>
              <w:rPr>
                <w:rFonts w:hint="eastAsia"/>
              </w:rPr>
              <w:t>混凝土泵</w:t>
            </w:r>
          </w:p>
        </w:tc>
        <w:tc>
          <w:tcPr>
            <w:tcW w:w="2201" w:type="dxa"/>
            <w:vAlign w:val="center"/>
          </w:tcPr>
          <w:p w14:paraId="760125B3">
            <w:pPr>
              <w:pStyle w:val="84"/>
            </w:pPr>
            <w:r>
              <w:rPr>
                <w:rFonts w:hint="eastAsia"/>
              </w:rPr>
              <w:t>HB30</w:t>
            </w:r>
          </w:p>
        </w:tc>
        <w:tc>
          <w:tcPr>
            <w:tcW w:w="1276" w:type="dxa"/>
            <w:vAlign w:val="center"/>
          </w:tcPr>
          <w:p w14:paraId="0D10F2C6">
            <w:pPr>
              <w:pStyle w:val="84"/>
            </w:pPr>
            <w:r>
              <w:rPr>
                <w:rFonts w:hint="eastAsia"/>
              </w:rPr>
              <w:t>台</w:t>
            </w:r>
          </w:p>
        </w:tc>
        <w:tc>
          <w:tcPr>
            <w:tcW w:w="1676" w:type="dxa"/>
            <w:vAlign w:val="center"/>
          </w:tcPr>
          <w:p w14:paraId="68773DF0">
            <w:pPr>
              <w:pStyle w:val="84"/>
            </w:pPr>
            <w:r>
              <w:rPr>
                <w:rFonts w:hint="eastAsia"/>
              </w:rPr>
              <w:t>1</w:t>
            </w:r>
          </w:p>
        </w:tc>
      </w:tr>
      <w:tr w14:paraId="2D18F7ED">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vAlign w:val="center"/>
          </w:tcPr>
          <w:p w14:paraId="7A000849">
            <w:pPr>
              <w:pStyle w:val="84"/>
            </w:pPr>
            <w:r>
              <w:rPr>
                <w:rFonts w:hint="eastAsia"/>
              </w:rPr>
              <w:t>11</w:t>
            </w:r>
          </w:p>
        </w:tc>
        <w:tc>
          <w:tcPr>
            <w:tcW w:w="2073" w:type="dxa"/>
            <w:vAlign w:val="center"/>
          </w:tcPr>
          <w:p w14:paraId="50A99E23">
            <w:pPr>
              <w:pStyle w:val="84"/>
            </w:pPr>
            <w:r>
              <w:rPr>
                <w:rFonts w:hint="eastAsia"/>
              </w:rPr>
              <w:t>砂浆泵</w:t>
            </w:r>
          </w:p>
        </w:tc>
        <w:tc>
          <w:tcPr>
            <w:tcW w:w="2201" w:type="dxa"/>
            <w:vAlign w:val="center"/>
          </w:tcPr>
          <w:p w14:paraId="39B91113">
            <w:pPr>
              <w:pStyle w:val="84"/>
            </w:pPr>
            <w:r>
              <w:rPr>
                <w:rFonts w:hint="eastAsia"/>
              </w:rPr>
              <w:t>100/15</w:t>
            </w:r>
          </w:p>
        </w:tc>
        <w:tc>
          <w:tcPr>
            <w:tcW w:w="1276" w:type="dxa"/>
            <w:vAlign w:val="center"/>
          </w:tcPr>
          <w:p w14:paraId="099BBF81">
            <w:pPr>
              <w:pStyle w:val="84"/>
            </w:pPr>
            <w:r>
              <w:rPr>
                <w:rFonts w:hint="eastAsia"/>
              </w:rPr>
              <w:t>台</w:t>
            </w:r>
          </w:p>
        </w:tc>
        <w:tc>
          <w:tcPr>
            <w:tcW w:w="1676" w:type="dxa"/>
            <w:vAlign w:val="center"/>
          </w:tcPr>
          <w:p w14:paraId="4FBCF385">
            <w:pPr>
              <w:pStyle w:val="84"/>
            </w:pPr>
            <w:r>
              <w:rPr>
                <w:rFonts w:hint="eastAsia"/>
              </w:rPr>
              <w:t>1</w:t>
            </w:r>
          </w:p>
        </w:tc>
      </w:tr>
      <w:tr w14:paraId="521DF35A">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5" w:hRule="atLeast"/>
          <w:jc w:val="center"/>
        </w:trPr>
        <w:tc>
          <w:tcPr>
            <w:tcW w:w="862" w:type="dxa"/>
            <w:vAlign w:val="center"/>
          </w:tcPr>
          <w:p w14:paraId="49F94ADC">
            <w:pPr>
              <w:pStyle w:val="84"/>
            </w:pPr>
            <w:r>
              <w:rPr>
                <w:rFonts w:hint="eastAsia"/>
              </w:rPr>
              <w:t>13</w:t>
            </w:r>
          </w:p>
        </w:tc>
        <w:tc>
          <w:tcPr>
            <w:tcW w:w="2073" w:type="dxa"/>
            <w:vAlign w:val="center"/>
          </w:tcPr>
          <w:p w14:paraId="5BCDB4C4">
            <w:pPr>
              <w:pStyle w:val="84"/>
            </w:pPr>
            <w:r>
              <w:t>插入式振捣机</w:t>
            </w:r>
          </w:p>
        </w:tc>
        <w:tc>
          <w:tcPr>
            <w:tcW w:w="2201" w:type="dxa"/>
            <w:vAlign w:val="center"/>
          </w:tcPr>
          <w:p w14:paraId="22ED81D3">
            <w:pPr>
              <w:pStyle w:val="84"/>
            </w:pPr>
            <w:r>
              <w:rPr>
                <w:sz w:val="20"/>
                <w:szCs w:val="20"/>
              </w:rPr>
              <w:t>1.1kw</w:t>
            </w:r>
          </w:p>
        </w:tc>
        <w:tc>
          <w:tcPr>
            <w:tcW w:w="1276" w:type="dxa"/>
            <w:vAlign w:val="center"/>
          </w:tcPr>
          <w:p w14:paraId="61E7E801">
            <w:pPr>
              <w:pStyle w:val="84"/>
            </w:pPr>
            <w:r>
              <w:t>台</w:t>
            </w:r>
          </w:p>
        </w:tc>
        <w:tc>
          <w:tcPr>
            <w:tcW w:w="1676" w:type="dxa"/>
            <w:vAlign w:val="center"/>
          </w:tcPr>
          <w:p w14:paraId="5C511371">
            <w:pPr>
              <w:pStyle w:val="84"/>
            </w:pPr>
            <w:r>
              <w:t>3</w:t>
            </w:r>
          </w:p>
        </w:tc>
      </w:tr>
      <w:tr w14:paraId="0BB899B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vAlign w:val="center"/>
          </w:tcPr>
          <w:p w14:paraId="50FC9C64">
            <w:pPr>
              <w:pStyle w:val="84"/>
            </w:pPr>
            <w:r>
              <w:rPr>
                <w:rFonts w:hint="eastAsia"/>
              </w:rPr>
              <w:t>14</w:t>
            </w:r>
          </w:p>
        </w:tc>
        <w:tc>
          <w:tcPr>
            <w:tcW w:w="2073" w:type="dxa"/>
            <w:vAlign w:val="center"/>
          </w:tcPr>
          <w:p w14:paraId="0356E760">
            <w:pPr>
              <w:pStyle w:val="84"/>
            </w:pPr>
            <w:r>
              <w:rPr>
                <w:sz w:val="20"/>
                <w:szCs w:val="20"/>
              </w:rPr>
              <w:t>蛙式夯实机</w:t>
            </w:r>
          </w:p>
        </w:tc>
        <w:tc>
          <w:tcPr>
            <w:tcW w:w="2201" w:type="dxa"/>
            <w:vAlign w:val="center"/>
          </w:tcPr>
          <w:p w14:paraId="01E2C24D">
            <w:pPr>
              <w:pStyle w:val="84"/>
            </w:pPr>
            <w:r>
              <w:rPr>
                <w:sz w:val="20"/>
                <w:szCs w:val="20"/>
              </w:rPr>
              <w:t>2.8kw</w:t>
            </w:r>
          </w:p>
        </w:tc>
        <w:tc>
          <w:tcPr>
            <w:tcW w:w="1276" w:type="dxa"/>
            <w:vAlign w:val="center"/>
          </w:tcPr>
          <w:p w14:paraId="0B483628">
            <w:pPr>
              <w:pStyle w:val="84"/>
            </w:pPr>
            <w:r>
              <w:t>台</w:t>
            </w:r>
          </w:p>
        </w:tc>
        <w:tc>
          <w:tcPr>
            <w:tcW w:w="1676" w:type="dxa"/>
            <w:vAlign w:val="center"/>
          </w:tcPr>
          <w:p w14:paraId="7C13EBDC">
            <w:pPr>
              <w:pStyle w:val="84"/>
            </w:pPr>
            <w:r>
              <w:t>3</w:t>
            </w:r>
          </w:p>
        </w:tc>
      </w:tr>
      <w:tr w14:paraId="6AC05CAE">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vAlign w:val="center"/>
          </w:tcPr>
          <w:p w14:paraId="19868012">
            <w:pPr>
              <w:pStyle w:val="84"/>
            </w:pPr>
            <w:r>
              <w:rPr>
                <w:rFonts w:hint="eastAsia"/>
              </w:rPr>
              <w:t>15</w:t>
            </w:r>
          </w:p>
        </w:tc>
        <w:tc>
          <w:tcPr>
            <w:tcW w:w="2073" w:type="dxa"/>
            <w:vAlign w:val="center"/>
          </w:tcPr>
          <w:p w14:paraId="057EDA76">
            <w:pPr>
              <w:pStyle w:val="84"/>
            </w:pPr>
            <w:r>
              <w:rPr>
                <w:rFonts w:hint="eastAsia"/>
              </w:rPr>
              <w:t>凸块振动碾</w:t>
            </w:r>
          </w:p>
        </w:tc>
        <w:tc>
          <w:tcPr>
            <w:tcW w:w="2201" w:type="dxa"/>
            <w:vAlign w:val="center"/>
          </w:tcPr>
          <w:p w14:paraId="3707C5B5">
            <w:pPr>
              <w:pStyle w:val="84"/>
            </w:pPr>
            <w:r>
              <w:rPr>
                <w:rFonts w:hint="eastAsia"/>
              </w:rPr>
              <w:t>8.5t</w:t>
            </w:r>
          </w:p>
        </w:tc>
        <w:tc>
          <w:tcPr>
            <w:tcW w:w="1276" w:type="dxa"/>
            <w:vAlign w:val="center"/>
          </w:tcPr>
          <w:p w14:paraId="3E6CB2ED">
            <w:pPr>
              <w:pStyle w:val="84"/>
            </w:pPr>
            <w:r>
              <w:rPr>
                <w:rFonts w:hint="eastAsia"/>
              </w:rPr>
              <w:t>台</w:t>
            </w:r>
          </w:p>
        </w:tc>
        <w:tc>
          <w:tcPr>
            <w:tcW w:w="1676" w:type="dxa"/>
            <w:vAlign w:val="center"/>
          </w:tcPr>
          <w:p w14:paraId="720A7F24">
            <w:pPr>
              <w:pStyle w:val="84"/>
            </w:pPr>
            <w:r>
              <w:rPr>
                <w:rFonts w:hint="eastAsia"/>
              </w:rPr>
              <w:t>1</w:t>
            </w:r>
          </w:p>
        </w:tc>
      </w:tr>
      <w:tr w14:paraId="1C08F3B7">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vAlign w:val="center"/>
          </w:tcPr>
          <w:p w14:paraId="1ED14B4D">
            <w:pPr>
              <w:pStyle w:val="84"/>
            </w:pPr>
            <w:r>
              <w:rPr>
                <w:rFonts w:hint="eastAsia"/>
              </w:rPr>
              <w:t>16</w:t>
            </w:r>
          </w:p>
        </w:tc>
        <w:tc>
          <w:tcPr>
            <w:tcW w:w="2073" w:type="dxa"/>
            <w:vAlign w:val="center"/>
          </w:tcPr>
          <w:p w14:paraId="4044D6C2">
            <w:pPr>
              <w:pStyle w:val="84"/>
            </w:pPr>
            <w:r>
              <w:rPr>
                <w:rFonts w:hint="eastAsia"/>
              </w:rPr>
              <w:t>蛙式打夯机</w:t>
            </w:r>
          </w:p>
        </w:tc>
        <w:tc>
          <w:tcPr>
            <w:tcW w:w="2201" w:type="dxa"/>
            <w:vAlign w:val="center"/>
          </w:tcPr>
          <w:p w14:paraId="29485AAD">
            <w:pPr>
              <w:pStyle w:val="84"/>
            </w:pPr>
            <w:r>
              <w:rPr>
                <w:rFonts w:hint="eastAsia"/>
              </w:rPr>
              <w:t>HW70</w:t>
            </w:r>
          </w:p>
        </w:tc>
        <w:tc>
          <w:tcPr>
            <w:tcW w:w="1276" w:type="dxa"/>
            <w:vAlign w:val="center"/>
          </w:tcPr>
          <w:p w14:paraId="57108814">
            <w:pPr>
              <w:pStyle w:val="84"/>
            </w:pPr>
            <w:r>
              <w:rPr>
                <w:rFonts w:hint="eastAsia"/>
              </w:rPr>
              <w:t>台</w:t>
            </w:r>
          </w:p>
        </w:tc>
        <w:tc>
          <w:tcPr>
            <w:tcW w:w="1676" w:type="dxa"/>
            <w:vAlign w:val="center"/>
          </w:tcPr>
          <w:p w14:paraId="7FC5B638">
            <w:pPr>
              <w:pStyle w:val="84"/>
            </w:pPr>
            <w:r>
              <w:rPr>
                <w:rFonts w:hint="eastAsia"/>
              </w:rPr>
              <w:t>5</w:t>
            </w:r>
          </w:p>
        </w:tc>
      </w:tr>
      <w:tr w14:paraId="7ED72698">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vAlign w:val="center"/>
          </w:tcPr>
          <w:p w14:paraId="535AF480">
            <w:pPr>
              <w:pStyle w:val="84"/>
            </w:pPr>
            <w:r>
              <w:rPr>
                <w:rFonts w:hint="eastAsia"/>
              </w:rPr>
              <w:t>17</w:t>
            </w:r>
          </w:p>
        </w:tc>
        <w:tc>
          <w:tcPr>
            <w:tcW w:w="2073" w:type="dxa"/>
            <w:vAlign w:val="center"/>
          </w:tcPr>
          <w:p w14:paraId="0AEFD500">
            <w:pPr>
              <w:pStyle w:val="84"/>
            </w:pPr>
            <w:r>
              <w:rPr>
                <w:rFonts w:hint="eastAsia"/>
              </w:rPr>
              <w:t>汽车吊</w:t>
            </w:r>
          </w:p>
        </w:tc>
        <w:tc>
          <w:tcPr>
            <w:tcW w:w="2201" w:type="dxa"/>
            <w:vAlign w:val="center"/>
          </w:tcPr>
          <w:p w14:paraId="75B5A207">
            <w:pPr>
              <w:pStyle w:val="84"/>
            </w:pPr>
            <w:r>
              <w:rPr>
                <w:rFonts w:hint="eastAsia"/>
              </w:rPr>
              <w:t>QY20</w:t>
            </w:r>
          </w:p>
        </w:tc>
        <w:tc>
          <w:tcPr>
            <w:tcW w:w="1276" w:type="dxa"/>
            <w:vAlign w:val="center"/>
          </w:tcPr>
          <w:p w14:paraId="3D116C36">
            <w:pPr>
              <w:pStyle w:val="84"/>
            </w:pPr>
            <w:r>
              <w:rPr>
                <w:rFonts w:hint="eastAsia"/>
              </w:rPr>
              <w:t>台</w:t>
            </w:r>
          </w:p>
        </w:tc>
        <w:tc>
          <w:tcPr>
            <w:tcW w:w="1676" w:type="dxa"/>
            <w:vAlign w:val="center"/>
          </w:tcPr>
          <w:p w14:paraId="5A0A0597">
            <w:pPr>
              <w:pStyle w:val="84"/>
            </w:pPr>
            <w:r>
              <w:rPr>
                <w:rFonts w:hint="eastAsia"/>
              </w:rPr>
              <w:t>1</w:t>
            </w:r>
          </w:p>
        </w:tc>
      </w:tr>
      <w:tr w14:paraId="0C623660">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vAlign w:val="center"/>
          </w:tcPr>
          <w:p w14:paraId="0B2B1AE6">
            <w:pPr>
              <w:pStyle w:val="84"/>
            </w:pPr>
            <w:r>
              <w:rPr>
                <w:rFonts w:hint="eastAsia"/>
              </w:rPr>
              <w:t>18</w:t>
            </w:r>
          </w:p>
        </w:tc>
        <w:tc>
          <w:tcPr>
            <w:tcW w:w="2073" w:type="dxa"/>
            <w:vAlign w:val="center"/>
          </w:tcPr>
          <w:p w14:paraId="7B899517">
            <w:pPr>
              <w:pStyle w:val="84"/>
            </w:pPr>
            <w:r>
              <w:rPr>
                <w:rFonts w:hint="eastAsia"/>
              </w:rPr>
              <w:t>卷扬机</w:t>
            </w:r>
          </w:p>
        </w:tc>
        <w:tc>
          <w:tcPr>
            <w:tcW w:w="2201" w:type="dxa"/>
            <w:vAlign w:val="center"/>
          </w:tcPr>
          <w:p w14:paraId="351FD989">
            <w:pPr>
              <w:pStyle w:val="84"/>
            </w:pPr>
            <w:r>
              <w:rPr>
                <w:rFonts w:hint="eastAsia"/>
              </w:rPr>
              <w:t>5t</w:t>
            </w:r>
          </w:p>
        </w:tc>
        <w:tc>
          <w:tcPr>
            <w:tcW w:w="1276" w:type="dxa"/>
            <w:vAlign w:val="center"/>
          </w:tcPr>
          <w:p w14:paraId="2A7BE1FC">
            <w:pPr>
              <w:pStyle w:val="84"/>
            </w:pPr>
            <w:r>
              <w:rPr>
                <w:rFonts w:hint="eastAsia"/>
              </w:rPr>
              <w:t>台</w:t>
            </w:r>
          </w:p>
        </w:tc>
        <w:tc>
          <w:tcPr>
            <w:tcW w:w="1676" w:type="dxa"/>
            <w:vAlign w:val="center"/>
          </w:tcPr>
          <w:p w14:paraId="159C69CE">
            <w:pPr>
              <w:pStyle w:val="84"/>
            </w:pPr>
            <w:r>
              <w:rPr>
                <w:rFonts w:hint="eastAsia"/>
              </w:rPr>
              <w:t>1</w:t>
            </w:r>
          </w:p>
        </w:tc>
      </w:tr>
      <w:tr w14:paraId="4832F420">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vAlign w:val="center"/>
          </w:tcPr>
          <w:p w14:paraId="3B1D6958">
            <w:pPr>
              <w:pStyle w:val="84"/>
            </w:pPr>
            <w:r>
              <w:rPr>
                <w:rFonts w:hint="eastAsia"/>
              </w:rPr>
              <w:t>19</w:t>
            </w:r>
          </w:p>
        </w:tc>
        <w:tc>
          <w:tcPr>
            <w:tcW w:w="2073" w:type="dxa"/>
            <w:vAlign w:val="center"/>
          </w:tcPr>
          <w:p w14:paraId="135B5920">
            <w:pPr>
              <w:pStyle w:val="84"/>
            </w:pPr>
            <w:r>
              <w:rPr>
                <w:rFonts w:hint="eastAsia"/>
              </w:rPr>
              <w:t>起重机</w:t>
            </w:r>
          </w:p>
        </w:tc>
        <w:tc>
          <w:tcPr>
            <w:tcW w:w="2201" w:type="dxa"/>
            <w:vAlign w:val="center"/>
          </w:tcPr>
          <w:p w14:paraId="645F761B">
            <w:pPr>
              <w:pStyle w:val="84"/>
            </w:pPr>
            <w:r>
              <w:rPr>
                <w:rFonts w:hint="eastAsia"/>
              </w:rPr>
              <w:t>—</w:t>
            </w:r>
          </w:p>
        </w:tc>
        <w:tc>
          <w:tcPr>
            <w:tcW w:w="1276" w:type="dxa"/>
            <w:vAlign w:val="center"/>
          </w:tcPr>
          <w:p w14:paraId="6CBB80C4">
            <w:pPr>
              <w:pStyle w:val="84"/>
            </w:pPr>
            <w:r>
              <w:rPr>
                <w:rFonts w:hint="eastAsia"/>
              </w:rPr>
              <w:t>台</w:t>
            </w:r>
          </w:p>
        </w:tc>
        <w:tc>
          <w:tcPr>
            <w:tcW w:w="1676" w:type="dxa"/>
            <w:vAlign w:val="center"/>
          </w:tcPr>
          <w:p w14:paraId="4046D94F">
            <w:pPr>
              <w:pStyle w:val="84"/>
            </w:pPr>
            <w:r>
              <w:rPr>
                <w:rFonts w:hint="eastAsia"/>
              </w:rPr>
              <w:t>4</w:t>
            </w:r>
          </w:p>
        </w:tc>
      </w:tr>
      <w:tr w14:paraId="779203C3">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vAlign w:val="center"/>
          </w:tcPr>
          <w:p w14:paraId="419F2419">
            <w:pPr>
              <w:pStyle w:val="84"/>
            </w:pPr>
            <w:r>
              <w:rPr>
                <w:rFonts w:hint="eastAsia"/>
              </w:rPr>
              <w:t>20</w:t>
            </w:r>
          </w:p>
        </w:tc>
        <w:tc>
          <w:tcPr>
            <w:tcW w:w="2073" w:type="dxa"/>
            <w:vAlign w:val="center"/>
          </w:tcPr>
          <w:p w14:paraId="3A39D275">
            <w:pPr>
              <w:pStyle w:val="84"/>
            </w:pPr>
            <w:r>
              <w:rPr>
                <w:rFonts w:hint="eastAsia"/>
              </w:rPr>
              <w:t>自卸汽车</w:t>
            </w:r>
          </w:p>
        </w:tc>
        <w:tc>
          <w:tcPr>
            <w:tcW w:w="2201" w:type="dxa"/>
            <w:vAlign w:val="center"/>
          </w:tcPr>
          <w:p w14:paraId="72BF6A4F">
            <w:pPr>
              <w:pStyle w:val="84"/>
            </w:pPr>
            <w:r>
              <w:rPr>
                <w:rFonts w:hint="eastAsia"/>
              </w:rPr>
              <w:t>5t/8t</w:t>
            </w:r>
          </w:p>
        </w:tc>
        <w:tc>
          <w:tcPr>
            <w:tcW w:w="1276" w:type="dxa"/>
            <w:vAlign w:val="center"/>
          </w:tcPr>
          <w:p w14:paraId="43C6EF5F">
            <w:pPr>
              <w:pStyle w:val="84"/>
            </w:pPr>
            <w:r>
              <w:rPr>
                <w:rFonts w:hint="eastAsia"/>
              </w:rPr>
              <w:t>辆</w:t>
            </w:r>
          </w:p>
        </w:tc>
        <w:tc>
          <w:tcPr>
            <w:tcW w:w="1676" w:type="dxa"/>
            <w:vAlign w:val="center"/>
          </w:tcPr>
          <w:p w14:paraId="0ECE53B6">
            <w:pPr>
              <w:pStyle w:val="84"/>
            </w:pPr>
            <w:r>
              <w:rPr>
                <w:rFonts w:hint="eastAsia"/>
              </w:rPr>
              <w:t>5</w:t>
            </w:r>
          </w:p>
        </w:tc>
      </w:tr>
      <w:tr w14:paraId="456B8527">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vAlign w:val="center"/>
          </w:tcPr>
          <w:p w14:paraId="2808C828">
            <w:pPr>
              <w:pStyle w:val="84"/>
            </w:pPr>
            <w:r>
              <w:rPr>
                <w:rFonts w:hint="eastAsia"/>
              </w:rPr>
              <w:t>21</w:t>
            </w:r>
          </w:p>
        </w:tc>
        <w:tc>
          <w:tcPr>
            <w:tcW w:w="2073" w:type="dxa"/>
            <w:vAlign w:val="center"/>
          </w:tcPr>
          <w:p w14:paraId="3D6244A0">
            <w:pPr>
              <w:pStyle w:val="84"/>
            </w:pPr>
            <w:r>
              <w:rPr>
                <w:rFonts w:hint="eastAsia"/>
              </w:rPr>
              <w:t>机械翻斗车</w:t>
            </w:r>
          </w:p>
        </w:tc>
        <w:tc>
          <w:tcPr>
            <w:tcW w:w="2201" w:type="dxa"/>
            <w:vAlign w:val="center"/>
          </w:tcPr>
          <w:p w14:paraId="38AE0C65">
            <w:pPr>
              <w:pStyle w:val="84"/>
            </w:pPr>
            <w:r>
              <w:rPr>
                <w:rFonts w:hint="eastAsia"/>
              </w:rPr>
              <w:t>1t</w:t>
            </w:r>
          </w:p>
        </w:tc>
        <w:tc>
          <w:tcPr>
            <w:tcW w:w="1276" w:type="dxa"/>
            <w:vAlign w:val="center"/>
          </w:tcPr>
          <w:p w14:paraId="68D32DBC">
            <w:pPr>
              <w:pStyle w:val="84"/>
            </w:pPr>
            <w:r>
              <w:rPr>
                <w:rFonts w:hint="eastAsia"/>
              </w:rPr>
              <w:t>辆</w:t>
            </w:r>
          </w:p>
        </w:tc>
        <w:tc>
          <w:tcPr>
            <w:tcW w:w="1676" w:type="dxa"/>
            <w:vAlign w:val="center"/>
          </w:tcPr>
          <w:p w14:paraId="4286CE7F">
            <w:pPr>
              <w:pStyle w:val="84"/>
            </w:pPr>
            <w:r>
              <w:rPr>
                <w:rFonts w:hint="eastAsia"/>
              </w:rPr>
              <w:t>8</w:t>
            </w:r>
          </w:p>
        </w:tc>
      </w:tr>
      <w:tr w14:paraId="19963FF6">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vAlign w:val="center"/>
          </w:tcPr>
          <w:p w14:paraId="29151930">
            <w:pPr>
              <w:pStyle w:val="84"/>
            </w:pPr>
            <w:r>
              <w:rPr>
                <w:rFonts w:hint="eastAsia"/>
              </w:rPr>
              <w:t>22</w:t>
            </w:r>
          </w:p>
        </w:tc>
        <w:tc>
          <w:tcPr>
            <w:tcW w:w="2073" w:type="dxa"/>
            <w:vAlign w:val="center"/>
          </w:tcPr>
          <w:p w14:paraId="5F01E559">
            <w:pPr>
              <w:pStyle w:val="84"/>
            </w:pPr>
            <w:r>
              <w:rPr>
                <w:rFonts w:hint="eastAsia"/>
              </w:rPr>
              <w:t>手推车</w:t>
            </w:r>
          </w:p>
        </w:tc>
        <w:tc>
          <w:tcPr>
            <w:tcW w:w="2201" w:type="dxa"/>
            <w:vAlign w:val="center"/>
          </w:tcPr>
          <w:p w14:paraId="24BB3103">
            <w:pPr>
              <w:pStyle w:val="84"/>
            </w:pPr>
            <w:r>
              <w:rPr>
                <w:rFonts w:hint="eastAsia"/>
              </w:rPr>
              <w:t>—</w:t>
            </w:r>
          </w:p>
        </w:tc>
        <w:tc>
          <w:tcPr>
            <w:tcW w:w="1276" w:type="dxa"/>
            <w:vAlign w:val="center"/>
          </w:tcPr>
          <w:p w14:paraId="038B5631">
            <w:pPr>
              <w:pStyle w:val="84"/>
            </w:pPr>
            <w:r>
              <w:rPr>
                <w:rFonts w:hint="eastAsia"/>
              </w:rPr>
              <w:t>辆</w:t>
            </w:r>
          </w:p>
        </w:tc>
        <w:tc>
          <w:tcPr>
            <w:tcW w:w="1676" w:type="dxa"/>
            <w:vAlign w:val="center"/>
          </w:tcPr>
          <w:p w14:paraId="085AD953">
            <w:pPr>
              <w:pStyle w:val="84"/>
            </w:pPr>
            <w:r>
              <w:rPr>
                <w:rFonts w:hint="eastAsia"/>
              </w:rPr>
              <w:t>10</w:t>
            </w:r>
          </w:p>
        </w:tc>
      </w:tr>
      <w:tr w14:paraId="5360C7FB">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vAlign w:val="center"/>
          </w:tcPr>
          <w:p w14:paraId="780A0672">
            <w:pPr>
              <w:pStyle w:val="84"/>
            </w:pPr>
            <w:r>
              <w:rPr>
                <w:rFonts w:hint="eastAsia"/>
              </w:rPr>
              <w:t>23</w:t>
            </w:r>
          </w:p>
        </w:tc>
        <w:tc>
          <w:tcPr>
            <w:tcW w:w="2073" w:type="dxa"/>
            <w:vAlign w:val="center"/>
          </w:tcPr>
          <w:p w14:paraId="74FFFEEC">
            <w:pPr>
              <w:pStyle w:val="84"/>
            </w:pPr>
            <w:r>
              <w:rPr>
                <w:rFonts w:hint="eastAsia"/>
              </w:rPr>
              <w:t>水泵</w:t>
            </w:r>
          </w:p>
        </w:tc>
        <w:tc>
          <w:tcPr>
            <w:tcW w:w="2201" w:type="dxa"/>
            <w:vAlign w:val="center"/>
          </w:tcPr>
          <w:p w14:paraId="05698604">
            <w:pPr>
              <w:pStyle w:val="84"/>
            </w:pPr>
            <w:r>
              <w:rPr>
                <w:rFonts w:hint="eastAsia"/>
              </w:rPr>
              <w:t>DI1-80×5</w:t>
            </w:r>
          </w:p>
        </w:tc>
        <w:tc>
          <w:tcPr>
            <w:tcW w:w="1276" w:type="dxa"/>
            <w:vAlign w:val="center"/>
          </w:tcPr>
          <w:p w14:paraId="24FC29DD">
            <w:pPr>
              <w:pStyle w:val="84"/>
            </w:pPr>
            <w:r>
              <w:rPr>
                <w:rFonts w:hint="eastAsia"/>
              </w:rPr>
              <w:t>台</w:t>
            </w:r>
          </w:p>
        </w:tc>
        <w:tc>
          <w:tcPr>
            <w:tcW w:w="1676" w:type="dxa"/>
            <w:vAlign w:val="center"/>
          </w:tcPr>
          <w:p w14:paraId="3C647FA7">
            <w:pPr>
              <w:pStyle w:val="84"/>
            </w:pPr>
            <w:r>
              <w:rPr>
                <w:rFonts w:hint="eastAsia"/>
              </w:rPr>
              <w:t>2</w:t>
            </w:r>
          </w:p>
        </w:tc>
      </w:tr>
      <w:tr w14:paraId="6E4B7C7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77" w:hRule="atLeast"/>
          <w:jc w:val="center"/>
        </w:trPr>
        <w:tc>
          <w:tcPr>
            <w:tcW w:w="862" w:type="dxa"/>
            <w:vAlign w:val="center"/>
          </w:tcPr>
          <w:p w14:paraId="1B372015">
            <w:pPr>
              <w:pStyle w:val="84"/>
            </w:pPr>
            <w:r>
              <w:rPr>
                <w:rFonts w:hint="eastAsia"/>
              </w:rPr>
              <w:t>24</w:t>
            </w:r>
          </w:p>
        </w:tc>
        <w:tc>
          <w:tcPr>
            <w:tcW w:w="2073" w:type="dxa"/>
            <w:vAlign w:val="center"/>
          </w:tcPr>
          <w:p w14:paraId="5E0B9503">
            <w:pPr>
              <w:pStyle w:val="84"/>
            </w:pPr>
            <w:r>
              <w:rPr>
                <w:rFonts w:hint="eastAsia"/>
              </w:rPr>
              <w:t>直线振动筛</w:t>
            </w:r>
          </w:p>
        </w:tc>
        <w:tc>
          <w:tcPr>
            <w:tcW w:w="2201" w:type="dxa"/>
            <w:vAlign w:val="center"/>
          </w:tcPr>
          <w:p w14:paraId="048FFE20">
            <w:pPr>
              <w:pStyle w:val="84"/>
            </w:pPr>
            <w:r>
              <w:rPr>
                <w:rFonts w:hint="eastAsia"/>
              </w:rPr>
              <w:t>WP-2</w:t>
            </w:r>
          </w:p>
        </w:tc>
        <w:tc>
          <w:tcPr>
            <w:tcW w:w="1276" w:type="dxa"/>
            <w:vAlign w:val="center"/>
          </w:tcPr>
          <w:p w14:paraId="123E3813">
            <w:pPr>
              <w:pStyle w:val="84"/>
            </w:pPr>
            <w:r>
              <w:rPr>
                <w:rFonts w:hint="eastAsia"/>
              </w:rPr>
              <w:t>台</w:t>
            </w:r>
          </w:p>
        </w:tc>
        <w:tc>
          <w:tcPr>
            <w:tcW w:w="1676" w:type="dxa"/>
            <w:vAlign w:val="center"/>
          </w:tcPr>
          <w:p w14:paraId="77ACCF7F">
            <w:pPr>
              <w:pStyle w:val="84"/>
            </w:pPr>
            <w:r>
              <w:rPr>
                <w:rFonts w:hint="eastAsia"/>
              </w:rPr>
              <w:t>2</w:t>
            </w:r>
          </w:p>
        </w:tc>
      </w:tr>
      <w:tr w14:paraId="7EEF08A7">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77" w:hRule="atLeast"/>
          <w:jc w:val="center"/>
        </w:trPr>
        <w:tc>
          <w:tcPr>
            <w:tcW w:w="862" w:type="dxa"/>
            <w:tcBorders>
              <w:bottom w:val="single" w:color="auto" w:sz="2" w:space="0"/>
            </w:tcBorders>
            <w:vAlign w:val="center"/>
          </w:tcPr>
          <w:p w14:paraId="059399F2">
            <w:pPr>
              <w:pStyle w:val="84"/>
            </w:pPr>
            <w:r>
              <w:rPr>
                <w:rFonts w:hint="eastAsia"/>
              </w:rPr>
              <w:t>25</w:t>
            </w:r>
          </w:p>
        </w:tc>
        <w:tc>
          <w:tcPr>
            <w:tcW w:w="2073" w:type="dxa"/>
            <w:vAlign w:val="center"/>
          </w:tcPr>
          <w:p w14:paraId="3097990A">
            <w:pPr>
              <w:pStyle w:val="84"/>
            </w:pPr>
            <w:r>
              <w:rPr>
                <w:rFonts w:hint="eastAsia"/>
              </w:rPr>
              <w:t>破碎机</w:t>
            </w:r>
          </w:p>
        </w:tc>
        <w:tc>
          <w:tcPr>
            <w:tcW w:w="2201" w:type="dxa"/>
            <w:vAlign w:val="center"/>
          </w:tcPr>
          <w:p w14:paraId="0C6B1463">
            <w:pPr>
              <w:pStyle w:val="84"/>
            </w:pPr>
            <w:r>
              <w:rPr>
                <w:rFonts w:hint="eastAsia"/>
              </w:rPr>
              <w:t>—</w:t>
            </w:r>
          </w:p>
        </w:tc>
        <w:tc>
          <w:tcPr>
            <w:tcW w:w="1276" w:type="dxa"/>
            <w:vAlign w:val="center"/>
          </w:tcPr>
          <w:p w14:paraId="4D8942F6">
            <w:pPr>
              <w:pStyle w:val="84"/>
            </w:pPr>
            <w:r>
              <w:rPr>
                <w:rFonts w:hint="eastAsia"/>
              </w:rPr>
              <w:t>台</w:t>
            </w:r>
          </w:p>
        </w:tc>
        <w:tc>
          <w:tcPr>
            <w:tcW w:w="1676" w:type="dxa"/>
            <w:vAlign w:val="center"/>
          </w:tcPr>
          <w:p w14:paraId="20348B1C">
            <w:pPr>
              <w:pStyle w:val="84"/>
            </w:pPr>
            <w:r>
              <w:rPr>
                <w:rFonts w:hint="eastAsia"/>
              </w:rPr>
              <w:t>2</w:t>
            </w:r>
          </w:p>
        </w:tc>
      </w:tr>
      <w:tr w14:paraId="6F43405A">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tcBorders>
              <w:bottom w:val="single" w:color="auto" w:sz="2" w:space="0"/>
            </w:tcBorders>
            <w:vAlign w:val="center"/>
          </w:tcPr>
          <w:p w14:paraId="2287F551">
            <w:pPr>
              <w:pStyle w:val="84"/>
            </w:pPr>
            <w:r>
              <w:rPr>
                <w:rFonts w:hint="eastAsia"/>
              </w:rPr>
              <w:t>26</w:t>
            </w:r>
          </w:p>
        </w:tc>
        <w:tc>
          <w:tcPr>
            <w:tcW w:w="2073" w:type="dxa"/>
            <w:vAlign w:val="center"/>
          </w:tcPr>
          <w:p w14:paraId="75861962">
            <w:pPr>
              <w:pStyle w:val="84"/>
            </w:pPr>
            <w:r>
              <w:rPr>
                <w:rFonts w:hint="eastAsia"/>
              </w:rPr>
              <w:t>棒磨机</w:t>
            </w:r>
          </w:p>
        </w:tc>
        <w:tc>
          <w:tcPr>
            <w:tcW w:w="2201" w:type="dxa"/>
            <w:vAlign w:val="center"/>
          </w:tcPr>
          <w:p w14:paraId="0F037BF5">
            <w:pPr>
              <w:pStyle w:val="84"/>
            </w:pPr>
            <w:r>
              <w:rPr>
                <w:rFonts w:hint="eastAsia"/>
              </w:rPr>
              <w:t>φ1500×3000</w:t>
            </w:r>
          </w:p>
        </w:tc>
        <w:tc>
          <w:tcPr>
            <w:tcW w:w="1276" w:type="dxa"/>
            <w:vAlign w:val="center"/>
          </w:tcPr>
          <w:p w14:paraId="0E0A855A">
            <w:pPr>
              <w:pStyle w:val="84"/>
            </w:pPr>
            <w:r>
              <w:rPr>
                <w:rFonts w:hint="eastAsia"/>
              </w:rPr>
              <w:t>台</w:t>
            </w:r>
          </w:p>
        </w:tc>
        <w:tc>
          <w:tcPr>
            <w:tcW w:w="1676" w:type="dxa"/>
            <w:vAlign w:val="center"/>
          </w:tcPr>
          <w:p w14:paraId="424A170E">
            <w:pPr>
              <w:pStyle w:val="84"/>
            </w:pPr>
            <w:r>
              <w:rPr>
                <w:rFonts w:hint="eastAsia"/>
              </w:rPr>
              <w:t>2</w:t>
            </w:r>
          </w:p>
        </w:tc>
      </w:tr>
      <w:tr w14:paraId="114A728A">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tcBorders>
              <w:top w:val="single" w:color="auto" w:sz="2" w:space="0"/>
            </w:tcBorders>
            <w:vAlign w:val="center"/>
          </w:tcPr>
          <w:p w14:paraId="034D6973">
            <w:pPr>
              <w:pStyle w:val="84"/>
            </w:pPr>
            <w:r>
              <w:rPr>
                <w:rFonts w:hint="eastAsia"/>
              </w:rPr>
              <w:t>27</w:t>
            </w:r>
          </w:p>
        </w:tc>
        <w:tc>
          <w:tcPr>
            <w:tcW w:w="2073" w:type="dxa"/>
            <w:vAlign w:val="center"/>
          </w:tcPr>
          <w:p w14:paraId="76330691">
            <w:pPr>
              <w:pStyle w:val="84"/>
            </w:pPr>
            <w:r>
              <w:rPr>
                <w:rFonts w:hint="eastAsia"/>
              </w:rPr>
              <w:t>混凝土喷射泵</w:t>
            </w:r>
          </w:p>
        </w:tc>
        <w:tc>
          <w:tcPr>
            <w:tcW w:w="2201" w:type="dxa"/>
            <w:vAlign w:val="center"/>
          </w:tcPr>
          <w:p w14:paraId="37AB1692">
            <w:pPr>
              <w:pStyle w:val="84"/>
            </w:pPr>
            <w:r>
              <w:rPr>
                <w:rFonts w:hint="eastAsia"/>
              </w:rPr>
              <w:t>SP-3</w:t>
            </w:r>
          </w:p>
        </w:tc>
        <w:tc>
          <w:tcPr>
            <w:tcW w:w="1276" w:type="dxa"/>
            <w:vAlign w:val="center"/>
          </w:tcPr>
          <w:p w14:paraId="37F7187A">
            <w:pPr>
              <w:pStyle w:val="84"/>
            </w:pPr>
            <w:r>
              <w:rPr>
                <w:rFonts w:hint="eastAsia"/>
              </w:rPr>
              <w:t>台</w:t>
            </w:r>
          </w:p>
        </w:tc>
        <w:tc>
          <w:tcPr>
            <w:tcW w:w="1676" w:type="dxa"/>
            <w:vAlign w:val="center"/>
          </w:tcPr>
          <w:p w14:paraId="656B6F49">
            <w:pPr>
              <w:pStyle w:val="84"/>
            </w:pPr>
            <w:r>
              <w:rPr>
                <w:rFonts w:hint="eastAsia"/>
              </w:rPr>
              <w:t>3</w:t>
            </w:r>
          </w:p>
        </w:tc>
      </w:tr>
      <w:tr w14:paraId="42CB9164">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vAlign w:val="center"/>
          </w:tcPr>
          <w:p w14:paraId="12E74AC8">
            <w:pPr>
              <w:pStyle w:val="84"/>
            </w:pPr>
            <w:r>
              <w:rPr>
                <w:rFonts w:hint="eastAsia"/>
              </w:rPr>
              <w:t>28</w:t>
            </w:r>
          </w:p>
        </w:tc>
        <w:tc>
          <w:tcPr>
            <w:tcW w:w="2073" w:type="dxa"/>
            <w:vAlign w:val="center"/>
          </w:tcPr>
          <w:p w14:paraId="6AF49531">
            <w:pPr>
              <w:pStyle w:val="84"/>
            </w:pPr>
            <w:r>
              <w:rPr>
                <w:rFonts w:hint="eastAsia"/>
              </w:rPr>
              <w:t>皮带机</w:t>
            </w:r>
          </w:p>
        </w:tc>
        <w:tc>
          <w:tcPr>
            <w:tcW w:w="2201" w:type="dxa"/>
            <w:vAlign w:val="center"/>
          </w:tcPr>
          <w:p w14:paraId="4A311F9D">
            <w:pPr>
              <w:pStyle w:val="84"/>
            </w:pPr>
            <w:r>
              <w:rPr>
                <w:rFonts w:hint="eastAsia"/>
              </w:rPr>
              <w:t>TD75-500-0.8</w:t>
            </w:r>
          </w:p>
        </w:tc>
        <w:tc>
          <w:tcPr>
            <w:tcW w:w="1276" w:type="dxa"/>
            <w:vAlign w:val="center"/>
          </w:tcPr>
          <w:p w14:paraId="08353927">
            <w:pPr>
              <w:pStyle w:val="84"/>
            </w:pPr>
            <w:r>
              <w:rPr>
                <w:rFonts w:hint="eastAsia"/>
              </w:rPr>
              <w:t>台</w:t>
            </w:r>
          </w:p>
        </w:tc>
        <w:tc>
          <w:tcPr>
            <w:tcW w:w="1676" w:type="dxa"/>
            <w:vAlign w:val="center"/>
          </w:tcPr>
          <w:p w14:paraId="2A750AD2">
            <w:pPr>
              <w:pStyle w:val="84"/>
            </w:pPr>
            <w:r>
              <w:rPr>
                <w:rFonts w:hint="eastAsia"/>
              </w:rPr>
              <w:t>2</w:t>
            </w:r>
          </w:p>
        </w:tc>
      </w:tr>
      <w:tr w14:paraId="01C2FA6F">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vAlign w:val="center"/>
          </w:tcPr>
          <w:p w14:paraId="14E428B0">
            <w:pPr>
              <w:pStyle w:val="84"/>
            </w:pPr>
            <w:r>
              <w:rPr>
                <w:rFonts w:hint="eastAsia"/>
              </w:rPr>
              <w:t>29</w:t>
            </w:r>
          </w:p>
        </w:tc>
        <w:tc>
          <w:tcPr>
            <w:tcW w:w="2073" w:type="dxa"/>
            <w:vAlign w:val="center"/>
          </w:tcPr>
          <w:p w14:paraId="2AA4BDC6">
            <w:pPr>
              <w:pStyle w:val="84"/>
            </w:pPr>
            <w:r>
              <w:rPr>
                <w:rFonts w:hint="eastAsia"/>
              </w:rPr>
              <w:t>电焊机</w:t>
            </w:r>
          </w:p>
        </w:tc>
        <w:tc>
          <w:tcPr>
            <w:tcW w:w="2201" w:type="dxa"/>
            <w:vAlign w:val="center"/>
          </w:tcPr>
          <w:p w14:paraId="3ADF4FA1">
            <w:pPr>
              <w:pStyle w:val="84"/>
            </w:pPr>
            <w:r>
              <w:rPr>
                <w:rFonts w:hint="eastAsia"/>
              </w:rPr>
              <w:t>点焊N-75</w:t>
            </w:r>
          </w:p>
        </w:tc>
        <w:tc>
          <w:tcPr>
            <w:tcW w:w="1276" w:type="dxa"/>
            <w:vAlign w:val="center"/>
          </w:tcPr>
          <w:p w14:paraId="68FE8851">
            <w:pPr>
              <w:pStyle w:val="84"/>
            </w:pPr>
            <w:r>
              <w:rPr>
                <w:rFonts w:hint="eastAsia"/>
              </w:rPr>
              <w:t>台</w:t>
            </w:r>
          </w:p>
        </w:tc>
        <w:tc>
          <w:tcPr>
            <w:tcW w:w="1676" w:type="dxa"/>
            <w:vAlign w:val="center"/>
          </w:tcPr>
          <w:p w14:paraId="37EB47EA">
            <w:pPr>
              <w:pStyle w:val="84"/>
            </w:pPr>
            <w:r>
              <w:rPr>
                <w:rFonts w:hint="eastAsia"/>
              </w:rPr>
              <w:t>2</w:t>
            </w:r>
          </w:p>
        </w:tc>
      </w:tr>
      <w:tr w14:paraId="0FE3CEB7">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vAlign w:val="center"/>
          </w:tcPr>
          <w:p w14:paraId="199477F1">
            <w:pPr>
              <w:pStyle w:val="84"/>
            </w:pPr>
            <w:r>
              <w:rPr>
                <w:rFonts w:hint="eastAsia"/>
              </w:rPr>
              <w:t>30</w:t>
            </w:r>
          </w:p>
        </w:tc>
        <w:tc>
          <w:tcPr>
            <w:tcW w:w="2073" w:type="dxa"/>
            <w:vAlign w:val="center"/>
          </w:tcPr>
          <w:p w14:paraId="246ADE9F">
            <w:pPr>
              <w:pStyle w:val="84"/>
            </w:pPr>
            <w:r>
              <w:rPr>
                <w:rFonts w:hint="eastAsia"/>
              </w:rPr>
              <w:t>电焊机</w:t>
            </w:r>
          </w:p>
        </w:tc>
        <w:tc>
          <w:tcPr>
            <w:tcW w:w="2201" w:type="dxa"/>
            <w:vAlign w:val="center"/>
          </w:tcPr>
          <w:p w14:paraId="1AA703BD">
            <w:pPr>
              <w:pStyle w:val="84"/>
            </w:pPr>
            <w:r>
              <w:rPr>
                <w:rFonts w:hint="eastAsia"/>
              </w:rPr>
              <w:t>弧焊ZX-400</w:t>
            </w:r>
          </w:p>
        </w:tc>
        <w:tc>
          <w:tcPr>
            <w:tcW w:w="1276" w:type="dxa"/>
            <w:vAlign w:val="center"/>
          </w:tcPr>
          <w:p w14:paraId="3D0B30D2">
            <w:pPr>
              <w:pStyle w:val="84"/>
            </w:pPr>
            <w:r>
              <w:rPr>
                <w:rFonts w:hint="eastAsia"/>
              </w:rPr>
              <w:t>台</w:t>
            </w:r>
          </w:p>
        </w:tc>
        <w:tc>
          <w:tcPr>
            <w:tcW w:w="1676" w:type="dxa"/>
            <w:vAlign w:val="center"/>
          </w:tcPr>
          <w:p w14:paraId="55B4A96D">
            <w:pPr>
              <w:pStyle w:val="84"/>
            </w:pPr>
            <w:r>
              <w:rPr>
                <w:rFonts w:hint="eastAsia"/>
              </w:rPr>
              <w:t>2</w:t>
            </w:r>
          </w:p>
        </w:tc>
      </w:tr>
      <w:tr w14:paraId="29E1A8A3">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vAlign w:val="center"/>
          </w:tcPr>
          <w:p w14:paraId="4FE55E70">
            <w:pPr>
              <w:pStyle w:val="84"/>
            </w:pPr>
            <w:r>
              <w:rPr>
                <w:rFonts w:hint="eastAsia"/>
              </w:rPr>
              <w:t>31</w:t>
            </w:r>
          </w:p>
        </w:tc>
        <w:tc>
          <w:tcPr>
            <w:tcW w:w="2073" w:type="dxa"/>
            <w:vAlign w:val="center"/>
          </w:tcPr>
          <w:p w14:paraId="2A1A4C07">
            <w:pPr>
              <w:pStyle w:val="84"/>
            </w:pPr>
            <w:r>
              <w:rPr>
                <w:rFonts w:hint="eastAsia"/>
              </w:rPr>
              <w:t>钢筋切割机</w:t>
            </w:r>
          </w:p>
        </w:tc>
        <w:tc>
          <w:tcPr>
            <w:tcW w:w="2201" w:type="dxa"/>
            <w:vAlign w:val="center"/>
          </w:tcPr>
          <w:p w14:paraId="6589EF9A">
            <w:pPr>
              <w:pStyle w:val="84"/>
            </w:pPr>
            <w:r>
              <w:rPr>
                <w:rFonts w:hint="eastAsia"/>
              </w:rPr>
              <w:t>C-150A</w:t>
            </w:r>
          </w:p>
        </w:tc>
        <w:tc>
          <w:tcPr>
            <w:tcW w:w="1276" w:type="dxa"/>
            <w:vAlign w:val="center"/>
          </w:tcPr>
          <w:p w14:paraId="06E8DBE4">
            <w:pPr>
              <w:pStyle w:val="84"/>
            </w:pPr>
            <w:r>
              <w:rPr>
                <w:rFonts w:hint="eastAsia"/>
              </w:rPr>
              <w:t>台</w:t>
            </w:r>
          </w:p>
        </w:tc>
        <w:tc>
          <w:tcPr>
            <w:tcW w:w="1676" w:type="dxa"/>
            <w:vAlign w:val="center"/>
          </w:tcPr>
          <w:p w14:paraId="0E8C4737">
            <w:pPr>
              <w:pStyle w:val="84"/>
            </w:pPr>
            <w:r>
              <w:rPr>
                <w:rFonts w:hint="eastAsia"/>
              </w:rPr>
              <w:t>2</w:t>
            </w:r>
          </w:p>
        </w:tc>
      </w:tr>
      <w:tr w14:paraId="0B98529D">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vAlign w:val="center"/>
          </w:tcPr>
          <w:p w14:paraId="12B8CFB6">
            <w:pPr>
              <w:pStyle w:val="84"/>
            </w:pPr>
            <w:r>
              <w:rPr>
                <w:rFonts w:hint="eastAsia"/>
              </w:rPr>
              <w:t>32</w:t>
            </w:r>
          </w:p>
        </w:tc>
        <w:tc>
          <w:tcPr>
            <w:tcW w:w="2073" w:type="dxa"/>
            <w:vAlign w:val="center"/>
          </w:tcPr>
          <w:p w14:paraId="2FD27A2F">
            <w:pPr>
              <w:pStyle w:val="84"/>
            </w:pPr>
            <w:r>
              <w:rPr>
                <w:rFonts w:hint="eastAsia"/>
              </w:rPr>
              <w:t>钢筋弯曲机</w:t>
            </w:r>
          </w:p>
        </w:tc>
        <w:tc>
          <w:tcPr>
            <w:tcW w:w="2201" w:type="dxa"/>
            <w:vAlign w:val="center"/>
          </w:tcPr>
          <w:p w14:paraId="5B4A17FF">
            <w:pPr>
              <w:pStyle w:val="84"/>
            </w:pPr>
            <w:r>
              <w:rPr>
                <w:rFonts w:hint="eastAsia"/>
              </w:rPr>
              <w:t>C-146A</w:t>
            </w:r>
          </w:p>
        </w:tc>
        <w:tc>
          <w:tcPr>
            <w:tcW w:w="1276" w:type="dxa"/>
            <w:vAlign w:val="center"/>
          </w:tcPr>
          <w:p w14:paraId="6C1EB7A4">
            <w:pPr>
              <w:pStyle w:val="84"/>
            </w:pPr>
            <w:r>
              <w:rPr>
                <w:rFonts w:hint="eastAsia"/>
              </w:rPr>
              <w:t>台</w:t>
            </w:r>
          </w:p>
        </w:tc>
        <w:tc>
          <w:tcPr>
            <w:tcW w:w="1676" w:type="dxa"/>
            <w:vAlign w:val="center"/>
          </w:tcPr>
          <w:p w14:paraId="541D0C93">
            <w:pPr>
              <w:pStyle w:val="84"/>
            </w:pPr>
            <w:r>
              <w:rPr>
                <w:rFonts w:hint="eastAsia"/>
              </w:rPr>
              <w:t>2</w:t>
            </w:r>
          </w:p>
        </w:tc>
      </w:tr>
      <w:tr w14:paraId="0123AB12">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tcBorders>
              <w:bottom w:val="single" w:color="auto" w:sz="2" w:space="0"/>
            </w:tcBorders>
            <w:vAlign w:val="center"/>
          </w:tcPr>
          <w:p w14:paraId="0FD9B7F2">
            <w:pPr>
              <w:pStyle w:val="84"/>
            </w:pPr>
            <w:r>
              <w:rPr>
                <w:rFonts w:hint="eastAsia"/>
              </w:rPr>
              <w:t>33</w:t>
            </w:r>
          </w:p>
        </w:tc>
        <w:tc>
          <w:tcPr>
            <w:tcW w:w="2073" w:type="dxa"/>
            <w:vAlign w:val="center"/>
          </w:tcPr>
          <w:p w14:paraId="0EFBEDC0">
            <w:pPr>
              <w:pStyle w:val="84"/>
            </w:pPr>
            <w:r>
              <w:rPr>
                <w:rFonts w:hint="eastAsia"/>
              </w:rPr>
              <w:t>圆盘锯木机</w:t>
            </w:r>
          </w:p>
        </w:tc>
        <w:tc>
          <w:tcPr>
            <w:tcW w:w="2201" w:type="dxa"/>
            <w:vAlign w:val="center"/>
          </w:tcPr>
          <w:p w14:paraId="27CC9684">
            <w:pPr>
              <w:pStyle w:val="84"/>
            </w:pPr>
            <w:r>
              <w:rPr>
                <w:rFonts w:hint="eastAsia"/>
              </w:rPr>
              <w:t>D=500mm</w:t>
            </w:r>
          </w:p>
        </w:tc>
        <w:tc>
          <w:tcPr>
            <w:tcW w:w="1276" w:type="dxa"/>
            <w:vAlign w:val="center"/>
          </w:tcPr>
          <w:p w14:paraId="6853ADD3">
            <w:pPr>
              <w:pStyle w:val="84"/>
            </w:pPr>
            <w:r>
              <w:rPr>
                <w:rFonts w:hint="eastAsia"/>
              </w:rPr>
              <w:t>台</w:t>
            </w:r>
          </w:p>
        </w:tc>
        <w:tc>
          <w:tcPr>
            <w:tcW w:w="1676" w:type="dxa"/>
            <w:vAlign w:val="center"/>
          </w:tcPr>
          <w:p w14:paraId="5967BFB6">
            <w:pPr>
              <w:pStyle w:val="84"/>
            </w:pPr>
            <w:r>
              <w:rPr>
                <w:rFonts w:hint="eastAsia"/>
              </w:rPr>
              <w:t>2</w:t>
            </w:r>
          </w:p>
        </w:tc>
      </w:tr>
      <w:tr w14:paraId="67FBE86B">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862" w:type="dxa"/>
            <w:tcBorders>
              <w:bottom w:val="single" w:color="auto" w:sz="2" w:space="0"/>
            </w:tcBorders>
            <w:vAlign w:val="center"/>
          </w:tcPr>
          <w:p w14:paraId="03CC2A0C">
            <w:pPr>
              <w:pStyle w:val="84"/>
            </w:pPr>
            <w:r>
              <w:rPr>
                <w:rFonts w:hint="eastAsia"/>
              </w:rPr>
              <w:t>34</w:t>
            </w:r>
          </w:p>
        </w:tc>
        <w:tc>
          <w:tcPr>
            <w:tcW w:w="2073" w:type="dxa"/>
            <w:vAlign w:val="center"/>
          </w:tcPr>
          <w:p w14:paraId="19BF94E6">
            <w:pPr>
              <w:pStyle w:val="84"/>
            </w:pPr>
            <w:r>
              <w:rPr>
                <w:rFonts w:hint="eastAsia"/>
              </w:rPr>
              <w:t>压刨机</w:t>
            </w:r>
          </w:p>
        </w:tc>
        <w:tc>
          <w:tcPr>
            <w:tcW w:w="2201" w:type="dxa"/>
            <w:vAlign w:val="center"/>
          </w:tcPr>
          <w:p w14:paraId="09790666">
            <w:pPr>
              <w:pStyle w:val="84"/>
            </w:pPr>
            <w:r>
              <w:rPr>
                <w:rFonts w:hint="eastAsia"/>
              </w:rPr>
              <w:t>CP-6</w:t>
            </w:r>
          </w:p>
        </w:tc>
        <w:tc>
          <w:tcPr>
            <w:tcW w:w="1276" w:type="dxa"/>
            <w:vAlign w:val="center"/>
          </w:tcPr>
          <w:p w14:paraId="43EC1745">
            <w:pPr>
              <w:pStyle w:val="84"/>
            </w:pPr>
            <w:r>
              <w:rPr>
                <w:rFonts w:hint="eastAsia"/>
              </w:rPr>
              <w:t>台</w:t>
            </w:r>
          </w:p>
        </w:tc>
        <w:tc>
          <w:tcPr>
            <w:tcW w:w="1676" w:type="dxa"/>
            <w:vAlign w:val="center"/>
          </w:tcPr>
          <w:p w14:paraId="00DEA459">
            <w:pPr>
              <w:pStyle w:val="84"/>
            </w:pPr>
            <w:r>
              <w:rPr>
                <w:rFonts w:hint="eastAsia"/>
              </w:rPr>
              <w:t>2</w:t>
            </w:r>
          </w:p>
        </w:tc>
      </w:tr>
    </w:tbl>
    <w:p w14:paraId="28D26392">
      <w:pPr>
        <w:pStyle w:val="141"/>
        <w:spacing w:before="240"/>
      </w:pPr>
      <w:bookmarkStart w:id="325" w:name="_Toc356556644"/>
      <w:bookmarkStart w:id="326" w:name="_Toc355784228"/>
      <w:bookmarkStart w:id="327" w:name="_Toc355708941"/>
      <w:bookmarkStart w:id="328" w:name="_Toc365812597"/>
      <w:bookmarkStart w:id="329" w:name="_Toc355784469"/>
      <w:bookmarkStart w:id="330" w:name="_Toc13270"/>
      <w:bookmarkStart w:id="331" w:name="_Toc74655999"/>
      <w:r>
        <w:rPr>
          <w:rFonts w:hint="eastAsia"/>
        </w:rPr>
        <w:t>2.3.3.4施工供水、供电</w:t>
      </w:r>
      <w:bookmarkEnd w:id="325"/>
      <w:bookmarkEnd w:id="326"/>
      <w:bookmarkEnd w:id="327"/>
      <w:bookmarkEnd w:id="328"/>
      <w:bookmarkEnd w:id="329"/>
      <w:bookmarkEnd w:id="330"/>
    </w:p>
    <w:bookmarkEnd w:id="331"/>
    <w:p w14:paraId="61BCB6FA">
      <w:pPr>
        <w:ind w:firstLine="480"/>
      </w:pPr>
      <w:bookmarkStart w:id="332" w:name="_Toc454046495"/>
      <w:bookmarkStart w:id="333" w:name="_Toc397428290"/>
      <w:bookmarkStart w:id="334" w:name="_Toc443655398"/>
      <w:r>
        <w:t>（1）供水</w:t>
      </w:r>
    </w:p>
    <w:p w14:paraId="044E6D7A">
      <w:pPr>
        <w:ind w:firstLine="480"/>
      </w:pPr>
      <w:r>
        <w:rPr>
          <w:rFonts w:hint="eastAsia"/>
        </w:rPr>
        <w:t>工程区的生产用水从芒市河就近抽取，其水质及水量均可满足使用要求；施工生活用水可从芒里村自来水管接入区内。</w:t>
      </w:r>
    </w:p>
    <w:p w14:paraId="242C4686">
      <w:pPr>
        <w:ind w:firstLine="480"/>
      </w:pPr>
      <w:r>
        <w:t>（2）供电</w:t>
      </w:r>
    </w:p>
    <w:p w14:paraId="5662D4B0">
      <w:pPr>
        <w:ind w:firstLine="480"/>
      </w:pPr>
      <w:r>
        <w:rPr>
          <w:rFonts w:hint="eastAsia"/>
        </w:rPr>
        <w:t>施工用电由遮放镇政府10kV线路接入，工程开工后，施工区内10kV线路将架至施工区。</w:t>
      </w:r>
    </w:p>
    <w:p w14:paraId="12EAD88B">
      <w:pPr>
        <w:pStyle w:val="113"/>
      </w:pPr>
      <w:bookmarkStart w:id="335" w:name="_Toc471737981"/>
      <w:bookmarkStart w:id="336" w:name="_Toc508642432"/>
      <w:r>
        <w:rPr>
          <w:rFonts w:hint="eastAsia"/>
        </w:rPr>
        <w:t>2.3.4</w:t>
      </w:r>
      <w:bookmarkEnd w:id="332"/>
      <w:bookmarkEnd w:id="333"/>
      <w:bookmarkEnd w:id="334"/>
      <w:bookmarkStart w:id="337" w:name="_Toc443655399"/>
      <w:bookmarkStart w:id="338" w:name="_Toc397428291"/>
      <w:bookmarkStart w:id="339" w:name="_Toc454046496"/>
      <w:r>
        <w:rPr>
          <w:rFonts w:hint="eastAsia"/>
        </w:rPr>
        <w:t>主体工程施工</w:t>
      </w:r>
      <w:bookmarkEnd w:id="335"/>
      <w:bookmarkEnd w:id="336"/>
      <w:bookmarkEnd w:id="337"/>
      <w:bookmarkEnd w:id="338"/>
      <w:bookmarkEnd w:id="339"/>
    </w:p>
    <w:p w14:paraId="614D54FE">
      <w:pPr>
        <w:pStyle w:val="141"/>
      </w:pPr>
      <w:r>
        <w:rPr>
          <w:rFonts w:hint="eastAsia"/>
        </w:rPr>
        <w:t>2.3.4.1闸坝施工</w:t>
      </w:r>
    </w:p>
    <w:p w14:paraId="3FEFD3A3">
      <w:pPr>
        <w:ind w:firstLine="480"/>
      </w:pPr>
      <w:r>
        <w:t>（1）基础开挖</w:t>
      </w:r>
    </w:p>
    <w:p w14:paraId="3E862AB3">
      <w:pPr>
        <w:ind w:firstLine="480"/>
        <w:rPr>
          <w:highlight w:val="green"/>
        </w:rPr>
      </w:pPr>
      <w:r>
        <w:t>开挖程序采用自上而下分层开挖，先岸坡，后基坑。施工方法为全风化岩层采用1m</w:t>
      </w:r>
      <w:r>
        <w:rPr>
          <w:vertAlign w:val="superscript"/>
        </w:rPr>
        <w:t>3</w:t>
      </w:r>
      <w:r>
        <w:rPr>
          <w:rFonts w:hint="eastAsia"/>
        </w:rPr>
        <w:t>液压</w:t>
      </w:r>
      <w:r>
        <w:t>挖掘机开挖及装碴，</w:t>
      </w:r>
      <w:r>
        <w:rPr>
          <w:rFonts w:hint="eastAsia"/>
        </w:rPr>
        <w:t>8</w:t>
      </w:r>
      <w:r>
        <w:t>t自卸汽车出</w:t>
      </w:r>
      <w:r>
        <w:rPr>
          <w:rFonts w:hint="eastAsia"/>
        </w:rPr>
        <w:t>渣</w:t>
      </w:r>
      <w:r>
        <w:t>。强风化岩层用YT-24手风钻钻孔</w:t>
      </w:r>
      <w:r>
        <w:rPr>
          <w:rFonts w:hint="eastAsia"/>
        </w:rPr>
        <w:t>。</w:t>
      </w:r>
    </w:p>
    <w:p w14:paraId="0A66DD0E">
      <w:pPr>
        <w:ind w:firstLine="480"/>
      </w:pPr>
      <w:r>
        <w:t>（</w:t>
      </w:r>
      <w:r>
        <w:rPr>
          <w:rFonts w:hint="eastAsia"/>
        </w:rPr>
        <w:t>2</w:t>
      </w:r>
      <w:r>
        <w:t>）混凝土浇筑</w:t>
      </w:r>
    </w:p>
    <w:p w14:paraId="745FE112">
      <w:pPr>
        <w:ind w:firstLine="480"/>
      </w:pPr>
      <w:r>
        <w:t>混凝土主要用于</w:t>
      </w:r>
      <w:r>
        <w:rPr>
          <w:rFonts w:hint="eastAsia"/>
        </w:rPr>
        <w:t>泄洪闸</w:t>
      </w:r>
      <w:r>
        <w:t>和冲砂闸，混凝土搅拌机拌制，流槽入仓，人工平仓、插入式振捣</w:t>
      </w:r>
      <w:r>
        <w:rPr>
          <w:rFonts w:hint="eastAsia"/>
        </w:rPr>
        <w:t>机</w:t>
      </w:r>
      <w:r>
        <w:t>振捣。</w:t>
      </w:r>
    </w:p>
    <w:p w14:paraId="57B7ADDF">
      <w:pPr>
        <w:ind w:firstLine="480"/>
      </w:pPr>
      <w:r>
        <w:t>（</w:t>
      </w:r>
      <w:r>
        <w:rPr>
          <w:rFonts w:hint="eastAsia"/>
        </w:rPr>
        <w:t>3</w:t>
      </w:r>
      <w:r>
        <w:t>）土石方回填</w:t>
      </w:r>
    </w:p>
    <w:p w14:paraId="48CAD4C1">
      <w:pPr>
        <w:ind w:firstLine="480"/>
        <w:rPr>
          <w:color w:val="FF0000"/>
        </w:rPr>
      </w:pPr>
      <w:r>
        <w:rPr>
          <w:rFonts w:hint="eastAsia"/>
        </w:rPr>
        <w:t>回填土料取自电站拦河坝和厂房开挖料，开挖产生的临时弃渣在厂区回填处临时堆放，待建设厂区平台及大坝挡土墙后基坑时，用作回填土。</w:t>
      </w:r>
      <w:r>
        <w:rPr>
          <w:rFonts w:hint="eastAsia"/>
          <w:color w:val="FF0000"/>
        </w:rPr>
        <w:t>多余土石方则用于大坝左岸加固。</w:t>
      </w:r>
    </w:p>
    <w:p w14:paraId="39528D0E">
      <w:pPr>
        <w:ind w:firstLine="480"/>
      </w:pPr>
      <w:r>
        <w:t>（</w:t>
      </w:r>
      <w:r>
        <w:rPr>
          <w:rFonts w:hint="eastAsia"/>
        </w:rPr>
        <w:t>4</w:t>
      </w:r>
      <w:r>
        <w:t>）浆砌块石</w:t>
      </w:r>
    </w:p>
    <w:p w14:paraId="5278B1F4">
      <w:pPr>
        <w:ind w:firstLine="480"/>
      </w:pPr>
      <w:r>
        <w:t>采用5t或</w:t>
      </w:r>
      <w:r>
        <w:rPr>
          <w:rFonts w:hint="eastAsia"/>
        </w:rPr>
        <w:t>8</w:t>
      </w:r>
      <w:r>
        <w:t>t自卸汽车从石料场运至工作面，人工搬运砌筑，搅拌机拌制砂浆。</w:t>
      </w:r>
    </w:p>
    <w:p w14:paraId="61472809">
      <w:pPr>
        <w:pStyle w:val="141"/>
      </w:pPr>
      <w:r>
        <w:rPr>
          <w:rFonts w:hint="eastAsia"/>
        </w:rPr>
        <w:t>2.3.4.2厂房施工</w:t>
      </w:r>
    </w:p>
    <w:p w14:paraId="2221AFC6">
      <w:pPr>
        <w:ind w:firstLine="480"/>
      </w:pPr>
      <w:r>
        <w:rPr>
          <w:rFonts w:hint="eastAsia"/>
        </w:rPr>
        <w:t xml:space="preserve">厂房施工的主要内容有：土石方开挖、混凝土结构施工、室内室外装修、水电安装等。土石方开挖同上，砖混结构施工采用人工砌筑，衬砌时要求分层砌筑，上下错缝，缝隙砂浆饱满，外观平整平顺。 </w:t>
      </w:r>
    </w:p>
    <w:p w14:paraId="493B4061">
      <w:pPr>
        <w:ind w:firstLine="480"/>
      </w:pPr>
      <w:r>
        <w:rPr>
          <w:rFonts w:hint="eastAsia"/>
        </w:rPr>
        <w:t>项目施工总平面布置图见附图6。</w:t>
      </w:r>
    </w:p>
    <w:p w14:paraId="4CEA7553">
      <w:pPr>
        <w:pStyle w:val="141"/>
      </w:pPr>
      <w:r>
        <w:rPr>
          <w:rFonts w:hint="eastAsia"/>
        </w:rPr>
        <w:t>2</w:t>
      </w:r>
      <w:r>
        <w:t>.3.</w:t>
      </w:r>
      <w:r>
        <w:rPr>
          <w:rFonts w:hint="eastAsia"/>
        </w:rPr>
        <w:t>4</w:t>
      </w:r>
      <w:r>
        <w:t>.</w:t>
      </w:r>
      <w:r>
        <w:rPr>
          <w:rFonts w:hint="eastAsia"/>
        </w:rPr>
        <w:t>3</w:t>
      </w:r>
      <w:r>
        <w:t>机电设备安装</w:t>
      </w:r>
    </w:p>
    <w:p w14:paraId="29448C43">
      <w:pPr>
        <w:ind w:firstLine="480"/>
      </w:pPr>
      <w:r>
        <w:t>电站机电设备采用厂房内的桥式起重机进行安装，在厂房盖顶之前利用50t轮胎式汽车吊进行桥式起重机的安装。</w:t>
      </w:r>
    </w:p>
    <w:p w14:paraId="6A178BD0">
      <w:pPr>
        <w:pStyle w:val="113"/>
      </w:pPr>
      <w:bookmarkStart w:id="340" w:name="_Toc443655400"/>
      <w:bookmarkStart w:id="341" w:name="_Toc471737982"/>
      <w:bookmarkStart w:id="342" w:name="_Toc397428293"/>
      <w:bookmarkStart w:id="343" w:name="_Toc454046497"/>
      <w:bookmarkStart w:id="344" w:name="_Toc508642433"/>
      <w:r>
        <w:rPr>
          <w:rFonts w:hint="eastAsia"/>
        </w:rPr>
        <w:t>2.3.5土石方平衡及表土场布置</w:t>
      </w:r>
      <w:bookmarkEnd w:id="340"/>
      <w:bookmarkEnd w:id="341"/>
      <w:bookmarkEnd w:id="342"/>
      <w:bookmarkEnd w:id="343"/>
      <w:bookmarkEnd w:id="344"/>
    </w:p>
    <w:p w14:paraId="4DA2D263">
      <w:pPr>
        <w:ind w:firstLine="480"/>
        <w:rPr>
          <w:rFonts w:hint="eastAsia"/>
          <w:color w:val="FF0000"/>
        </w:rPr>
      </w:pPr>
      <w:r>
        <w:t>受</w:t>
      </w:r>
      <w:r>
        <w:rPr>
          <w:rFonts w:hint="eastAsia" w:ascii="宋体" w:hAnsi="宋体"/>
          <w:kern w:val="32"/>
        </w:rPr>
        <w:t>芒市宏睿水电有限公司</w:t>
      </w:r>
      <w:r>
        <w:t>的委托，</w:t>
      </w:r>
      <w:r>
        <w:rPr>
          <w:rFonts w:hint="eastAsia" w:ascii="宋体" w:hAnsi="宋体"/>
        </w:rPr>
        <w:t>昆明安能水利水电设计有限公司</w:t>
      </w:r>
      <w:r>
        <w:t>于201</w:t>
      </w:r>
      <w:r>
        <w:rPr>
          <w:rFonts w:hint="eastAsia"/>
        </w:rPr>
        <w:t>6</w:t>
      </w:r>
      <w:r>
        <w:t>年</w:t>
      </w:r>
      <w:r>
        <w:rPr>
          <w:rFonts w:hint="eastAsia"/>
        </w:rPr>
        <w:t>6</w:t>
      </w:r>
      <w:r>
        <w:t>月编制完成了《</w:t>
      </w:r>
      <w:r>
        <w:rPr>
          <w:rFonts w:hint="eastAsia"/>
        </w:rPr>
        <w:t>云南省德宏州芒市团结水电站</w:t>
      </w:r>
      <w:r>
        <w:t>工程</w:t>
      </w:r>
      <w:r>
        <w:rPr>
          <w:rFonts w:hint="eastAsia"/>
        </w:rPr>
        <w:t>水土保持方案初步</w:t>
      </w:r>
      <w:r>
        <w:t>设计</w:t>
      </w:r>
      <w:r>
        <w:rPr>
          <w:rFonts w:hint="eastAsia"/>
        </w:rPr>
        <w:t>报告书（报批稿）</w:t>
      </w:r>
      <w:r>
        <w:t>》</w:t>
      </w:r>
      <w:r>
        <w:rPr>
          <w:rFonts w:hint="eastAsia"/>
        </w:rPr>
        <w:t>（以下简称“水保方案”）</w:t>
      </w:r>
      <w:r>
        <w:t>。</w:t>
      </w:r>
      <w:r>
        <w:rPr>
          <w:rFonts w:hint="eastAsia"/>
          <w:color w:val="FF0000"/>
        </w:rPr>
        <w:t>本小节参考项目水保方案中的“3.5 土石方平衡及流向分析”，并结合工程实际情况进行编制。</w:t>
      </w:r>
    </w:p>
    <w:p w14:paraId="55E42FAB">
      <w:pPr>
        <w:ind w:firstLine="480"/>
        <w:rPr>
          <w:color w:val="FF0000"/>
        </w:rPr>
      </w:pPr>
    </w:p>
    <w:p w14:paraId="658243AB">
      <w:pPr>
        <w:pStyle w:val="141"/>
        <w:rPr>
          <w:color w:val="FF0000"/>
        </w:rPr>
      </w:pPr>
      <w:r>
        <w:rPr>
          <w:rFonts w:hint="eastAsia"/>
          <w:color w:val="FF0000"/>
        </w:rPr>
        <w:t>2.3.5.1土石方平衡</w:t>
      </w:r>
    </w:p>
    <w:p w14:paraId="154B01D9">
      <w:pPr>
        <w:ind w:firstLine="480"/>
        <w:rPr>
          <w:szCs w:val="24"/>
          <w:highlight w:val="green"/>
        </w:rPr>
      </w:pPr>
      <w:r>
        <w:rPr>
          <w:color w:val="FF0000"/>
          <w:szCs w:val="24"/>
        </w:rPr>
        <w:t>本工程土石方开挖</w:t>
      </w:r>
      <w:r>
        <w:rPr>
          <w:rFonts w:hint="eastAsia"/>
          <w:color w:val="FF0000"/>
          <w:szCs w:val="24"/>
        </w:rPr>
        <w:t>总量为</w:t>
      </w:r>
      <w:r>
        <w:rPr>
          <w:rFonts w:hint="eastAsia"/>
          <w:color w:val="FF0000"/>
        </w:rPr>
        <w:t>609</w:t>
      </w:r>
      <w:r>
        <w:rPr>
          <w:color w:val="FF0000"/>
        </w:rPr>
        <w:t>37</w:t>
      </w:r>
      <w:r>
        <w:rPr>
          <w:rFonts w:hint="eastAsia"/>
          <w:color w:val="FF0000"/>
          <w:szCs w:val="24"/>
        </w:rPr>
        <w:t>m</w:t>
      </w:r>
      <w:r>
        <w:rPr>
          <w:color w:val="FF0000"/>
          <w:szCs w:val="24"/>
          <w:vertAlign w:val="superscript"/>
        </w:rPr>
        <w:t>3</w:t>
      </w:r>
      <w:r>
        <w:rPr>
          <w:rFonts w:hint="eastAsia"/>
          <w:color w:val="FF0000"/>
          <w:szCs w:val="24"/>
        </w:rPr>
        <w:t>，其中土方</w:t>
      </w:r>
      <w:r>
        <w:rPr>
          <w:rFonts w:hint="eastAsia"/>
          <w:color w:val="FF0000"/>
        </w:rPr>
        <w:t>49182</w:t>
      </w:r>
      <w:r>
        <w:rPr>
          <w:rFonts w:hint="eastAsia"/>
          <w:color w:val="FF0000"/>
          <w:szCs w:val="24"/>
        </w:rPr>
        <w:t>m</w:t>
      </w:r>
      <w:r>
        <w:rPr>
          <w:rFonts w:hint="eastAsia"/>
          <w:color w:val="FF0000"/>
          <w:szCs w:val="24"/>
          <w:vertAlign w:val="superscript"/>
        </w:rPr>
        <w:t>3</w:t>
      </w:r>
      <w:r>
        <w:rPr>
          <w:rFonts w:hint="eastAsia"/>
          <w:color w:val="FF0000"/>
          <w:szCs w:val="24"/>
        </w:rPr>
        <w:t>，石方11755m</w:t>
      </w:r>
      <w:r>
        <w:rPr>
          <w:rFonts w:hint="eastAsia"/>
          <w:color w:val="FF0000"/>
          <w:szCs w:val="24"/>
          <w:vertAlign w:val="superscript"/>
        </w:rPr>
        <w:t>3</w:t>
      </w:r>
      <w:r>
        <w:rPr>
          <w:rFonts w:hint="eastAsia"/>
          <w:color w:val="FF0000"/>
          <w:szCs w:val="24"/>
        </w:rPr>
        <w:t>，回填利用量25922m</w:t>
      </w:r>
      <w:r>
        <w:rPr>
          <w:rFonts w:hint="eastAsia"/>
          <w:color w:val="FF0000"/>
          <w:szCs w:val="24"/>
          <w:vertAlign w:val="superscript"/>
        </w:rPr>
        <w:t>3</w:t>
      </w:r>
      <w:r>
        <w:rPr>
          <w:rFonts w:hint="eastAsia"/>
          <w:color w:val="FF0000"/>
          <w:szCs w:val="24"/>
        </w:rPr>
        <w:t>，调出</w:t>
      </w:r>
      <w:r>
        <w:rPr>
          <w:rFonts w:hint="eastAsia" w:hAnsi="宋体"/>
          <w:color w:val="FF0000"/>
          <w:szCs w:val="24"/>
        </w:rPr>
        <w:t>35015</w:t>
      </w:r>
      <w:r>
        <w:rPr>
          <w:rFonts w:hint="eastAsia"/>
          <w:color w:val="FF0000"/>
          <w:szCs w:val="24"/>
        </w:rPr>
        <w:t>m</w:t>
      </w:r>
      <w:r>
        <w:rPr>
          <w:rFonts w:hint="eastAsia"/>
          <w:color w:val="FF0000"/>
          <w:szCs w:val="24"/>
          <w:vertAlign w:val="superscript"/>
        </w:rPr>
        <w:t>3</w:t>
      </w:r>
      <w:r>
        <w:rPr>
          <w:rFonts w:hint="eastAsia"/>
          <w:color w:val="FF0000"/>
          <w:szCs w:val="24"/>
        </w:rPr>
        <w:t>，因此本工程实际并无弃渣产生。</w:t>
      </w:r>
    </w:p>
    <w:p w14:paraId="6D9FB006">
      <w:pPr>
        <w:ind w:firstLine="480"/>
        <w:rPr>
          <w:color w:val="FF0000"/>
        </w:rPr>
      </w:pPr>
      <w:r>
        <w:rPr>
          <w:color w:val="FF0000"/>
        </w:rPr>
        <w:t>（1）</w:t>
      </w:r>
      <w:r>
        <w:rPr>
          <w:rFonts w:hint="eastAsia"/>
          <w:color w:val="FF0000"/>
        </w:rPr>
        <w:t>大坝</w:t>
      </w:r>
    </w:p>
    <w:p w14:paraId="2D7BF846">
      <w:pPr>
        <w:ind w:firstLine="480"/>
        <w:rPr>
          <w:color w:val="FF0000"/>
          <w:highlight w:val="green"/>
        </w:rPr>
      </w:pPr>
      <w:r>
        <w:rPr>
          <w:rFonts w:hint="eastAsia"/>
          <w:color w:val="FF0000"/>
        </w:rPr>
        <w:t>本工程拦河坝、闸室</w:t>
      </w:r>
      <w:r>
        <w:rPr>
          <w:color w:val="FF0000"/>
        </w:rPr>
        <w:t>共产生土</w:t>
      </w:r>
      <w:r>
        <w:rPr>
          <w:rFonts w:hint="eastAsia"/>
          <w:color w:val="FF0000"/>
        </w:rPr>
        <w:t>石方开挖8803</w:t>
      </w:r>
      <w:r>
        <w:rPr>
          <w:color w:val="FF0000"/>
        </w:rPr>
        <w:t>m</w:t>
      </w:r>
      <w:r>
        <w:rPr>
          <w:color w:val="FF0000"/>
          <w:vertAlign w:val="superscript"/>
        </w:rPr>
        <w:t>3</w:t>
      </w:r>
      <w:r>
        <w:rPr>
          <w:color w:val="FF0000"/>
        </w:rPr>
        <w:t>，</w:t>
      </w:r>
      <w:r>
        <w:rPr>
          <w:rFonts w:hint="eastAsia"/>
          <w:color w:val="FF0000"/>
        </w:rPr>
        <w:t>其中土方3521</w:t>
      </w:r>
      <w:r>
        <w:rPr>
          <w:color w:val="FF0000"/>
        </w:rPr>
        <w:t>m</w:t>
      </w:r>
      <w:r>
        <w:rPr>
          <w:color w:val="FF0000"/>
          <w:vertAlign w:val="superscript"/>
        </w:rPr>
        <w:t>3</w:t>
      </w:r>
      <w:r>
        <w:rPr>
          <w:rFonts w:hint="eastAsia"/>
          <w:color w:val="FF0000"/>
        </w:rPr>
        <w:t>，石方5282</w:t>
      </w:r>
      <w:r>
        <w:rPr>
          <w:color w:val="FF0000"/>
        </w:rPr>
        <w:t>m</w:t>
      </w:r>
      <w:r>
        <w:rPr>
          <w:color w:val="FF0000"/>
          <w:vertAlign w:val="superscript"/>
        </w:rPr>
        <w:t>3</w:t>
      </w:r>
      <w:r>
        <w:rPr>
          <w:rFonts w:hint="eastAsia"/>
          <w:color w:val="FF0000"/>
        </w:rPr>
        <w:t>，</w:t>
      </w:r>
      <w:r>
        <w:rPr>
          <w:rFonts w:hint="eastAsia" w:hAnsi="宋体"/>
          <w:color w:val="FF0000"/>
          <w:szCs w:val="24"/>
        </w:rPr>
        <w:t>开挖产生的石方全部用作混凝土骨料及砌筑石料</w:t>
      </w:r>
      <w:r>
        <w:rPr>
          <w:rFonts w:hint="eastAsia"/>
          <w:color w:val="FF0000"/>
        </w:rPr>
        <w:t>。大坝工程区</w:t>
      </w:r>
      <w:r>
        <w:rPr>
          <w:rFonts w:hint="eastAsia" w:hAnsi="宋体"/>
          <w:color w:val="FF0000"/>
          <w:szCs w:val="24"/>
        </w:rPr>
        <w:t>回填量达</w:t>
      </w:r>
      <w:r>
        <w:rPr>
          <w:rFonts w:hint="eastAsia"/>
          <w:color w:val="FF0000"/>
        </w:rPr>
        <w:t>7133</w:t>
      </w:r>
      <w:r>
        <w:rPr>
          <w:color w:val="FF0000"/>
        </w:rPr>
        <w:t>m</w:t>
      </w:r>
      <w:r>
        <w:rPr>
          <w:color w:val="FF0000"/>
          <w:vertAlign w:val="superscript"/>
        </w:rPr>
        <w:t>3</w:t>
      </w:r>
      <w:r>
        <w:rPr>
          <w:rFonts w:hint="eastAsia"/>
          <w:color w:val="FF0000"/>
        </w:rPr>
        <w:t>，需从河道清淤调入部分可用料3612m</w:t>
      </w:r>
      <w:r>
        <w:rPr>
          <w:rFonts w:hint="eastAsia"/>
          <w:color w:val="FF0000"/>
          <w:vertAlign w:val="superscript"/>
        </w:rPr>
        <w:t>3</w:t>
      </w:r>
      <w:r>
        <w:rPr>
          <w:rFonts w:hint="eastAsia"/>
          <w:color w:val="FF0000"/>
        </w:rPr>
        <w:t>用于回填，无弃渣产生。</w:t>
      </w:r>
    </w:p>
    <w:p w14:paraId="0DC6D2D1">
      <w:pPr>
        <w:pStyle w:val="9"/>
        <w:spacing w:before="24" w:after="24"/>
        <w:ind w:firstLine="480"/>
        <w:rPr>
          <w:rFonts w:hAnsi="宋体"/>
          <w:color w:val="FF0000"/>
          <w:szCs w:val="24"/>
        </w:rPr>
      </w:pPr>
      <w:r>
        <w:rPr>
          <w:rFonts w:hAnsi="宋体"/>
          <w:color w:val="FF0000"/>
          <w:szCs w:val="24"/>
        </w:rPr>
        <w:t>（</w:t>
      </w:r>
      <w:r>
        <w:rPr>
          <w:rFonts w:hint="eastAsia" w:hAnsi="宋体"/>
          <w:color w:val="FF0000"/>
          <w:szCs w:val="24"/>
        </w:rPr>
        <w:t>2</w:t>
      </w:r>
      <w:r>
        <w:rPr>
          <w:rFonts w:hAnsi="宋体"/>
          <w:color w:val="FF0000"/>
          <w:szCs w:val="24"/>
        </w:rPr>
        <w:t>）厂区枢纽</w:t>
      </w:r>
      <w:r>
        <w:rPr>
          <w:rFonts w:hint="eastAsia" w:hAnsi="宋体"/>
          <w:color w:val="FF0000"/>
          <w:szCs w:val="24"/>
        </w:rPr>
        <w:t>、升压站</w:t>
      </w:r>
    </w:p>
    <w:p w14:paraId="25CBC4E5">
      <w:pPr>
        <w:pStyle w:val="9"/>
        <w:spacing w:before="24" w:after="24"/>
        <w:ind w:firstLine="480"/>
        <w:rPr>
          <w:rFonts w:hAnsi="宋体"/>
          <w:color w:val="FF0000"/>
          <w:szCs w:val="24"/>
        </w:rPr>
      </w:pPr>
      <w:r>
        <w:rPr>
          <w:rFonts w:hAnsi="宋体"/>
          <w:color w:val="FF0000"/>
          <w:szCs w:val="24"/>
        </w:rPr>
        <w:t>厂区枢纽</w:t>
      </w:r>
      <w:r>
        <w:rPr>
          <w:rFonts w:hint="eastAsia" w:hAnsi="宋体"/>
          <w:color w:val="FF0000"/>
          <w:szCs w:val="24"/>
        </w:rPr>
        <w:t>、升压站工程区</w:t>
      </w:r>
      <w:r>
        <w:rPr>
          <w:rFonts w:hAnsi="宋体"/>
          <w:color w:val="FF0000"/>
          <w:szCs w:val="24"/>
        </w:rPr>
        <w:t>开挖共产生土</w:t>
      </w:r>
      <w:r>
        <w:rPr>
          <w:rFonts w:hint="eastAsia" w:hAnsi="宋体"/>
          <w:color w:val="FF0000"/>
          <w:szCs w:val="24"/>
        </w:rPr>
        <w:t>石方6841</w:t>
      </w:r>
      <w:r>
        <w:rPr>
          <w:rFonts w:hAnsi="宋体"/>
          <w:color w:val="FF0000"/>
          <w:szCs w:val="24"/>
        </w:rPr>
        <w:t>m</w:t>
      </w:r>
      <w:r>
        <w:rPr>
          <w:rFonts w:hAnsi="宋体"/>
          <w:color w:val="FF0000"/>
          <w:szCs w:val="24"/>
          <w:vertAlign w:val="superscript"/>
        </w:rPr>
        <w:t>3</w:t>
      </w:r>
      <w:r>
        <w:rPr>
          <w:rFonts w:hAnsi="宋体"/>
          <w:color w:val="FF0000"/>
          <w:szCs w:val="24"/>
        </w:rPr>
        <w:t>，</w:t>
      </w:r>
      <w:r>
        <w:rPr>
          <w:rFonts w:hint="eastAsia" w:hAnsi="宋体"/>
          <w:color w:val="FF0000"/>
          <w:szCs w:val="24"/>
        </w:rPr>
        <w:t>其中土方2856</w:t>
      </w:r>
      <w:r>
        <w:rPr>
          <w:rFonts w:hAnsi="宋体"/>
          <w:color w:val="FF0000"/>
          <w:szCs w:val="24"/>
        </w:rPr>
        <w:t>m</w:t>
      </w:r>
      <w:r>
        <w:rPr>
          <w:rFonts w:hAnsi="宋体"/>
          <w:color w:val="FF0000"/>
          <w:szCs w:val="24"/>
          <w:vertAlign w:val="superscript"/>
        </w:rPr>
        <w:t>3</w:t>
      </w:r>
      <w:r>
        <w:rPr>
          <w:rFonts w:hint="eastAsia" w:hAnsi="宋体"/>
          <w:color w:val="FF0000"/>
          <w:szCs w:val="24"/>
        </w:rPr>
        <w:t>，石方3985</w:t>
      </w:r>
      <w:r>
        <w:rPr>
          <w:rFonts w:hAnsi="宋体"/>
          <w:color w:val="FF0000"/>
          <w:szCs w:val="24"/>
        </w:rPr>
        <w:t>m</w:t>
      </w:r>
      <w:r>
        <w:rPr>
          <w:rFonts w:hAnsi="宋体"/>
          <w:color w:val="FF0000"/>
          <w:szCs w:val="24"/>
          <w:vertAlign w:val="superscript"/>
        </w:rPr>
        <w:t>3</w:t>
      </w:r>
      <w:r>
        <w:rPr>
          <w:rFonts w:hint="eastAsia" w:hAnsi="宋体"/>
          <w:color w:val="FF0000"/>
          <w:szCs w:val="24"/>
        </w:rPr>
        <w:t>，开挖产生的石方全部用作混凝土骨料及砌筑石料。</w:t>
      </w:r>
      <w:r>
        <w:rPr>
          <w:rFonts w:hAnsi="宋体"/>
          <w:color w:val="FF0000"/>
          <w:szCs w:val="24"/>
        </w:rPr>
        <w:t>厂区枢纽</w:t>
      </w:r>
      <w:r>
        <w:rPr>
          <w:rFonts w:hint="eastAsia" w:hAnsi="宋体"/>
          <w:color w:val="FF0000"/>
          <w:szCs w:val="24"/>
        </w:rPr>
        <w:t>、升压站工程区回填量达10496</w:t>
      </w:r>
      <w:r>
        <w:rPr>
          <w:rFonts w:hAnsi="宋体"/>
          <w:color w:val="FF0000"/>
          <w:szCs w:val="24"/>
        </w:rPr>
        <w:t>m</w:t>
      </w:r>
      <w:r>
        <w:rPr>
          <w:rFonts w:hAnsi="宋体"/>
          <w:color w:val="FF0000"/>
          <w:szCs w:val="24"/>
          <w:vertAlign w:val="superscript"/>
        </w:rPr>
        <w:t>3</w:t>
      </w:r>
      <w:r>
        <w:rPr>
          <w:rFonts w:hint="eastAsia" w:hAnsi="宋体"/>
          <w:color w:val="FF0000"/>
          <w:szCs w:val="24"/>
        </w:rPr>
        <w:t>，还需从河道清淤调入部分可用料7640m</w:t>
      </w:r>
      <w:r>
        <w:rPr>
          <w:rFonts w:hint="eastAsia" w:hAnsi="宋体"/>
          <w:color w:val="FF0000"/>
          <w:szCs w:val="24"/>
          <w:vertAlign w:val="superscript"/>
        </w:rPr>
        <w:t>3</w:t>
      </w:r>
      <w:r>
        <w:rPr>
          <w:rFonts w:hint="eastAsia" w:hAnsi="宋体"/>
          <w:color w:val="FF0000"/>
          <w:szCs w:val="24"/>
        </w:rPr>
        <w:t>用于回填，无弃渣产生。</w:t>
      </w:r>
    </w:p>
    <w:p w14:paraId="058EF0B8">
      <w:pPr>
        <w:pStyle w:val="9"/>
        <w:spacing w:before="24" w:after="24"/>
        <w:ind w:firstLine="480"/>
        <w:rPr>
          <w:rFonts w:hAnsi="宋体"/>
          <w:color w:val="FF0000"/>
          <w:szCs w:val="24"/>
        </w:rPr>
      </w:pPr>
      <w:r>
        <w:rPr>
          <w:rFonts w:hint="eastAsia" w:hAnsi="宋体"/>
          <w:color w:val="FF0000"/>
          <w:szCs w:val="24"/>
        </w:rPr>
        <w:t>（3）下游河道清淤</w:t>
      </w:r>
    </w:p>
    <w:p w14:paraId="0A1B8BF7">
      <w:pPr>
        <w:pStyle w:val="9"/>
        <w:spacing w:before="24" w:after="24"/>
        <w:ind w:firstLine="480"/>
        <w:rPr>
          <w:color w:val="FF0000"/>
        </w:rPr>
      </w:pPr>
      <w:r>
        <w:rPr>
          <w:rFonts w:hint="eastAsia" w:hAnsi="宋体"/>
          <w:color w:val="FF0000"/>
          <w:szCs w:val="24"/>
        </w:rPr>
        <w:t>下游河道清淤将产生土方约37000</w:t>
      </w:r>
      <w:r>
        <w:rPr>
          <w:rFonts w:hAnsi="宋体"/>
          <w:color w:val="FF0000"/>
          <w:szCs w:val="24"/>
        </w:rPr>
        <w:t>m</w:t>
      </w:r>
      <w:r>
        <w:rPr>
          <w:rFonts w:hAnsi="宋体"/>
          <w:color w:val="FF0000"/>
          <w:szCs w:val="24"/>
          <w:vertAlign w:val="superscript"/>
        </w:rPr>
        <w:t>3</w:t>
      </w:r>
      <w:r>
        <w:rPr>
          <w:rFonts w:hint="eastAsia" w:hAnsi="宋体"/>
          <w:color w:val="FF0000"/>
          <w:szCs w:val="24"/>
        </w:rPr>
        <w:t>，筛分出4500</w:t>
      </w:r>
      <w:r>
        <w:rPr>
          <w:rFonts w:hAnsi="宋体"/>
          <w:color w:val="FF0000"/>
          <w:szCs w:val="24"/>
        </w:rPr>
        <w:t>m</w:t>
      </w:r>
      <w:r>
        <w:rPr>
          <w:rFonts w:hAnsi="宋体"/>
          <w:color w:val="FF0000"/>
          <w:szCs w:val="24"/>
          <w:vertAlign w:val="superscript"/>
        </w:rPr>
        <w:t>3</w:t>
      </w:r>
      <w:r>
        <w:rPr>
          <w:rFonts w:hint="eastAsia" w:hAnsi="宋体"/>
          <w:color w:val="FF0000"/>
          <w:szCs w:val="24"/>
        </w:rPr>
        <w:t>工程可用砂量，调出11252m</w:t>
      </w:r>
      <w:r>
        <w:rPr>
          <w:rFonts w:hint="eastAsia" w:hAnsi="宋体"/>
          <w:color w:val="FF0000"/>
          <w:szCs w:val="24"/>
          <w:vertAlign w:val="superscript"/>
        </w:rPr>
        <w:t>3</w:t>
      </w:r>
      <w:r>
        <w:rPr>
          <w:rFonts w:hint="eastAsia" w:hAnsi="宋体"/>
          <w:color w:val="FF0000"/>
          <w:szCs w:val="24"/>
        </w:rPr>
        <w:t>可用部分用于拦河坝区及厂房枢纽区的回填，调出20325</w:t>
      </w:r>
      <w:r>
        <w:rPr>
          <w:rFonts w:hAnsi="宋体"/>
          <w:color w:val="FF0000"/>
          <w:szCs w:val="24"/>
        </w:rPr>
        <w:t>m</w:t>
      </w:r>
      <w:r>
        <w:rPr>
          <w:rFonts w:hAnsi="宋体"/>
          <w:color w:val="FF0000"/>
          <w:szCs w:val="24"/>
          <w:vertAlign w:val="superscript"/>
        </w:rPr>
        <w:t>3</w:t>
      </w:r>
      <w:r>
        <w:rPr>
          <w:rFonts w:hint="eastAsia" w:hAnsi="宋体"/>
          <w:color w:val="FF0000"/>
          <w:szCs w:val="24"/>
        </w:rPr>
        <w:t>用于大坝左岸加固，另有923</w:t>
      </w:r>
      <w:r>
        <w:rPr>
          <w:rFonts w:hAnsi="宋体"/>
          <w:color w:val="FF0000"/>
          <w:szCs w:val="24"/>
        </w:rPr>
        <w:t>m</w:t>
      </w:r>
      <w:r>
        <w:rPr>
          <w:rFonts w:hAnsi="宋体"/>
          <w:color w:val="FF0000"/>
          <w:szCs w:val="24"/>
          <w:vertAlign w:val="superscript"/>
        </w:rPr>
        <w:t>3</w:t>
      </w:r>
      <w:r>
        <w:rPr>
          <w:rFonts w:hint="eastAsia" w:hAnsi="宋体"/>
          <w:color w:val="FF0000"/>
          <w:szCs w:val="24"/>
        </w:rPr>
        <w:t>土质较为肥沃的泥土被附近村民运走肥田。</w:t>
      </w:r>
    </w:p>
    <w:p w14:paraId="21B52E8C">
      <w:pPr>
        <w:pStyle w:val="9"/>
        <w:spacing w:before="24" w:after="24"/>
        <w:ind w:firstLine="480"/>
        <w:rPr>
          <w:rFonts w:hAnsi="宋体"/>
          <w:color w:val="FF0000"/>
          <w:szCs w:val="24"/>
        </w:rPr>
      </w:pPr>
      <w:r>
        <w:rPr>
          <w:rFonts w:hAnsi="宋体"/>
          <w:color w:val="FF0000"/>
          <w:szCs w:val="24"/>
        </w:rPr>
        <w:t>（</w:t>
      </w:r>
      <w:r>
        <w:rPr>
          <w:rFonts w:hint="eastAsia" w:hAnsi="宋体"/>
          <w:color w:val="FF0000"/>
          <w:szCs w:val="24"/>
        </w:rPr>
        <w:t>4</w:t>
      </w:r>
      <w:r>
        <w:rPr>
          <w:rFonts w:hAnsi="宋体"/>
          <w:color w:val="FF0000"/>
          <w:szCs w:val="24"/>
        </w:rPr>
        <w:t>）施工生产生活区</w:t>
      </w:r>
    </w:p>
    <w:p w14:paraId="17E4FAEF">
      <w:pPr>
        <w:pStyle w:val="9"/>
        <w:spacing w:before="24" w:after="24"/>
        <w:ind w:firstLine="480"/>
        <w:rPr>
          <w:rFonts w:hAnsi="宋体"/>
          <w:color w:val="FF0000"/>
          <w:szCs w:val="24"/>
        </w:rPr>
      </w:pPr>
      <w:r>
        <w:rPr>
          <w:rFonts w:hint="eastAsia" w:hAnsi="宋体"/>
          <w:color w:val="FF0000"/>
          <w:szCs w:val="24"/>
        </w:rPr>
        <w:t>施工生产生活区地势较为平坦，</w:t>
      </w:r>
      <w:r>
        <w:rPr>
          <w:rFonts w:hAnsi="宋体"/>
          <w:color w:val="FF0000"/>
          <w:szCs w:val="24"/>
        </w:rPr>
        <w:t>开挖</w:t>
      </w:r>
      <w:r>
        <w:rPr>
          <w:rFonts w:hint="eastAsia" w:hAnsi="宋体"/>
          <w:color w:val="FF0000"/>
          <w:szCs w:val="24"/>
        </w:rPr>
        <w:t>产生</w:t>
      </w:r>
      <w:r>
        <w:rPr>
          <w:rFonts w:hAnsi="宋体"/>
          <w:color w:val="FF0000"/>
          <w:szCs w:val="24"/>
        </w:rPr>
        <w:t>土石方</w:t>
      </w:r>
      <w:r>
        <w:rPr>
          <w:rFonts w:hint="eastAsia" w:hAnsi="宋体"/>
          <w:color w:val="FF0000"/>
          <w:szCs w:val="24"/>
        </w:rPr>
        <w:t>8293m</w:t>
      </w:r>
      <w:r>
        <w:rPr>
          <w:rFonts w:hint="eastAsia" w:hAnsi="宋体"/>
          <w:color w:val="FF0000"/>
          <w:szCs w:val="24"/>
          <w:vertAlign w:val="superscript"/>
        </w:rPr>
        <w:t>3</w:t>
      </w:r>
      <w:r>
        <w:rPr>
          <w:rFonts w:hint="eastAsia" w:hAnsi="宋体"/>
          <w:color w:val="FF0000"/>
          <w:szCs w:val="24"/>
        </w:rPr>
        <w:t>，其中土方5805</w:t>
      </w:r>
      <w:r>
        <w:rPr>
          <w:rFonts w:hAnsi="宋体"/>
          <w:color w:val="FF0000"/>
          <w:szCs w:val="24"/>
        </w:rPr>
        <w:t>m</w:t>
      </w:r>
      <w:r>
        <w:rPr>
          <w:rFonts w:hAnsi="宋体"/>
          <w:color w:val="FF0000"/>
          <w:szCs w:val="24"/>
          <w:vertAlign w:val="superscript"/>
        </w:rPr>
        <w:t>3</w:t>
      </w:r>
      <w:r>
        <w:rPr>
          <w:rFonts w:hint="eastAsia" w:hAnsi="宋体"/>
          <w:color w:val="FF0000"/>
          <w:szCs w:val="24"/>
        </w:rPr>
        <w:t>，石方2488</w:t>
      </w:r>
      <w:r>
        <w:rPr>
          <w:rFonts w:hAnsi="宋体"/>
          <w:color w:val="FF0000"/>
          <w:szCs w:val="24"/>
        </w:rPr>
        <w:t>m</w:t>
      </w:r>
      <w:r>
        <w:rPr>
          <w:rFonts w:hAnsi="宋体"/>
          <w:color w:val="FF0000"/>
          <w:szCs w:val="24"/>
          <w:vertAlign w:val="superscript"/>
        </w:rPr>
        <w:t>3</w:t>
      </w:r>
      <w:r>
        <w:rPr>
          <w:rFonts w:hint="eastAsia" w:hAnsi="宋体"/>
          <w:color w:val="FF0000"/>
          <w:szCs w:val="24"/>
        </w:rPr>
        <w:t>，开挖的土石方全部用于场地回填平整，不产生弃渣。</w:t>
      </w:r>
    </w:p>
    <w:p w14:paraId="4D41CC28">
      <w:pPr>
        <w:pStyle w:val="9"/>
        <w:spacing w:before="24" w:after="24"/>
        <w:ind w:firstLine="480"/>
        <w:rPr>
          <w:rFonts w:hAnsi="宋体"/>
          <w:color w:val="FF0000"/>
          <w:szCs w:val="24"/>
        </w:rPr>
      </w:pPr>
      <w:r>
        <w:rPr>
          <w:rFonts w:hAnsi="宋体"/>
          <w:color w:val="FF0000"/>
          <w:szCs w:val="24"/>
        </w:rPr>
        <w:t>（</w:t>
      </w:r>
      <w:r>
        <w:rPr>
          <w:rFonts w:hint="eastAsia" w:hAnsi="宋体"/>
          <w:color w:val="FF0000"/>
          <w:szCs w:val="24"/>
        </w:rPr>
        <w:t>5</w:t>
      </w:r>
      <w:r>
        <w:rPr>
          <w:rFonts w:hAnsi="宋体"/>
          <w:color w:val="FF0000"/>
          <w:szCs w:val="24"/>
        </w:rPr>
        <w:t>）施工道路区</w:t>
      </w:r>
    </w:p>
    <w:p w14:paraId="743D151D">
      <w:pPr>
        <w:pStyle w:val="9"/>
        <w:spacing w:before="24" w:after="24"/>
        <w:ind w:firstLine="480"/>
        <w:rPr>
          <w:rFonts w:hAnsi="宋体"/>
          <w:color w:val="FF0000"/>
          <w:szCs w:val="24"/>
        </w:rPr>
      </w:pPr>
      <w:r>
        <w:rPr>
          <w:rFonts w:hAnsi="宋体"/>
          <w:color w:val="FF0000"/>
          <w:szCs w:val="24"/>
        </w:rPr>
        <w:t>本</w:t>
      </w:r>
      <w:r>
        <w:rPr>
          <w:rFonts w:hint="eastAsia" w:hAnsi="宋体"/>
          <w:color w:val="FF0000"/>
          <w:szCs w:val="24"/>
        </w:rPr>
        <w:t>工程无需修建施工道路，不产生弃渣。</w:t>
      </w:r>
    </w:p>
    <w:p w14:paraId="1F94C201">
      <w:pPr>
        <w:pStyle w:val="9"/>
        <w:spacing w:before="24" w:after="24"/>
        <w:ind w:firstLine="480"/>
        <w:rPr>
          <w:rFonts w:hAnsi="宋体"/>
          <w:color w:val="FF0000"/>
          <w:szCs w:val="24"/>
        </w:rPr>
      </w:pPr>
      <w:r>
        <w:rPr>
          <w:rFonts w:hint="eastAsia"/>
          <w:color w:val="FF0000"/>
          <w:szCs w:val="24"/>
        </w:rPr>
        <w:t>土石方平衡及弃渣</w:t>
      </w:r>
      <w:r>
        <w:rPr>
          <w:rFonts w:hint="eastAsia" w:hAnsi="宋体"/>
          <w:color w:val="FF0000"/>
          <w:szCs w:val="24"/>
        </w:rPr>
        <w:t>流向见下图：</w:t>
      </w:r>
    </w:p>
    <w:p w14:paraId="17C0C5A2">
      <w:pPr>
        <w:spacing w:before="240"/>
        <w:ind w:firstLine="0" w:firstLineChars="0"/>
        <w:rPr>
          <w:color w:val="FF0000"/>
          <w:highlight w:val="green"/>
        </w:rPr>
      </w:pPr>
    </w:p>
    <w:p w14:paraId="5E450462">
      <w:pPr>
        <w:ind w:firstLine="480"/>
        <w:rPr>
          <w:color w:val="FF0000"/>
          <w:highlight w:val="green"/>
        </w:rPr>
        <w:sectPr>
          <w:footerReference r:id="rId13" w:type="default"/>
          <w:pgSz w:w="11906" w:h="16838"/>
          <w:pgMar w:top="1440" w:right="1800" w:bottom="1440" w:left="1800" w:header="851" w:footer="992" w:gutter="0"/>
          <w:pgNumType w:start="1"/>
          <w:cols w:space="720" w:num="1"/>
          <w:docGrid w:linePitch="326" w:charSpace="0"/>
        </w:sectPr>
      </w:pPr>
    </w:p>
    <w:p w14:paraId="2C302577">
      <w:pPr>
        <w:widowControl/>
        <w:spacing w:line="240" w:lineRule="auto"/>
        <w:ind w:firstLine="0" w:firstLineChars="0"/>
        <w:jc w:val="left"/>
        <w:rPr>
          <w:color w:val="FF0000"/>
        </w:rPr>
      </w:pPr>
      <w:r>
        <w:object>
          <v:shape id="_x0000_i1026" o:spt="75" type="#_x0000_t75" style="height:395pt;width:697pt;" o:ole="t" filled="f" coordsize="21600,21600">
            <v:path/>
            <v:fill on="f" focussize="0,0"/>
            <v:stroke/>
            <v:imagedata r:id="rId21" o:title=""/>
            <o:lock v:ext="edit" aspectratio="t"/>
            <w10:wrap type="none"/>
            <w10:anchorlock/>
          </v:shape>
          <o:OLEObject Type="Embed" ProgID="Visio.Drawing.11" ShapeID="_x0000_i1026" DrawAspect="Content" ObjectID="_1468075726" r:id="rId20">
            <o:LockedField>false</o:LockedField>
          </o:OLEObject>
        </w:object>
      </w:r>
    </w:p>
    <w:p w14:paraId="58D7351C">
      <w:pPr>
        <w:widowControl/>
        <w:spacing w:line="240" w:lineRule="auto"/>
        <w:ind w:firstLine="0" w:firstLineChars="0"/>
        <w:jc w:val="left"/>
        <w:rPr>
          <w:color w:val="FF0000"/>
        </w:rPr>
      </w:pPr>
    </w:p>
    <w:p w14:paraId="72E8CAF9">
      <w:pPr>
        <w:ind w:firstLine="0" w:firstLineChars="0"/>
        <w:jc w:val="center"/>
        <w:rPr>
          <w:rFonts w:eastAsia="黑体"/>
          <w:color w:val="FF0000"/>
          <w:sz w:val="21"/>
          <w:szCs w:val="24"/>
        </w:rPr>
      </w:pPr>
      <w:r>
        <w:rPr>
          <w:rFonts w:hint="eastAsia" w:eastAsia="黑体"/>
          <w:color w:val="FF0000"/>
          <w:sz w:val="21"/>
          <w:szCs w:val="24"/>
        </w:rPr>
        <w:t>图2-3-1  土石方平衡流向图  单位：</w:t>
      </w:r>
      <w:r>
        <w:rPr>
          <w:rFonts w:eastAsia="黑体"/>
          <w:color w:val="FF0000"/>
          <w:sz w:val="21"/>
          <w:szCs w:val="24"/>
        </w:rPr>
        <w:t>万m</w:t>
      </w:r>
      <w:r>
        <w:rPr>
          <w:rFonts w:eastAsia="黑体"/>
          <w:color w:val="FF0000"/>
          <w:sz w:val="21"/>
          <w:szCs w:val="24"/>
          <w:vertAlign w:val="superscript"/>
        </w:rPr>
        <w:t>3</w:t>
      </w:r>
    </w:p>
    <w:p w14:paraId="35BF66A3">
      <w:pPr>
        <w:widowControl/>
        <w:spacing w:line="240" w:lineRule="auto"/>
        <w:ind w:firstLine="0" w:firstLineChars="0"/>
        <w:jc w:val="left"/>
        <w:rPr>
          <w:color w:val="FF0000"/>
        </w:rPr>
      </w:pPr>
      <w:r>
        <w:rPr>
          <w:color w:val="FF0000"/>
        </w:rPr>
        <w:br w:type="page"/>
      </w:r>
    </w:p>
    <w:p w14:paraId="689CB771">
      <w:pPr>
        <w:pStyle w:val="82"/>
        <w:framePr w:hSpace="0" w:wrap="auto" w:vAnchor="margin" w:hAnchor="text" w:xAlign="left" w:yAlign="inline"/>
        <w:ind w:firstLine="480" w:firstLineChars="200"/>
        <w:jc w:val="left"/>
        <w:rPr>
          <w:rFonts w:eastAsia="宋体"/>
          <w:sz w:val="24"/>
        </w:rPr>
      </w:pPr>
      <w:r>
        <w:rPr>
          <w:rFonts w:hint="eastAsia" w:eastAsia="宋体"/>
          <w:sz w:val="24"/>
        </w:rPr>
        <w:t>土石方平衡及弃渣流向见下表：</w:t>
      </w:r>
    </w:p>
    <w:p w14:paraId="2A123385">
      <w:pPr>
        <w:pStyle w:val="82"/>
        <w:framePr w:hSpace="0" w:wrap="auto" w:vAnchor="margin" w:hAnchor="text" w:xAlign="left" w:yAlign="inline"/>
      </w:pPr>
      <w:r>
        <w:t>表</w:t>
      </w:r>
      <w:r>
        <w:rPr>
          <w:rFonts w:hint="eastAsia"/>
        </w:rPr>
        <w:t>2-3-3</w:t>
      </w:r>
      <w:r>
        <w:t xml:space="preserve"> </w:t>
      </w:r>
      <w:r>
        <w:rPr>
          <w:rFonts w:hint="eastAsia"/>
        </w:rPr>
        <w:t xml:space="preserve"> </w:t>
      </w:r>
      <w:r>
        <w:t>工程土石方平衡及</w:t>
      </w:r>
      <w:r>
        <w:rPr>
          <w:rFonts w:hint="eastAsia"/>
        </w:rPr>
        <w:t>弃渣</w:t>
      </w:r>
      <w:r>
        <w:t>流向表</w:t>
      </w:r>
      <w:r>
        <w:rPr>
          <w:rFonts w:hint="eastAsia"/>
        </w:rPr>
        <w:t xml:space="preserve">    </w:t>
      </w:r>
      <w:r>
        <w:t>单位：万m</w:t>
      </w:r>
      <w:r>
        <w:rPr>
          <w:vertAlign w:val="superscript"/>
        </w:rPr>
        <w:t>3</w:t>
      </w:r>
    </w:p>
    <w:tbl>
      <w:tblPr>
        <w:tblStyle w:val="56"/>
        <w:tblW w:w="448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3"/>
        <w:gridCol w:w="1588"/>
        <w:gridCol w:w="763"/>
        <w:gridCol w:w="852"/>
        <w:gridCol w:w="855"/>
        <w:gridCol w:w="858"/>
        <w:gridCol w:w="995"/>
        <w:gridCol w:w="1562"/>
        <w:gridCol w:w="995"/>
        <w:gridCol w:w="1700"/>
        <w:gridCol w:w="850"/>
        <w:gridCol w:w="852"/>
      </w:tblGrid>
      <w:tr w14:paraId="40E536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35" w:type="pct"/>
            <w:vMerge w:val="restart"/>
            <w:tcBorders>
              <w:top w:val="single" w:color="auto" w:sz="2" w:space="0"/>
              <w:left w:val="nil"/>
              <w:bottom w:val="single" w:color="auto" w:sz="6" w:space="0"/>
            </w:tcBorders>
            <w:shd w:val="clear" w:color="auto" w:fill="auto"/>
            <w:noWrap/>
            <w:vAlign w:val="center"/>
          </w:tcPr>
          <w:p w14:paraId="22DB53B3">
            <w:pPr>
              <w:pStyle w:val="84"/>
              <w:spacing w:line="276" w:lineRule="auto"/>
            </w:pPr>
            <w:r>
              <w:rPr>
                <w:rFonts w:hint="eastAsia"/>
              </w:rPr>
              <w:t>序号</w:t>
            </w:r>
          </w:p>
        </w:tc>
        <w:tc>
          <w:tcPr>
            <w:tcW w:w="623" w:type="pct"/>
            <w:vMerge w:val="restart"/>
            <w:tcBorders>
              <w:top w:val="single" w:color="auto" w:sz="2" w:space="0"/>
              <w:bottom w:val="single" w:color="auto" w:sz="6" w:space="0"/>
            </w:tcBorders>
            <w:shd w:val="clear" w:color="auto" w:fill="auto"/>
            <w:noWrap/>
            <w:vAlign w:val="center"/>
          </w:tcPr>
          <w:p w14:paraId="3607A4F8">
            <w:pPr>
              <w:pStyle w:val="84"/>
              <w:spacing w:line="276" w:lineRule="auto"/>
              <w:ind w:left="-120" w:leftChars="-50" w:right="-120" w:rightChars="-50"/>
            </w:pPr>
            <w:r>
              <w:rPr>
                <w:rFonts w:hint="eastAsia"/>
              </w:rPr>
              <w:t>分区</w:t>
            </w:r>
          </w:p>
        </w:tc>
        <w:tc>
          <w:tcPr>
            <w:tcW w:w="971" w:type="pct"/>
            <w:gridSpan w:val="3"/>
            <w:tcBorders>
              <w:top w:val="single" w:color="auto" w:sz="2" w:space="0"/>
              <w:bottom w:val="single" w:color="auto" w:sz="6" w:space="0"/>
            </w:tcBorders>
            <w:shd w:val="clear" w:color="auto" w:fill="auto"/>
            <w:noWrap/>
            <w:vAlign w:val="center"/>
          </w:tcPr>
          <w:p w14:paraId="71723E9B">
            <w:pPr>
              <w:pStyle w:val="84"/>
              <w:spacing w:line="276" w:lineRule="auto"/>
            </w:pPr>
            <w:r>
              <w:rPr>
                <w:rFonts w:hint="eastAsia"/>
              </w:rPr>
              <w:t>开挖量</w:t>
            </w:r>
          </w:p>
        </w:tc>
        <w:tc>
          <w:tcPr>
            <w:tcW w:w="337" w:type="pct"/>
            <w:vMerge w:val="restart"/>
            <w:tcBorders>
              <w:top w:val="single" w:color="auto" w:sz="2" w:space="0"/>
              <w:bottom w:val="single" w:color="auto" w:sz="6" w:space="0"/>
            </w:tcBorders>
            <w:shd w:val="clear" w:color="auto" w:fill="auto"/>
            <w:noWrap/>
            <w:vAlign w:val="center"/>
          </w:tcPr>
          <w:p w14:paraId="12DC6358">
            <w:pPr>
              <w:pStyle w:val="84"/>
              <w:spacing w:line="276" w:lineRule="auto"/>
            </w:pPr>
            <w:r>
              <w:rPr>
                <w:rFonts w:hint="eastAsia"/>
              </w:rPr>
              <w:t>回填量</w:t>
            </w:r>
          </w:p>
        </w:tc>
        <w:tc>
          <w:tcPr>
            <w:tcW w:w="1005" w:type="pct"/>
            <w:gridSpan w:val="2"/>
            <w:tcBorders>
              <w:top w:val="single" w:color="auto" w:sz="2" w:space="0"/>
              <w:bottom w:val="single" w:color="auto" w:sz="6" w:space="0"/>
            </w:tcBorders>
            <w:shd w:val="clear" w:color="auto" w:fill="auto"/>
            <w:noWrap/>
            <w:vAlign w:val="center"/>
          </w:tcPr>
          <w:p w14:paraId="0C02D25D">
            <w:pPr>
              <w:pStyle w:val="84"/>
              <w:spacing w:line="276" w:lineRule="auto"/>
            </w:pPr>
            <w:r>
              <w:rPr>
                <w:rFonts w:hint="eastAsia"/>
              </w:rPr>
              <w:t>调出</w:t>
            </w:r>
          </w:p>
        </w:tc>
        <w:tc>
          <w:tcPr>
            <w:tcW w:w="1059" w:type="pct"/>
            <w:gridSpan w:val="2"/>
            <w:tcBorders>
              <w:top w:val="single" w:color="auto" w:sz="2" w:space="0"/>
              <w:bottom w:val="single" w:color="auto" w:sz="6" w:space="0"/>
            </w:tcBorders>
            <w:shd w:val="clear" w:color="auto" w:fill="auto"/>
            <w:noWrap/>
            <w:vAlign w:val="center"/>
          </w:tcPr>
          <w:p w14:paraId="020E0936">
            <w:pPr>
              <w:pStyle w:val="84"/>
              <w:spacing w:line="276" w:lineRule="auto"/>
            </w:pPr>
            <w:r>
              <w:rPr>
                <w:rFonts w:hint="eastAsia"/>
              </w:rPr>
              <w:t>调入</w:t>
            </w:r>
          </w:p>
        </w:tc>
        <w:tc>
          <w:tcPr>
            <w:tcW w:w="669" w:type="pct"/>
            <w:gridSpan w:val="2"/>
            <w:tcBorders>
              <w:top w:val="single" w:color="auto" w:sz="2" w:space="0"/>
              <w:bottom w:val="single" w:color="auto" w:sz="6" w:space="0"/>
              <w:right w:val="nil"/>
            </w:tcBorders>
            <w:shd w:val="clear" w:color="auto" w:fill="auto"/>
            <w:noWrap/>
            <w:vAlign w:val="center"/>
          </w:tcPr>
          <w:p w14:paraId="56F157B0">
            <w:pPr>
              <w:pStyle w:val="84"/>
              <w:spacing w:line="276" w:lineRule="auto"/>
            </w:pPr>
            <w:r>
              <w:rPr>
                <w:rFonts w:hint="eastAsia"/>
              </w:rPr>
              <w:t>弃方</w:t>
            </w:r>
          </w:p>
        </w:tc>
      </w:tr>
      <w:tr w14:paraId="41C357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35" w:type="pct"/>
            <w:vMerge w:val="continue"/>
            <w:tcBorders>
              <w:top w:val="single" w:color="auto" w:sz="6" w:space="0"/>
              <w:left w:val="nil"/>
              <w:bottom w:val="single" w:color="auto" w:sz="6" w:space="0"/>
            </w:tcBorders>
            <w:vAlign w:val="center"/>
          </w:tcPr>
          <w:p w14:paraId="2C1691C7">
            <w:pPr>
              <w:pStyle w:val="84"/>
              <w:spacing w:line="276" w:lineRule="auto"/>
            </w:pPr>
          </w:p>
        </w:tc>
        <w:tc>
          <w:tcPr>
            <w:tcW w:w="623" w:type="pct"/>
            <w:vMerge w:val="continue"/>
            <w:tcBorders>
              <w:top w:val="single" w:color="auto" w:sz="6" w:space="0"/>
              <w:bottom w:val="single" w:color="auto" w:sz="6" w:space="0"/>
            </w:tcBorders>
            <w:vAlign w:val="center"/>
          </w:tcPr>
          <w:p w14:paraId="5141F19B">
            <w:pPr>
              <w:pStyle w:val="84"/>
              <w:spacing w:line="276" w:lineRule="auto"/>
              <w:ind w:left="-120" w:leftChars="-50" w:right="-120" w:rightChars="-50"/>
            </w:pPr>
          </w:p>
        </w:tc>
        <w:tc>
          <w:tcPr>
            <w:tcW w:w="300" w:type="pct"/>
            <w:tcBorders>
              <w:top w:val="single" w:color="auto" w:sz="6" w:space="0"/>
              <w:bottom w:val="single" w:color="auto" w:sz="6" w:space="0"/>
            </w:tcBorders>
            <w:shd w:val="clear" w:color="auto" w:fill="auto"/>
            <w:noWrap/>
            <w:vAlign w:val="center"/>
          </w:tcPr>
          <w:p w14:paraId="25736B39">
            <w:pPr>
              <w:pStyle w:val="84"/>
              <w:spacing w:line="276" w:lineRule="auto"/>
            </w:pPr>
            <w:r>
              <w:rPr>
                <w:rFonts w:hint="eastAsia"/>
              </w:rPr>
              <w:t>土方</w:t>
            </w:r>
          </w:p>
        </w:tc>
        <w:tc>
          <w:tcPr>
            <w:tcW w:w="335" w:type="pct"/>
            <w:tcBorders>
              <w:top w:val="single" w:color="auto" w:sz="6" w:space="0"/>
              <w:bottom w:val="single" w:color="auto" w:sz="6" w:space="0"/>
            </w:tcBorders>
            <w:shd w:val="clear" w:color="auto" w:fill="auto"/>
            <w:noWrap/>
            <w:vAlign w:val="center"/>
          </w:tcPr>
          <w:p w14:paraId="38CCA406">
            <w:pPr>
              <w:pStyle w:val="84"/>
              <w:spacing w:line="276" w:lineRule="auto"/>
            </w:pPr>
            <w:r>
              <w:rPr>
                <w:rFonts w:hint="eastAsia"/>
              </w:rPr>
              <w:t>石方</w:t>
            </w:r>
          </w:p>
        </w:tc>
        <w:tc>
          <w:tcPr>
            <w:tcW w:w="336" w:type="pct"/>
            <w:tcBorders>
              <w:top w:val="single" w:color="auto" w:sz="6" w:space="0"/>
              <w:bottom w:val="single" w:color="auto" w:sz="6" w:space="0"/>
            </w:tcBorders>
            <w:shd w:val="clear" w:color="auto" w:fill="auto"/>
            <w:noWrap/>
            <w:vAlign w:val="center"/>
          </w:tcPr>
          <w:p w14:paraId="241328CA">
            <w:pPr>
              <w:pStyle w:val="84"/>
              <w:spacing w:line="276" w:lineRule="auto"/>
            </w:pPr>
            <w:r>
              <w:rPr>
                <w:rFonts w:hint="eastAsia"/>
              </w:rPr>
              <w:t>小计</w:t>
            </w:r>
          </w:p>
        </w:tc>
        <w:tc>
          <w:tcPr>
            <w:tcW w:w="337" w:type="pct"/>
            <w:vMerge w:val="continue"/>
            <w:tcBorders>
              <w:top w:val="single" w:color="auto" w:sz="6" w:space="0"/>
              <w:bottom w:val="single" w:color="auto" w:sz="6" w:space="0"/>
            </w:tcBorders>
            <w:vAlign w:val="center"/>
          </w:tcPr>
          <w:p w14:paraId="3F2554F0">
            <w:pPr>
              <w:pStyle w:val="84"/>
              <w:spacing w:line="276" w:lineRule="auto"/>
            </w:pPr>
          </w:p>
        </w:tc>
        <w:tc>
          <w:tcPr>
            <w:tcW w:w="391" w:type="pct"/>
            <w:tcBorders>
              <w:top w:val="single" w:color="auto" w:sz="6" w:space="0"/>
              <w:bottom w:val="single" w:color="auto" w:sz="6" w:space="0"/>
            </w:tcBorders>
            <w:shd w:val="clear" w:color="auto" w:fill="auto"/>
            <w:noWrap/>
            <w:vAlign w:val="center"/>
          </w:tcPr>
          <w:p w14:paraId="6FBB8720">
            <w:pPr>
              <w:pStyle w:val="84"/>
              <w:spacing w:line="276" w:lineRule="auto"/>
            </w:pPr>
            <w:r>
              <w:rPr>
                <w:rFonts w:hint="eastAsia"/>
              </w:rPr>
              <w:t>数量</w:t>
            </w:r>
          </w:p>
        </w:tc>
        <w:tc>
          <w:tcPr>
            <w:tcW w:w="614" w:type="pct"/>
            <w:tcBorders>
              <w:top w:val="single" w:color="auto" w:sz="6" w:space="0"/>
              <w:bottom w:val="single" w:color="auto" w:sz="6" w:space="0"/>
            </w:tcBorders>
            <w:shd w:val="clear" w:color="auto" w:fill="auto"/>
            <w:noWrap/>
            <w:vAlign w:val="center"/>
          </w:tcPr>
          <w:p w14:paraId="49D8A7E0">
            <w:pPr>
              <w:pStyle w:val="84"/>
              <w:spacing w:line="276" w:lineRule="auto"/>
            </w:pPr>
            <w:r>
              <w:rPr>
                <w:rFonts w:hint="eastAsia"/>
              </w:rPr>
              <w:t>去向</w:t>
            </w:r>
          </w:p>
        </w:tc>
        <w:tc>
          <w:tcPr>
            <w:tcW w:w="391" w:type="pct"/>
            <w:tcBorders>
              <w:top w:val="single" w:color="auto" w:sz="6" w:space="0"/>
              <w:bottom w:val="single" w:color="auto" w:sz="6" w:space="0"/>
            </w:tcBorders>
            <w:shd w:val="clear" w:color="auto" w:fill="auto"/>
            <w:noWrap/>
            <w:vAlign w:val="center"/>
          </w:tcPr>
          <w:p w14:paraId="560191C9">
            <w:pPr>
              <w:pStyle w:val="84"/>
              <w:spacing w:line="276" w:lineRule="auto"/>
            </w:pPr>
            <w:r>
              <w:rPr>
                <w:rFonts w:hint="eastAsia"/>
              </w:rPr>
              <w:t>数量</w:t>
            </w:r>
          </w:p>
        </w:tc>
        <w:tc>
          <w:tcPr>
            <w:tcW w:w="668" w:type="pct"/>
            <w:tcBorders>
              <w:top w:val="single" w:color="auto" w:sz="6" w:space="0"/>
              <w:bottom w:val="single" w:color="auto" w:sz="6" w:space="0"/>
            </w:tcBorders>
            <w:shd w:val="clear" w:color="auto" w:fill="auto"/>
            <w:noWrap/>
            <w:vAlign w:val="center"/>
          </w:tcPr>
          <w:p w14:paraId="2833541B">
            <w:pPr>
              <w:pStyle w:val="84"/>
              <w:spacing w:line="276" w:lineRule="auto"/>
            </w:pPr>
            <w:r>
              <w:rPr>
                <w:rFonts w:hint="eastAsia"/>
              </w:rPr>
              <w:t>来源</w:t>
            </w:r>
          </w:p>
        </w:tc>
        <w:tc>
          <w:tcPr>
            <w:tcW w:w="334" w:type="pct"/>
            <w:tcBorders>
              <w:top w:val="single" w:color="auto" w:sz="6" w:space="0"/>
              <w:bottom w:val="single" w:color="auto" w:sz="6" w:space="0"/>
            </w:tcBorders>
            <w:shd w:val="clear" w:color="auto" w:fill="auto"/>
            <w:noWrap/>
            <w:vAlign w:val="center"/>
          </w:tcPr>
          <w:p w14:paraId="51D04949">
            <w:pPr>
              <w:pStyle w:val="84"/>
              <w:spacing w:line="276" w:lineRule="auto"/>
            </w:pPr>
            <w:r>
              <w:rPr>
                <w:rFonts w:hint="eastAsia"/>
              </w:rPr>
              <w:t>数量</w:t>
            </w:r>
          </w:p>
        </w:tc>
        <w:tc>
          <w:tcPr>
            <w:tcW w:w="334" w:type="pct"/>
            <w:tcBorders>
              <w:top w:val="single" w:color="auto" w:sz="6" w:space="0"/>
              <w:bottom w:val="single" w:color="auto" w:sz="6" w:space="0"/>
              <w:right w:val="nil"/>
            </w:tcBorders>
            <w:shd w:val="clear" w:color="auto" w:fill="auto"/>
            <w:noWrap/>
            <w:vAlign w:val="center"/>
          </w:tcPr>
          <w:p w14:paraId="255A1822">
            <w:pPr>
              <w:pStyle w:val="84"/>
              <w:spacing w:line="276" w:lineRule="auto"/>
            </w:pPr>
            <w:r>
              <w:rPr>
                <w:rFonts w:hint="eastAsia"/>
              </w:rPr>
              <w:t>去向</w:t>
            </w:r>
          </w:p>
        </w:tc>
      </w:tr>
      <w:tr w14:paraId="160B4B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35" w:type="pct"/>
            <w:vMerge w:val="restart"/>
            <w:tcBorders>
              <w:left w:val="nil"/>
            </w:tcBorders>
            <w:shd w:val="clear" w:color="auto" w:fill="auto"/>
            <w:noWrap/>
            <w:vAlign w:val="center"/>
          </w:tcPr>
          <w:p w14:paraId="0ACA7488">
            <w:pPr>
              <w:pStyle w:val="84"/>
              <w:spacing w:line="276" w:lineRule="auto"/>
            </w:pPr>
            <w:r>
              <w:rPr>
                <w:rFonts w:hint="eastAsia"/>
              </w:rPr>
              <w:t>一</w:t>
            </w:r>
          </w:p>
          <w:p w14:paraId="23038DE7">
            <w:pPr>
              <w:pStyle w:val="84"/>
              <w:spacing w:line="276" w:lineRule="auto"/>
            </w:pPr>
            <w:r>
              <w:rPr>
                <w:rFonts w:hint="eastAsia"/>
              </w:rPr>
              <w:t>枢</w:t>
            </w:r>
          </w:p>
          <w:p w14:paraId="56A61910">
            <w:pPr>
              <w:pStyle w:val="84"/>
              <w:spacing w:line="276" w:lineRule="auto"/>
            </w:pPr>
            <w:r>
              <w:rPr>
                <w:rFonts w:hint="eastAsia"/>
              </w:rPr>
              <w:t>纽</w:t>
            </w:r>
          </w:p>
          <w:p w14:paraId="4119A197">
            <w:pPr>
              <w:pStyle w:val="84"/>
              <w:spacing w:line="276" w:lineRule="auto"/>
            </w:pPr>
            <w:r>
              <w:rPr>
                <w:rFonts w:hint="eastAsia"/>
              </w:rPr>
              <w:t>工</w:t>
            </w:r>
          </w:p>
          <w:p w14:paraId="2E841029">
            <w:pPr>
              <w:pStyle w:val="84"/>
              <w:spacing w:line="276" w:lineRule="auto"/>
            </w:pPr>
            <w:r>
              <w:rPr>
                <w:rFonts w:hint="eastAsia"/>
              </w:rPr>
              <w:t>程</w:t>
            </w:r>
          </w:p>
        </w:tc>
        <w:tc>
          <w:tcPr>
            <w:tcW w:w="623" w:type="pct"/>
            <w:tcBorders>
              <w:top w:val="single" w:color="auto" w:sz="6" w:space="0"/>
              <w:bottom w:val="single" w:color="auto" w:sz="6" w:space="0"/>
            </w:tcBorders>
            <w:shd w:val="clear" w:color="auto" w:fill="auto"/>
            <w:noWrap/>
            <w:vAlign w:val="center"/>
          </w:tcPr>
          <w:p w14:paraId="133AA037">
            <w:pPr>
              <w:pStyle w:val="84"/>
              <w:spacing w:line="276" w:lineRule="auto"/>
              <w:ind w:left="-120" w:leftChars="-50" w:right="-120" w:rightChars="-50"/>
            </w:pPr>
            <w:r>
              <w:rPr>
                <w:rFonts w:hint="eastAsia"/>
              </w:rPr>
              <w:t>大坝</w:t>
            </w:r>
          </w:p>
        </w:tc>
        <w:tc>
          <w:tcPr>
            <w:tcW w:w="300" w:type="pct"/>
            <w:tcBorders>
              <w:top w:val="single" w:color="auto" w:sz="6" w:space="0"/>
              <w:bottom w:val="single" w:color="auto" w:sz="6" w:space="0"/>
            </w:tcBorders>
            <w:shd w:val="clear" w:color="auto" w:fill="auto"/>
            <w:noWrap/>
            <w:vAlign w:val="center"/>
          </w:tcPr>
          <w:p w14:paraId="64EB2970">
            <w:pPr>
              <w:pStyle w:val="84"/>
              <w:spacing w:line="276" w:lineRule="auto"/>
            </w:pPr>
            <w:r>
              <w:t>3521</w:t>
            </w:r>
          </w:p>
        </w:tc>
        <w:tc>
          <w:tcPr>
            <w:tcW w:w="335" w:type="pct"/>
            <w:tcBorders>
              <w:top w:val="single" w:color="auto" w:sz="6" w:space="0"/>
              <w:bottom w:val="single" w:color="auto" w:sz="6" w:space="0"/>
            </w:tcBorders>
            <w:shd w:val="clear" w:color="auto" w:fill="auto"/>
            <w:noWrap/>
            <w:vAlign w:val="center"/>
          </w:tcPr>
          <w:p w14:paraId="4ACA1BDD">
            <w:pPr>
              <w:pStyle w:val="84"/>
              <w:spacing w:line="276" w:lineRule="auto"/>
            </w:pPr>
            <w:r>
              <w:t>5282</w:t>
            </w:r>
          </w:p>
        </w:tc>
        <w:tc>
          <w:tcPr>
            <w:tcW w:w="336" w:type="pct"/>
            <w:tcBorders>
              <w:top w:val="single" w:color="auto" w:sz="6" w:space="0"/>
              <w:bottom w:val="single" w:color="auto" w:sz="6" w:space="0"/>
            </w:tcBorders>
            <w:shd w:val="clear" w:color="auto" w:fill="auto"/>
            <w:noWrap/>
            <w:vAlign w:val="center"/>
          </w:tcPr>
          <w:p w14:paraId="23BB3782">
            <w:pPr>
              <w:pStyle w:val="84"/>
              <w:spacing w:line="276" w:lineRule="auto"/>
            </w:pPr>
            <w:r>
              <w:t>8803</w:t>
            </w:r>
          </w:p>
        </w:tc>
        <w:tc>
          <w:tcPr>
            <w:tcW w:w="337" w:type="pct"/>
            <w:tcBorders>
              <w:top w:val="single" w:color="auto" w:sz="6" w:space="0"/>
              <w:bottom w:val="single" w:color="auto" w:sz="6" w:space="0"/>
            </w:tcBorders>
            <w:shd w:val="clear" w:color="auto" w:fill="auto"/>
            <w:noWrap/>
            <w:vAlign w:val="center"/>
          </w:tcPr>
          <w:p w14:paraId="25CB9C96">
            <w:pPr>
              <w:pStyle w:val="84"/>
              <w:spacing w:line="276" w:lineRule="auto"/>
            </w:pPr>
            <w:r>
              <w:t>7133</w:t>
            </w:r>
          </w:p>
        </w:tc>
        <w:tc>
          <w:tcPr>
            <w:tcW w:w="391" w:type="pct"/>
            <w:tcBorders>
              <w:top w:val="single" w:color="auto" w:sz="6" w:space="0"/>
              <w:bottom w:val="single" w:color="auto" w:sz="6" w:space="0"/>
            </w:tcBorders>
            <w:shd w:val="clear" w:color="auto" w:fill="auto"/>
            <w:noWrap/>
            <w:vAlign w:val="center"/>
          </w:tcPr>
          <w:p w14:paraId="70A8DBD6">
            <w:pPr>
              <w:pStyle w:val="84"/>
              <w:spacing w:line="276" w:lineRule="auto"/>
            </w:pPr>
            <w:r>
              <w:t>5282</w:t>
            </w:r>
          </w:p>
        </w:tc>
        <w:tc>
          <w:tcPr>
            <w:tcW w:w="614" w:type="pct"/>
            <w:tcBorders>
              <w:top w:val="single" w:color="auto" w:sz="6" w:space="0"/>
              <w:bottom w:val="single" w:color="auto" w:sz="6" w:space="0"/>
            </w:tcBorders>
            <w:shd w:val="clear" w:color="auto" w:fill="auto"/>
            <w:noWrap/>
            <w:vAlign w:val="center"/>
          </w:tcPr>
          <w:p w14:paraId="4B75F472">
            <w:pPr>
              <w:pStyle w:val="84"/>
              <w:spacing w:line="276" w:lineRule="auto"/>
              <w:ind w:left="-120" w:leftChars="-50" w:right="-120" w:rightChars="-50"/>
            </w:pPr>
            <w:r>
              <w:rPr>
                <w:rFonts w:hint="eastAsia"/>
              </w:rPr>
              <w:t>用作混凝土骨料及砌筑石料</w:t>
            </w:r>
          </w:p>
        </w:tc>
        <w:tc>
          <w:tcPr>
            <w:tcW w:w="391" w:type="pct"/>
            <w:tcBorders>
              <w:top w:val="single" w:color="auto" w:sz="6" w:space="0"/>
              <w:bottom w:val="single" w:color="auto" w:sz="6" w:space="0"/>
            </w:tcBorders>
            <w:shd w:val="clear" w:color="auto" w:fill="auto"/>
            <w:noWrap/>
            <w:vAlign w:val="center"/>
          </w:tcPr>
          <w:p w14:paraId="3C081685">
            <w:pPr>
              <w:pStyle w:val="84"/>
              <w:spacing w:line="276" w:lineRule="auto"/>
            </w:pPr>
            <w:r>
              <w:t>3612</w:t>
            </w:r>
          </w:p>
        </w:tc>
        <w:tc>
          <w:tcPr>
            <w:tcW w:w="668" w:type="pct"/>
            <w:tcBorders>
              <w:top w:val="single" w:color="auto" w:sz="6" w:space="0"/>
              <w:bottom w:val="single" w:color="auto" w:sz="6" w:space="0"/>
            </w:tcBorders>
            <w:shd w:val="clear" w:color="auto" w:fill="auto"/>
            <w:noWrap/>
            <w:vAlign w:val="center"/>
          </w:tcPr>
          <w:p w14:paraId="390624FC">
            <w:pPr>
              <w:pStyle w:val="84"/>
              <w:spacing w:line="276" w:lineRule="auto"/>
            </w:pPr>
            <w:r>
              <w:rPr>
                <w:rFonts w:hint="eastAsia"/>
              </w:rPr>
              <w:t>河道清淤可用料</w:t>
            </w:r>
          </w:p>
        </w:tc>
        <w:tc>
          <w:tcPr>
            <w:tcW w:w="334" w:type="pct"/>
            <w:tcBorders>
              <w:top w:val="single" w:color="auto" w:sz="6" w:space="0"/>
              <w:bottom w:val="single" w:color="auto" w:sz="6" w:space="0"/>
            </w:tcBorders>
            <w:shd w:val="clear" w:color="auto" w:fill="auto"/>
            <w:noWrap/>
            <w:vAlign w:val="center"/>
          </w:tcPr>
          <w:p w14:paraId="3A1697FA">
            <w:pPr>
              <w:pStyle w:val="84"/>
              <w:spacing w:line="276" w:lineRule="auto"/>
            </w:pPr>
            <w:r>
              <w:t>0</w:t>
            </w:r>
          </w:p>
        </w:tc>
        <w:tc>
          <w:tcPr>
            <w:tcW w:w="334" w:type="pct"/>
            <w:tcBorders>
              <w:top w:val="single" w:color="auto" w:sz="6" w:space="0"/>
              <w:bottom w:val="single" w:color="auto" w:sz="6" w:space="0"/>
              <w:right w:val="nil"/>
            </w:tcBorders>
            <w:shd w:val="clear" w:color="auto" w:fill="auto"/>
            <w:noWrap/>
            <w:vAlign w:val="center"/>
          </w:tcPr>
          <w:p w14:paraId="4C14FED2">
            <w:pPr>
              <w:pStyle w:val="84"/>
              <w:spacing w:line="276" w:lineRule="auto"/>
            </w:pPr>
            <w:r>
              <w:rPr>
                <w:rFonts w:hint="eastAsia"/>
              </w:rPr>
              <w:t>—</w:t>
            </w:r>
          </w:p>
        </w:tc>
      </w:tr>
      <w:tr w14:paraId="7E6AD4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35" w:type="pct"/>
            <w:vMerge w:val="continue"/>
            <w:tcBorders>
              <w:left w:val="nil"/>
            </w:tcBorders>
            <w:shd w:val="clear" w:color="auto" w:fill="auto"/>
            <w:noWrap/>
            <w:vAlign w:val="center"/>
          </w:tcPr>
          <w:p w14:paraId="2CC3DD8C">
            <w:pPr>
              <w:pStyle w:val="84"/>
              <w:spacing w:line="276" w:lineRule="auto"/>
            </w:pPr>
          </w:p>
        </w:tc>
        <w:tc>
          <w:tcPr>
            <w:tcW w:w="623" w:type="pct"/>
            <w:tcBorders>
              <w:top w:val="single" w:color="auto" w:sz="6" w:space="0"/>
              <w:bottom w:val="single" w:color="auto" w:sz="6" w:space="0"/>
            </w:tcBorders>
            <w:shd w:val="clear" w:color="auto" w:fill="auto"/>
            <w:noWrap/>
            <w:vAlign w:val="center"/>
          </w:tcPr>
          <w:p w14:paraId="4093D52C">
            <w:pPr>
              <w:pStyle w:val="84"/>
              <w:spacing w:line="276" w:lineRule="auto"/>
              <w:ind w:left="-120" w:leftChars="-50" w:right="-120" w:rightChars="-50"/>
            </w:pPr>
            <w:r>
              <w:rPr>
                <w:rFonts w:hint="eastAsia"/>
              </w:rPr>
              <w:t>厂房及升压站</w:t>
            </w:r>
          </w:p>
        </w:tc>
        <w:tc>
          <w:tcPr>
            <w:tcW w:w="300" w:type="pct"/>
            <w:tcBorders>
              <w:top w:val="single" w:color="auto" w:sz="6" w:space="0"/>
              <w:bottom w:val="single" w:color="auto" w:sz="6" w:space="0"/>
            </w:tcBorders>
            <w:shd w:val="clear" w:color="auto" w:fill="auto"/>
            <w:noWrap/>
            <w:vAlign w:val="center"/>
          </w:tcPr>
          <w:p w14:paraId="2EF49AB8">
            <w:pPr>
              <w:pStyle w:val="84"/>
              <w:spacing w:line="276" w:lineRule="auto"/>
            </w:pPr>
            <w:r>
              <w:t>2856</w:t>
            </w:r>
          </w:p>
        </w:tc>
        <w:tc>
          <w:tcPr>
            <w:tcW w:w="335" w:type="pct"/>
            <w:tcBorders>
              <w:top w:val="single" w:color="auto" w:sz="6" w:space="0"/>
              <w:bottom w:val="single" w:color="auto" w:sz="6" w:space="0"/>
            </w:tcBorders>
            <w:shd w:val="clear" w:color="auto" w:fill="auto"/>
            <w:noWrap/>
            <w:vAlign w:val="center"/>
          </w:tcPr>
          <w:p w14:paraId="4830E4A7">
            <w:pPr>
              <w:pStyle w:val="84"/>
              <w:spacing w:line="276" w:lineRule="auto"/>
            </w:pPr>
            <w:r>
              <w:t>3985</w:t>
            </w:r>
          </w:p>
        </w:tc>
        <w:tc>
          <w:tcPr>
            <w:tcW w:w="336" w:type="pct"/>
            <w:tcBorders>
              <w:top w:val="single" w:color="auto" w:sz="6" w:space="0"/>
              <w:bottom w:val="single" w:color="auto" w:sz="6" w:space="0"/>
            </w:tcBorders>
            <w:shd w:val="clear" w:color="auto" w:fill="auto"/>
            <w:noWrap/>
            <w:vAlign w:val="center"/>
          </w:tcPr>
          <w:p w14:paraId="09778843">
            <w:pPr>
              <w:pStyle w:val="84"/>
              <w:spacing w:line="276" w:lineRule="auto"/>
            </w:pPr>
            <w:r>
              <w:t>6841</w:t>
            </w:r>
          </w:p>
        </w:tc>
        <w:tc>
          <w:tcPr>
            <w:tcW w:w="337" w:type="pct"/>
            <w:tcBorders>
              <w:top w:val="single" w:color="auto" w:sz="6" w:space="0"/>
              <w:bottom w:val="single" w:color="auto" w:sz="6" w:space="0"/>
            </w:tcBorders>
            <w:shd w:val="clear" w:color="auto" w:fill="auto"/>
            <w:noWrap/>
            <w:vAlign w:val="center"/>
          </w:tcPr>
          <w:p w14:paraId="4832D502">
            <w:pPr>
              <w:pStyle w:val="84"/>
              <w:spacing w:line="276" w:lineRule="auto"/>
            </w:pPr>
            <w:r>
              <w:t>10496</w:t>
            </w:r>
          </w:p>
        </w:tc>
        <w:tc>
          <w:tcPr>
            <w:tcW w:w="391" w:type="pct"/>
            <w:tcBorders>
              <w:top w:val="single" w:color="auto" w:sz="6" w:space="0"/>
              <w:bottom w:val="single" w:color="auto" w:sz="6" w:space="0"/>
            </w:tcBorders>
            <w:shd w:val="clear" w:color="auto" w:fill="auto"/>
            <w:noWrap/>
            <w:vAlign w:val="center"/>
          </w:tcPr>
          <w:p w14:paraId="1E5E00A5">
            <w:pPr>
              <w:pStyle w:val="84"/>
              <w:spacing w:line="276" w:lineRule="auto"/>
            </w:pPr>
            <w:r>
              <w:t>3985</w:t>
            </w:r>
          </w:p>
        </w:tc>
        <w:tc>
          <w:tcPr>
            <w:tcW w:w="614" w:type="pct"/>
            <w:tcBorders>
              <w:top w:val="single" w:color="auto" w:sz="6" w:space="0"/>
              <w:bottom w:val="single" w:color="auto" w:sz="6" w:space="0"/>
            </w:tcBorders>
            <w:shd w:val="clear" w:color="auto" w:fill="auto"/>
            <w:noWrap/>
            <w:vAlign w:val="center"/>
          </w:tcPr>
          <w:p w14:paraId="58946081">
            <w:pPr>
              <w:pStyle w:val="84"/>
              <w:spacing w:line="276" w:lineRule="auto"/>
              <w:ind w:left="-120" w:leftChars="-50" w:right="-120" w:rightChars="-50"/>
            </w:pPr>
            <w:r>
              <w:rPr>
                <w:rFonts w:hint="eastAsia"/>
              </w:rPr>
              <w:t>用作混凝土骨料及砌筑石料</w:t>
            </w:r>
          </w:p>
        </w:tc>
        <w:tc>
          <w:tcPr>
            <w:tcW w:w="391" w:type="pct"/>
            <w:tcBorders>
              <w:top w:val="single" w:color="auto" w:sz="6" w:space="0"/>
              <w:bottom w:val="single" w:color="auto" w:sz="6" w:space="0"/>
            </w:tcBorders>
            <w:shd w:val="clear" w:color="auto" w:fill="auto"/>
            <w:noWrap/>
            <w:vAlign w:val="center"/>
          </w:tcPr>
          <w:p w14:paraId="18A2AEDB">
            <w:pPr>
              <w:pStyle w:val="84"/>
              <w:spacing w:line="276" w:lineRule="auto"/>
            </w:pPr>
            <w:r>
              <w:t>7640</w:t>
            </w:r>
          </w:p>
        </w:tc>
        <w:tc>
          <w:tcPr>
            <w:tcW w:w="668" w:type="pct"/>
            <w:tcBorders>
              <w:top w:val="single" w:color="auto" w:sz="6" w:space="0"/>
              <w:bottom w:val="single" w:color="auto" w:sz="6" w:space="0"/>
            </w:tcBorders>
            <w:shd w:val="clear" w:color="auto" w:fill="auto"/>
            <w:noWrap/>
            <w:vAlign w:val="center"/>
          </w:tcPr>
          <w:p w14:paraId="78778108">
            <w:pPr>
              <w:pStyle w:val="84"/>
              <w:spacing w:line="276" w:lineRule="auto"/>
            </w:pPr>
            <w:r>
              <w:rPr>
                <w:rFonts w:hint="eastAsia"/>
              </w:rPr>
              <w:t>河道清淤可用料</w:t>
            </w:r>
          </w:p>
        </w:tc>
        <w:tc>
          <w:tcPr>
            <w:tcW w:w="334" w:type="pct"/>
            <w:tcBorders>
              <w:top w:val="single" w:color="auto" w:sz="6" w:space="0"/>
              <w:bottom w:val="single" w:color="auto" w:sz="6" w:space="0"/>
            </w:tcBorders>
            <w:shd w:val="clear" w:color="auto" w:fill="auto"/>
            <w:noWrap/>
            <w:vAlign w:val="center"/>
          </w:tcPr>
          <w:p w14:paraId="0E088913">
            <w:pPr>
              <w:pStyle w:val="84"/>
              <w:spacing w:line="276" w:lineRule="auto"/>
            </w:pPr>
            <w:r>
              <w:t>0</w:t>
            </w:r>
          </w:p>
        </w:tc>
        <w:tc>
          <w:tcPr>
            <w:tcW w:w="334" w:type="pct"/>
            <w:tcBorders>
              <w:top w:val="single" w:color="auto" w:sz="6" w:space="0"/>
              <w:bottom w:val="single" w:color="auto" w:sz="6" w:space="0"/>
              <w:right w:val="nil"/>
            </w:tcBorders>
            <w:shd w:val="clear" w:color="auto" w:fill="auto"/>
            <w:noWrap/>
            <w:vAlign w:val="center"/>
          </w:tcPr>
          <w:p w14:paraId="29708835">
            <w:pPr>
              <w:pStyle w:val="84"/>
              <w:spacing w:line="276" w:lineRule="auto"/>
            </w:pPr>
            <w:r>
              <w:rPr>
                <w:rFonts w:hint="eastAsia"/>
              </w:rPr>
              <w:t>—</w:t>
            </w:r>
          </w:p>
        </w:tc>
      </w:tr>
      <w:tr w14:paraId="73A66B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0" w:hRule="atLeast"/>
          <w:jc w:val="center"/>
        </w:trPr>
        <w:tc>
          <w:tcPr>
            <w:tcW w:w="335" w:type="pct"/>
            <w:vMerge w:val="continue"/>
            <w:tcBorders>
              <w:left w:val="nil"/>
            </w:tcBorders>
            <w:shd w:val="clear" w:color="auto" w:fill="auto"/>
            <w:noWrap/>
            <w:vAlign w:val="center"/>
          </w:tcPr>
          <w:p w14:paraId="68A3BAFE">
            <w:pPr>
              <w:pStyle w:val="84"/>
              <w:spacing w:line="276" w:lineRule="auto"/>
            </w:pPr>
          </w:p>
        </w:tc>
        <w:tc>
          <w:tcPr>
            <w:tcW w:w="623" w:type="pct"/>
            <w:vMerge w:val="restart"/>
            <w:tcBorders>
              <w:top w:val="single" w:color="auto" w:sz="6" w:space="0"/>
            </w:tcBorders>
            <w:shd w:val="clear" w:color="auto" w:fill="auto"/>
            <w:noWrap/>
            <w:vAlign w:val="center"/>
          </w:tcPr>
          <w:p w14:paraId="2292F796">
            <w:pPr>
              <w:pStyle w:val="84"/>
              <w:spacing w:line="276" w:lineRule="auto"/>
              <w:ind w:left="-120" w:leftChars="-50" w:right="-120" w:rightChars="-50"/>
              <w:rPr>
                <w:color w:val="FF0000"/>
              </w:rPr>
            </w:pPr>
            <w:r>
              <w:rPr>
                <w:rFonts w:hint="eastAsia"/>
                <w:color w:val="FF0000"/>
              </w:rPr>
              <w:t>下游河道清淤</w:t>
            </w:r>
          </w:p>
        </w:tc>
        <w:tc>
          <w:tcPr>
            <w:tcW w:w="300" w:type="pct"/>
            <w:vMerge w:val="restart"/>
            <w:tcBorders>
              <w:top w:val="single" w:color="auto" w:sz="6" w:space="0"/>
            </w:tcBorders>
            <w:shd w:val="clear" w:color="auto" w:fill="auto"/>
            <w:noWrap/>
            <w:vAlign w:val="center"/>
          </w:tcPr>
          <w:p w14:paraId="083B8526">
            <w:pPr>
              <w:pStyle w:val="84"/>
              <w:spacing w:line="276" w:lineRule="auto"/>
              <w:rPr>
                <w:color w:val="FF0000"/>
              </w:rPr>
            </w:pPr>
            <w:r>
              <w:rPr>
                <w:rFonts w:hint="eastAsia"/>
                <w:color w:val="FF0000"/>
              </w:rPr>
              <w:t>37</w:t>
            </w:r>
            <w:r>
              <w:rPr>
                <w:color w:val="FF0000"/>
              </w:rPr>
              <w:t>000</w:t>
            </w:r>
          </w:p>
        </w:tc>
        <w:tc>
          <w:tcPr>
            <w:tcW w:w="335" w:type="pct"/>
            <w:vMerge w:val="restart"/>
            <w:tcBorders>
              <w:top w:val="single" w:color="auto" w:sz="6" w:space="0"/>
            </w:tcBorders>
            <w:shd w:val="clear" w:color="auto" w:fill="auto"/>
            <w:noWrap/>
            <w:vAlign w:val="center"/>
          </w:tcPr>
          <w:p w14:paraId="6A7D7F47">
            <w:pPr>
              <w:pStyle w:val="84"/>
              <w:spacing w:line="276" w:lineRule="auto"/>
              <w:rPr>
                <w:color w:val="FF0000"/>
              </w:rPr>
            </w:pPr>
            <w:r>
              <w:rPr>
                <w:color w:val="FF0000"/>
              </w:rPr>
              <w:t>0</w:t>
            </w:r>
          </w:p>
        </w:tc>
        <w:tc>
          <w:tcPr>
            <w:tcW w:w="336" w:type="pct"/>
            <w:vMerge w:val="restart"/>
            <w:tcBorders>
              <w:top w:val="single" w:color="auto" w:sz="6" w:space="0"/>
            </w:tcBorders>
            <w:shd w:val="clear" w:color="auto" w:fill="auto"/>
            <w:noWrap/>
            <w:vAlign w:val="center"/>
          </w:tcPr>
          <w:p w14:paraId="054EADB4">
            <w:pPr>
              <w:pStyle w:val="84"/>
              <w:spacing w:line="276" w:lineRule="auto"/>
              <w:rPr>
                <w:color w:val="FF0000"/>
              </w:rPr>
            </w:pPr>
            <w:r>
              <w:rPr>
                <w:rFonts w:hint="eastAsia"/>
                <w:color w:val="FF0000"/>
              </w:rPr>
              <w:t>37</w:t>
            </w:r>
            <w:r>
              <w:rPr>
                <w:color w:val="FF0000"/>
              </w:rPr>
              <w:t>000</w:t>
            </w:r>
          </w:p>
        </w:tc>
        <w:tc>
          <w:tcPr>
            <w:tcW w:w="337" w:type="pct"/>
            <w:vMerge w:val="restart"/>
            <w:tcBorders>
              <w:top w:val="single" w:color="auto" w:sz="6" w:space="0"/>
            </w:tcBorders>
            <w:shd w:val="clear" w:color="auto" w:fill="auto"/>
            <w:noWrap/>
            <w:vAlign w:val="center"/>
          </w:tcPr>
          <w:p w14:paraId="405C6CB1">
            <w:pPr>
              <w:pStyle w:val="84"/>
              <w:spacing w:line="276" w:lineRule="auto"/>
              <w:rPr>
                <w:color w:val="FF0000"/>
                <w:highlight w:val="green"/>
              </w:rPr>
            </w:pPr>
            <w:r>
              <w:rPr>
                <w:color w:val="FF0000"/>
              </w:rPr>
              <w:t>0</w:t>
            </w:r>
          </w:p>
        </w:tc>
        <w:tc>
          <w:tcPr>
            <w:tcW w:w="391" w:type="pct"/>
            <w:tcBorders>
              <w:top w:val="single" w:color="auto" w:sz="6" w:space="0"/>
              <w:bottom w:val="single" w:color="auto" w:sz="6" w:space="0"/>
            </w:tcBorders>
            <w:shd w:val="clear" w:color="auto" w:fill="auto"/>
            <w:noWrap/>
            <w:vAlign w:val="center"/>
          </w:tcPr>
          <w:p w14:paraId="25FC4121">
            <w:pPr>
              <w:pStyle w:val="84"/>
              <w:spacing w:line="276" w:lineRule="auto"/>
              <w:rPr>
                <w:color w:val="FF0000"/>
              </w:rPr>
            </w:pPr>
            <w:r>
              <w:rPr>
                <w:color w:val="FF0000"/>
              </w:rPr>
              <w:t>1</w:t>
            </w:r>
            <w:r>
              <w:rPr>
                <w:rFonts w:hint="eastAsia"/>
                <w:color w:val="FF0000"/>
              </w:rPr>
              <w:t>1</w:t>
            </w:r>
            <w:r>
              <w:rPr>
                <w:color w:val="FF0000"/>
              </w:rPr>
              <w:t>252</w:t>
            </w:r>
          </w:p>
        </w:tc>
        <w:tc>
          <w:tcPr>
            <w:tcW w:w="614" w:type="pct"/>
            <w:tcBorders>
              <w:top w:val="single" w:color="auto" w:sz="6" w:space="0"/>
              <w:bottom w:val="single" w:color="auto" w:sz="6" w:space="0"/>
            </w:tcBorders>
            <w:shd w:val="clear" w:color="auto" w:fill="auto"/>
            <w:noWrap/>
            <w:vAlign w:val="center"/>
          </w:tcPr>
          <w:p w14:paraId="42F0EA30">
            <w:pPr>
              <w:pStyle w:val="84"/>
              <w:spacing w:line="276" w:lineRule="auto"/>
              <w:ind w:left="-120" w:leftChars="-50" w:right="-120" w:rightChars="-50"/>
              <w:rPr>
                <w:color w:val="FF0000"/>
              </w:rPr>
            </w:pPr>
            <w:r>
              <w:rPr>
                <w:rFonts w:hint="eastAsia"/>
                <w:color w:val="FF0000"/>
              </w:rPr>
              <w:t>大坝及厂房回填</w:t>
            </w:r>
          </w:p>
        </w:tc>
        <w:tc>
          <w:tcPr>
            <w:tcW w:w="391" w:type="pct"/>
            <w:vMerge w:val="restart"/>
            <w:tcBorders>
              <w:top w:val="single" w:color="auto" w:sz="6" w:space="0"/>
            </w:tcBorders>
            <w:shd w:val="clear" w:color="auto" w:fill="auto"/>
            <w:noWrap/>
            <w:vAlign w:val="center"/>
          </w:tcPr>
          <w:p w14:paraId="7773C0F6">
            <w:pPr>
              <w:pStyle w:val="84"/>
              <w:spacing w:line="276" w:lineRule="auto"/>
              <w:rPr>
                <w:color w:val="FF0000"/>
              </w:rPr>
            </w:pPr>
            <w:r>
              <w:rPr>
                <w:rFonts w:hint="eastAsia"/>
                <w:color w:val="FF0000"/>
              </w:rPr>
              <w:t>—</w:t>
            </w:r>
          </w:p>
        </w:tc>
        <w:tc>
          <w:tcPr>
            <w:tcW w:w="668" w:type="pct"/>
            <w:vMerge w:val="restart"/>
            <w:tcBorders>
              <w:top w:val="single" w:color="auto" w:sz="6" w:space="0"/>
            </w:tcBorders>
            <w:shd w:val="clear" w:color="auto" w:fill="auto"/>
            <w:noWrap/>
            <w:vAlign w:val="center"/>
          </w:tcPr>
          <w:p w14:paraId="0277C75B">
            <w:pPr>
              <w:pStyle w:val="84"/>
              <w:spacing w:line="276" w:lineRule="auto"/>
              <w:rPr>
                <w:color w:val="FF0000"/>
              </w:rPr>
            </w:pPr>
            <w:r>
              <w:rPr>
                <w:rFonts w:hint="eastAsia"/>
                <w:color w:val="FF0000"/>
              </w:rPr>
              <w:t>—</w:t>
            </w:r>
          </w:p>
        </w:tc>
        <w:tc>
          <w:tcPr>
            <w:tcW w:w="334" w:type="pct"/>
            <w:vMerge w:val="restart"/>
            <w:tcBorders>
              <w:top w:val="single" w:color="auto" w:sz="6" w:space="0"/>
              <w:bottom w:val="single" w:color="auto" w:sz="6" w:space="0"/>
            </w:tcBorders>
            <w:shd w:val="clear" w:color="auto" w:fill="auto"/>
            <w:noWrap/>
            <w:vAlign w:val="center"/>
          </w:tcPr>
          <w:p w14:paraId="1A3012AB">
            <w:pPr>
              <w:pStyle w:val="84"/>
              <w:spacing w:line="276" w:lineRule="auto"/>
              <w:rPr>
                <w:color w:val="FF0000"/>
              </w:rPr>
            </w:pPr>
            <w:r>
              <w:rPr>
                <w:rFonts w:hint="eastAsia"/>
                <w:color w:val="FF0000"/>
              </w:rPr>
              <w:t>0</w:t>
            </w:r>
          </w:p>
        </w:tc>
        <w:tc>
          <w:tcPr>
            <w:tcW w:w="334" w:type="pct"/>
            <w:vMerge w:val="restart"/>
            <w:tcBorders>
              <w:top w:val="single" w:color="auto" w:sz="6" w:space="0"/>
              <w:bottom w:val="single" w:color="auto" w:sz="6" w:space="0"/>
              <w:right w:val="nil"/>
            </w:tcBorders>
            <w:shd w:val="clear" w:color="auto" w:fill="auto"/>
            <w:noWrap/>
            <w:vAlign w:val="center"/>
          </w:tcPr>
          <w:p w14:paraId="72C180E9">
            <w:pPr>
              <w:pStyle w:val="84"/>
              <w:spacing w:line="276" w:lineRule="auto"/>
              <w:rPr>
                <w:color w:val="FF0000"/>
              </w:rPr>
            </w:pPr>
            <w:r>
              <w:rPr>
                <w:rFonts w:hint="eastAsia"/>
                <w:color w:val="FF0000"/>
              </w:rPr>
              <w:t>—</w:t>
            </w:r>
          </w:p>
        </w:tc>
      </w:tr>
      <w:tr w14:paraId="63F235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335" w:type="pct"/>
            <w:vMerge w:val="continue"/>
            <w:tcBorders>
              <w:left w:val="nil"/>
            </w:tcBorders>
            <w:shd w:val="clear" w:color="auto" w:fill="auto"/>
            <w:noWrap/>
            <w:vAlign w:val="center"/>
          </w:tcPr>
          <w:p w14:paraId="522B611F">
            <w:pPr>
              <w:pStyle w:val="84"/>
              <w:spacing w:line="276" w:lineRule="auto"/>
              <w:rPr>
                <w:highlight w:val="green"/>
              </w:rPr>
            </w:pPr>
          </w:p>
        </w:tc>
        <w:tc>
          <w:tcPr>
            <w:tcW w:w="623" w:type="pct"/>
            <w:vMerge w:val="continue"/>
            <w:shd w:val="clear" w:color="auto" w:fill="auto"/>
            <w:noWrap/>
            <w:vAlign w:val="center"/>
          </w:tcPr>
          <w:p w14:paraId="4B31F7EE">
            <w:pPr>
              <w:pStyle w:val="84"/>
              <w:spacing w:line="276" w:lineRule="auto"/>
              <w:ind w:left="-120" w:leftChars="-50" w:right="-120" w:rightChars="-50"/>
              <w:rPr>
                <w:color w:val="FF0000"/>
                <w:highlight w:val="green"/>
              </w:rPr>
            </w:pPr>
          </w:p>
        </w:tc>
        <w:tc>
          <w:tcPr>
            <w:tcW w:w="300" w:type="pct"/>
            <w:vMerge w:val="continue"/>
            <w:shd w:val="clear" w:color="auto" w:fill="auto"/>
            <w:noWrap/>
            <w:vAlign w:val="center"/>
          </w:tcPr>
          <w:p w14:paraId="2A578B89">
            <w:pPr>
              <w:pStyle w:val="84"/>
              <w:spacing w:line="276" w:lineRule="auto"/>
              <w:rPr>
                <w:color w:val="FF0000"/>
                <w:highlight w:val="green"/>
              </w:rPr>
            </w:pPr>
          </w:p>
        </w:tc>
        <w:tc>
          <w:tcPr>
            <w:tcW w:w="335" w:type="pct"/>
            <w:vMerge w:val="continue"/>
            <w:shd w:val="clear" w:color="auto" w:fill="auto"/>
            <w:vAlign w:val="center"/>
          </w:tcPr>
          <w:p w14:paraId="6474511A">
            <w:pPr>
              <w:pStyle w:val="84"/>
              <w:spacing w:line="276" w:lineRule="auto"/>
              <w:rPr>
                <w:color w:val="FF0000"/>
                <w:highlight w:val="green"/>
              </w:rPr>
            </w:pPr>
          </w:p>
        </w:tc>
        <w:tc>
          <w:tcPr>
            <w:tcW w:w="336" w:type="pct"/>
            <w:vMerge w:val="continue"/>
            <w:shd w:val="clear" w:color="auto" w:fill="auto"/>
            <w:vAlign w:val="center"/>
          </w:tcPr>
          <w:p w14:paraId="5859BDCC">
            <w:pPr>
              <w:pStyle w:val="84"/>
              <w:spacing w:line="276" w:lineRule="auto"/>
              <w:rPr>
                <w:color w:val="FF0000"/>
                <w:highlight w:val="green"/>
              </w:rPr>
            </w:pPr>
          </w:p>
        </w:tc>
        <w:tc>
          <w:tcPr>
            <w:tcW w:w="337" w:type="pct"/>
            <w:vMerge w:val="continue"/>
            <w:shd w:val="clear" w:color="auto" w:fill="auto"/>
            <w:vAlign w:val="center"/>
          </w:tcPr>
          <w:p w14:paraId="3D4D7F6F">
            <w:pPr>
              <w:pStyle w:val="84"/>
              <w:spacing w:line="276" w:lineRule="auto"/>
              <w:rPr>
                <w:color w:val="FF0000"/>
                <w:highlight w:val="green"/>
              </w:rPr>
            </w:pPr>
          </w:p>
        </w:tc>
        <w:tc>
          <w:tcPr>
            <w:tcW w:w="391" w:type="pct"/>
            <w:tcBorders>
              <w:top w:val="single" w:color="auto" w:sz="6" w:space="0"/>
              <w:bottom w:val="single" w:color="auto" w:sz="6" w:space="0"/>
            </w:tcBorders>
            <w:shd w:val="clear" w:color="auto" w:fill="auto"/>
            <w:vAlign w:val="center"/>
          </w:tcPr>
          <w:p w14:paraId="3C39036D">
            <w:pPr>
              <w:pStyle w:val="84"/>
              <w:spacing w:line="276" w:lineRule="auto"/>
              <w:rPr>
                <w:color w:val="FF0000"/>
              </w:rPr>
            </w:pPr>
            <w:r>
              <w:rPr>
                <w:color w:val="FF0000"/>
              </w:rPr>
              <w:t>20325</w:t>
            </w:r>
          </w:p>
        </w:tc>
        <w:tc>
          <w:tcPr>
            <w:tcW w:w="614" w:type="pct"/>
            <w:tcBorders>
              <w:top w:val="single" w:color="auto" w:sz="6" w:space="0"/>
              <w:bottom w:val="single" w:color="auto" w:sz="6" w:space="0"/>
            </w:tcBorders>
            <w:shd w:val="clear" w:color="auto" w:fill="auto"/>
            <w:vAlign w:val="center"/>
          </w:tcPr>
          <w:p w14:paraId="6641F0CC">
            <w:pPr>
              <w:pStyle w:val="84"/>
              <w:spacing w:line="276" w:lineRule="auto"/>
              <w:rPr>
                <w:color w:val="FF0000"/>
              </w:rPr>
            </w:pPr>
            <w:r>
              <w:rPr>
                <w:rFonts w:hint="eastAsia"/>
                <w:color w:val="FF0000"/>
              </w:rPr>
              <w:t>用于大坝左岸</w:t>
            </w:r>
            <w:r>
              <w:rPr>
                <w:color w:val="FF0000"/>
              </w:rPr>
              <w:t>加固</w:t>
            </w:r>
          </w:p>
        </w:tc>
        <w:tc>
          <w:tcPr>
            <w:tcW w:w="391" w:type="pct"/>
            <w:vMerge w:val="continue"/>
            <w:shd w:val="clear" w:color="auto" w:fill="auto"/>
            <w:noWrap/>
            <w:vAlign w:val="center"/>
          </w:tcPr>
          <w:p w14:paraId="0B20D7E7">
            <w:pPr>
              <w:pStyle w:val="84"/>
              <w:spacing w:line="276" w:lineRule="auto"/>
              <w:rPr>
                <w:highlight w:val="green"/>
              </w:rPr>
            </w:pPr>
          </w:p>
        </w:tc>
        <w:tc>
          <w:tcPr>
            <w:tcW w:w="668" w:type="pct"/>
            <w:vMerge w:val="continue"/>
            <w:shd w:val="clear" w:color="auto" w:fill="auto"/>
            <w:noWrap/>
            <w:vAlign w:val="center"/>
          </w:tcPr>
          <w:p w14:paraId="4BB87C62">
            <w:pPr>
              <w:pStyle w:val="84"/>
              <w:spacing w:line="276" w:lineRule="auto"/>
              <w:rPr>
                <w:highlight w:val="green"/>
              </w:rPr>
            </w:pPr>
          </w:p>
        </w:tc>
        <w:tc>
          <w:tcPr>
            <w:tcW w:w="334" w:type="pct"/>
            <w:vMerge w:val="continue"/>
            <w:tcBorders>
              <w:top w:val="single" w:color="auto" w:sz="6" w:space="0"/>
              <w:bottom w:val="single" w:color="auto" w:sz="6" w:space="0"/>
            </w:tcBorders>
            <w:shd w:val="clear" w:color="auto" w:fill="auto"/>
            <w:noWrap/>
            <w:vAlign w:val="center"/>
          </w:tcPr>
          <w:p w14:paraId="5771022E">
            <w:pPr>
              <w:pStyle w:val="84"/>
              <w:spacing w:line="276" w:lineRule="auto"/>
              <w:rPr>
                <w:highlight w:val="green"/>
              </w:rPr>
            </w:pPr>
          </w:p>
        </w:tc>
        <w:tc>
          <w:tcPr>
            <w:tcW w:w="334" w:type="pct"/>
            <w:vMerge w:val="continue"/>
            <w:tcBorders>
              <w:top w:val="single" w:color="auto" w:sz="6" w:space="0"/>
              <w:bottom w:val="single" w:color="auto" w:sz="6" w:space="0"/>
              <w:right w:val="nil"/>
            </w:tcBorders>
            <w:shd w:val="clear" w:color="auto" w:fill="auto"/>
            <w:noWrap/>
            <w:vAlign w:val="center"/>
          </w:tcPr>
          <w:p w14:paraId="73705A39">
            <w:pPr>
              <w:pStyle w:val="84"/>
              <w:spacing w:line="276" w:lineRule="auto"/>
              <w:rPr>
                <w:color w:val="FF0000"/>
              </w:rPr>
            </w:pPr>
          </w:p>
        </w:tc>
      </w:tr>
      <w:tr w14:paraId="105D86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335" w:type="pct"/>
            <w:vMerge w:val="continue"/>
            <w:tcBorders>
              <w:left w:val="nil"/>
            </w:tcBorders>
            <w:shd w:val="clear" w:color="auto" w:fill="auto"/>
            <w:noWrap/>
            <w:vAlign w:val="center"/>
          </w:tcPr>
          <w:p w14:paraId="42D5FFCA">
            <w:pPr>
              <w:pStyle w:val="84"/>
              <w:spacing w:line="276" w:lineRule="auto"/>
              <w:rPr>
                <w:highlight w:val="green"/>
              </w:rPr>
            </w:pPr>
          </w:p>
        </w:tc>
        <w:tc>
          <w:tcPr>
            <w:tcW w:w="623" w:type="pct"/>
            <w:vMerge w:val="continue"/>
            <w:shd w:val="clear" w:color="auto" w:fill="auto"/>
            <w:noWrap/>
            <w:vAlign w:val="center"/>
          </w:tcPr>
          <w:p w14:paraId="4261386C">
            <w:pPr>
              <w:pStyle w:val="84"/>
              <w:spacing w:line="276" w:lineRule="auto"/>
              <w:ind w:left="-120" w:leftChars="-50" w:right="-120" w:rightChars="-50"/>
              <w:rPr>
                <w:color w:val="FF0000"/>
                <w:highlight w:val="green"/>
              </w:rPr>
            </w:pPr>
          </w:p>
        </w:tc>
        <w:tc>
          <w:tcPr>
            <w:tcW w:w="300" w:type="pct"/>
            <w:vMerge w:val="continue"/>
            <w:shd w:val="clear" w:color="auto" w:fill="auto"/>
            <w:noWrap/>
            <w:vAlign w:val="center"/>
          </w:tcPr>
          <w:p w14:paraId="6F50571A">
            <w:pPr>
              <w:pStyle w:val="84"/>
              <w:spacing w:line="276" w:lineRule="auto"/>
              <w:rPr>
                <w:color w:val="FF0000"/>
                <w:highlight w:val="green"/>
              </w:rPr>
            </w:pPr>
          </w:p>
        </w:tc>
        <w:tc>
          <w:tcPr>
            <w:tcW w:w="335" w:type="pct"/>
            <w:vMerge w:val="continue"/>
            <w:shd w:val="clear" w:color="auto" w:fill="auto"/>
            <w:vAlign w:val="center"/>
          </w:tcPr>
          <w:p w14:paraId="27D60334">
            <w:pPr>
              <w:pStyle w:val="84"/>
              <w:spacing w:line="276" w:lineRule="auto"/>
              <w:rPr>
                <w:color w:val="FF0000"/>
                <w:highlight w:val="green"/>
              </w:rPr>
            </w:pPr>
          </w:p>
        </w:tc>
        <w:tc>
          <w:tcPr>
            <w:tcW w:w="336" w:type="pct"/>
            <w:vMerge w:val="continue"/>
            <w:shd w:val="clear" w:color="auto" w:fill="auto"/>
            <w:vAlign w:val="center"/>
          </w:tcPr>
          <w:p w14:paraId="0544D1BA">
            <w:pPr>
              <w:pStyle w:val="84"/>
              <w:spacing w:line="276" w:lineRule="auto"/>
              <w:rPr>
                <w:color w:val="FF0000"/>
                <w:highlight w:val="green"/>
              </w:rPr>
            </w:pPr>
          </w:p>
        </w:tc>
        <w:tc>
          <w:tcPr>
            <w:tcW w:w="337" w:type="pct"/>
            <w:vMerge w:val="continue"/>
            <w:shd w:val="clear" w:color="auto" w:fill="auto"/>
            <w:vAlign w:val="center"/>
          </w:tcPr>
          <w:p w14:paraId="1FBE210E">
            <w:pPr>
              <w:pStyle w:val="84"/>
              <w:spacing w:line="276" w:lineRule="auto"/>
              <w:rPr>
                <w:color w:val="FF0000"/>
                <w:highlight w:val="green"/>
              </w:rPr>
            </w:pPr>
          </w:p>
        </w:tc>
        <w:tc>
          <w:tcPr>
            <w:tcW w:w="391" w:type="pct"/>
            <w:tcBorders>
              <w:top w:val="single" w:color="auto" w:sz="6" w:space="0"/>
              <w:bottom w:val="single" w:color="auto" w:sz="6" w:space="0"/>
            </w:tcBorders>
            <w:shd w:val="clear" w:color="auto" w:fill="auto"/>
            <w:vAlign w:val="center"/>
          </w:tcPr>
          <w:p w14:paraId="44516401">
            <w:pPr>
              <w:pStyle w:val="84"/>
              <w:spacing w:line="276" w:lineRule="auto"/>
              <w:rPr>
                <w:color w:val="FF0000"/>
              </w:rPr>
            </w:pPr>
            <w:r>
              <w:rPr>
                <w:rFonts w:hint="eastAsia"/>
                <w:color w:val="FF0000"/>
              </w:rPr>
              <w:t>4500</w:t>
            </w:r>
          </w:p>
        </w:tc>
        <w:tc>
          <w:tcPr>
            <w:tcW w:w="614" w:type="pct"/>
            <w:tcBorders>
              <w:top w:val="single" w:color="auto" w:sz="6" w:space="0"/>
              <w:bottom w:val="single" w:color="auto" w:sz="6" w:space="0"/>
            </w:tcBorders>
            <w:shd w:val="clear" w:color="auto" w:fill="auto"/>
            <w:vAlign w:val="center"/>
          </w:tcPr>
          <w:p w14:paraId="2A97A83B">
            <w:pPr>
              <w:pStyle w:val="84"/>
              <w:spacing w:line="276" w:lineRule="auto"/>
              <w:rPr>
                <w:color w:val="FF0000"/>
              </w:rPr>
            </w:pPr>
            <w:r>
              <w:rPr>
                <w:rFonts w:hint="eastAsia"/>
                <w:color w:val="FF0000"/>
              </w:rPr>
              <w:t>工程可用砂料</w:t>
            </w:r>
          </w:p>
        </w:tc>
        <w:tc>
          <w:tcPr>
            <w:tcW w:w="391" w:type="pct"/>
            <w:vMerge w:val="continue"/>
            <w:shd w:val="clear" w:color="auto" w:fill="auto"/>
            <w:noWrap/>
            <w:vAlign w:val="center"/>
          </w:tcPr>
          <w:p w14:paraId="7FFD9B65">
            <w:pPr>
              <w:pStyle w:val="84"/>
              <w:spacing w:line="276" w:lineRule="auto"/>
              <w:rPr>
                <w:highlight w:val="green"/>
              </w:rPr>
            </w:pPr>
          </w:p>
        </w:tc>
        <w:tc>
          <w:tcPr>
            <w:tcW w:w="668" w:type="pct"/>
            <w:vMerge w:val="continue"/>
            <w:shd w:val="clear" w:color="auto" w:fill="auto"/>
            <w:noWrap/>
            <w:vAlign w:val="center"/>
          </w:tcPr>
          <w:p w14:paraId="5E66BA78">
            <w:pPr>
              <w:pStyle w:val="84"/>
              <w:spacing w:line="276" w:lineRule="auto"/>
              <w:rPr>
                <w:highlight w:val="green"/>
              </w:rPr>
            </w:pPr>
          </w:p>
        </w:tc>
        <w:tc>
          <w:tcPr>
            <w:tcW w:w="334" w:type="pct"/>
            <w:vMerge w:val="continue"/>
            <w:tcBorders>
              <w:top w:val="single" w:color="auto" w:sz="6" w:space="0"/>
              <w:bottom w:val="single" w:color="auto" w:sz="6" w:space="0"/>
            </w:tcBorders>
            <w:shd w:val="clear" w:color="auto" w:fill="auto"/>
            <w:noWrap/>
            <w:vAlign w:val="center"/>
          </w:tcPr>
          <w:p w14:paraId="34A6FAB7">
            <w:pPr>
              <w:pStyle w:val="84"/>
              <w:spacing w:line="276" w:lineRule="auto"/>
              <w:rPr>
                <w:highlight w:val="green"/>
              </w:rPr>
            </w:pPr>
          </w:p>
        </w:tc>
        <w:tc>
          <w:tcPr>
            <w:tcW w:w="334" w:type="pct"/>
            <w:vMerge w:val="continue"/>
            <w:tcBorders>
              <w:top w:val="single" w:color="auto" w:sz="6" w:space="0"/>
              <w:bottom w:val="single" w:color="auto" w:sz="6" w:space="0"/>
              <w:right w:val="nil"/>
            </w:tcBorders>
            <w:shd w:val="clear" w:color="auto" w:fill="auto"/>
            <w:noWrap/>
            <w:vAlign w:val="center"/>
          </w:tcPr>
          <w:p w14:paraId="1C8E036C">
            <w:pPr>
              <w:pStyle w:val="84"/>
              <w:spacing w:line="276" w:lineRule="auto"/>
              <w:rPr>
                <w:color w:val="FF0000"/>
              </w:rPr>
            </w:pPr>
          </w:p>
        </w:tc>
      </w:tr>
      <w:tr w14:paraId="165FC8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335" w:type="pct"/>
            <w:vMerge w:val="continue"/>
            <w:tcBorders>
              <w:left w:val="nil"/>
            </w:tcBorders>
            <w:shd w:val="clear" w:color="auto" w:fill="auto"/>
            <w:noWrap/>
            <w:vAlign w:val="center"/>
          </w:tcPr>
          <w:p w14:paraId="52EAE4E8">
            <w:pPr>
              <w:pStyle w:val="84"/>
              <w:spacing w:line="276" w:lineRule="auto"/>
              <w:rPr>
                <w:highlight w:val="green"/>
              </w:rPr>
            </w:pPr>
          </w:p>
        </w:tc>
        <w:tc>
          <w:tcPr>
            <w:tcW w:w="623" w:type="pct"/>
            <w:vMerge w:val="continue"/>
            <w:tcBorders>
              <w:bottom w:val="single" w:color="auto" w:sz="6" w:space="0"/>
            </w:tcBorders>
            <w:shd w:val="clear" w:color="auto" w:fill="auto"/>
            <w:noWrap/>
            <w:vAlign w:val="center"/>
          </w:tcPr>
          <w:p w14:paraId="4CFD27EB">
            <w:pPr>
              <w:pStyle w:val="84"/>
              <w:spacing w:line="276" w:lineRule="auto"/>
              <w:ind w:left="-120" w:leftChars="-50" w:right="-120" w:rightChars="-50"/>
              <w:rPr>
                <w:color w:val="FF0000"/>
                <w:highlight w:val="green"/>
              </w:rPr>
            </w:pPr>
          </w:p>
        </w:tc>
        <w:tc>
          <w:tcPr>
            <w:tcW w:w="300" w:type="pct"/>
            <w:vMerge w:val="continue"/>
            <w:tcBorders>
              <w:bottom w:val="single" w:color="auto" w:sz="6" w:space="0"/>
            </w:tcBorders>
            <w:shd w:val="clear" w:color="auto" w:fill="auto"/>
            <w:noWrap/>
            <w:vAlign w:val="center"/>
          </w:tcPr>
          <w:p w14:paraId="3E585FA3">
            <w:pPr>
              <w:pStyle w:val="84"/>
              <w:spacing w:line="276" w:lineRule="auto"/>
              <w:rPr>
                <w:color w:val="FF0000"/>
                <w:highlight w:val="green"/>
              </w:rPr>
            </w:pPr>
          </w:p>
        </w:tc>
        <w:tc>
          <w:tcPr>
            <w:tcW w:w="335" w:type="pct"/>
            <w:vMerge w:val="continue"/>
            <w:tcBorders>
              <w:bottom w:val="single" w:color="auto" w:sz="6" w:space="0"/>
            </w:tcBorders>
            <w:shd w:val="clear" w:color="auto" w:fill="auto"/>
            <w:vAlign w:val="center"/>
          </w:tcPr>
          <w:p w14:paraId="1BA12B22">
            <w:pPr>
              <w:pStyle w:val="84"/>
              <w:spacing w:line="276" w:lineRule="auto"/>
              <w:rPr>
                <w:color w:val="FF0000"/>
                <w:highlight w:val="green"/>
              </w:rPr>
            </w:pPr>
          </w:p>
        </w:tc>
        <w:tc>
          <w:tcPr>
            <w:tcW w:w="336" w:type="pct"/>
            <w:vMerge w:val="continue"/>
            <w:tcBorders>
              <w:bottom w:val="single" w:color="auto" w:sz="6" w:space="0"/>
            </w:tcBorders>
            <w:shd w:val="clear" w:color="auto" w:fill="auto"/>
            <w:vAlign w:val="center"/>
          </w:tcPr>
          <w:p w14:paraId="72B92232">
            <w:pPr>
              <w:pStyle w:val="84"/>
              <w:spacing w:line="276" w:lineRule="auto"/>
              <w:rPr>
                <w:color w:val="FF0000"/>
                <w:highlight w:val="green"/>
              </w:rPr>
            </w:pPr>
          </w:p>
        </w:tc>
        <w:tc>
          <w:tcPr>
            <w:tcW w:w="337" w:type="pct"/>
            <w:vMerge w:val="continue"/>
            <w:tcBorders>
              <w:bottom w:val="single" w:color="auto" w:sz="6" w:space="0"/>
            </w:tcBorders>
            <w:shd w:val="clear" w:color="auto" w:fill="auto"/>
            <w:vAlign w:val="center"/>
          </w:tcPr>
          <w:p w14:paraId="1D3F2D77">
            <w:pPr>
              <w:pStyle w:val="84"/>
              <w:spacing w:line="276" w:lineRule="auto"/>
              <w:rPr>
                <w:color w:val="FF0000"/>
                <w:highlight w:val="green"/>
              </w:rPr>
            </w:pPr>
          </w:p>
        </w:tc>
        <w:tc>
          <w:tcPr>
            <w:tcW w:w="391" w:type="pct"/>
            <w:tcBorders>
              <w:top w:val="single" w:color="auto" w:sz="6" w:space="0"/>
              <w:bottom w:val="single" w:color="auto" w:sz="6" w:space="0"/>
            </w:tcBorders>
            <w:shd w:val="clear" w:color="auto" w:fill="auto"/>
            <w:vAlign w:val="center"/>
          </w:tcPr>
          <w:p w14:paraId="314756A1">
            <w:pPr>
              <w:pStyle w:val="84"/>
              <w:spacing w:line="276" w:lineRule="auto"/>
              <w:rPr>
                <w:color w:val="FF0000"/>
              </w:rPr>
            </w:pPr>
            <w:r>
              <w:rPr>
                <w:rFonts w:hint="eastAsia"/>
                <w:color w:val="FF0000"/>
              </w:rPr>
              <w:t>923</w:t>
            </w:r>
          </w:p>
        </w:tc>
        <w:tc>
          <w:tcPr>
            <w:tcW w:w="614" w:type="pct"/>
            <w:tcBorders>
              <w:top w:val="single" w:color="auto" w:sz="6" w:space="0"/>
              <w:bottom w:val="single" w:color="auto" w:sz="6" w:space="0"/>
            </w:tcBorders>
            <w:shd w:val="clear" w:color="auto" w:fill="auto"/>
            <w:vAlign w:val="center"/>
          </w:tcPr>
          <w:p w14:paraId="4DC5E2A2">
            <w:pPr>
              <w:pStyle w:val="84"/>
              <w:spacing w:line="276" w:lineRule="auto"/>
              <w:rPr>
                <w:color w:val="FF0000"/>
              </w:rPr>
            </w:pPr>
            <w:r>
              <w:rPr>
                <w:rFonts w:hint="eastAsia"/>
                <w:color w:val="FF0000"/>
              </w:rPr>
              <w:t>沃土被村民运走肥田</w:t>
            </w:r>
          </w:p>
        </w:tc>
        <w:tc>
          <w:tcPr>
            <w:tcW w:w="391" w:type="pct"/>
            <w:vMerge w:val="continue"/>
            <w:tcBorders>
              <w:bottom w:val="single" w:color="auto" w:sz="6" w:space="0"/>
            </w:tcBorders>
            <w:shd w:val="clear" w:color="auto" w:fill="auto"/>
            <w:noWrap/>
            <w:vAlign w:val="center"/>
          </w:tcPr>
          <w:p w14:paraId="2150423D">
            <w:pPr>
              <w:pStyle w:val="84"/>
              <w:spacing w:line="276" w:lineRule="auto"/>
              <w:rPr>
                <w:highlight w:val="green"/>
              </w:rPr>
            </w:pPr>
          </w:p>
        </w:tc>
        <w:tc>
          <w:tcPr>
            <w:tcW w:w="668" w:type="pct"/>
            <w:vMerge w:val="continue"/>
            <w:tcBorders>
              <w:bottom w:val="single" w:color="auto" w:sz="6" w:space="0"/>
            </w:tcBorders>
            <w:shd w:val="clear" w:color="auto" w:fill="auto"/>
            <w:noWrap/>
            <w:vAlign w:val="center"/>
          </w:tcPr>
          <w:p w14:paraId="2D25C48B">
            <w:pPr>
              <w:pStyle w:val="84"/>
              <w:spacing w:line="276" w:lineRule="auto"/>
              <w:rPr>
                <w:highlight w:val="green"/>
              </w:rPr>
            </w:pPr>
          </w:p>
        </w:tc>
        <w:tc>
          <w:tcPr>
            <w:tcW w:w="334" w:type="pct"/>
            <w:vMerge w:val="continue"/>
            <w:tcBorders>
              <w:top w:val="single" w:color="auto" w:sz="6" w:space="0"/>
              <w:bottom w:val="single" w:color="auto" w:sz="6" w:space="0"/>
            </w:tcBorders>
            <w:shd w:val="clear" w:color="auto" w:fill="auto"/>
            <w:noWrap/>
            <w:vAlign w:val="center"/>
          </w:tcPr>
          <w:p w14:paraId="06E349A1">
            <w:pPr>
              <w:pStyle w:val="84"/>
              <w:spacing w:line="276" w:lineRule="auto"/>
              <w:rPr>
                <w:highlight w:val="green"/>
              </w:rPr>
            </w:pPr>
          </w:p>
        </w:tc>
        <w:tc>
          <w:tcPr>
            <w:tcW w:w="334" w:type="pct"/>
            <w:vMerge w:val="continue"/>
            <w:tcBorders>
              <w:top w:val="single" w:color="auto" w:sz="6" w:space="0"/>
              <w:bottom w:val="single" w:color="auto" w:sz="6" w:space="0"/>
              <w:right w:val="nil"/>
            </w:tcBorders>
            <w:shd w:val="clear" w:color="auto" w:fill="auto"/>
            <w:noWrap/>
            <w:vAlign w:val="center"/>
          </w:tcPr>
          <w:p w14:paraId="7F5A569B">
            <w:pPr>
              <w:pStyle w:val="84"/>
              <w:spacing w:line="276" w:lineRule="auto"/>
              <w:rPr>
                <w:color w:val="FF0000"/>
              </w:rPr>
            </w:pPr>
          </w:p>
        </w:tc>
      </w:tr>
      <w:tr w14:paraId="09B537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35" w:type="pct"/>
            <w:vMerge w:val="continue"/>
            <w:tcBorders>
              <w:left w:val="nil"/>
              <w:bottom w:val="single" w:color="auto" w:sz="6" w:space="0"/>
            </w:tcBorders>
            <w:shd w:val="clear" w:color="auto" w:fill="auto"/>
            <w:noWrap/>
            <w:vAlign w:val="center"/>
          </w:tcPr>
          <w:p w14:paraId="1A15A991">
            <w:pPr>
              <w:pStyle w:val="84"/>
              <w:spacing w:line="276" w:lineRule="auto"/>
              <w:rPr>
                <w:highlight w:val="green"/>
              </w:rPr>
            </w:pPr>
          </w:p>
        </w:tc>
        <w:tc>
          <w:tcPr>
            <w:tcW w:w="623" w:type="pct"/>
            <w:tcBorders>
              <w:top w:val="single" w:color="auto" w:sz="6" w:space="0"/>
              <w:bottom w:val="single" w:color="auto" w:sz="6" w:space="0"/>
            </w:tcBorders>
            <w:shd w:val="clear" w:color="auto" w:fill="auto"/>
            <w:noWrap/>
            <w:vAlign w:val="center"/>
          </w:tcPr>
          <w:p w14:paraId="191C1C3D">
            <w:pPr>
              <w:pStyle w:val="84"/>
              <w:spacing w:line="276" w:lineRule="auto"/>
              <w:ind w:left="-120" w:leftChars="-50" w:right="-120" w:rightChars="-50"/>
              <w:rPr>
                <w:color w:val="FF0000"/>
              </w:rPr>
            </w:pPr>
            <w:r>
              <w:rPr>
                <w:rFonts w:hint="eastAsia"/>
                <w:color w:val="FF0000"/>
              </w:rPr>
              <w:t>小计</w:t>
            </w:r>
          </w:p>
        </w:tc>
        <w:tc>
          <w:tcPr>
            <w:tcW w:w="300" w:type="pct"/>
            <w:tcBorders>
              <w:top w:val="single" w:color="auto" w:sz="6" w:space="0"/>
              <w:bottom w:val="single" w:color="auto" w:sz="6" w:space="0"/>
            </w:tcBorders>
            <w:shd w:val="clear" w:color="auto" w:fill="auto"/>
            <w:noWrap/>
            <w:vAlign w:val="center"/>
          </w:tcPr>
          <w:p w14:paraId="71D0321E">
            <w:pPr>
              <w:pStyle w:val="84"/>
              <w:spacing w:line="276" w:lineRule="auto"/>
              <w:rPr>
                <w:color w:val="FF0000"/>
              </w:rPr>
            </w:pPr>
            <w:r>
              <w:rPr>
                <w:rFonts w:hint="eastAsia"/>
                <w:color w:val="FF0000"/>
              </w:rPr>
              <w:t>433</w:t>
            </w:r>
            <w:r>
              <w:rPr>
                <w:color w:val="FF0000"/>
              </w:rPr>
              <w:t>77</w:t>
            </w:r>
          </w:p>
        </w:tc>
        <w:tc>
          <w:tcPr>
            <w:tcW w:w="335" w:type="pct"/>
            <w:tcBorders>
              <w:top w:val="single" w:color="auto" w:sz="6" w:space="0"/>
              <w:bottom w:val="single" w:color="auto" w:sz="6" w:space="0"/>
            </w:tcBorders>
            <w:shd w:val="clear" w:color="auto" w:fill="auto"/>
            <w:vAlign w:val="center"/>
          </w:tcPr>
          <w:p w14:paraId="48B3D4D0">
            <w:pPr>
              <w:pStyle w:val="84"/>
              <w:spacing w:line="276" w:lineRule="auto"/>
              <w:rPr>
                <w:color w:val="FF0000"/>
              </w:rPr>
            </w:pPr>
            <w:r>
              <w:rPr>
                <w:color w:val="FF0000"/>
              </w:rPr>
              <w:t>9267</w:t>
            </w:r>
          </w:p>
        </w:tc>
        <w:tc>
          <w:tcPr>
            <w:tcW w:w="336" w:type="pct"/>
            <w:tcBorders>
              <w:top w:val="single" w:color="auto" w:sz="6" w:space="0"/>
              <w:bottom w:val="single" w:color="auto" w:sz="6" w:space="0"/>
            </w:tcBorders>
            <w:shd w:val="clear" w:color="auto" w:fill="auto"/>
            <w:vAlign w:val="center"/>
          </w:tcPr>
          <w:p w14:paraId="105D6683">
            <w:pPr>
              <w:pStyle w:val="84"/>
              <w:spacing w:line="276" w:lineRule="auto"/>
              <w:rPr>
                <w:color w:val="FF0000"/>
              </w:rPr>
            </w:pPr>
            <w:r>
              <w:rPr>
                <w:rFonts w:hint="eastAsia"/>
                <w:color w:val="FF0000"/>
              </w:rPr>
              <w:t>526</w:t>
            </w:r>
            <w:r>
              <w:rPr>
                <w:color w:val="FF0000"/>
              </w:rPr>
              <w:t>44</w:t>
            </w:r>
          </w:p>
        </w:tc>
        <w:tc>
          <w:tcPr>
            <w:tcW w:w="337" w:type="pct"/>
            <w:tcBorders>
              <w:top w:val="single" w:color="auto" w:sz="6" w:space="0"/>
              <w:bottom w:val="single" w:color="auto" w:sz="6" w:space="0"/>
            </w:tcBorders>
            <w:shd w:val="clear" w:color="auto" w:fill="auto"/>
            <w:vAlign w:val="center"/>
          </w:tcPr>
          <w:p w14:paraId="2BF3F811">
            <w:pPr>
              <w:pStyle w:val="84"/>
              <w:spacing w:line="276" w:lineRule="auto"/>
            </w:pPr>
            <w:r>
              <w:rPr>
                <w:rFonts w:hint="eastAsia"/>
              </w:rPr>
              <w:t>176</w:t>
            </w:r>
            <w:r>
              <w:t>29</w:t>
            </w:r>
          </w:p>
        </w:tc>
        <w:tc>
          <w:tcPr>
            <w:tcW w:w="391" w:type="pct"/>
            <w:tcBorders>
              <w:top w:val="single" w:color="auto" w:sz="6" w:space="0"/>
              <w:bottom w:val="single" w:color="auto" w:sz="6" w:space="0"/>
            </w:tcBorders>
            <w:shd w:val="clear" w:color="auto" w:fill="auto"/>
            <w:vAlign w:val="center"/>
          </w:tcPr>
          <w:p w14:paraId="78EE9E58">
            <w:pPr>
              <w:pStyle w:val="84"/>
              <w:spacing w:line="276" w:lineRule="auto"/>
              <w:rPr>
                <w:color w:val="FF0000"/>
              </w:rPr>
            </w:pPr>
            <w:r>
              <w:rPr>
                <w:rFonts w:hint="eastAsia"/>
                <w:color w:val="FF0000"/>
              </w:rPr>
              <w:t>46267</w:t>
            </w:r>
          </w:p>
        </w:tc>
        <w:tc>
          <w:tcPr>
            <w:tcW w:w="614" w:type="pct"/>
            <w:tcBorders>
              <w:top w:val="single" w:color="auto" w:sz="6" w:space="0"/>
              <w:bottom w:val="single" w:color="auto" w:sz="6" w:space="0"/>
            </w:tcBorders>
            <w:shd w:val="clear" w:color="auto" w:fill="auto"/>
            <w:vAlign w:val="center"/>
          </w:tcPr>
          <w:p w14:paraId="23F66E47">
            <w:pPr>
              <w:pStyle w:val="84"/>
              <w:spacing w:line="276" w:lineRule="auto"/>
              <w:rPr>
                <w:color w:val="FF0000"/>
              </w:rPr>
            </w:pPr>
            <w:r>
              <w:rPr>
                <w:rFonts w:hint="eastAsia"/>
                <w:color w:val="FF0000"/>
              </w:rPr>
              <w:t>—</w:t>
            </w:r>
          </w:p>
        </w:tc>
        <w:tc>
          <w:tcPr>
            <w:tcW w:w="391" w:type="pct"/>
            <w:tcBorders>
              <w:top w:val="single" w:color="auto" w:sz="6" w:space="0"/>
              <w:bottom w:val="single" w:color="auto" w:sz="6" w:space="0"/>
            </w:tcBorders>
            <w:shd w:val="clear" w:color="auto" w:fill="auto"/>
            <w:noWrap/>
            <w:vAlign w:val="center"/>
          </w:tcPr>
          <w:p w14:paraId="1198D700">
            <w:pPr>
              <w:pStyle w:val="84"/>
              <w:spacing w:line="276" w:lineRule="auto"/>
            </w:pPr>
            <w:r>
              <w:rPr>
                <w:rFonts w:hint="eastAsia"/>
              </w:rPr>
              <w:t>11252</w:t>
            </w:r>
          </w:p>
        </w:tc>
        <w:tc>
          <w:tcPr>
            <w:tcW w:w="668" w:type="pct"/>
            <w:tcBorders>
              <w:top w:val="single" w:color="auto" w:sz="6" w:space="0"/>
              <w:bottom w:val="single" w:color="auto" w:sz="6" w:space="0"/>
            </w:tcBorders>
            <w:shd w:val="clear" w:color="auto" w:fill="auto"/>
            <w:noWrap/>
            <w:vAlign w:val="center"/>
          </w:tcPr>
          <w:p w14:paraId="6DEE108F">
            <w:pPr>
              <w:pStyle w:val="84"/>
              <w:spacing w:line="276" w:lineRule="auto"/>
            </w:pPr>
            <w:r>
              <w:rPr>
                <w:rFonts w:hint="eastAsia"/>
              </w:rPr>
              <w:t>—</w:t>
            </w:r>
          </w:p>
        </w:tc>
        <w:tc>
          <w:tcPr>
            <w:tcW w:w="334" w:type="pct"/>
            <w:tcBorders>
              <w:top w:val="single" w:color="auto" w:sz="6" w:space="0"/>
              <w:bottom w:val="single" w:color="auto" w:sz="6" w:space="0"/>
            </w:tcBorders>
            <w:shd w:val="clear" w:color="auto" w:fill="auto"/>
            <w:noWrap/>
            <w:vAlign w:val="center"/>
          </w:tcPr>
          <w:p w14:paraId="721FB3E0">
            <w:pPr>
              <w:pStyle w:val="84"/>
              <w:spacing w:line="276" w:lineRule="auto"/>
            </w:pPr>
            <w:r>
              <w:rPr>
                <w:rFonts w:hint="eastAsia"/>
              </w:rPr>
              <w:t>0</w:t>
            </w:r>
          </w:p>
        </w:tc>
        <w:tc>
          <w:tcPr>
            <w:tcW w:w="334" w:type="pct"/>
            <w:tcBorders>
              <w:top w:val="single" w:color="auto" w:sz="6" w:space="0"/>
              <w:bottom w:val="single" w:color="auto" w:sz="6" w:space="0"/>
              <w:right w:val="nil"/>
            </w:tcBorders>
            <w:shd w:val="clear" w:color="auto" w:fill="auto"/>
            <w:noWrap/>
            <w:vAlign w:val="center"/>
          </w:tcPr>
          <w:p w14:paraId="475DF3D1">
            <w:pPr>
              <w:pStyle w:val="84"/>
              <w:spacing w:line="276" w:lineRule="auto"/>
              <w:rPr>
                <w:color w:val="FF0000"/>
              </w:rPr>
            </w:pPr>
            <w:r>
              <w:rPr>
                <w:rFonts w:hint="eastAsia"/>
                <w:color w:val="FF0000"/>
              </w:rPr>
              <w:t>—</w:t>
            </w:r>
          </w:p>
        </w:tc>
      </w:tr>
      <w:tr w14:paraId="3E332D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35" w:type="pct"/>
            <w:tcBorders>
              <w:top w:val="single" w:color="auto" w:sz="6" w:space="0"/>
              <w:left w:val="nil"/>
              <w:bottom w:val="single" w:color="auto" w:sz="6" w:space="0"/>
            </w:tcBorders>
            <w:shd w:val="clear" w:color="auto" w:fill="auto"/>
            <w:noWrap/>
            <w:vAlign w:val="center"/>
          </w:tcPr>
          <w:p w14:paraId="724B6105">
            <w:pPr>
              <w:pStyle w:val="84"/>
              <w:spacing w:line="276" w:lineRule="auto"/>
            </w:pPr>
            <w:r>
              <w:rPr>
                <w:rFonts w:hint="eastAsia"/>
              </w:rPr>
              <w:t>二</w:t>
            </w:r>
          </w:p>
        </w:tc>
        <w:tc>
          <w:tcPr>
            <w:tcW w:w="623" w:type="pct"/>
            <w:tcBorders>
              <w:top w:val="single" w:color="auto" w:sz="6" w:space="0"/>
              <w:bottom w:val="single" w:color="auto" w:sz="6" w:space="0"/>
            </w:tcBorders>
            <w:shd w:val="clear" w:color="auto" w:fill="auto"/>
            <w:noWrap/>
            <w:vAlign w:val="center"/>
          </w:tcPr>
          <w:p w14:paraId="56A1CA28">
            <w:pPr>
              <w:pStyle w:val="84"/>
              <w:spacing w:line="276" w:lineRule="auto"/>
              <w:ind w:left="-120" w:leftChars="-50" w:right="-120" w:rightChars="-50"/>
            </w:pPr>
            <w:r>
              <w:rPr>
                <w:rFonts w:hint="eastAsia"/>
              </w:rPr>
              <w:t>施工生产生活区</w:t>
            </w:r>
          </w:p>
        </w:tc>
        <w:tc>
          <w:tcPr>
            <w:tcW w:w="300" w:type="pct"/>
            <w:tcBorders>
              <w:top w:val="single" w:color="auto" w:sz="6" w:space="0"/>
              <w:bottom w:val="single" w:color="auto" w:sz="6" w:space="0"/>
            </w:tcBorders>
            <w:shd w:val="clear" w:color="auto" w:fill="auto"/>
            <w:noWrap/>
            <w:vAlign w:val="center"/>
          </w:tcPr>
          <w:p w14:paraId="20547590">
            <w:pPr>
              <w:pStyle w:val="84"/>
              <w:spacing w:line="276" w:lineRule="auto"/>
            </w:pPr>
            <w:r>
              <w:t>5805</w:t>
            </w:r>
          </w:p>
        </w:tc>
        <w:tc>
          <w:tcPr>
            <w:tcW w:w="335" w:type="pct"/>
            <w:tcBorders>
              <w:top w:val="single" w:color="auto" w:sz="6" w:space="0"/>
              <w:bottom w:val="single" w:color="auto" w:sz="6" w:space="0"/>
            </w:tcBorders>
            <w:shd w:val="clear" w:color="auto" w:fill="auto"/>
            <w:noWrap/>
            <w:vAlign w:val="center"/>
          </w:tcPr>
          <w:p w14:paraId="7A816B84">
            <w:pPr>
              <w:pStyle w:val="84"/>
              <w:spacing w:line="276" w:lineRule="auto"/>
            </w:pPr>
            <w:r>
              <w:t>2488</w:t>
            </w:r>
          </w:p>
        </w:tc>
        <w:tc>
          <w:tcPr>
            <w:tcW w:w="336" w:type="pct"/>
            <w:tcBorders>
              <w:top w:val="single" w:color="auto" w:sz="6" w:space="0"/>
              <w:bottom w:val="single" w:color="auto" w:sz="6" w:space="0"/>
            </w:tcBorders>
            <w:shd w:val="clear" w:color="auto" w:fill="auto"/>
            <w:noWrap/>
            <w:vAlign w:val="center"/>
          </w:tcPr>
          <w:p w14:paraId="71EF34CD">
            <w:pPr>
              <w:pStyle w:val="84"/>
              <w:spacing w:line="276" w:lineRule="auto"/>
            </w:pPr>
            <w:r>
              <w:t>8293</w:t>
            </w:r>
          </w:p>
        </w:tc>
        <w:tc>
          <w:tcPr>
            <w:tcW w:w="337" w:type="pct"/>
            <w:tcBorders>
              <w:top w:val="single" w:color="auto" w:sz="6" w:space="0"/>
              <w:bottom w:val="single" w:color="auto" w:sz="6" w:space="0"/>
            </w:tcBorders>
            <w:shd w:val="clear" w:color="auto" w:fill="auto"/>
            <w:noWrap/>
            <w:vAlign w:val="center"/>
          </w:tcPr>
          <w:p w14:paraId="280DE0CD">
            <w:pPr>
              <w:pStyle w:val="84"/>
              <w:spacing w:line="276" w:lineRule="auto"/>
            </w:pPr>
            <w:r>
              <w:t>8293</w:t>
            </w:r>
          </w:p>
        </w:tc>
        <w:tc>
          <w:tcPr>
            <w:tcW w:w="391" w:type="pct"/>
            <w:tcBorders>
              <w:top w:val="single" w:color="auto" w:sz="6" w:space="0"/>
              <w:bottom w:val="single" w:color="auto" w:sz="6" w:space="0"/>
            </w:tcBorders>
            <w:shd w:val="clear" w:color="auto" w:fill="auto"/>
            <w:noWrap/>
            <w:vAlign w:val="center"/>
          </w:tcPr>
          <w:p w14:paraId="5CD0D860">
            <w:pPr>
              <w:pStyle w:val="84"/>
              <w:spacing w:line="276" w:lineRule="auto"/>
              <w:rPr>
                <w:color w:val="FF0000"/>
              </w:rPr>
            </w:pPr>
            <w:r>
              <w:rPr>
                <w:rFonts w:hint="eastAsia"/>
                <w:color w:val="FF0000"/>
              </w:rPr>
              <w:t>—</w:t>
            </w:r>
          </w:p>
        </w:tc>
        <w:tc>
          <w:tcPr>
            <w:tcW w:w="614" w:type="pct"/>
            <w:tcBorders>
              <w:top w:val="single" w:color="auto" w:sz="6" w:space="0"/>
              <w:bottom w:val="single" w:color="auto" w:sz="6" w:space="0"/>
            </w:tcBorders>
            <w:shd w:val="clear" w:color="auto" w:fill="auto"/>
            <w:noWrap/>
            <w:vAlign w:val="center"/>
          </w:tcPr>
          <w:p w14:paraId="7BFD27FB">
            <w:pPr>
              <w:pStyle w:val="84"/>
              <w:spacing w:line="276" w:lineRule="auto"/>
            </w:pPr>
            <w:r>
              <w:rPr>
                <w:rFonts w:hint="eastAsia"/>
              </w:rPr>
              <w:t>—</w:t>
            </w:r>
          </w:p>
        </w:tc>
        <w:tc>
          <w:tcPr>
            <w:tcW w:w="391" w:type="pct"/>
            <w:tcBorders>
              <w:top w:val="single" w:color="auto" w:sz="6" w:space="0"/>
              <w:bottom w:val="single" w:color="auto" w:sz="6" w:space="0"/>
            </w:tcBorders>
            <w:shd w:val="clear" w:color="auto" w:fill="auto"/>
            <w:noWrap/>
            <w:vAlign w:val="center"/>
          </w:tcPr>
          <w:p w14:paraId="7EB78CD1">
            <w:pPr>
              <w:pStyle w:val="84"/>
              <w:spacing w:line="276" w:lineRule="auto"/>
            </w:pPr>
            <w:r>
              <w:rPr>
                <w:rFonts w:hint="eastAsia"/>
              </w:rPr>
              <w:t>—</w:t>
            </w:r>
          </w:p>
        </w:tc>
        <w:tc>
          <w:tcPr>
            <w:tcW w:w="668" w:type="pct"/>
            <w:tcBorders>
              <w:top w:val="single" w:color="auto" w:sz="6" w:space="0"/>
              <w:bottom w:val="single" w:color="auto" w:sz="6" w:space="0"/>
            </w:tcBorders>
            <w:shd w:val="clear" w:color="auto" w:fill="auto"/>
            <w:noWrap/>
            <w:vAlign w:val="center"/>
          </w:tcPr>
          <w:p w14:paraId="661E646D">
            <w:pPr>
              <w:pStyle w:val="84"/>
              <w:spacing w:line="276" w:lineRule="auto"/>
            </w:pPr>
            <w:r>
              <w:rPr>
                <w:rFonts w:hint="eastAsia"/>
              </w:rPr>
              <w:t>—</w:t>
            </w:r>
          </w:p>
        </w:tc>
        <w:tc>
          <w:tcPr>
            <w:tcW w:w="334" w:type="pct"/>
            <w:tcBorders>
              <w:top w:val="single" w:color="auto" w:sz="6" w:space="0"/>
              <w:bottom w:val="single" w:color="auto" w:sz="6" w:space="0"/>
            </w:tcBorders>
            <w:shd w:val="clear" w:color="auto" w:fill="auto"/>
            <w:noWrap/>
            <w:vAlign w:val="center"/>
          </w:tcPr>
          <w:p w14:paraId="610C37F8">
            <w:pPr>
              <w:pStyle w:val="84"/>
              <w:spacing w:line="276" w:lineRule="auto"/>
            </w:pPr>
            <w:r>
              <w:t>0</w:t>
            </w:r>
          </w:p>
        </w:tc>
        <w:tc>
          <w:tcPr>
            <w:tcW w:w="334" w:type="pct"/>
            <w:tcBorders>
              <w:top w:val="single" w:color="auto" w:sz="6" w:space="0"/>
              <w:bottom w:val="single" w:color="auto" w:sz="6" w:space="0"/>
              <w:right w:val="nil"/>
            </w:tcBorders>
            <w:shd w:val="clear" w:color="auto" w:fill="auto"/>
            <w:noWrap/>
            <w:vAlign w:val="center"/>
          </w:tcPr>
          <w:p w14:paraId="073CB456">
            <w:pPr>
              <w:pStyle w:val="84"/>
              <w:spacing w:line="276" w:lineRule="auto"/>
              <w:rPr>
                <w:color w:val="FF0000"/>
              </w:rPr>
            </w:pPr>
            <w:r>
              <w:rPr>
                <w:rFonts w:hint="eastAsia"/>
                <w:color w:val="FF0000"/>
              </w:rPr>
              <w:t>—</w:t>
            </w:r>
          </w:p>
        </w:tc>
      </w:tr>
      <w:tr w14:paraId="0E1AB4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59" w:type="pct"/>
            <w:gridSpan w:val="2"/>
            <w:tcBorders>
              <w:top w:val="single" w:color="auto" w:sz="6" w:space="0"/>
              <w:left w:val="nil"/>
              <w:bottom w:val="single" w:color="auto" w:sz="2" w:space="0"/>
            </w:tcBorders>
            <w:shd w:val="clear" w:color="auto" w:fill="auto"/>
            <w:noWrap/>
            <w:vAlign w:val="center"/>
          </w:tcPr>
          <w:p w14:paraId="6A6BA7DC">
            <w:pPr>
              <w:pStyle w:val="84"/>
              <w:spacing w:line="276" w:lineRule="auto"/>
              <w:rPr>
                <w:color w:val="FF0000"/>
              </w:rPr>
            </w:pPr>
            <w:r>
              <w:rPr>
                <w:rFonts w:hint="eastAsia"/>
                <w:color w:val="FF0000"/>
              </w:rPr>
              <w:t>合计</w:t>
            </w:r>
          </w:p>
        </w:tc>
        <w:tc>
          <w:tcPr>
            <w:tcW w:w="300" w:type="pct"/>
            <w:tcBorders>
              <w:top w:val="single" w:color="auto" w:sz="6" w:space="0"/>
              <w:bottom w:val="single" w:color="auto" w:sz="2" w:space="0"/>
            </w:tcBorders>
            <w:shd w:val="clear" w:color="auto" w:fill="auto"/>
            <w:noWrap/>
            <w:vAlign w:val="center"/>
          </w:tcPr>
          <w:p w14:paraId="753C3DAF">
            <w:pPr>
              <w:pStyle w:val="84"/>
              <w:spacing w:line="276" w:lineRule="auto"/>
              <w:rPr>
                <w:color w:val="FF0000"/>
              </w:rPr>
            </w:pPr>
            <w:r>
              <w:rPr>
                <w:rFonts w:hint="eastAsia"/>
                <w:color w:val="FF0000"/>
              </w:rPr>
              <w:t>49182</w:t>
            </w:r>
          </w:p>
        </w:tc>
        <w:tc>
          <w:tcPr>
            <w:tcW w:w="335" w:type="pct"/>
            <w:tcBorders>
              <w:top w:val="single" w:color="auto" w:sz="6" w:space="0"/>
              <w:bottom w:val="single" w:color="auto" w:sz="2" w:space="0"/>
            </w:tcBorders>
            <w:shd w:val="clear" w:color="auto" w:fill="auto"/>
            <w:noWrap/>
            <w:vAlign w:val="center"/>
          </w:tcPr>
          <w:p w14:paraId="2CAD7822">
            <w:pPr>
              <w:pStyle w:val="84"/>
              <w:spacing w:line="276" w:lineRule="auto"/>
            </w:pPr>
            <w:r>
              <w:t>11755</w:t>
            </w:r>
          </w:p>
        </w:tc>
        <w:tc>
          <w:tcPr>
            <w:tcW w:w="336" w:type="pct"/>
            <w:tcBorders>
              <w:top w:val="single" w:color="auto" w:sz="6" w:space="0"/>
              <w:bottom w:val="single" w:color="auto" w:sz="2" w:space="0"/>
            </w:tcBorders>
            <w:shd w:val="clear" w:color="auto" w:fill="auto"/>
            <w:noWrap/>
            <w:vAlign w:val="center"/>
          </w:tcPr>
          <w:p w14:paraId="10CC4D16">
            <w:pPr>
              <w:pStyle w:val="84"/>
              <w:spacing w:line="276" w:lineRule="auto"/>
              <w:rPr>
                <w:highlight w:val="green"/>
              </w:rPr>
            </w:pPr>
            <w:r>
              <w:rPr>
                <w:rFonts w:hint="eastAsia"/>
                <w:color w:val="FF0000"/>
              </w:rPr>
              <w:t>609</w:t>
            </w:r>
            <w:r>
              <w:rPr>
                <w:color w:val="FF0000"/>
              </w:rPr>
              <w:t>37</w:t>
            </w:r>
          </w:p>
        </w:tc>
        <w:tc>
          <w:tcPr>
            <w:tcW w:w="337" w:type="pct"/>
            <w:tcBorders>
              <w:top w:val="single" w:color="auto" w:sz="6" w:space="0"/>
              <w:bottom w:val="single" w:color="auto" w:sz="2" w:space="0"/>
            </w:tcBorders>
            <w:shd w:val="clear" w:color="auto" w:fill="auto"/>
            <w:noWrap/>
            <w:vAlign w:val="center"/>
          </w:tcPr>
          <w:p w14:paraId="537E32BA">
            <w:pPr>
              <w:pStyle w:val="84"/>
              <w:spacing w:line="276" w:lineRule="auto"/>
            </w:pPr>
            <w:r>
              <w:t>2</w:t>
            </w:r>
            <w:r>
              <w:rPr>
                <w:rFonts w:hint="eastAsia"/>
              </w:rPr>
              <w:t>59</w:t>
            </w:r>
            <w:r>
              <w:t>22</w:t>
            </w:r>
          </w:p>
        </w:tc>
        <w:tc>
          <w:tcPr>
            <w:tcW w:w="391" w:type="pct"/>
            <w:tcBorders>
              <w:top w:val="single" w:color="auto" w:sz="6" w:space="0"/>
              <w:bottom w:val="single" w:color="auto" w:sz="2" w:space="0"/>
            </w:tcBorders>
            <w:shd w:val="clear" w:color="auto" w:fill="auto"/>
            <w:noWrap/>
            <w:vAlign w:val="center"/>
          </w:tcPr>
          <w:p w14:paraId="6F4CEFF6">
            <w:pPr>
              <w:pStyle w:val="84"/>
              <w:spacing w:line="276" w:lineRule="auto"/>
              <w:rPr>
                <w:color w:val="FF0000"/>
              </w:rPr>
            </w:pPr>
            <w:r>
              <w:rPr>
                <w:rFonts w:hint="eastAsia"/>
                <w:color w:val="FF0000"/>
              </w:rPr>
              <w:t>46267</w:t>
            </w:r>
          </w:p>
        </w:tc>
        <w:tc>
          <w:tcPr>
            <w:tcW w:w="614" w:type="pct"/>
            <w:tcBorders>
              <w:top w:val="single" w:color="auto" w:sz="6" w:space="0"/>
              <w:bottom w:val="single" w:color="auto" w:sz="2" w:space="0"/>
            </w:tcBorders>
            <w:shd w:val="clear" w:color="auto" w:fill="auto"/>
            <w:noWrap/>
            <w:vAlign w:val="center"/>
          </w:tcPr>
          <w:p w14:paraId="00FDBDE0">
            <w:pPr>
              <w:pStyle w:val="84"/>
              <w:spacing w:line="276" w:lineRule="auto"/>
            </w:pPr>
            <w:r>
              <w:rPr>
                <w:rFonts w:hint="eastAsia"/>
              </w:rPr>
              <w:t>—</w:t>
            </w:r>
          </w:p>
        </w:tc>
        <w:tc>
          <w:tcPr>
            <w:tcW w:w="391" w:type="pct"/>
            <w:tcBorders>
              <w:top w:val="single" w:color="auto" w:sz="6" w:space="0"/>
              <w:bottom w:val="single" w:color="auto" w:sz="2" w:space="0"/>
            </w:tcBorders>
            <w:shd w:val="clear" w:color="auto" w:fill="auto"/>
            <w:noWrap/>
            <w:vAlign w:val="center"/>
          </w:tcPr>
          <w:p w14:paraId="5B807F9D">
            <w:pPr>
              <w:pStyle w:val="84"/>
              <w:spacing w:line="276" w:lineRule="auto"/>
            </w:pPr>
            <w:r>
              <w:rPr>
                <w:rFonts w:hint="eastAsia"/>
              </w:rPr>
              <w:t>11252</w:t>
            </w:r>
          </w:p>
        </w:tc>
        <w:tc>
          <w:tcPr>
            <w:tcW w:w="668" w:type="pct"/>
            <w:tcBorders>
              <w:top w:val="single" w:color="auto" w:sz="6" w:space="0"/>
              <w:bottom w:val="single" w:color="auto" w:sz="2" w:space="0"/>
            </w:tcBorders>
            <w:shd w:val="clear" w:color="auto" w:fill="auto"/>
            <w:noWrap/>
            <w:vAlign w:val="center"/>
          </w:tcPr>
          <w:p w14:paraId="1A240E75">
            <w:pPr>
              <w:pStyle w:val="84"/>
              <w:spacing w:line="276" w:lineRule="auto"/>
            </w:pPr>
            <w:r>
              <w:rPr>
                <w:rFonts w:hint="eastAsia"/>
              </w:rPr>
              <w:t>—</w:t>
            </w:r>
          </w:p>
        </w:tc>
        <w:tc>
          <w:tcPr>
            <w:tcW w:w="334" w:type="pct"/>
            <w:tcBorders>
              <w:top w:val="single" w:color="auto" w:sz="6" w:space="0"/>
              <w:bottom w:val="single" w:color="auto" w:sz="2" w:space="0"/>
            </w:tcBorders>
            <w:shd w:val="clear" w:color="auto" w:fill="auto"/>
            <w:noWrap/>
            <w:vAlign w:val="center"/>
          </w:tcPr>
          <w:p w14:paraId="124E6D25">
            <w:pPr>
              <w:pStyle w:val="84"/>
              <w:spacing w:line="276" w:lineRule="auto"/>
            </w:pPr>
            <w:r>
              <w:rPr>
                <w:rFonts w:hint="eastAsia"/>
              </w:rPr>
              <w:t>0</w:t>
            </w:r>
          </w:p>
        </w:tc>
        <w:tc>
          <w:tcPr>
            <w:tcW w:w="334" w:type="pct"/>
            <w:tcBorders>
              <w:top w:val="single" w:color="auto" w:sz="6" w:space="0"/>
              <w:bottom w:val="single" w:color="auto" w:sz="2" w:space="0"/>
              <w:right w:val="nil"/>
            </w:tcBorders>
            <w:shd w:val="clear" w:color="auto" w:fill="auto"/>
            <w:noWrap/>
            <w:vAlign w:val="center"/>
          </w:tcPr>
          <w:p w14:paraId="5474C253">
            <w:pPr>
              <w:pStyle w:val="84"/>
              <w:spacing w:line="276" w:lineRule="auto"/>
              <w:rPr>
                <w:color w:val="FF0000"/>
              </w:rPr>
            </w:pPr>
            <w:r>
              <w:rPr>
                <w:rFonts w:hint="eastAsia"/>
                <w:color w:val="FF0000"/>
              </w:rPr>
              <w:t>—</w:t>
            </w:r>
          </w:p>
        </w:tc>
      </w:tr>
    </w:tbl>
    <w:p w14:paraId="0026DCC0">
      <w:pPr>
        <w:pStyle w:val="82"/>
        <w:framePr w:hSpace="0" w:wrap="auto" w:vAnchor="margin" w:hAnchor="text" w:xAlign="left" w:yAlign="inline"/>
        <w:spacing w:before="240"/>
        <w:ind w:firstLine="420" w:firstLineChars="200"/>
        <w:jc w:val="left"/>
        <w:rPr>
          <w:color w:val="FF0000"/>
        </w:rPr>
        <w:sectPr>
          <w:footerReference r:id="rId14" w:type="default"/>
          <w:pgSz w:w="16838" w:h="11906" w:orient="landscape"/>
          <w:pgMar w:top="1474" w:right="1440" w:bottom="1474" w:left="1440" w:header="851" w:footer="992" w:gutter="0"/>
          <w:cols w:space="720" w:num="1"/>
          <w:docGrid w:linePitch="326" w:charSpace="0"/>
        </w:sectPr>
      </w:pPr>
    </w:p>
    <w:p w14:paraId="0B044D6E">
      <w:pPr>
        <w:pStyle w:val="141"/>
        <w:rPr>
          <w:color w:val="FF0000"/>
        </w:rPr>
      </w:pPr>
      <w:r>
        <w:rPr>
          <w:rFonts w:hint="eastAsia"/>
          <w:color w:val="FF0000"/>
          <w:spacing w:val="-4"/>
        </w:rPr>
        <w:t xml:space="preserve"> </w:t>
      </w:r>
      <w:r>
        <w:rPr>
          <w:rFonts w:hint="eastAsia"/>
          <w:color w:val="FF0000"/>
        </w:rPr>
        <w:t>2.3.5.2表土场规划</w:t>
      </w:r>
    </w:p>
    <w:p w14:paraId="0F149BED">
      <w:pPr>
        <w:ind w:firstLine="480"/>
        <w:rPr>
          <w:rFonts w:ascii="宋体" w:hAnsi="宋体" w:cs="宋体"/>
          <w:color w:val="FF0000"/>
          <w:kern w:val="0"/>
          <w:szCs w:val="20"/>
        </w:rPr>
      </w:pPr>
      <w:r>
        <w:rPr>
          <w:rFonts w:hint="eastAsia" w:ascii="宋体" w:hAnsi="宋体" w:cs="宋体"/>
          <w:color w:val="FF0000"/>
          <w:kern w:val="0"/>
          <w:szCs w:val="20"/>
        </w:rPr>
        <w:t>为了后期</w:t>
      </w:r>
      <w:r>
        <w:rPr>
          <w:rFonts w:ascii="宋体" w:hAnsi="宋体" w:cs="宋体"/>
          <w:color w:val="FF0000"/>
          <w:kern w:val="0"/>
          <w:szCs w:val="20"/>
        </w:rPr>
        <w:t>绿化覆土和复耕，对</w:t>
      </w:r>
      <w:r>
        <w:rPr>
          <w:rFonts w:hint="eastAsia" w:ascii="宋体" w:hAnsi="宋体" w:cs="宋体"/>
          <w:color w:val="FF0000"/>
          <w:kern w:val="0"/>
          <w:szCs w:val="20"/>
        </w:rPr>
        <w:t>施工生产生活区进</w:t>
      </w:r>
      <w:r>
        <w:rPr>
          <w:rFonts w:ascii="宋体" w:hAnsi="宋体" w:cs="宋体"/>
          <w:color w:val="FF0000"/>
          <w:kern w:val="0"/>
          <w:szCs w:val="20"/>
        </w:rPr>
        <w:t>行表土剥离，</w:t>
      </w:r>
      <w:r>
        <w:rPr>
          <w:color w:val="FF0000"/>
          <w:kern w:val="0"/>
          <w:szCs w:val="20"/>
        </w:rPr>
        <w:t>剥离厚度0.3</w:t>
      </w:r>
      <w:r>
        <w:rPr>
          <w:rFonts w:hint="eastAsia"/>
          <w:color w:val="FF0000"/>
          <w:kern w:val="0"/>
          <w:szCs w:val="20"/>
        </w:rPr>
        <w:t>m，</w:t>
      </w:r>
      <w:r>
        <w:rPr>
          <w:color w:val="FF0000"/>
          <w:kern w:val="0"/>
          <w:szCs w:val="20"/>
        </w:rPr>
        <w:t>堆于厂房工程区内</w:t>
      </w:r>
      <w:r>
        <w:rPr>
          <w:rFonts w:hint="eastAsia"/>
          <w:color w:val="FF0000"/>
          <w:kern w:val="0"/>
          <w:szCs w:val="20"/>
        </w:rPr>
        <w:t>，</w:t>
      </w:r>
      <w:r>
        <w:rPr>
          <w:color w:val="FF0000"/>
          <w:kern w:val="0"/>
          <w:szCs w:val="20"/>
        </w:rPr>
        <w:t>待</w:t>
      </w:r>
      <w:r>
        <w:rPr>
          <w:rFonts w:hint="eastAsia"/>
          <w:color w:val="FF0000"/>
          <w:kern w:val="0"/>
          <w:szCs w:val="20"/>
        </w:rPr>
        <w:t>工程</w:t>
      </w:r>
      <w:r>
        <w:rPr>
          <w:color w:val="FF0000"/>
          <w:kern w:val="0"/>
          <w:szCs w:val="20"/>
        </w:rPr>
        <w:t>结束后用于表层绿化和复垦覆土，表土堆高3</w:t>
      </w:r>
      <w:r>
        <w:rPr>
          <w:rFonts w:hint="eastAsia"/>
          <w:color w:val="FF0000"/>
          <w:kern w:val="0"/>
          <w:szCs w:val="20"/>
        </w:rPr>
        <w:t>m</w:t>
      </w:r>
      <w:r>
        <w:rPr>
          <w:rFonts w:hint="eastAsia" w:ascii="宋体" w:hAnsi="宋体" w:cs="宋体"/>
          <w:color w:val="FF0000"/>
          <w:kern w:val="0"/>
          <w:szCs w:val="20"/>
        </w:rPr>
        <w:t>，表土按就近原则相互调用。</w:t>
      </w:r>
    </w:p>
    <w:p w14:paraId="120E4826">
      <w:pPr>
        <w:pStyle w:val="82"/>
        <w:framePr w:hSpace="0" w:wrap="auto" w:vAnchor="margin" w:hAnchor="text" w:xAlign="left" w:yAlign="inline"/>
        <w:rPr>
          <w:color w:val="FF0000"/>
        </w:rPr>
      </w:pPr>
      <w:r>
        <w:rPr>
          <w:rFonts w:hint="eastAsia"/>
          <w:color w:val="FF0000"/>
        </w:rPr>
        <w:t>表2-3-4   工程区表土剥离规划</w:t>
      </w:r>
      <w:r>
        <w:rPr>
          <w:color w:val="FF0000"/>
        </w:rPr>
        <w:t>情况</w:t>
      </w:r>
      <w:r>
        <w:rPr>
          <w:rFonts w:hint="eastAsia"/>
          <w:color w:val="FF0000"/>
        </w:rPr>
        <w:t>表</w:t>
      </w:r>
    </w:p>
    <w:tbl>
      <w:tblPr>
        <w:tblStyle w:val="5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1"/>
        <w:gridCol w:w="2096"/>
        <w:gridCol w:w="2234"/>
        <w:gridCol w:w="2229"/>
      </w:tblGrid>
      <w:tr w14:paraId="232E97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39" w:type="pct"/>
            <w:shd w:val="clear" w:color="auto" w:fill="auto"/>
          </w:tcPr>
          <w:p w14:paraId="38F8CD0D">
            <w:pPr>
              <w:pStyle w:val="84"/>
              <w:rPr>
                <w:color w:val="FF0000"/>
              </w:rPr>
            </w:pPr>
            <w:r>
              <w:rPr>
                <w:rFonts w:hint="eastAsia"/>
                <w:color w:val="FF0000"/>
              </w:rPr>
              <w:t>工程</w:t>
            </w:r>
            <w:r>
              <w:rPr>
                <w:color w:val="FF0000"/>
              </w:rPr>
              <w:t>项目</w:t>
            </w:r>
          </w:p>
        </w:tc>
        <w:tc>
          <w:tcPr>
            <w:tcW w:w="1202" w:type="pct"/>
            <w:shd w:val="clear" w:color="auto" w:fill="auto"/>
          </w:tcPr>
          <w:p w14:paraId="0BA41234">
            <w:pPr>
              <w:pStyle w:val="84"/>
              <w:rPr>
                <w:color w:val="FF0000"/>
              </w:rPr>
            </w:pPr>
            <w:r>
              <w:rPr>
                <w:rFonts w:hint="eastAsia"/>
                <w:color w:val="FF0000"/>
              </w:rPr>
              <w:t>剥离厚度（m</w:t>
            </w:r>
            <w:r>
              <w:rPr>
                <w:color w:val="FF0000"/>
              </w:rPr>
              <w:t>）</w:t>
            </w:r>
          </w:p>
        </w:tc>
        <w:tc>
          <w:tcPr>
            <w:tcW w:w="1281" w:type="pct"/>
            <w:shd w:val="clear" w:color="auto" w:fill="auto"/>
          </w:tcPr>
          <w:p w14:paraId="76E0169F">
            <w:pPr>
              <w:pStyle w:val="84"/>
              <w:rPr>
                <w:color w:val="FF0000"/>
              </w:rPr>
            </w:pPr>
            <w:r>
              <w:rPr>
                <w:rFonts w:hint="eastAsia"/>
                <w:color w:val="FF0000"/>
              </w:rPr>
              <w:t>表土</w:t>
            </w:r>
            <w:r>
              <w:rPr>
                <w:color w:val="FF0000"/>
              </w:rPr>
              <w:t>剥离（</w:t>
            </w:r>
            <w:r>
              <w:rPr>
                <w:rFonts w:hint="eastAsia"/>
                <w:color w:val="FF0000"/>
              </w:rPr>
              <w:t>万</w:t>
            </w:r>
            <w:r>
              <w:rPr>
                <w:color w:val="FF0000"/>
              </w:rPr>
              <w:t>m</w:t>
            </w:r>
            <w:r>
              <w:rPr>
                <w:color w:val="FF0000"/>
                <w:vertAlign w:val="superscript"/>
              </w:rPr>
              <w:t>3</w:t>
            </w:r>
            <w:r>
              <w:rPr>
                <w:color w:val="FF0000"/>
              </w:rPr>
              <w:t>）</w:t>
            </w:r>
          </w:p>
        </w:tc>
        <w:tc>
          <w:tcPr>
            <w:tcW w:w="1278" w:type="pct"/>
          </w:tcPr>
          <w:p w14:paraId="5952481D">
            <w:pPr>
              <w:pStyle w:val="84"/>
              <w:rPr>
                <w:color w:val="FF0000"/>
              </w:rPr>
            </w:pPr>
            <w:r>
              <w:rPr>
                <w:rFonts w:hint="eastAsia"/>
                <w:color w:val="FF0000"/>
              </w:rPr>
              <w:t>备注</w:t>
            </w:r>
          </w:p>
        </w:tc>
      </w:tr>
      <w:tr w14:paraId="0A8342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39" w:type="pct"/>
            <w:shd w:val="clear" w:color="auto" w:fill="auto"/>
          </w:tcPr>
          <w:p w14:paraId="14E5D31E">
            <w:pPr>
              <w:pStyle w:val="84"/>
              <w:rPr>
                <w:color w:val="FF0000"/>
              </w:rPr>
            </w:pPr>
            <w:r>
              <w:rPr>
                <w:rFonts w:hint="eastAsia"/>
                <w:color w:val="FF0000"/>
              </w:rPr>
              <w:t>施工</w:t>
            </w:r>
            <w:r>
              <w:rPr>
                <w:color w:val="FF0000"/>
              </w:rPr>
              <w:t>生产生活区</w:t>
            </w:r>
          </w:p>
        </w:tc>
        <w:tc>
          <w:tcPr>
            <w:tcW w:w="1202" w:type="pct"/>
            <w:shd w:val="clear" w:color="auto" w:fill="auto"/>
          </w:tcPr>
          <w:p w14:paraId="2A6FDB82">
            <w:pPr>
              <w:pStyle w:val="84"/>
              <w:rPr>
                <w:color w:val="FF0000"/>
              </w:rPr>
            </w:pPr>
            <w:r>
              <w:rPr>
                <w:rFonts w:hint="eastAsia"/>
                <w:color w:val="FF0000"/>
              </w:rPr>
              <w:t>0.3</w:t>
            </w:r>
          </w:p>
        </w:tc>
        <w:tc>
          <w:tcPr>
            <w:tcW w:w="1281" w:type="pct"/>
            <w:shd w:val="clear" w:color="auto" w:fill="auto"/>
          </w:tcPr>
          <w:p w14:paraId="2DA4CD8C">
            <w:pPr>
              <w:pStyle w:val="84"/>
              <w:rPr>
                <w:color w:val="FF0000"/>
              </w:rPr>
            </w:pPr>
            <w:r>
              <w:rPr>
                <w:color w:val="FF0000"/>
              </w:rPr>
              <w:t>114</w:t>
            </w:r>
            <w:r>
              <w:rPr>
                <w:rFonts w:hint="eastAsia"/>
                <w:color w:val="FF0000"/>
              </w:rPr>
              <w:t>0</w:t>
            </w:r>
          </w:p>
        </w:tc>
        <w:tc>
          <w:tcPr>
            <w:tcW w:w="1278" w:type="pct"/>
          </w:tcPr>
          <w:p w14:paraId="2E93A532">
            <w:pPr>
              <w:pStyle w:val="84"/>
              <w:rPr>
                <w:color w:val="FF0000"/>
              </w:rPr>
            </w:pPr>
            <w:r>
              <w:rPr>
                <w:rFonts w:hint="eastAsia"/>
                <w:color w:val="FF0000"/>
              </w:rPr>
              <w:t>本区利用</w:t>
            </w:r>
          </w:p>
        </w:tc>
      </w:tr>
    </w:tbl>
    <w:p w14:paraId="7CBCBD0D">
      <w:pPr>
        <w:pStyle w:val="113"/>
      </w:pPr>
      <w:bookmarkStart w:id="345" w:name="_Toc386998681"/>
      <w:bookmarkStart w:id="346" w:name="_Toc471737983"/>
      <w:bookmarkStart w:id="347" w:name="_Toc443655401"/>
      <w:bookmarkStart w:id="348" w:name="_Toc454046498"/>
      <w:bookmarkStart w:id="349" w:name="_Toc508642434"/>
      <w:bookmarkStart w:id="350" w:name="_Toc397428294"/>
      <w:r>
        <w:rPr>
          <w:rFonts w:hint="eastAsia"/>
        </w:rPr>
        <w:t>2.3.6</w:t>
      </w:r>
      <w:r>
        <w:t>施工</w:t>
      </w:r>
      <w:r>
        <w:rPr>
          <w:rFonts w:hint="eastAsia"/>
        </w:rPr>
        <w:t>期</w:t>
      </w:r>
      <w:bookmarkEnd w:id="345"/>
      <w:bookmarkEnd w:id="346"/>
      <w:bookmarkEnd w:id="347"/>
      <w:bookmarkEnd w:id="348"/>
      <w:bookmarkEnd w:id="349"/>
      <w:bookmarkEnd w:id="350"/>
    </w:p>
    <w:p w14:paraId="1B3E0EB3">
      <w:pPr>
        <w:ind w:firstLine="480"/>
      </w:pPr>
      <w:r>
        <w:rPr>
          <w:rFonts w:hint="eastAsia"/>
          <w:color w:val="FF0000"/>
        </w:rPr>
        <w:t>施工准备安排1个月，</w:t>
      </w:r>
      <w:r>
        <w:rPr>
          <w:rFonts w:hint="eastAsia"/>
        </w:rPr>
        <w:t>主要完成场地平整、供水、供风、供电系统，场内外通讯及施工生产生活房建、砂石料生产系统、混凝土拌和系统等工程。主要控制工期如下：</w:t>
      </w:r>
    </w:p>
    <w:p w14:paraId="4940D9B4">
      <w:pPr>
        <w:ind w:firstLine="480"/>
        <w:rPr>
          <w:color w:val="FF0000"/>
        </w:rPr>
      </w:pPr>
      <w:r>
        <w:rPr>
          <w:rFonts w:hint="eastAsia"/>
          <w:color w:val="FF0000"/>
        </w:rPr>
        <w:t>2016年4月至同年8月（一汛）完成进水闸、厂房、升压站等的基础开挖、</w:t>
      </w:r>
      <w:r>
        <w:rPr>
          <w:color w:val="FF0000"/>
        </w:rPr>
        <w:t>浆砌石</w:t>
      </w:r>
      <w:r>
        <w:rPr>
          <w:rFonts w:hint="eastAsia"/>
          <w:color w:val="FF0000"/>
        </w:rPr>
        <w:t>砌筑和混凝土浇筑（目前此项工程已完工）以及河道开挖清淤整治（目前此项工程已完工2/3）。</w:t>
      </w:r>
    </w:p>
    <w:p w14:paraId="3DA27BEE">
      <w:pPr>
        <w:ind w:firstLine="480"/>
        <w:rPr>
          <w:color w:val="FF0000"/>
        </w:rPr>
      </w:pPr>
      <w:r>
        <w:rPr>
          <w:rFonts w:hint="eastAsia"/>
          <w:color w:val="FF0000"/>
        </w:rPr>
        <w:t>2018年2月至同年5月（一枯）开始剩余河道开挖清淤整治（约总工程量的1/3）、大坝基础开挖，完成冲砂闸、四道泄水闸、非溢流坝等的</w:t>
      </w:r>
      <w:r>
        <w:rPr>
          <w:color w:val="FF0000"/>
        </w:rPr>
        <w:t>浆砌石</w:t>
      </w:r>
      <w:r>
        <w:rPr>
          <w:rFonts w:hint="eastAsia"/>
          <w:color w:val="FF0000"/>
        </w:rPr>
        <w:t>砌筑和混凝土浇筑。</w:t>
      </w:r>
    </w:p>
    <w:p w14:paraId="6BB986EB">
      <w:pPr>
        <w:ind w:firstLine="480"/>
        <w:rPr>
          <w:color w:val="FF0000"/>
        </w:rPr>
      </w:pPr>
      <w:r>
        <w:rPr>
          <w:rFonts w:hint="eastAsia"/>
          <w:color w:val="FF0000"/>
        </w:rPr>
        <w:t>2018年6月至同年7月同时进行金属结构设备和机电设备的安装，施工完成后的清场、扫尾和撤出工作。</w:t>
      </w:r>
    </w:p>
    <w:p w14:paraId="7C45282D">
      <w:pPr>
        <w:pStyle w:val="4"/>
      </w:pPr>
      <w:bookmarkStart w:id="351" w:name="_Toc443655402"/>
      <w:bookmarkStart w:id="352" w:name="_Toc454046499"/>
      <w:bookmarkStart w:id="353" w:name="_Toc508642435"/>
      <w:bookmarkStart w:id="354" w:name="_Toc397428295"/>
      <w:bookmarkStart w:id="355" w:name="_Toc471737984"/>
      <w:r>
        <w:t>2.4</w:t>
      </w:r>
      <w:bookmarkStart w:id="356" w:name="_Toc355784246"/>
      <w:bookmarkStart w:id="357" w:name="_Toc365812615"/>
      <w:bookmarkStart w:id="358" w:name="_Toc355784487"/>
      <w:bookmarkStart w:id="359" w:name="_Toc3214"/>
      <w:bookmarkStart w:id="360" w:name="_Toc355708958"/>
      <w:bookmarkStart w:id="361" w:name="_Toc356556662"/>
      <w:r>
        <w:rPr>
          <w:rFonts w:hint="eastAsia"/>
        </w:rPr>
        <w:t>水库淹没及移民安置</w:t>
      </w:r>
      <w:bookmarkEnd w:id="351"/>
      <w:bookmarkEnd w:id="352"/>
      <w:bookmarkEnd w:id="353"/>
      <w:bookmarkEnd w:id="354"/>
      <w:bookmarkEnd w:id="355"/>
      <w:bookmarkEnd w:id="356"/>
      <w:bookmarkEnd w:id="357"/>
      <w:bookmarkEnd w:id="358"/>
      <w:bookmarkEnd w:id="359"/>
      <w:bookmarkEnd w:id="360"/>
      <w:bookmarkEnd w:id="361"/>
    </w:p>
    <w:p w14:paraId="70606ADA">
      <w:pPr>
        <w:spacing w:line="480" w:lineRule="atLeast"/>
        <w:ind w:firstLine="480"/>
        <w:rPr>
          <w:rFonts w:ascii="宋体" w:hAnsi="宋体"/>
          <w:color w:val="FF0000"/>
        </w:rPr>
      </w:pPr>
      <w:bookmarkStart w:id="362" w:name="_Toc443655405"/>
      <w:bookmarkStart w:id="363" w:name="_Toc454046502"/>
      <w:bookmarkStart w:id="364" w:name="_Toc397428298"/>
      <w:r>
        <w:rPr>
          <w:rFonts w:hint="eastAsia" w:ascii="宋体" w:hAnsi="宋体"/>
          <w:color w:val="FF0000"/>
        </w:rPr>
        <w:t>团结水电站为无调节式电站，水库淹没区主要为天然河道和少量坡耕地，未淹没房屋，无淹没移民，因此，不存在水库淹没移民搬迁的问题。</w:t>
      </w:r>
    </w:p>
    <w:p w14:paraId="74ACDFE4">
      <w:pPr>
        <w:pStyle w:val="4"/>
      </w:pPr>
      <w:bookmarkStart w:id="365" w:name="_Toc471737985"/>
      <w:bookmarkStart w:id="366" w:name="_Toc508642436"/>
      <w:r>
        <w:rPr>
          <w:rFonts w:hint="eastAsia"/>
        </w:rPr>
        <w:t>2.5工程占地</w:t>
      </w:r>
      <w:bookmarkEnd w:id="362"/>
      <w:bookmarkEnd w:id="363"/>
      <w:bookmarkEnd w:id="364"/>
      <w:bookmarkEnd w:id="365"/>
      <w:bookmarkEnd w:id="366"/>
    </w:p>
    <w:p w14:paraId="68FC273A">
      <w:pPr>
        <w:ind w:firstLine="480"/>
        <w:rPr>
          <w:szCs w:val="20"/>
          <w:highlight w:val="green"/>
        </w:rPr>
      </w:pPr>
      <w:bookmarkStart w:id="367" w:name="_Toc443655406"/>
      <w:bookmarkStart w:id="368" w:name="_Toc454046503"/>
      <w:bookmarkStart w:id="369" w:name="_Toc397428299"/>
      <w:r>
        <w:rPr>
          <w:rFonts w:hint="eastAsia"/>
        </w:rPr>
        <w:t>团结水电站主要建筑物有：大坝、厂房、升压站等，工程建设永久性用地</w:t>
      </w:r>
      <w:r>
        <w:t>3.03</w:t>
      </w:r>
      <w:r>
        <w:rPr>
          <w:szCs w:val="20"/>
        </w:rPr>
        <w:t>hm²</w:t>
      </w:r>
      <w:r>
        <w:rPr>
          <w:rFonts w:hint="eastAsia"/>
        </w:rPr>
        <w:t>（其中：水域及水利设施</w:t>
      </w:r>
      <w:r>
        <w:t>用地</w:t>
      </w:r>
      <w:r>
        <w:rPr>
          <w:rFonts w:hint="eastAsia"/>
        </w:rPr>
        <w:t>2.26</w:t>
      </w:r>
      <w:r>
        <w:rPr>
          <w:szCs w:val="20"/>
        </w:rPr>
        <w:t>hm²</w:t>
      </w:r>
      <w:r>
        <w:rPr>
          <w:rFonts w:hint="eastAsia"/>
        </w:rPr>
        <w:t>、坡耕地0.77</w:t>
      </w:r>
      <w:r>
        <w:rPr>
          <w:szCs w:val="20"/>
        </w:rPr>
        <w:t>hm²）；</w:t>
      </w:r>
      <w:r>
        <w:rPr>
          <w:rFonts w:hint="eastAsia"/>
          <w:color w:val="FF0000"/>
          <w:szCs w:val="20"/>
        </w:rPr>
        <w:t>临</w:t>
      </w:r>
      <w:r>
        <w:rPr>
          <w:rFonts w:hint="eastAsia"/>
          <w:color w:val="FF0000"/>
        </w:rPr>
        <w:t>时工程用地主要为砂石料场、混凝土拌合站及施工生活区等，临时工程用地0.99</w:t>
      </w:r>
      <w:r>
        <w:rPr>
          <w:color w:val="FF0000"/>
          <w:szCs w:val="20"/>
        </w:rPr>
        <w:t>hm²。</w:t>
      </w:r>
    </w:p>
    <w:p w14:paraId="0CE857FF">
      <w:pPr>
        <w:pStyle w:val="82"/>
        <w:framePr w:hSpace="0" w:wrap="auto" w:vAnchor="margin" w:hAnchor="text" w:xAlign="left" w:yAlign="inline"/>
        <w:rPr>
          <w:color w:val="FF0000"/>
        </w:rPr>
      </w:pPr>
      <w:r>
        <w:rPr>
          <w:rFonts w:hint="eastAsia"/>
          <w:color w:val="FF0000"/>
        </w:rPr>
        <w:t>表2-5-1  工程占地表</w:t>
      </w:r>
    </w:p>
    <w:tbl>
      <w:tblPr>
        <w:tblStyle w:val="56"/>
        <w:tblW w:w="5101" w:type="pct"/>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943"/>
        <w:gridCol w:w="2375"/>
        <w:gridCol w:w="1165"/>
        <w:gridCol w:w="1164"/>
        <w:gridCol w:w="1249"/>
      </w:tblGrid>
      <w:tr w14:paraId="3F1DE6D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trHeight w:val="300" w:hRule="atLeast"/>
          <w:tblHeader/>
        </w:trPr>
        <w:tc>
          <w:tcPr>
            <w:tcW w:w="1654" w:type="pct"/>
            <w:vMerge w:val="restart"/>
            <w:shd w:val="clear" w:color="auto" w:fill="auto"/>
            <w:noWrap/>
            <w:vAlign w:val="center"/>
          </w:tcPr>
          <w:p w14:paraId="74D1F1F5">
            <w:pPr>
              <w:pStyle w:val="84"/>
              <w:spacing w:line="276" w:lineRule="auto"/>
              <w:rPr>
                <w:color w:val="FF0000"/>
              </w:rPr>
            </w:pPr>
            <w:r>
              <w:rPr>
                <w:color w:val="FF0000"/>
              </w:rPr>
              <w:t>分区</w:t>
            </w:r>
          </w:p>
        </w:tc>
        <w:tc>
          <w:tcPr>
            <w:tcW w:w="2644" w:type="pct"/>
            <w:gridSpan w:val="3"/>
            <w:shd w:val="clear" w:color="auto" w:fill="auto"/>
            <w:noWrap/>
            <w:vAlign w:val="center"/>
          </w:tcPr>
          <w:p w14:paraId="338BB6CF">
            <w:pPr>
              <w:pStyle w:val="84"/>
              <w:spacing w:line="276" w:lineRule="auto"/>
              <w:rPr>
                <w:color w:val="FF0000"/>
              </w:rPr>
            </w:pPr>
            <w:r>
              <w:rPr>
                <w:color w:val="FF0000"/>
              </w:rPr>
              <w:t>占地类型（hm</w:t>
            </w:r>
            <w:r>
              <w:rPr>
                <w:color w:val="FF0000"/>
                <w:vertAlign w:val="superscript"/>
              </w:rPr>
              <w:t>2</w:t>
            </w:r>
            <w:r>
              <w:rPr>
                <w:color w:val="FF0000"/>
              </w:rPr>
              <w:t>）</w:t>
            </w:r>
          </w:p>
        </w:tc>
        <w:tc>
          <w:tcPr>
            <w:tcW w:w="702" w:type="pct"/>
            <w:shd w:val="clear" w:color="auto" w:fill="auto"/>
            <w:noWrap/>
            <w:vAlign w:val="center"/>
          </w:tcPr>
          <w:p w14:paraId="54C8B6C6">
            <w:pPr>
              <w:pStyle w:val="84"/>
              <w:spacing w:line="276" w:lineRule="auto"/>
              <w:rPr>
                <w:color w:val="FF0000"/>
              </w:rPr>
            </w:pPr>
            <w:r>
              <w:rPr>
                <w:color w:val="FF0000"/>
              </w:rPr>
              <w:t>备注</w:t>
            </w:r>
          </w:p>
        </w:tc>
      </w:tr>
      <w:tr w14:paraId="7C9634F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tblHeader/>
        </w:trPr>
        <w:tc>
          <w:tcPr>
            <w:tcW w:w="1654" w:type="pct"/>
            <w:vMerge w:val="continue"/>
            <w:shd w:val="clear" w:color="auto" w:fill="auto"/>
            <w:vAlign w:val="center"/>
          </w:tcPr>
          <w:p w14:paraId="3132F6F0">
            <w:pPr>
              <w:pStyle w:val="84"/>
              <w:spacing w:line="276" w:lineRule="auto"/>
              <w:rPr>
                <w:color w:val="FF0000"/>
              </w:rPr>
            </w:pPr>
          </w:p>
        </w:tc>
        <w:tc>
          <w:tcPr>
            <w:tcW w:w="1335" w:type="pct"/>
            <w:shd w:val="clear" w:color="auto" w:fill="auto"/>
            <w:noWrap/>
            <w:vAlign w:val="center"/>
          </w:tcPr>
          <w:p w14:paraId="54825618">
            <w:pPr>
              <w:pStyle w:val="84"/>
              <w:spacing w:line="276" w:lineRule="auto"/>
              <w:rPr>
                <w:color w:val="FF0000"/>
              </w:rPr>
            </w:pPr>
            <w:r>
              <w:rPr>
                <w:rFonts w:hint="eastAsia"/>
                <w:color w:val="FF0000"/>
              </w:rPr>
              <w:t>水域及水利设施</w:t>
            </w:r>
            <w:r>
              <w:rPr>
                <w:color w:val="FF0000"/>
              </w:rPr>
              <w:t>用地</w:t>
            </w:r>
          </w:p>
        </w:tc>
        <w:tc>
          <w:tcPr>
            <w:tcW w:w="655" w:type="pct"/>
            <w:shd w:val="clear" w:color="auto" w:fill="auto"/>
            <w:vAlign w:val="center"/>
          </w:tcPr>
          <w:p w14:paraId="444A7970">
            <w:pPr>
              <w:pStyle w:val="84"/>
              <w:spacing w:line="276" w:lineRule="auto"/>
              <w:rPr>
                <w:color w:val="FF0000"/>
              </w:rPr>
            </w:pPr>
            <w:r>
              <w:rPr>
                <w:rFonts w:hint="eastAsia"/>
                <w:color w:val="FF0000"/>
              </w:rPr>
              <w:t>坡耕地</w:t>
            </w:r>
          </w:p>
        </w:tc>
        <w:tc>
          <w:tcPr>
            <w:tcW w:w="654" w:type="pct"/>
            <w:shd w:val="clear" w:color="auto" w:fill="auto"/>
            <w:vAlign w:val="center"/>
          </w:tcPr>
          <w:p w14:paraId="3A9D2532">
            <w:pPr>
              <w:pStyle w:val="84"/>
              <w:spacing w:line="276" w:lineRule="auto"/>
              <w:rPr>
                <w:color w:val="FF0000"/>
              </w:rPr>
            </w:pPr>
            <w:r>
              <w:rPr>
                <w:rFonts w:hint="eastAsia"/>
                <w:color w:val="FF0000"/>
              </w:rPr>
              <w:t>合计</w:t>
            </w:r>
          </w:p>
        </w:tc>
        <w:tc>
          <w:tcPr>
            <w:tcW w:w="702" w:type="pct"/>
            <w:shd w:val="clear" w:color="auto" w:fill="auto"/>
            <w:vAlign w:val="center"/>
          </w:tcPr>
          <w:p w14:paraId="7F2B4079">
            <w:pPr>
              <w:pStyle w:val="84"/>
              <w:spacing w:line="276" w:lineRule="auto"/>
              <w:rPr>
                <w:color w:val="FF0000"/>
              </w:rPr>
            </w:pPr>
            <w:r>
              <w:rPr>
                <w:rFonts w:hint="eastAsia"/>
                <w:color w:val="FF0000"/>
              </w:rPr>
              <w:t>—</w:t>
            </w:r>
          </w:p>
        </w:tc>
      </w:tr>
      <w:tr w14:paraId="203824E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654" w:type="pct"/>
            <w:shd w:val="clear" w:color="auto" w:fill="auto"/>
            <w:noWrap/>
            <w:vAlign w:val="center"/>
          </w:tcPr>
          <w:p w14:paraId="095790E4">
            <w:pPr>
              <w:pStyle w:val="84"/>
              <w:spacing w:line="276" w:lineRule="auto"/>
              <w:rPr>
                <w:color w:val="FF0000"/>
              </w:rPr>
            </w:pPr>
            <w:r>
              <w:rPr>
                <w:rFonts w:hint="eastAsia" w:ascii="宋体"/>
                <w:color w:val="FF0000"/>
              </w:rPr>
              <w:t>大坝及厂区枢纽区</w:t>
            </w:r>
          </w:p>
        </w:tc>
        <w:tc>
          <w:tcPr>
            <w:tcW w:w="1335" w:type="pct"/>
            <w:shd w:val="clear" w:color="auto" w:fill="auto"/>
            <w:noWrap/>
            <w:vAlign w:val="center"/>
          </w:tcPr>
          <w:p w14:paraId="31A7D6D0">
            <w:pPr>
              <w:pStyle w:val="84"/>
              <w:spacing w:line="276" w:lineRule="auto"/>
              <w:rPr>
                <w:color w:val="FF0000"/>
              </w:rPr>
            </w:pPr>
            <w:r>
              <w:rPr>
                <w:rFonts w:hint="eastAsia"/>
                <w:color w:val="FF0000"/>
              </w:rPr>
              <w:t>0.</w:t>
            </w:r>
            <w:r>
              <w:rPr>
                <w:color w:val="FF0000"/>
              </w:rPr>
              <w:t>32</w:t>
            </w:r>
          </w:p>
        </w:tc>
        <w:tc>
          <w:tcPr>
            <w:tcW w:w="655" w:type="pct"/>
            <w:shd w:val="clear" w:color="auto" w:fill="auto"/>
            <w:vAlign w:val="center"/>
          </w:tcPr>
          <w:p w14:paraId="5F3B3916">
            <w:pPr>
              <w:pStyle w:val="84"/>
              <w:spacing w:line="276" w:lineRule="auto"/>
              <w:rPr>
                <w:color w:val="FF0000"/>
              </w:rPr>
            </w:pPr>
            <w:r>
              <w:rPr>
                <w:rFonts w:hint="eastAsia"/>
                <w:color w:val="FF0000"/>
              </w:rPr>
              <w:t>0.</w:t>
            </w:r>
            <w:r>
              <w:rPr>
                <w:color w:val="FF0000"/>
              </w:rPr>
              <w:t>59</w:t>
            </w:r>
          </w:p>
        </w:tc>
        <w:tc>
          <w:tcPr>
            <w:tcW w:w="654" w:type="pct"/>
            <w:shd w:val="clear" w:color="auto" w:fill="auto"/>
            <w:vAlign w:val="center"/>
          </w:tcPr>
          <w:p w14:paraId="3DE13F8C">
            <w:pPr>
              <w:pStyle w:val="84"/>
              <w:spacing w:line="276" w:lineRule="auto"/>
              <w:rPr>
                <w:color w:val="FF0000"/>
              </w:rPr>
            </w:pPr>
            <w:r>
              <w:rPr>
                <w:rFonts w:hint="eastAsia"/>
                <w:color w:val="FF0000"/>
              </w:rPr>
              <w:t>0.91</w:t>
            </w:r>
          </w:p>
        </w:tc>
        <w:tc>
          <w:tcPr>
            <w:tcW w:w="702" w:type="pct"/>
            <w:shd w:val="clear" w:color="auto" w:fill="auto"/>
            <w:noWrap/>
            <w:vAlign w:val="center"/>
          </w:tcPr>
          <w:p w14:paraId="09FB588C">
            <w:pPr>
              <w:pStyle w:val="84"/>
              <w:spacing w:line="276" w:lineRule="auto"/>
              <w:rPr>
                <w:color w:val="FF0000"/>
              </w:rPr>
            </w:pPr>
            <w:r>
              <w:rPr>
                <w:color w:val="FF0000"/>
              </w:rPr>
              <w:t>永久占地</w:t>
            </w:r>
          </w:p>
        </w:tc>
      </w:tr>
      <w:tr w14:paraId="72ECEF3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654" w:type="pct"/>
            <w:shd w:val="clear" w:color="auto" w:fill="auto"/>
            <w:noWrap/>
            <w:vAlign w:val="center"/>
          </w:tcPr>
          <w:p w14:paraId="259167E2">
            <w:pPr>
              <w:pStyle w:val="84"/>
              <w:spacing w:line="276" w:lineRule="auto"/>
              <w:rPr>
                <w:color w:val="FF0000"/>
              </w:rPr>
            </w:pPr>
            <w:r>
              <w:rPr>
                <w:color w:val="FF0000"/>
              </w:rPr>
              <w:t>施工生产生活区</w:t>
            </w:r>
          </w:p>
        </w:tc>
        <w:tc>
          <w:tcPr>
            <w:tcW w:w="1335" w:type="pct"/>
            <w:shd w:val="clear" w:color="auto" w:fill="auto"/>
            <w:noWrap/>
            <w:vAlign w:val="center"/>
          </w:tcPr>
          <w:p w14:paraId="563CEE02">
            <w:pPr>
              <w:pStyle w:val="84"/>
              <w:spacing w:line="276" w:lineRule="auto"/>
              <w:rPr>
                <w:color w:val="FF0000"/>
              </w:rPr>
            </w:pPr>
            <w:r>
              <w:rPr>
                <w:rFonts w:hint="eastAsia"/>
                <w:color w:val="FF0000"/>
              </w:rPr>
              <w:t>0</w:t>
            </w:r>
          </w:p>
        </w:tc>
        <w:tc>
          <w:tcPr>
            <w:tcW w:w="655" w:type="pct"/>
            <w:shd w:val="clear" w:color="auto" w:fill="auto"/>
            <w:vAlign w:val="center"/>
          </w:tcPr>
          <w:p w14:paraId="241A83CC">
            <w:pPr>
              <w:pStyle w:val="84"/>
              <w:spacing w:line="276" w:lineRule="auto"/>
              <w:rPr>
                <w:color w:val="FF0000"/>
              </w:rPr>
            </w:pPr>
            <w:r>
              <w:rPr>
                <w:rFonts w:hint="eastAsia"/>
                <w:color w:val="FF0000"/>
              </w:rPr>
              <w:t>0.38</w:t>
            </w:r>
          </w:p>
        </w:tc>
        <w:tc>
          <w:tcPr>
            <w:tcW w:w="654" w:type="pct"/>
            <w:shd w:val="clear" w:color="auto" w:fill="auto"/>
            <w:vAlign w:val="center"/>
          </w:tcPr>
          <w:p w14:paraId="0436501D">
            <w:pPr>
              <w:pStyle w:val="84"/>
              <w:spacing w:line="276" w:lineRule="auto"/>
              <w:rPr>
                <w:color w:val="FF0000"/>
              </w:rPr>
            </w:pPr>
            <w:r>
              <w:rPr>
                <w:rFonts w:hint="eastAsia"/>
                <w:color w:val="FF0000"/>
              </w:rPr>
              <w:t>0.38</w:t>
            </w:r>
          </w:p>
        </w:tc>
        <w:tc>
          <w:tcPr>
            <w:tcW w:w="702" w:type="pct"/>
            <w:shd w:val="clear" w:color="auto" w:fill="auto"/>
            <w:noWrap/>
            <w:vAlign w:val="center"/>
          </w:tcPr>
          <w:p w14:paraId="31C245A5">
            <w:pPr>
              <w:pStyle w:val="84"/>
              <w:spacing w:line="276" w:lineRule="auto"/>
              <w:rPr>
                <w:color w:val="FF0000"/>
              </w:rPr>
            </w:pPr>
            <w:r>
              <w:rPr>
                <w:color w:val="FF0000"/>
              </w:rPr>
              <w:t>临时占地</w:t>
            </w:r>
          </w:p>
        </w:tc>
      </w:tr>
      <w:tr w14:paraId="0C982D0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654" w:type="pct"/>
            <w:shd w:val="clear" w:color="auto" w:fill="auto"/>
            <w:noWrap/>
            <w:vAlign w:val="center"/>
          </w:tcPr>
          <w:p w14:paraId="5B7CB5B2">
            <w:pPr>
              <w:pStyle w:val="84"/>
              <w:spacing w:line="276" w:lineRule="auto"/>
              <w:rPr>
                <w:color w:val="FF0000"/>
              </w:rPr>
            </w:pPr>
            <w:r>
              <w:rPr>
                <w:rFonts w:hint="eastAsia"/>
                <w:color w:val="FF0000"/>
              </w:rPr>
              <w:t>下游1.8km处</w:t>
            </w:r>
            <w:r>
              <w:rPr>
                <w:color w:val="FF0000"/>
              </w:rPr>
              <w:t>砂砾料场区</w:t>
            </w:r>
          </w:p>
        </w:tc>
        <w:tc>
          <w:tcPr>
            <w:tcW w:w="1335" w:type="pct"/>
            <w:shd w:val="clear" w:color="auto" w:fill="auto"/>
            <w:noWrap/>
            <w:vAlign w:val="center"/>
          </w:tcPr>
          <w:p w14:paraId="4E444E6C">
            <w:pPr>
              <w:pStyle w:val="84"/>
              <w:spacing w:line="276" w:lineRule="auto"/>
              <w:rPr>
                <w:color w:val="FF0000"/>
              </w:rPr>
            </w:pPr>
            <w:r>
              <w:rPr>
                <w:rFonts w:hint="eastAsia"/>
                <w:color w:val="FF0000"/>
              </w:rPr>
              <w:t>0.61</w:t>
            </w:r>
          </w:p>
        </w:tc>
        <w:tc>
          <w:tcPr>
            <w:tcW w:w="655" w:type="pct"/>
            <w:shd w:val="clear" w:color="auto" w:fill="auto"/>
            <w:vAlign w:val="center"/>
          </w:tcPr>
          <w:p w14:paraId="32B1B8FB">
            <w:pPr>
              <w:pStyle w:val="84"/>
              <w:spacing w:line="276" w:lineRule="auto"/>
              <w:rPr>
                <w:color w:val="FF0000"/>
              </w:rPr>
            </w:pPr>
            <w:r>
              <w:rPr>
                <w:rFonts w:hint="eastAsia"/>
                <w:color w:val="FF0000"/>
              </w:rPr>
              <w:t>0</w:t>
            </w:r>
          </w:p>
        </w:tc>
        <w:tc>
          <w:tcPr>
            <w:tcW w:w="654" w:type="pct"/>
            <w:shd w:val="clear" w:color="auto" w:fill="auto"/>
            <w:vAlign w:val="center"/>
          </w:tcPr>
          <w:p w14:paraId="08194B8E">
            <w:pPr>
              <w:pStyle w:val="84"/>
              <w:spacing w:line="276" w:lineRule="auto"/>
              <w:rPr>
                <w:color w:val="FF0000"/>
              </w:rPr>
            </w:pPr>
            <w:r>
              <w:rPr>
                <w:rFonts w:hint="eastAsia"/>
                <w:color w:val="FF0000"/>
              </w:rPr>
              <w:t>0.61</w:t>
            </w:r>
          </w:p>
        </w:tc>
        <w:tc>
          <w:tcPr>
            <w:tcW w:w="702" w:type="pct"/>
            <w:shd w:val="clear" w:color="auto" w:fill="auto"/>
            <w:noWrap/>
            <w:vAlign w:val="center"/>
          </w:tcPr>
          <w:p w14:paraId="3495A45D">
            <w:pPr>
              <w:pStyle w:val="84"/>
              <w:spacing w:line="276" w:lineRule="auto"/>
              <w:rPr>
                <w:color w:val="FF0000"/>
              </w:rPr>
            </w:pPr>
            <w:r>
              <w:rPr>
                <w:rFonts w:hint="eastAsia"/>
                <w:color w:val="FF0000"/>
              </w:rPr>
              <w:t>临时</w:t>
            </w:r>
            <w:r>
              <w:rPr>
                <w:color w:val="FF0000"/>
              </w:rPr>
              <w:t>占地</w:t>
            </w:r>
          </w:p>
        </w:tc>
      </w:tr>
      <w:tr w14:paraId="2A8001C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654" w:type="pct"/>
            <w:shd w:val="clear" w:color="auto" w:fill="auto"/>
            <w:noWrap/>
            <w:vAlign w:val="center"/>
          </w:tcPr>
          <w:p w14:paraId="158208FF">
            <w:pPr>
              <w:pStyle w:val="84"/>
              <w:spacing w:line="276" w:lineRule="auto"/>
              <w:rPr>
                <w:color w:val="FF0000"/>
              </w:rPr>
            </w:pPr>
            <w:r>
              <w:rPr>
                <w:rFonts w:hint="eastAsia"/>
                <w:color w:val="FF0000"/>
              </w:rPr>
              <w:t>大坝淹没</w:t>
            </w:r>
            <w:r>
              <w:rPr>
                <w:color w:val="FF0000"/>
              </w:rPr>
              <w:t>区</w:t>
            </w:r>
          </w:p>
        </w:tc>
        <w:tc>
          <w:tcPr>
            <w:tcW w:w="1335" w:type="pct"/>
            <w:shd w:val="clear" w:color="auto" w:fill="auto"/>
            <w:noWrap/>
            <w:vAlign w:val="center"/>
          </w:tcPr>
          <w:p w14:paraId="5E7CAE56">
            <w:pPr>
              <w:pStyle w:val="84"/>
              <w:spacing w:line="276" w:lineRule="auto"/>
              <w:rPr>
                <w:color w:val="FF0000"/>
              </w:rPr>
            </w:pPr>
            <w:r>
              <w:rPr>
                <w:rFonts w:hint="eastAsia"/>
                <w:color w:val="FF0000"/>
              </w:rPr>
              <w:t>1.94</w:t>
            </w:r>
          </w:p>
        </w:tc>
        <w:tc>
          <w:tcPr>
            <w:tcW w:w="655" w:type="pct"/>
            <w:shd w:val="clear" w:color="auto" w:fill="auto"/>
            <w:vAlign w:val="center"/>
          </w:tcPr>
          <w:p w14:paraId="07F913D7">
            <w:pPr>
              <w:pStyle w:val="84"/>
              <w:spacing w:line="276" w:lineRule="auto"/>
              <w:rPr>
                <w:color w:val="FF0000"/>
              </w:rPr>
            </w:pPr>
            <w:r>
              <w:rPr>
                <w:rFonts w:hint="eastAsia"/>
                <w:color w:val="FF0000"/>
              </w:rPr>
              <w:t>0</w:t>
            </w:r>
            <w:r>
              <w:rPr>
                <w:color w:val="FF0000"/>
              </w:rPr>
              <w:t>.18</w:t>
            </w:r>
          </w:p>
        </w:tc>
        <w:tc>
          <w:tcPr>
            <w:tcW w:w="654" w:type="pct"/>
            <w:shd w:val="clear" w:color="auto" w:fill="auto"/>
            <w:vAlign w:val="center"/>
          </w:tcPr>
          <w:p w14:paraId="3AD26EB1">
            <w:pPr>
              <w:pStyle w:val="84"/>
              <w:spacing w:line="276" w:lineRule="auto"/>
              <w:rPr>
                <w:color w:val="FF0000"/>
              </w:rPr>
            </w:pPr>
            <w:r>
              <w:rPr>
                <w:rFonts w:hint="eastAsia"/>
                <w:color w:val="FF0000"/>
              </w:rPr>
              <w:t>2.12</w:t>
            </w:r>
          </w:p>
        </w:tc>
        <w:tc>
          <w:tcPr>
            <w:tcW w:w="702" w:type="pct"/>
            <w:shd w:val="clear" w:color="auto" w:fill="auto"/>
            <w:noWrap/>
            <w:vAlign w:val="center"/>
          </w:tcPr>
          <w:p w14:paraId="46780170">
            <w:pPr>
              <w:pStyle w:val="84"/>
              <w:spacing w:line="276" w:lineRule="auto"/>
              <w:rPr>
                <w:color w:val="FF0000"/>
              </w:rPr>
            </w:pPr>
            <w:r>
              <w:rPr>
                <w:rFonts w:hint="eastAsia"/>
                <w:color w:val="FF0000"/>
              </w:rPr>
              <w:t>永久</w:t>
            </w:r>
            <w:r>
              <w:rPr>
                <w:color w:val="FF0000"/>
              </w:rPr>
              <w:t>占地</w:t>
            </w:r>
          </w:p>
        </w:tc>
      </w:tr>
      <w:tr w14:paraId="328C99D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654" w:type="pct"/>
            <w:shd w:val="clear" w:color="auto" w:fill="auto"/>
            <w:noWrap/>
            <w:vAlign w:val="center"/>
          </w:tcPr>
          <w:p w14:paraId="5BA4C6B5">
            <w:pPr>
              <w:pStyle w:val="84"/>
              <w:spacing w:line="276" w:lineRule="auto"/>
              <w:rPr>
                <w:color w:val="FF0000"/>
              </w:rPr>
            </w:pPr>
            <w:r>
              <w:rPr>
                <w:rFonts w:hint="eastAsia"/>
                <w:color w:val="FF0000"/>
              </w:rPr>
              <w:t>合计</w:t>
            </w:r>
          </w:p>
        </w:tc>
        <w:tc>
          <w:tcPr>
            <w:tcW w:w="1335" w:type="pct"/>
            <w:shd w:val="clear" w:color="auto" w:fill="auto"/>
            <w:noWrap/>
            <w:vAlign w:val="center"/>
          </w:tcPr>
          <w:p w14:paraId="6CBD0440">
            <w:pPr>
              <w:pStyle w:val="84"/>
              <w:spacing w:line="276" w:lineRule="auto"/>
              <w:rPr>
                <w:color w:val="FF0000"/>
              </w:rPr>
            </w:pPr>
            <w:r>
              <w:rPr>
                <w:color w:val="FF0000"/>
              </w:rPr>
              <w:t>2.87</w:t>
            </w:r>
          </w:p>
        </w:tc>
        <w:tc>
          <w:tcPr>
            <w:tcW w:w="655" w:type="pct"/>
            <w:shd w:val="clear" w:color="auto" w:fill="auto"/>
            <w:vAlign w:val="center"/>
          </w:tcPr>
          <w:p w14:paraId="2E5FA721">
            <w:pPr>
              <w:pStyle w:val="84"/>
              <w:spacing w:line="276" w:lineRule="auto"/>
              <w:rPr>
                <w:color w:val="FF0000"/>
              </w:rPr>
            </w:pPr>
            <w:r>
              <w:rPr>
                <w:rFonts w:hint="eastAsia"/>
                <w:color w:val="FF0000"/>
              </w:rPr>
              <w:t>1.15</w:t>
            </w:r>
          </w:p>
        </w:tc>
        <w:tc>
          <w:tcPr>
            <w:tcW w:w="654" w:type="pct"/>
            <w:shd w:val="clear" w:color="auto" w:fill="auto"/>
            <w:vAlign w:val="center"/>
          </w:tcPr>
          <w:p w14:paraId="4D426ED8">
            <w:pPr>
              <w:pStyle w:val="84"/>
              <w:spacing w:line="276" w:lineRule="auto"/>
              <w:rPr>
                <w:color w:val="FF0000"/>
              </w:rPr>
            </w:pPr>
            <w:r>
              <w:rPr>
                <w:rFonts w:hint="eastAsia"/>
                <w:color w:val="FF0000"/>
              </w:rPr>
              <w:t>4.02</w:t>
            </w:r>
          </w:p>
        </w:tc>
        <w:tc>
          <w:tcPr>
            <w:tcW w:w="702" w:type="pct"/>
            <w:shd w:val="clear" w:color="auto" w:fill="auto"/>
            <w:noWrap/>
            <w:vAlign w:val="center"/>
          </w:tcPr>
          <w:p w14:paraId="3FB01C06">
            <w:pPr>
              <w:pStyle w:val="84"/>
              <w:spacing w:line="276" w:lineRule="auto"/>
              <w:rPr>
                <w:color w:val="FF0000"/>
              </w:rPr>
            </w:pPr>
            <w:r>
              <w:rPr>
                <w:rFonts w:hint="eastAsia"/>
                <w:color w:val="FF0000"/>
              </w:rPr>
              <w:t>—</w:t>
            </w:r>
          </w:p>
        </w:tc>
      </w:tr>
    </w:tbl>
    <w:p w14:paraId="6EA816A1">
      <w:pPr>
        <w:pStyle w:val="4"/>
      </w:pPr>
      <w:bookmarkStart w:id="370" w:name="_Toc471737986"/>
      <w:bookmarkStart w:id="371" w:name="_Toc508642437"/>
      <w:r>
        <w:rPr>
          <w:rFonts w:hint="eastAsia"/>
        </w:rPr>
        <w:t>2.6工程总投资</w:t>
      </w:r>
      <w:bookmarkEnd w:id="367"/>
      <w:bookmarkEnd w:id="368"/>
      <w:bookmarkEnd w:id="369"/>
      <w:bookmarkEnd w:id="370"/>
      <w:bookmarkEnd w:id="371"/>
    </w:p>
    <w:p w14:paraId="34D52800">
      <w:pPr>
        <w:ind w:firstLine="480"/>
      </w:pPr>
      <w:r>
        <w:rPr>
          <w:rFonts w:hint="eastAsia"/>
          <w:bCs/>
        </w:rPr>
        <w:t>团结水</w:t>
      </w:r>
      <w:r>
        <w:rPr>
          <w:bCs/>
        </w:rPr>
        <w:t>电站</w:t>
      </w:r>
      <w:r>
        <w:t>总投资为</w:t>
      </w:r>
      <w:r>
        <w:rPr>
          <w:rFonts w:hint="eastAsia"/>
        </w:rPr>
        <w:t>4333.14</w:t>
      </w:r>
      <w:r>
        <w:t>万元，其中土建投资为1408.32万元</w:t>
      </w:r>
      <w:r>
        <w:rPr>
          <w:rFonts w:hint="eastAsia"/>
        </w:rPr>
        <w:t>，</w:t>
      </w:r>
      <w:r>
        <w:t>电站资金来源为国家补助50%，企业自筹50%。</w:t>
      </w:r>
    </w:p>
    <w:p w14:paraId="7F0A8BF7">
      <w:pPr>
        <w:pStyle w:val="4"/>
      </w:pPr>
      <w:bookmarkStart w:id="372" w:name="_Toc508642438"/>
      <w:r>
        <w:rPr>
          <w:rFonts w:hint="eastAsia"/>
        </w:rPr>
        <w:t>2.7工程建设情况</w:t>
      </w:r>
      <w:bookmarkEnd w:id="372"/>
    </w:p>
    <w:p w14:paraId="1BF678C8">
      <w:pPr>
        <w:ind w:firstLine="480"/>
      </w:pPr>
      <w:r>
        <w:rPr>
          <w:rFonts w:cstheme="minorBidi"/>
        </w:rPr>
        <w:t>20</w:t>
      </w:r>
      <w:r>
        <w:t>1</w:t>
      </w:r>
      <w:r>
        <w:rPr>
          <w:rFonts w:hint="eastAsia"/>
        </w:rPr>
        <w:t>5</w:t>
      </w:r>
      <w:r>
        <w:t>年</w:t>
      </w:r>
      <w:r>
        <w:rPr>
          <w:rFonts w:hint="eastAsia"/>
        </w:rPr>
        <w:t>12</w:t>
      </w:r>
      <w:r>
        <w:t>月，</w:t>
      </w:r>
      <w:r>
        <w:rPr>
          <w:rFonts w:hint="eastAsia" w:ascii="宋体" w:hAnsi="宋体"/>
          <w:kern w:val="32"/>
        </w:rPr>
        <w:t>芒市宏睿水电有限公司</w:t>
      </w:r>
      <w:r>
        <w:t>委托</w:t>
      </w:r>
      <w:r>
        <w:rPr>
          <w:rFonts w:hint="eastAsia" w:cstheme="minorBidi"/>
        </w:rPr>
        <w:t>评价单位开展该项目</w:t>
      </w:r>
      <w:r>
        <w:rPr>
          <w:rFonts w:cstheme="minorBidi"/>
        </w:rPr>
        <w:t>环境影响评价工作。</w:t>
      </w:r>
      <w:r>
        <w:rPr>
          <w:rFonts w:hint="eastAsia"/>
        </w:rPr>
        <w:t>因龙瑞高速和芒瑞大道的修建导致团结水电站位置有所调整，相应的水保方案与水资源论证报告也需重新作出调整，致使环评工作自2016年1月起暂停，至2016年8月，环评单位才重新启动该项目环评工作。</w:t>
      </w:r>
    </w:p>
    <w:p w14:paraId="03AB24EE">
      <w:pPr>
        <w:pStyle w:val="74"/>
        <w:spacing w:before="156" w:line="336" w:lineRule="auto"/>
      </w:pPr>
      <w:bookmarkStart w:id="373" w:name="_Toc397428302"/>
      <w:bookmarkStart w:id="374" w:name="_Toc508642439"/>
      <w:r>
        <w:rPr>
          <w:rFonts w:hint="eastAsia"/>
        </w:rPr>
        <w:t>2.7.1工程进度</w:t>
      </w:r>
      <w:bookmarkEnd w:id="373"/>
      <w:bookmarkEnd w:id="374"/>
    </w:p>
    <w:p w14:paraId="2A7167EC">
      <w:pPr>
        <w:spacing w:line="348" w:lineRule="auto"/>
        <w:ind w:firstLine="480"/>
        <w:rPr>
          <w:color w:val="FF0000"/>
          <w:highlight w:val="green"/>
        </w:rPr>
      </w:pPr>
      <w:r>
        <w:rPr>
          <w:color w:val="FF0000"/>
        </w:rPr>
        <w:t>工程</w:t>
      </w:r>
      <w:r>
        <w:rPr>
          <w:rFonts w:hint="eastAsia"/>
          <w:color w:val="FF0000"/>
        </w:rPr>
        <w:t>已于</w:t>
      </w:r>
      <w:r>
        <w:rPr>
          <w:color w:val="FF0000"/>
        </w:rPr>
        <w:t>2</w:t>
      </w:r>
      <w:r>
        <w:rPr>
          <w:rFonts w:hint="eastAsia"/>
          <w:color w:val="FF0000"/>
        </w:rPr>
        <w:t>015</w:t>
      </w:r>
      <w:r>
        <w:rPr>
          <w:color w:val="FF0000"/>
        </w:rPr>
        <w:t>年</w:t>
      </w:r>
      <w:r>
        <w:rPr>
          <w:rFonts w:hint="eastAsia"/>
          <w:color w:val="FF0000"/>
        </w:rPr>
        <w:t>11</w:t>
      </w:r>
      <w:r>
        <w:rPr>
          <w:color w:val="FF0000"/>
        </w:rPr>
        <w:t>月</w:t>
      </w:r>
      <w:r>
        <w:rPr>
          <w:rFonts w:hint="eastAsia"/>
          <w:color w:val="FF0000"/>
        </w:rPr>
        <w:t>8日开工，截至目前，电站进水闸及厂房基础已施工完毕，下游河道清淤工程已完工2/3，工程目前未产生弃渣，电站于2016年7月13日停止建设，实际已施工约6个月。</w:t>
      </w:r>
    </w:p>
    <w:p w14:paraId="2AC311E3">
      <w:pPr>
        <w:spacing w:line="336" w:lineRule="auto"/>
        <w:ind w:firstLine="0" w:firstLineChars="0"/>
      </w:pPr>
      <w:r>
        <w:drawing>
          <wp:inline distT="0" distB="0" distL="0" distR="0">
            <wp:extent cx="2633345" cy="1974215"/>
            <wp:effectExtent l="0" t="0" r="0" b="6985"/>
            <wp:docPr id="13" name="图片 13" descr="E:\1项目\1送审稿\2报告书\17团结电站2015.12.10\0资料\现状施 工照片\厂房施工现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1项目\1送审稿\2报告书\17团结电站2015.12.10\0资料\现状施 工照片\厂房施工现状.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635339" cy="1976093"/>
                    </a:xfrm>
                    <a:prstGeom prst="rect">
                      <a:avLst/>
                    </a:prstGeom>
                    <a:noFill/>
                    <a:ln>
                      <a:noFill/>
                    </a:ln>
                  </pic:spPr>
                </pic:pic>
              </a:graphicData>
            </a:graphic>
          </wp:inline>
        </w:drawing>
      </w:r>
      <w:r>
        <w:rPr>
          <w:rFonts w:hint="eastAsia"/>
        </w:rPr>
        <w:t xml:space="preserve"> </w:t>
      </w:r>
      <w:r>
        <w:drawing>
          <wp:inline distT="0" distB="0" distL="0" distR="0">
            <wp:extent cx="2654935" cy="1991995"/>
            <wp:effectExtent l="0" t="0" r="0" b="8255"/>
            <wp:docPr id="8" name="图片 8" descr="E:\1项目\1送审稿\2报告书\17团结电站2015.12.10\0资料\现状施 工照片\@%095]~~N637`U{DT86V5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1项目\1送审稿\2报告书\17团结电站2015.12.10\0资料\现状施 工照片\@%095]~~N637`U{DT86V5S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655377" cy="1992183"/>
                    </a:xfrm>
                    <a:prstGeom prst="rect">
                      <a:avLst/>
                    </a:prstGeom>
                    <a:noFill/>
                    <a:ln>
                      <a:noFill/>
                    </a:ln>
                  </pic:spPr>
                </pic:pic>
              </a:graphicData>
            </a:graphic>
          </wp:inline>
        </w:drawing>
      </w:r>
    </w:p>
    <w:p w14:paraId="16F15FFA">
      <w:pPr>
        <w:spacing w:after="240" w:line="336" w:lineRule="auto"/>
        <w:ind w:firstLine="1370" w:firstLineChars="650"/>
        <w:rPr>
          <w:sz w:val="22"/>
        </w:rPr>
      </w:pPr>
      <w:r>
        <w:rPr>
          <w:rFonts w:hint="eastAsia"/>
          <w:b/>
          <w:sz w:val="21"/>
        </w:rPr>
        <w:t xml:space="preserve">厂房施工现状 </w:t>
      </w:r>
      <w:r>
        <w:rPr>
          <w:rFonts w:hint="eastAsia"/>
          <w:b/>
          <w:sz w:val="22"/>
        </w:rPr>
        <w:t xml:space="preserve">               </w:t>
      </w:r>
      <w:r>
        <w:rPr>
          <w:rFonts w:hint="eastAsia"/>
          <w:b/>
          <w:sz w:val="20"/>
        </w:rPr>
        <w:t xml:space="preserve">            </w:t>
      </w:r>
      <w:r>
        <w:rPr>
          <w:rFonts w:hint="eastAsia"/>
          <w:b/>
          <w:sz w:val="21"/>
        </w:rPr>
        <w:t>进水闸施工现状</w:t>
      </w:r>
    </w:p>
    <w:p w14:paraId="74FAD0ED">
      <w:pPr>
        <w:pStyle w:val="74"/>
        <w:spacing w:before="156" w:line="336" w:lineRule="auto"/>
      </w:pPr>
      <w:bookmarkStart w:id="375" w:name="_Toc397428303"/>
      <w:bookmarkStart w:id="376" w:name="_Toc508642440"/>
      <w:r>
        <w:rPr>
          <w:rFonts w:hint="eastAsia"/>
        </w:rPr>
        <w:t>2.7.2</w:t>
      </w:r>
      <w:bookmarkEnd w:id="375"/>
      <w:bookmarkStart w:id="377" w:name="_Toc397428304"/>
      <w:r>
        <w:rPr>
          <w:rFonts w:hint="eastAsia"/>
        </w:rPr>
        <w:t>存在的问题和需完善的措施</w:t>
      </w:r>
      <w:bookmarkEnd w:id="376"/>
      <w:bookmarkEnd w:id="377"/>
    </w:p>
    <w:p w14:paraId="0994F7A5">
      <w:pPr>
        <w:spacing w:line="336" w:lineRule="auto"/>
        <w:ind w:firstLine="48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存在的问题：目前施工产生的生活及生产废水经简易沉淀后排放，排废水水质达不到</w:t>
      </w:r>
      <w:r>
        <w:t>《污水综合排放标准》</w:t>
      </w:r>
      <w:r>
        <w:rPr>
          <w:rFonts w:hint="eastAsia"/>
        </w:rPr>
        <w:t>（</w:t>
      </w:r>
      <w:r>
        <w:t>GB8978</w:t>
      </w:r>
      <w:r>
        <w:rPr>
          <w:rFonts w:hint="eastAsia"/>
        </w:rPr>
        <w:t>-</w:t>
      </w:r>
      <w:r>
        <w:t>1996</w:t>
      </w:r>
      <w:r>
        <w:rPr>
          <w:rFonts w:hint="eastAsia"/>
        </w:rPr>
        <w:t>）中</w:t>
      </w:r>
      <w:r>
        <w:t>一级标准</w:t>
      </w:r>
      <w:r>
        <w:rPr>
          <w:rFonts w:hint="eastAsia"/>
        </w:rPr>
        <w:t>的</w:t>
      </w:r>
      <w:r>
        <w:t>要求</w:t>
      </w:r>
      <w:r>
        <w:rPr>
          <w:rFonts w:hint="eastAsia"/>
        </w:rPr>
        <w:t>，对芒市河造成了一定的污染；</w:t>
      </w:r>
    </w:p>
    <w:p w14:paraId="2E5DCCF1">
      <w:pPr>
        <w:spacing w:line="336" w:lineRule="auto"/>
        <w:ind w:firstLine="48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需完善的措施：环评要求建设单位需设置沉淀池将废水沉淀处理后回用于混凝土拌和场地洒水降尘，不外排。</w:t>
      </w:r>
    </w:p>
    <w:p w14:paraId="62137783">
      <w:pPr>
        <w:pStyle w:val="113"/>
      </w:pPr>
      <w:bookmarkStart w:id="378" w:name="_Toc508642441"/>
      <w:r>
        <w:rPr>
          <w:rFonts w:hint="eastAsia"/>
        </w:rPr>
        <w:t>2.7.3项目未批先建行政处罚情况</w:t>
      </w:r>
      <w:bookmarkEnd w:id="378"/>
    </w:p>
    <w:p w14:paraId="3E0AE8AA">
      <w:pPr>
        <w:ind w:firstLine="480"/>
        <w:rPr>
          <w:color w:val="FF0000"/>
        </w:rPr>
      </w:pPr>
      <w:r>
        <w:rPr>
          <w:rFonts w:hint="eastAsia"/>
          <w:color w:val="FF0000"/>
        </w:rPr>
        <w:t>2017年11月28日，芒市环境监察大队对芒市团结水电站项目进行现场检查，发现该项目已于2015年11月8日开工建设，并于2016年7月13日停止建设，违反了《中华人民共和国环境保护法》第六十一条和《中华人民共和国环境影响评价法》（2002年10月28日中华人民共和国主席令第77号）第三十一条的相关规定。芒市环境保护局依法对建设单位作出行政处罚，对其下达了《芒市环境保护局行政处罚决定书》（芒环罚字</w:t>
      </w:r>
      <w:r>
        <w:rPr>
          <w:color w:val="FF0000"/>
        </w:rPr>
        <w:t>〔201</w:t>
      </w:r>
      <w:r>
        <w:rPr>
          <w:rFonts w:hint="eastAsia"/>
          <w:color w:val="FF0000"/>
        </w:rPr>
        <w:t>7</w:t>
      </w:r>
      <w:r>
        <w:rPr>
          <w:color w:val="FF0000"/>
        </w:rPr>
        <w:t>〕</w:t>
      </w:r>
      <w:r>
        <w:rPr>
          <w:rFonts w:hint="eastAsia"/>
          <w:color w:val="FF0000"/>
        </w:rPr>
        <w:t>28号），罚款人民币伍万元整（</w:t>
      </w:r>
      <w:r>
        <w:rPr>
          <w:rFonts w:hint="eastAsia" w:ascii="宋体" w:hAnsi="宋体"/>
          <w:color w:val="FF0000"/>
        </w:rPr>
        <w:t>￥</w:t>
      </w:r>
      <w:r>
        <w:rPr>
          <w:rFonts w:hint="eastAsia"/>
          <w:color w:val="FF0000"/>
        </w:rPr>
        <w:t>50000.00）。建设单位已于2017年12月15日上交了罚款，并积极地展开了后续环保工作，补全相关环保手续（环保处罚决定书见附件11）。</w:t>
      </w:r>
    </w:p>
    <w:p w14:paraId="2C33692E">
      <w:pPr>
        <w:ind w:firstLine="480"/>
        <w:rPr>
          <w:color w:val="FF0000"/>
        </w:rPr>
      </w:pPr>
      <w:r>
        <w:rPr>
          <w:rFonts w:hint="eastAsia"/>
          <w:color w:val="FF0000"/>
        </w:rPr>
        <w:drawing>
          <wp:anchor distT="0" distB="0" distL="114300" distR="114300" simplePos="0" relativeHeight="251665408" behindDoc="1" locked="0" layoutInCell="1" allowOverlap="1">
            <wp:simplePos x="0" y="0"/>
            <wp:positionH relativeFrom="column">
              <wp:posOffset>126365</wp:posOffset>
            </wp:positionH>
            <wp:positionV relativeFrom="paragraph">
              <wp:posOffset>60325</wp:posOffset>
            </wp:positionV>
            <wp:extent cx="5567045" cy="3147695"/>
            <wp:effectExtent l="0" t="0" r="0" b="0"/>
            <wp:wrapNone/>
            <wp:docPr id="14" name="图片 14" descr="C:\Users\Administrator\Desktop\20740051783753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20740051783753260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68414" cy="3148496"/>
                    </a:xfrm>
                    <a:prstGeom prst="rect">
                      <a:avLst/>
                    </a:prstGeom>
                    <a:noFill/>
                    <a:ln>
                      <a:noFill/>
                    </a:ln>
                  </pic:spPr>
                </pic:pic>
              </a:graphicData>
            </a:graphic>
          </wp:anchor>
        </w:drawing>
      </w:r>
    </w:p>
    <w:p w14:paraId="40A95109">
      <w:pPr>
        <w:spacing w:line="500" w:lineRule="exact"/>
        <w:ind w:firstLine="199" w:firstLineChars="83"/>
        <w:rPr>
          <w:szCs w:val="24"/>
          <w:highlight w:val="green"/>
        </w:rPr>
        <w:sectPr>
          <w:footerReference r:id="rId15" w:type="default"/>
          <w:pgSz w:w="11906" w:h="16838"/>
          <w:pgMar w:top="1418" w:right="1701" w:bottom="1418" w:left="1701" w:header="851" w:footer="851" w:gutter="0"/>
          <w:cols w:space="425" w:num="1"/>
          <w:docGrid w:type="lines" w:linePitch="312" w:charSpace="0"/>
        </w:sectPr>
      </w:pPr>
    </w:p>
    <w:p w14:paraId="49076152">
      <w:pPr>
        <w:pStyle w:val="180"/>
      </w:pPr>
      <w:bookmarkStart w:id="379" w:name="_Toc454046504"/>
      <w:bookmarkStart w:id="380" w:name="_Toc443655407"/>
      <w:bookmarkStart w:id="381" w:name="_Toc508642442"/>
      <w:bookmarkStart w:id="382" w:name="_Toc471737987"/>
      <w:r>
        <w:rPr>
          <w:rFonts w:hint="eastAsia"/>
        </w:rPr>
        <w:t>3工程分析</w:t>
      </w:r>
      <w:bookmarkEnd w:id="379"/>
      <w:bookmarkEnd w:id="380"/>
      <w:bookmarkEnd w:id="381"/>
      <w:bookmarkEnd w:id="382"/>
    </w:p>
    <w:p w14:paraId="276B6588">
      <w:pPr>
        <w:pStyle w:val="4"/>
      </w:pPr>
      <w:bookmarkStart w:id="383" w:name="_Toc443655408"/>
      <w:bookmarkStart w:id="384" w:name="_Toc508642443"/>
      <w:bookmarkStart w:id="385" w:name="_Toc454046505"/>
      <w:bookmarkStart w:id="386" w:name="_Toc471737988"/>
      <w:r>
        <w:rPr>
          <w:rFonts w:hint="eastAsia"/>
        </w:rPr>
        <w:t>3.1施工期</w:t>
      </w:r>
      <w:bookmarkEnd w:id="383"/>
      <w:bookmarkEnd w:id="384"/>
      <w:bookmarkEnd w:id="385"/>
      <w:bookmarkEnd w:id="386"/>
    </w:p>
    <w:p w14:paraId="2978C2B4">
      <w:pPr>
        <w:ind w:firstLine="480"/>
      </w:pPr>
      <w:r>
        <w:rPr>
          <w:rFonts w:hint="eastAsia"/>
        </w:rPr>
        <w:t>电站</w:t>
      </w:r>
      <w:r>
        <w:t>施工对环境的影响主要表现在施工</w:t>
      </w:r>
      <w:r>
        <w:rPr>
          <w:rFonts w:hint="eastAsia"/>
        </w:rPr>
        <w:t>“</w:t>
      </w:r>
      <w:r>
        <w:t>三废一噪</w:t>
      </w:r>
      <w:r>
        <w:rPr>
          <w:rFonts w:hint="eastAsia"/>
        </w:rPr>
        <w:t>”的</w:t>
      </w:r>
      <w:r>
        <w:t>污染影响，工程施工</w:t>
      </w:r>
      <w:r>
        <w:rPr>
          <w:rFonts w:hint="eastAsia"/>
        </w:rPr>
        <w:t>临时</w:t>
      </w:r>
      <w:r>
        <w:t>占地和永久占地对</w:t>
      </w:r>
      <w:r>
        <w:rPr>
          <w:rFonts w:hint="eastAsia"/>
        </w:rPr>
        <w:t>生态环境</w:t>
      </w:r>
      <w:r>
        <w:t>的影响</w:t>
      </w:r>
      <w:r>
        <w:rPr>
          <w:rFonts w:hint="eastAsia"/>
        </w:rPr>
        <w:t>。</w:t>
      </w:r>
    </w:p>
    <w:p w14:paraId="45CE758A">
      <w:pPr>
        <w:spacing w:line="348" w:lineRule="auto"/>
        <w:ind w:firstLine="480"/>
        <w:rPr>
          <w:color w:val="FF0000"/>
        </w:rPr>
      </w:pPr>
      <w:r>
        <w:rPr>
          <w:color w:val="FF0000"/>
        </w:rPr>
        <w:t>工程</w:t>
      </w:r>
      <w:r>
        <w:rPr>
          <w:rFonts w:hint="eastAsia"/>
          <w:color w:val="FF0000"/>
        </w:rPr>
        <w:t>已于</w:t>
      </w:r>
      <w:r>
        <w:rPr>
          <w:color w:val="FF0000"/>
        </w:rPr>
        <w:t>2</w:t>
      </w:r>
      <w:r>
        <w:rPr>
          <w:rFonts w:hint="eastAsia"/>
          <w:color w:val="FF0000"/>
        </w:rPr>
        <w:t>015</w:t>
      </w:r>
      <w:r>
        <w:rPr>
          <w:color w:val="FF0000"/>
        </w:rPr>
        <w:t>年</w:t>
      </w:r>
      <w:r>
        <w:rPr>
          <w:rFonts w:hint="eastAsia"/>
          <w:color w:val="FF0000"/>
        </w:rPr>
        <w:t>11</w:t>
      </w:r>
      <w:r>
        <w:rPr>
          <w:color w:val="FF0000"/>
        </w:rPr>
        <w:t>月</w:t>
      </w:r>
      <w:r>
        <w:rPr>
          <w:rFonts w:hint="eastAsia"/>
          <w:color w:val="FF0000"/>
        </w:rPr>
        <w:t>8日开工，截至目前，电站进水闸及厂房基础已施工完毕，下游河道清淤工程也已完工2/3的工程量，工程目前并未产生弃渣。电站目前处于停工状态，实际已施工约6个月。</w:t>
      </w:r>
    </w:p>
    <w:p w14:paraId="494AF91C">
      <w:pPr>
        <w:pStyle w:val="113"/>
      </w:pPr>
      <w:bookmarkStart w:id="387" w:name="_Toc397428315"/>
      <w:bookmarkStart w:id="388" w:name="_Toc454046506"/>
      <w:bookmarkStart w:id="389" w:name="_Toc508642444"/>
      <w:bookmarkStart w:id="390" w:name="_Toc471737989"/>
      <w:bookmarkStart w:id="391" w:name="_Toc443655409"/>
      <w:r>
        <w:rPr>
          <w:rFonts w:hint="eastAsia"/>
        </w:rPr>
        <w:t>3.1.1</w:t>
      </w:r>
      <w:bookmarkEnd w:id="387"/>
      <w:r>
        <w:rPr>
          <w:rFonts w:hint="eastAsia"/>
        </w:rPr>
        <w:t>废水</w:t>
      </w:r>
      <w:bookmarkEnd w:id="388"/>
      <w:bookmarkEnd w:id="389"/>
      <w:bookmarkEnd w:id="390"/>
      <w:bookmarkEnd w:id="391"/>
    </w:p>
    <w:p w14:paraId="0ACFA9EC">
      <w:pPr>
        <w:ind w:firstLine="480"/>
      </w:pPr>
      <w:r>
        <w:rPr>
          <w:rFonts w:hint="eastAsia"/>
        </w:rPr>
        <w:t>电站工程施工期的水污染源主要包括施工生产废水和生活污水排放两大部 分。根据工程特点，电站施工生产废水主要为</w:t>
      </w:r>
      <w:r>
        <w:rPr>
          <w:rFonts w:cstheme="minorBidi"/>
        </w:rPr>
        <w:t>砂石料加工系统</w:t>
      </w:r>
      <w:r>
        <w:rPr>
          <w:rFonts w:hint="eastAsia" w:cstheme="minorBidi"/>
        </w:rPr>
        <w:t>筛洗</w:t>
      </w:r>
      <w:r>
        <w:rPr>
          <w:rFonts w:cstheme="minorBidi"/>
        </w:rPr>
        <w:t>废水</w:t>
      </w:r>
      <w:r>
        <w:rPr>
          <w:rFonts w:hint="eastAsia"/>
        </w:rPr>
        <w:t>和</w:t>
      </w:r>
      <w:r>
        <w:t>混凝土</w:t>
      </w:r>
      <w:r>
        <w:rPr>
          <w:rFonts w:hint="eastAsia"/>
        </w:rPr>
        <w:t>拌和系统冲洗</w:t>
      </w:r>
      <w:r>
        <w:t>废水</w:t>
      </w:r>
      <w:r>
        <w:rPr>
          <w:rFonts w:hint="eastAsia"/>
        </w:rPr>
        <w:t>；</w:t>
      </w:r>
      <w:r>
        <w:t>施工生活污水来源于施工期施工人员生活用水，污染物以COD、BOD</w:t>
      </w:r>
      <w:r>
        <w:rPr>
          <w:vertAlign w:val="subscript"/>
        </w:rPr>
        <w:t>5</w:t>
      </w:r>
      <w:r>
        <w:t>、</w:t>
      </w:r>
      <w:r>
        <w:rPr>
          <w:rFonts w:hint="eastAsia"/>
        </w:rPr>
        <w:t>NH</w:t>
      </w:r>
      <w:r>
        <w:rPr>
          <w:rFonts w:hint="eastAsia"/>
          <w:vertAlign w:val="subscript"/>
        </w:rPr>
        <w:t>3</w:t>
      </w:r>
      <w:r>
        <w:rPr>
          <w:rFonts w:hint="eastAsia"/>
        </w:rPr>
        <w:t>-N</w:t>
      </w:r>
      <w:r>
        <w:t>、SS为主</w:t>
      </w:r>
      <w:r>
        <w:rPr>
          <w:rFonts w:hint="eastAsia"/>
        </w:rPr>
        <w:t>。</w:t>
      </w:r>
    </w:p>
    <w:p w14:paraId="20E36473">
      <w:pPr>
        <w:pStyle w:val="141"/>
      </w:pPr>
      <w:r>
        <w:rPr>
          <w:rFonts w:hint="eastAsia"/>
        </w:rPr>
        <w:t>3.1.1.1施工生产废水</w:t>
      </w:r>
    </w:p>
    <w:p w14:paraId="5E753E34">
      <w:pPr>
        <w:ind w:firstLine="480"/>
        <w:rPr>
          <w:rFonts w:cstheme="minorBidi"/>
        </w:rPr>
      </w:pPr>
      <w:r>
        <w:rPr>
          <w:rFonts w:cstheme="minorBidi"/>
        </w:rPr>
        <w:t>（1）砂石料加工系统</w:t>
      </w:r>
      <w:r>
        <w:rPr>
          <w:rFonts w:hint="eastAsia" w:cstheme="minorBidi"/>
        </w:rPr>
        <w:t>筛洗</w:t>
      </w:r>
      <w:r>
        <w:rPr>
          <w:rFonts w:cstheme="minorBidi"/>
        </w:rPr>
        <w:t>废水</w:t>
      </w:r>
    </w:p>
    <w:p w14:paraId="4F759E01">
      <w:pPr>
        <w:ind w:firstLine="480"/>
        <w:rPr>
          <w:rFonts w:cstheme="minorBidi"/>
          <w:highlight w:val="green"/>
        </w:rPr>
      </w:pPr>
      <w:r>
        <w:t>工程用石料主要从坝基、</w:t>
      </w:r>
      <w:r>
        <w:rPr>
          <w:rFonts w:hint="eastAsia"/>
        </w:rPr>
        <w:t>厂房</w:t>
      </w:r>
      <w:r>
        <w:t>等工程开挖弃渣加工利用</w:t>
      </w:r>
      <w:r>
        <w:rPr>
          <w:rFonts w:hint="eastAsia"/>
        </w:rPr>
        <w:t>，</w:t>
      </w:r>
      <w:r>
        <w:rPr>
          <w:rFonts w:hint="eastAsia" w:cstheme="minorBidi"/>
        </w:rPr>
        <w:t>不足部分外购；</w:t>
      </w:r>
      <w:r>
        <w:rPr>
          <w:rFonts w:hint="eastAsia" w:ascii="宋体" w:hAnsi="宋体"/>
        </w:rPr>
        <w:t>工程所需砂料可由</w:t>
      </w:r>
      <w:r>
        <w:rPr>
          <w:rFonts w:hint="eastAsia" w:hAnsi="宋体"/>
          <w:szCs w:val="24"/>
        </w:rPr>
        <w:t>电站</w:t>
      </w:r>
      <w:r>
        <w:rPr>
          <w:rFonts w:hint="eastAsia"/>
        </w:rPr>
        <w:t>坝址下游1.8km处的芒市河河床内</w:t>
      </w:r>
      <w:r>
        <w:rPr>
          <w:rFonts w:hint="eastAsia" w:ascii="宋体" w:hAnsi="宋体"/>
        </w:rPr>
        <w:t>砂砾</w:t>
      </w:r>
      <w:r>
        <w:rPr>
          <w:rFonts w:hint="eastAsia" w:ascii="宋体" w:hAnsi="宋体"/>
          <w:color w:val="FF0000"/>
        </w:rPr>
        <w:t>及下游河道清淤砂土加工获得，</w:t>
      </w:r>
      <w:r>
        <w:rPr>
          <w:rFonts w:hint="eastAsia" w:ascii="宋体" w:hAnsi="宋体"/>
        </w:rPr>
        <w:t>不足部分可就近购买。</w:t>
      </w:r>
      <w:r>
        <w:rPr>
          <w:rFonts w:hint="eastAsia" w:cstheme="minorBidi"/>
        </w:rPr>
        <w:t>砂</w:t>
      </w:r>
      <w:r>
        <w:rPr>
          <w:rFonts w:cstheme="minorBidi"/>
        </w:rPr>
        <w:t>石料加工系统历来是水电站施工的排污大户，该类废水排放的主要污染物为SS。</w:t>
      </w:r>
      <w:r>
        <w:rPr>
          <w:rFonts w:hint="eastAsia" w:cstheme="minorBidi"/>
        </w:rPr>
        <w:t>根据</w:t>
      </w:r>
      <w:r>
        <w:rPr>
          <w:rFonts w:cstheme="minorBidi"/>
        </w:rPr>
        <w:t>同类工程砂石料</w:t>
      </w:r>
      <w:r>
        <w:rPr>
          <w:rFonts w:hint="eastAsia" w:cstheme="minorBidi"/>
        </w:rPr>
        <w:t>加工</w:t>
      </w:r>
      <w:r>
        <w:rPr>
          <w:rFonts w:cstheme="minorBidi"/>
        </w:rPr>
        <w:t>系统废水监测成果，在不进行处理的情况下，</w:t>
      </w:r>
      <w:r>
        <w:rPr>
          <w:rFonts w:hint="eastAsia" w:cstheme="minorBidi"/>
        </w:rPr>
        <w:t>SS</w:t>
      </w:r>
      <w:r>
        <w:rPr>
          <w:rFonts w:cstheme="minorBidi"/>
        </w:rPr>
        <w:t>平均浓度一般很高，低时超过500mg/</w:t>
      </w:r>
      <w:r>
        <w:rPr>
          <w:rFonts w:hint="eastAsia" w:cstheme="minorBidi"/>
        </w:rPr>
        <w:t>L</w:t>
      </w:r>
      <w:r>
        <w:rPr>
          <w:rFonts w:cstheme="minorBidi"/>
        </w:rPr>
        <w:t>，高时达到8000mg/</w:t>
      </w:r>
      <w:r>
        <w:rPr>
          <w:rFonts w:hint="eastAsia" w:cstheme="minorBidi"/>
        </w:rPr>
        <w:t>L</w:t>
      </w:r>
      <w:r>
        <w:rPr>
          <w:rFonts w:cstheme="minorBidi"/>
        </w:rPr>
        <w:t>。</w:t>
      </w:r>
      <w:r>
        <w:rPr>
          <w:rFonts w:hint="eastAsia" w:cstheme="minorBidi"/>
        </w:rPr>
        <w:t>根据项目初设，</w:t>
      </w:r>
      <w:r>
        <w:rPr>
          <w:rFonts w:cstheme="minorBidi"/>
        </w:rPr>
        <w:t>工程建设期间砂石料需求量约</w:t>
      </w:r>
      <w:r>
        <w:rPr>
          <w:rFonts w:hint="eastAsia" w:cstheme="minorBidi"/>
        </w:rPr>
        <w:t>2.66万</w:t>
      </w:r>
      <w:r>
        <w:rPr>
          <w:rFonts w:cstheme="minorBidi"/>
        </w:rPr>
        <w:t>m</w:t>
      </w:r>
      <w:r>
        <w:rPr>
          <w:rFonts w:cstheme="minorBidi"/>
          <w:vertAlign w:val="superscript"/>
        </w:rPr>
        <w:t>3</w:t>
      </w:r>
      <w:r>
        <w:rPr>
          <w:rFonts w:cstheme="minorBidi"/>
        </w:rPr>
        <w:t>，按照</w:t>
      </w:r>
      <w:r>
        <w:rPr>
          <w:rFonts w:hint="eastAsia" w:cstheme="minorBidi"/>
        </w:rPr>
        <w:t>每</w:t>
      </w:r>
      <w:r>
        <w:rPr>
          <w:rFonts w:cstheme="minorBidi"/>
        </w:rPr>
        <w:t>加工1m</w:t>
      </w:r>
      <w:r>
        <w:rPr>
          <w:rFonts w:cstheme="minorBidi"/>
          <w:vertAlign w:val="superscript"/>
        </w:rPr>
        <w:t>3</w:t>
      </w:r>
      <w:r>
        <w:rPr>
          <w:rFonts w:cstheme="minorBidi"/>
        </w:rPr>
        <w:t>砂石料，需要</w:t>
      </w:r>
      <w:r>
        <w:rPr>
          <w:rFonts w:hint="eastAsia" w:cstheme="minorBidi"/>
        </w:rPr>
        <w:t>1.5</w:t>
      </w:r>
      <w:r>
        <w:rPr>
          <w:rFonts w:cstheme="minorBidi"/>
        </w:rPr>
        <w:t>m</w:t>
      </w:r>
      <w:r>
        <w:rPr>
          <w:rFonts w:cstheme="minorBidi"/>
          <w:vertAlign w:val="superscript"/>
        </w:rPr>
        <w:t>3</w:t>
      </w:r>
      <w:r>
        <w:rPr>
          <w:rFonts w:cstheme="minorBidi"/>
        </w:rPr>
        <w:t>的新鲜水</w:t>
      </w:r>
      <w:r>
        <w:rPr>
          <w:rFonts w:hint="eastAsia" w:cstheme="minorBidi"/>
        </w:rPr>
        <w:t>，</w:t>
      </w:r>
      <w:r>
        <w:rPr>
          <w:rFonts w:cstheme="minorBidi"/>
        </w:rPr>
        <w:t>如果全部采用新鲜水作为砂石料加工用水，新鲜水用水量为</w:t>
      </w:r>
      <w:r>
        <w:rPr>
          <w:rFonts w:hint="eastAsia" w:cstheme="minorBidi"/>
        </w:rPr>
        <w:t>3.99万</w:t>
      </w:r>
      <w:r>
        <w:rPr>
          <w:rFonts w:cstheme="minorBidi"/>
        </w:rPr>
        <w:t>m</w:t>
      </w:r>
      <w:r>
        <w:rPr>
          <w:rFonts w:cstheme="minorBidi"/>
          <w:vertAlign w:val="superscript"/>
        </w:rPr>
        <w:t>3</w:t>
      </w:r>
      <w:r>
        <w:rPr>
          <w:rFonts w:hint="eastAsia" w:cstheme="minorBidi"/>
        </w:rPr>
        <w:t>。</w:t>
      </w:r>
      <w:r>
        <w:rPr>
          <w:rFonts w:cstheme="minorBidi"/>
        </w:rPr>
        <w:t>项目主体工程</w:t>
      </w:r>
      <w:r>
        <w:rPr>
          <w:rFonts w:hint="eastAsia" w:cstheme="minorBidi"/>
        </w:rPr>
        <w:t>总</w:t>
      </w:r>
      <w:r>
        <w:rPr>
          <w:rFonts w:cstheme="minorBidi"/>
        </w:rPr>
        <w:t>施工期为</w:t>
      </w:r>
      <w:r>
        <w:rPr>
          <w:rFonts w:hint="eastAsia" w:cstheme="minorBidi"/>
        </w:rPr>
        <w:t>9</w:t>
      </w:r>
      <w:r>
        <w:rPr>
          <w:rFonts w:cstheme="minorBidi"/>
        </w:rPr>
        <w:t>个月，砂石料加工系统生产期以</w:t>
      </w:r>
      <w:r>
        <w:rPr>
          <w:rFonts w:hint="eastAsia" w:cstheme="minorBidi"/>
        </w:rPr>
        <w:t>270</w:t>
      </w:r>
      <w:r>
        <w:rPr>
          <w:rFonts w:cstheme="minorBidi"/>
        </w:rPr>
        <w:t>d计，则砂石料加工系统每天需要的新鲜水为</w:t>
      </w:r>
      <w:r>
        <w:rPr>
          <w:rFonts w:hint="eastAsia" w:cstheme="minorBidi"/>
        </w:rPr>
        <w:t>147.8</w:t>
      </w:r>
      <w:r>
        <w:rPr>
          <w:rFonts w:cstheme="minorBidi"/>
        </w:rPr>
        <w:t>m</w:t>
      </w:r>
      <w:r>
        <w:rPr>
          <w:rFonts w:cstheme="minorBidi"/>
          <w:vertAlign w:val="superscript"/>
        </w:rPr>
        <w:t>3</w:t>
      </w:r>
      <w:r>
        <w:rPr>
          <w:rFonts w:cstheme="minorBidi"/>
        </w:rPr>
        <w:t>/d</w:t>
      </w:r>
      <w:r>
        <w:rPr>
          <w:rFonts w:hint="eastAsia" w:cstheme="minorBidi"/>
        </w:rPr>
        <w:t>。</w:t>
      </w:r>
      <w:r>
        <w:rPr>
          <w:rFonts w:cstheme="minorBidi"/>
        </w:rPr>
        <w:t>考虑物料表面吸水、蒸发、渗漏等造成的水量损失，</w:t>
      </w:r>
      <w:r>
        <w:rPr>
          <w:rFonts w:hint="eastAsia" w:cstheme="minorBidi"/>
          <w:color w:val="FF0000"/>
        </w:rPr>
        <w:t>约有</w:t>
      </w:r>
      <w:r>
        <w:rPr>
          <w:rFonts w:cstheme="minorBidi"/>
          <w:color w:val="FF0000"/>
        </w:rPr>
        <w:t>80%</w:t>
      </w:r>
      <w:r>
        <w:rPr>
          <w:rFonts w:hint="eastAsia" w:cstheme="minorBidi"/>
          <w:color w:val="FF0000"/>
        </w:rPr>
        <w:t>的</w:t>
      </w:r>
      <w:r>
        <w:rPr>
          <w:rFonts w:cstheme="minorBidi"/>
          <w:color w:val="FF0000"/>
        </w:rPr>
        <w:t>生产废水</w:t>
      </w:r>
      <w:r>
        <w:rPr>
          <w:rFonts w:hint="eastAsia" w:cstheme="minorBidi"/>
          <w:color w:val="FF0000"/>
        </w:rPr>
        <w:t>产生</w:t>
      </w:r>
      <w:r>
        <w:rPr>
          <w:rFonts w:cstheme="minorBidi"/>
          <w:color w:val="FF0000"/>
        </w:rPr>
        <w:t>，</w:t>
      </w:r>
      <w:r>
        <w:rPr>
          <w:rFonts w:cstheme="minorBidi"/>
        </w:rPr>
        <w:t>砂石料加工系统产生废水为</w:t>
      </w:r>
      <w:r>
        <w:rPr>
          <w:rFonts w:hint="eastAsia" w:cstheme="minorBidi"/>
        </w:rPr>
        <w:t>118.24</w:t>
      </w:r>
      <w:r>
        <w:rPr>
          <w:rFonts w:cstheme="minorBidi"/>
        </w:rPr>
        <w:t>m</w:t>
      </w:r>
      <w:r>
        <w:rPr>
          <w:rFonts w:cstheme="minorBidi"/>
          <w:vertAlign w:val="superscript"/>
        </w:rPr>
        <w:t>3</w:t>
      </w:r>
      <w:r>
        <w:rPr>
          <w:rFonts w:cstheme="minorBidi"/>
        </w:rPr>
        <w:t>/d</w:t>
      </w:r>
      <w:r>
        <w:rPr>
          <w:rFonts w:hint="eastAsia" w:cstheme="minorBidi"/>
        </w:rPr>
        <w:t>。</w:t>
      </w:r>
    </w:p>
    <w:p w14:paraId="5134CDF8">
      <w:pPr>
        <w:ind w:firstLine="480"/>
        <w:rPr>
          <w:rFonts w:cstheme="minorBidi"/>
        </w:rPr>
      </w:pPr>
      <w:r>
        <w:rPr>
          <w:rFonts w:cstheme="minorBidi"/>
        </w:rPr>
        <w:t>（</w:t>
      </w:r>
      <w:r>
        <w:rPr>
          <w:rFonts w:hint="eastAsia" w:cstheme="minorBidi"/>
        </w:rPr>
        <w:t>2</w:t>
      </w:r>
      <w:r>
        <w:rPr>
          <w:rFonts w:cstheme="minorBidi"/>
        </w:rPr>
        <w:t>）混凝土拌和系统冲洗废水</w:t>
      </w:r>
    </w:p>
    <w:p w14:paraId="648FAFA4">
      <w:pPr>
        <w:ind w:firstLine="480"/>
      </w:pPr>
      <w:r>
        <w:rPr>
          <w:rFonts w:hint="eastAsia"/>
        </w:rPr>
        <w:t>工程拟在坝址下游右侧约2</w:t>
      </w:r>
      <w:r>
        <w:t>7</w:t>
      </w:r>
      <w:r>
        <w:rPr>
          <w:rFonts w:hint="eastAsia"/>
        </w:rPr>
        <w:t>m处布置</w:t>
      </w:r>
      <w:r>
        <w:t>0.4m</w:t>
      </w:r>
      <w:r>
        <w:rPr>
          <w:vertAlign w:val="superscript"/>
        </w:rPr>
        <w:t>3</w:t>
      </w:r>
      <w:r>
        <w:rPr>
          <w:rFonts w:hint="eastAsia"/>
        </w:rPr>
        <w:t>的混凝土拌和机1台。</w:t>
      </w:r>
      <w:r>
        <w:t>混凝土拌和过程中基本不产生废水，废水来源于</w:t>
      </w:r>
      <w:r>
        <w:rPr>
          <w:rFonts w:hint="eastAsia"/>
        </w:rPr>
        <w:t>搅拌机</w:t>
      </w:r>
      <w:r>
        <w:t>转筒和料罐的冲洗</w:t>
      </w:r>
      <w:r>
        <w:rPr>
          <w:rFonts w:hint="eastAsia"/>
        </w:rPr>
        <w:t>，</w:t>
      </w:r>
      <w:r>
        <w:t>每次冲洗</w:t>
      </w:r>
      <w:r>
        <w:rPr>
          <w:rFonts w:hint="eastAsia"/>
        </w:rPr>
        <w:t>用</w:t>
      </w:r>
      <w:r>
        <w:t>水量约</w:t>
      </w:r>
      <w:r>
        <w:rPr>
          <w:rFonts w:hint="eastAsia"/>
        </w:rPr>
        <w:t>为</w:t>
      </w:r>
      <w:r>
        <w:t>0.</w:t>
      </w:r>
      <w:r>
        <w:rPr>
          <w:rFonts w:hint="eastAsia"/>
        </w:rPr>
        <w:t>2</w:t>
      </w:r>
      <w:r>
        <w:t>m</w:t>
      </w:r>
      <w:r>
        <w:rPr>
          <w:vertAlign w:val="superscript"/>
        </w:rPr>
        <w:t>3</w:t>
      </w:r>
      <w:r>
        <w:rPr>
          <w:rFonts w:hint="eastAsia"/>
        </w:rPr>
        <w:t>。</w:t>
      </w:r>
      <w:r>
        <w:t>考虑物料表面吸水、蒸发、渗漏等造成的水量损失，</w:t>
      </w:r>
      <w:r>
        <w:rPr>
          <w:rFonts w:hint="eastAsia"/>
        </w:rPr>
        <w:t>废水产生量以95</w:t>
      </w:r>
      <w:r>
        <w:t>%</w:t>
      </w:r>
      <w:r>
        <w:rPr>
          <w:rFonts w:hint="eastAsia"/>
        </w:rPr>
        <w:t>计</w:t>
      </w:r>
      <w:r>
        <w:t>，</w:t>
      </w:r>
      <w:r>
        <w:rPr>
          <w:rFonts w:hint="eastAsia"/>
        </w:rPr>
        <w:t>则</w:t>
      </w:r>
      <w:r>
        <w:t>混凝土拌和系统废水产生量为</w:t>
      </w:r>
      <w:r>
        <w:rPr>
          <w:rFonts w:hint="eastAsia"/>
        </w:rPr>
        <w:t>0.19</w:t>
      </w:r>
      <w:r>
        <w:t>m</w:t>
      </w:r>
      <w:r>
        <w:rPr>
          <w:vertAlign w:val="superscript"/>
        </w:rPr>
        <w:t>3</w:t>
      </w:r>
      <w:r>
        <w:t>/次</w:t>
      </w:r>
      <w:r>
        <w:rPr>
          <w:rFonts w:hint="eastAsia"/>
        </w:rPr>
        <w:t>，</w:t>
      </w:r>
      <w:r>
        <w:t>每班末冲洗1次，按2班/日计算</w:t>
      </w:r>
      <w:r>
        <w:rPr>
          <w:rFonts w:hint="eastAsia"/>
        </w:rPr>
        <w:t>，则</w:t>
      </w:r>
      <w:r>
        <w:t>混凝土</w:t>
      </w:r>
      <w:r>
        <w:rPr>
          <w:rFonts w:hint="eastAsia"/>
        </w:rPr>
        <w:t>搅拌机</w:t>
      </w:r>
      <w:r>
        <w:t>冲洗废水产生量约</w:t>
      </w:r>
      <w:r>
        <w:rPr>
          <w:rFonts w:hint="eastAsia"/>
        </w:rPr>
        <w:t>0.38</w:t>
      </w:r>
      <w:r>
        <w:t>m</w:t>
      </w:r>
      <w:r>
        <w:rPr>
          <w:vertAlign w:val="superscript"/>
        </w:rPr>
        <w:t>3</w:t>
      </w:r>
      <w:r>
        <w:t>/d</w:t>
      </w:r>
      <w:r>
        <w:rPr>
          <w:rFonts w:hint="eastAsia"/>
        </w:rPr>
        <w:t>。</w:t>
      </w:r>
      <w:r>
        <w:rPr>
          <w:szCs w:val="24"/>
        </w:rPr>
        <w:t>混凝土拌和系统</w:t>
      </w:r>
      <w:r>
        <w:rPr>
          <w:rFonts w:hint="eastAsia"/>
          <w:szCs w:val="24"/>
        </w:rPr>
        <w:t>冲洗</w:t>
      </w:r>
      <w:r>
        <w:rPr>
          <w:szCs w:val="24"/>
        </w:rPr>
        <w:t>废水排放量相对较小，排放具有间断性和分散性的特点，</w:t>
      </w:r>
      <w:r>
        <w:t>废水中的</w:t>
      </w:r>
      <w:r>
        <w:rPr>
          <w:rFonts w:hint="eastAsia"/>
        </w:rPr>
        <w:t>SS</w:t>
      </w:r>
      <w:r>
        <w:t>浓度约为</w:t>
      </w:r>
      <w:r>
        <w:rPr>
          <w:rFonts w:hint="eastAsia"/>
        </w:rPr>
        <w:t>200</w:t>
      </w:r>
      <w:r>
        <w:t>mg/L</w:t>
      </w:r>
      <w:r>
        <w:rPr>
          <w:rFonts w:hint="eastAsia"/>
        </w:rPr>
        <w:t>~</w:t>
      </w:r>
      <w:r>
        <w:t>5000mg/L，pH值约为11</w:t>
      </w:r>
      <w:r>
        <w:rPr>
          <w:rFonts w:hint="eastAsia"/>
        </w:rPr>
        <w:t>。</w:t>
      </w:r>
    </w:p>
    <w:p w14:paraId="279D1B76">
      <w:pPr>
        <w:pStyle w:val="141"/>
      </w:pPr>
      <w:r>
        <w:rPr>
          <w:rFonts w:hint="eastAsia"/>
        </w:rPr>
        <w:t>3.1.1.2施工</w:t>
      </w:r>
      <w:r>
        <w:t>生活污水</w:t>
      </w:r>
    </w:p>
    <w:p w14:paraId="2B78AB93">
      <w:pPr>
        <w:ind w:firstLine="480"/>
        <w:rPr>
          <w:szCs w:val="24"/>
        </w:rPr>
      </w:pPr>
      <w:r>
        <w:rPr>
          <w:rFonts w:hint="eastAsia" w:ascii="宋体"/>
          <w:szCs w:val="24"/>
        </w:rPr>
        <w:t>生活污水由施工人员在日常生活过程中排放，排放点在施工营地附近。</w:t>
      </w:r>
      <w:r>
        <w:rPr>
          <w:rFonts w:hint="eastAsia"/>
          <w:szCs w:val="24"/>
        </w:rPr>
        <w:t>项目施工人员平均50人/d计，</w:t>
      </w:r>
      <w:r>
        <w:rPr>
          <w:rFonts w:hint="eastAsia"/>
        </w:rPr>
        <w:t>根据《云南省地方标准用水定额》（DB53/T 168-2013）中的表 12“农村居民生活用水定额”，拟建工程施工期施工人员用水定额执行集中供水热带（I区）65L（人·d）~95L/（人·d）的标准，本次环评取值70L/（人·d），排放系数按 80%计，</w:t>
      </w:r>
      <w:r>
        <w:rPr>
          <w:rFonts w:hint="eastAsia"/>
          <w:szCs w:val="24"/>
        </w:rPr>
        <w:t>则生活污水排放量2.8m</w:t>
      </w:r>
      <w:r>
        <w:rPr>
          <w:rFonts w:hint="eastAsia"/>
          <w:szCs w:val="24"/>
          <w:vertAlign w:val="superscript"/>
        </w:rPr>
        <w:t>3</w:t>
      </w:r>
      <w:r>
        <w:rPr>
          <w:rFonts w:hint="eastAsia"/>
          <w:szCs w:val="24"/>
        </w:rPr>
        <w:t>/d。施工期所排放的生活污水中所含污染物的种类和浓度均明显低于一般城市生活污水，主要污染物浓度的变化范围是：SS 300mg/L～400mg/L、NH</w:t>
      </w:r>
      <w:r>
        <w:rPr>
          <w:rFonts w:hint="eastAsia"/>
          <w:szCs w:val="24"/>
          <w:vertAlign w:val="subscript"/>
        </w:rPr>
        <w:t>3</w:t>
      </w:r>
      <w:r>
        <w:rPr>
          <w:rFonts w:hint="eastAsia"/>
          <w:szCs w:val="24"/>
        </w:rPr>
        <w:t>-N 25mg/L～30mg/L、TP＜8mg/L、COD 100mg/L～200mg/L、BOD</w:t>
      </w:r>
      <w:r>
        <w:rPr>
          <w:rFonts w:hint="eastAsia"/>
          <w:szCs w:val="24"/>
          <w:vertAlign w:val="subscript"/>
        </w:rPr>
        <w:t xml:space="preserve">5 </w:t>
      </w:r>
      <w:r>
        <w:rPr>
          <w:rFonts w:hint="eastAsia"/>
          <w:szCs w:val="24"/>
        </w:rPr>
        <w:t>80mg/L～150mg/L。</w:t>
      </w:r>
    </w:p>
    <w:p w14:paraId="389585A9">
      <w:pPr>
        <w:ind w:firstLine="480"/>
      </w:pPr>
      <w:r>
        <w:t>施工期生产、生活废水排放情况见</w:t>
      </w:r>
      <w:r>
        <w:rPr>
          <w:rFonts w:hint="eastAsia"/>
        </w:rPr>
        <w:t>下表：</w:t>
      </w:r>
    </w:p>
    <w:p w14:paraId="12F65363">
      <w:pPr>
        <w:pStyle w:val="82"/>
        <w:framePr w:hSpace="0" w:wrap="auto" w:vAnchor="margin" w:hAnchor="text" w:xAlign="left" w:yAlign="inline"/>
      </w:pPr>
      <w:r>
        <w:t>表3-</w:t>
      </w:r>
      <w:r>
        <w:rPr>
          <w:rFonts w:hint="eastAsia"/>
        </w:rPr>
        <w:t xml:space="preserve">1-1  </w:t>
      </w:r>
      <w:r>
        <w:t>主要施工废水汇总表</w:t>
      </w:r>
    </w:p>
    <w:tbl>
      <w:tblPr>
        <w:tblStyle w:val="57"/>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37"/>
        <w:gridCol w:w="1183"/>
        <w:gridCol w:w="4802"/>
      </w:tblGrid>
      <w:tr w14:paraId="5C11F1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37" w:type="dxa"/>
            <w:vAlign w:val="center"/>
          </w:tcPr>
          <w:p w14:paraId="476177D8">
            <w:pPr>
              <w:pStyle w:val="84"/>
            </w:pPr>
            <w:r>
              <w:t>污染源</w:t>
            </w:r>
          </w:p>
        </w:tc>
        <w:tc>
          <w:tcPr>
            <w:tcW w:w="1183" w:type="dxa"/>
            <w:vAlign w:val="center"/>
          </w:tcPr>
          <w:p w14:paraId="0E26E321">
            <w:pPr>
              <w:pStyle w:val="84"/>
            </w:pPr>
            <w:r>
              <w:t>排放</w:t>
            </w:r>
            <w:r>
              <w:rPr>
                <w:rFonts w:hint="eastAsia"/>
              </w:rPr>
              <w:t>量</w:t>
            </w:r>
          </w:p>
        </w:tc>
        <w:tc>
          <w:tcPr>
            <w:tcW w:w="4802" w:type="dxa"/>
            <w:vAlign w:val="center"/>
          </w:tcPr>
          <w:p w14:paraId="6A26D6FD">
            <w:pPr>
              <w:pStyle w:val="84"/>
            </w:pPr>
            <w:r>
              <w:t>主要污染物排放浓度</w:t>
            </w:r>
          </w:p>
        </w:tc>
      </w:tr>
      <w:tr w14:paraId="688623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37" w:type="dxa"/>
            <w:vAlign w:val="center"/>
          </w:tcPr>
          <w:p w14:paraId="7DF41EB1">
            <w:pPr>
              <w:pStyle w:val="84"/>
            </w:pPr>
            <w:r>
              <w:rPr>
                <w:rFonts w:cstheme="minorBidi"/>
              </w:rPr>
              <w:t>砂石料加工系统</w:t>
            </w:r>
            <w:r>
              <w:rPr>
                <w:rFonts w:hint="eastAsia" w:cstheme="minorBidi"/>
              </w:rPr>
              <w:t>筛洗</w:t>
            </w:r>
            <w:r>
              <w:rPr>
                <w:rFonts w:cstheme="minorBidi"/>
              </w:rPr>
              <w:t>废水</w:t>
            </w:r>
          </w:p>
        </w:tc>
        <w:tc>
          <w:tcPr>
            <w:tcW w:w="1183" w:type="dxa"/>
            <w:vAlign w:val="center"/>
          </w:tcPr>
          <w:p w14:paraId="6A5B23D9">
            <w:pPr>
              <w:pStyle w:val="84"/>
            </w:pPr>
            <w:r>
              <w:rPr>
                <w:rFonts w:hint="eastAsia" w:cstheme="minorBidi"/>
              </w:rPr>
              <w:t>118.24</w:t>
            </w:r>
            <w:r>
              <w:rPr>
                <w:rFonts w:cstheme="minorBidi"/>
              </w:rPr>
              <w:t>m</w:t>
            </w:r>
            <w:r>
              <w:rPr>
                <w:rFonts w:cstheme="minorBidi"/>
                <w:vertAlign w:val="superscript"/>
              </w:rPr>
              <w:t>3</w:t>
            </w:r>
            <w:r>
              <w:rPr>
                <w:rFonts w:cstheme="minorBidi"/>
              </w:rPr>
              <w:t>/d</w:t>
            </w:r>
          </w:p>
        </w:tc>
        <w:tc>
          <w:tcPr>
            <w:tcW w:w="4802" w:type="dxa"/>
            <w:vAlign w:val="center"/>
          </w:tcPr>
          <w:p w14:paraId="796C93B8">
            <w:pPr>
              <w:pStyle w:val="84"/>
            </w:pPr>
            <w:r>
              <w:t>SS</w:t>
            </w:r>
            <w:r>
              <w:rPr>
                <w:rFonts w:hint="eastAsia"/>
              </w:rPr>
              <w:t xml:space="preserve"> 500</w:t>
            </w:r>
            <w:r>
              <w:t>mg/L</w:t>
            </w:r>
            <w:r>
              <w:rPr>
                <w:rFonts w:hint="eastAsia"/>
              </w:rPr>
              <w:t>~8</w:t>
            </w:r>
            <w:r>
              <w:t>000mg/L</w:t>
            </w:r>
          </w:p>
        </w:tc>
      </w:tr>
      <w:tr w14:paraId="0E993A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37" w:type="dxa"/>
            <w:vAlign w:val="center"/>
          </w:tcPr>
          <w:p w14:paraId="113E5480">
            <w:pPr>
              <w:pStyle w:val="84"/>
            </w:pPr>
            <w:r>
              <w:t>混凝土拌和系统</w:t>
            </w:r>
            <w:r>
              <w:rPr>
                <w:rFonts w:hint="eastAsia"/>
              </w:rPr>
              <w:t>冲洗废水</w:t>
            </w:r>
          </w:p>
        </w:tc>
        <w:tc>
          <w:tcPr>
            <w:tcW w:w="1183" w:type="dxa"/>
            <w:vAlign w:val="center"/>
          </w:tcPr>
          <w:p w14:paraId="5B3B0780">
            <w:pPr>
              <w:pStyle w:val="84"/>
            </w:pPr>
            <w:r>
              <w:rPr>
                <w:rFonts w:hint="eastAsia"/>
              </w:rPr>
              <w:t>0.38</w:t>
            </w:r>
            <w:r>
              <w:t>m</w:t>
            </w:r>
            <w:r>
              <w:rPr>
                <w:vertAlign w:val="superscript"/>
              </w:rPr>
              <w:t>3</w:t>
            </w:r>
            <w:r>
              <w:t>/d</w:t>
            </w:r>
          </w:p>
        </w:tc>
        <w:tc>
          <w:tcPr>
            <w:tcW w:w="4802" w:type="dxa"/>
            <w:vAlign w:val="center"/>
          </w:tcPr>
          <w:p w14:paraId="61B1B546">
            <w:pPr>
              <w:pStyle w:val="84"/>
            </w:pPr>
            <w:r>
              <w:t>SS</w:t>
            </w:r>
            <w:r>
              <w:rPr>
                <w:rFonts w:hint="eastAsia"/>
              </w:rPr>
              <w:t xml:space="preserve"> 200</w:t>
            </w:r>
            <w:r>
              <w:t>mg/L</w:t>
            </w:r>
            <w:r>
              <w:rPr>
                <w:rFonts w:hint="eastAsia"/>
              </w:rPr>
              <w:t>~</w:t>
            </w:r>
            <w:r>
              <w:t>5000mg/L，pH</w:t>
            </w:r>
            <w:r>
              <w:rPr>
                <w:rFonts w:hint="eastAsia"/>
              </w:rPr>
              <w:t>值约为11</w:t>
            </w:r>
          </w:p>
        </w:tc>
      </w:tr>
      <w:tr w14:paraId="5867BD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37" w:type="dxa"/>
            <w:vAlign w:val="center"/>
          </w:tcPr>
          <w:p w14:paraId="62408AB7">
            <w:pPr>
              <w:pStyle w:val="84"/>
            </w:pPr>
            <w:r>
              <w:t>施工人员</w:t>
            </w:r>
            <w:r>
              <w:rPr>
                <w:rFonts w:hint="eastAsia"/>
              </w:rPr>
              <w:t>生活</w:t>
            </w:r>
            <w:r>
              <w:t>废水</w:t>
            </w:r>
          </w:p>
        </w:tc>
        <w:tc>
          <w:tcPr>
            <w:tcW w:w="1183" w:type="dxa"/>
            <w:vAlign w:val="center"/>
          </w:tcPr>
          <w:p w14:paraId="66B1725A">
            <w:pPr>
              <w:pStyle w:val="84"/>
            </w:pPr>
            <w:r>
              <w:rPr>
                <w:rFonts w:hint="eastAsia"/>
              </w:rPr>
              <w:t>2.8m</w:t>
            </w:r>
            <w:r>
              <w:rPr>
                <w:rFonts w:hint="eastAsia"/>
                <w:vertAlign w:val="superscript"/>
              </w:rPr>
              <w:t>3</w:t>
            </w:r>
            <w:r>
              <w:rPr>
                <w:rFonts w:hint="eastAsia"/>
              </w:rPr>
              <w:t>/d</w:t>
            </w:r>
          </w:p>
        </w:tc>
        <w:tc>
          <w:tcPr>
            <w:tcW w:w="4802" w:type="dxa"/>
            <w:vAlign w:val="center"/>
          </w:tcPr>
          <w:p w14:paraId="041866D4">
            <w:pPr>
              <w:pStyle w:val="84"/>
            </w:pPr>
            <w:r>
              <w:rPr>
                <w:rFonts w:hint="eastAsia"/>
              </w:rPr>
              <w:t>SS 300mg/L～400mg/L、NH</w:t>
            </w:r>
            <w:r>
              <w:rPr>
                <w:rFonts w:hint="eastAsia"/>
                <w:vertAlign w:val="subscript"/>
              </w:rPr>
              <w:t>3</w:t>
            </w:r>
            <w:r>
              <w:rPr>
                <w:rFonts w:hint="eastAsia"/>
              </w:rPr>
              <w:t>-N 25mg/L～30mg/L、TP＜8mg/L、COD 100mg/L～200mg/L、BOD</w:t>
            </w:r>
            <w:r>
              <w:rPr>
                <w:rFonts w:hint="eastAsia"/>
                <w:vertAlign w:val="subscript"/>
              </w:rPr>
              <w:t xml:space="preserve">5 </w:t>
            </w:r>
            <w:r>
              <w:rPr>
                <w:rFonts w:hint="eastAsia"/>
              </w:rPr>
              <w:t>80mg/L～150mg/L</w:t>
            </w:r>
          </w:p>
        </w:tc>
      </w:tr>
    </w:tbl>
    <w:p w14:paraId="15FED36D">
      <w:pPr>
        <w:spacing w:before="120" w:beforeLines="50"/>
        <w:ind w:firstLine="480"/>
        <w:rPr>
          <w:color w:val="FF0000"/>
        </w:rPr>
      </w:pPr>
      <w:bookmarkStart w:id="392" w:name="_Toc376457530"/>
      <w:bookmarkStart w:id="393" w:name="_Toc377831841"/>
      <w:bookmarkStart w:id="394" w:name="_Toc534485218"/>
      <w:bookmarkStart w:id="395" w:name="_Toc377420722"/>
      <w:bookmarkStart w:id="396" w:name="_Toc397428314"/>
      <w:bookmarkStart w:id="397" w:name="_Toc454046507"/>
      <w:bookmarkStart w:id="398" w:name="_Toc443655410"/>
      <w:bookmarkStart w:id="399" w:name="_Toc377115084"/>
      <w:r>
        <w:rPr>
          <w:rFonts w:hint="eastAsia"/>
          <w:color w:val="FF0000"/>
        </w:rPr>
        <w:t>目前，项目已施工6个月（其中施工准备1个月，主体工程施工期为5个月），已产生及后续施工将产生的废水量见下表：</w:t>
      </w:r>
    </w:p>
    <w:p w14:paraId="74BED1EA">
      <w:pPr>
        <w:pStyle w:val="82"/>
        <w:framePr w:hSpace="0" w:wrap="auto" w:vAnchor="margin" w:hAnchor="text" w:xAlign="left" w:yAlign="inline"/>
        <w:rPr>
          <w:color w:val="FF0000"/>
        </w:rPr>
      </w:pPr>
      <w:r>
        <w:rPr>
          <w:rFonts w:hint="eastAsia"/>
          <w:color w:val="FF0000"/>
        </w:rPr>
        <w:t>表3-1-2  随工程施工进度所产生的废水量统计表   单位：</w:t>
      </w:r>
      <w:r>
        <w:rPr>
          <w:color w:val="FF0000"/>
        </w:rPr>
        <w:t>m</w:t>
      </w:r>
      <w:r>
        <w:rPr>
          <w:color w:val="FF0000"/>
          <w:vertAlign w:val="superscript"/>
        </w:rPr>
        <w:t>3</w:t>
      </w:r>
    </w:p>
    <w:tbl>
      <w:tblPr>
        <w:tblStyle w:val="57"/>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1095"/>
        <w:gridCol w:w="2582"/>
        <w:gridCol w:w="2551"/>
        <w:gridCol w:w="1513"/>
      </w:tblGrid>
      <w:tr w14:paraId="4865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67" w:type="dxa"/>
            <w:gridSpan w:val="2"/>
            <w:tcBorders>
              <w:left w:val="nil"/>
              <w:tl2br w:val="single" w:color="auto" w:sz="4" w:space="0"/>
            </w:tcBorders>
            <w:vAlign w:val="center"/>
          </w:tcPr>
          <w:p w14:paraId="23E30A9C">
            <w:pPr>
              <w:pStyle w:val="84"/>
              <w:rPr>
                <w:color w:val="FF0000"/>
              </w:rPr>
            </w:pPr>
            <w:r>
              <w:rPr>
                <w:rFonts w:hint="eastAsia"/>
                <w:color w:val="FF0000"/>
              </w:rPr>
              <w:t xml:space="preserve">   污染源</w:t>
            </w:r>
          </w:p>
          <w:p w14:paraId="77BE1EE6">
            <w:pPr>
              <w:pStyle w:val="84"/>
              <w:rPr>
                <w:color w:val="FF0000"/>
              </w:rPr>
            </w:pPr>
            <w:r>
              <w:rPr>
                <w:rFonts w:hint="eastAsia"/>
                <w:color w:val="FF0000"/>
              </w:rPr>
              <w:t>产生时段</w:t>
            </w:r>
          </w:p>
        </w:tc>
        <w:tc>
          <w:tcPr>
            <w:tcW w:w="2582" w:type="dxa"/>
            <w:vAlign w:val="center"/>
          </w:tcPr>
          <w:p w14:paraId="03D40E51">
            <w:pPr>
              <w:pStyle w:val="84"/>
              <w:rPr>
                <w:color w:val="FF0000"/>
              </w:rPr>
            </w:pPr>
            <w:r>
              <w:rPr>
                <w:color w:val="FF0000"/>
              </w:rPr>
              <w:t>砂石料加工系统</w:t>
            </w:r>
            <w:r>
              <w:rPr>
                <w:rFonts w:hint="eastAsia"/>
                <w:color w:val="FF0000"/>
              </w:rPr>
              <w:t>筛洗</w:t>
            </w:r>
            <w:r>
              <w:rPr>
                <w:color w:val="FF0000"/>
              </w:rPr>
              <w:t>废水</w:t>
            </w:r>
          </w:p>
        </w:tc>
        <w:tc>
          <w:tcPr>
            <w:tcW w:w="2551" w:type="dxa"/>
            <w:vAlign w:val="center"/>
          </w:tcPr>
          <w:p w14:paraId="70611099">
            <w:pPr>
              <w:pStyle w:val="84"/>
              <w:rPr>
                <w:color w:val="FF0000"/>
              </w:rPr>
            </w:pPr>
            <w:r>
              <w:rPr>
                <w:color w:val="FF0000"/>
              </w:rPr>
              <w:t>混凝土拌和系统</w:t>
            </w:r>
            <w:r>
              <w:rPr>
                <w:rFonts w:hint="eastAsia"/>
                <w:color w:val="FF0000"/>
              </w:rPr>
              <w:t>冲洗废水</w:t>
            </w:r>
          </w:p>
        </w:tc>
        <w:tc>
          <w:tcPr>
            <w:tcW w:w="1513" w:type="dxa"/>
            <w:tcBorders>
              <w:right w:val="nil"/>
            </w:tcBorders>
            <w:vAlign w:val="center"/>
          </w:tcPr>
          <w:p w14:paraId="0D1E57FC">
            <w:pPr>
              <w:pStyle w:val="84"/>
              <w:rPr>
                <w:color w:val="FF0000"/>
              </w:rPr>
            </w:pPr>
            <w:r>
              <w:rPr>
                <w:color w:val="FF0000"/>
              </w:rPr>
              <w:t>施工</w:t>
            </w:r>
            <w:r>
              <w:rPr>
                <w:rFonts w:hint="eastAsia"/>
                <w:color w:val="FF0000"/>
              </w:rPr>
              <w:t>生活</w:t>
            </w:r>
            <w:r>
              <w:rPr>
                <w:color w:val="FF0000"/>
              </w:rPr>
              <w:t>废水</w:t>
            </w:r>
          </w:p>
        </w:tc>
      </w:tr>
      <w:tr w14:paraId="201F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Merge w:val="restart"/>
            <w:tcBorders>
              <w:left w:val="nil"/>
            </w:tcBorders>
            <w:vAlign w:val="center"/>
          </w:tcPr>
          <w:p w14:paraId="47C06EE8">
            <w:pPr>
              <w:pStyle w:val="84"/>
              <w:rPr>
                <w:color w:val="FF0000"/>
              </w:rPr>
            </w:pPr>
            <w:r>
              <w:rPr>
                <w:rFonts w:hint="eastAsia"/>
                <w:color w:val="FF0000"/>
              </w:rPr>
              <w:t>已施工</w:t>
            </w:r>
          </w:p>
        </w:tc>
        <w:tc>
          <w:tcPr>
            <w:tcW w:w="1095" w:type="dxa"/>
            <w:vAlign w:val="center"/>
          </w:tcPr>
          <w:p w14:paraId="66BC7EF3">
            <w:pPr>
              <w:pStyle w:val="84"/>
              <w:rPr>
                <w:color w:val="FF0000"/>
              </w:rPr>
            </w:pPr>
            <w:r>
              <w:rPr>
                <w:rFonts w:hint="eastAsia"/>
                <w:color w:val="FF0000"/>
              </w:rPr>
              <w:t>产生量</w:t>
            </w:r>
          </w:p>
        </w:tc>
        <w:tc>
          <w:tcPr>
            <w:tcW w:w="2582" w:type="dxa"/>
            <w:vAlign w:val="center"/>
          </w:tcPr>
          <w:p w14:paraId="46F17A55">
            <w:pPr>
              <w:pStyle w:val="84"/>
              <w:rPr>
                <w:color w:val="FF0000"/>
              </w:rPr>
            </w:pPr>
            <w:r>
              <w:rPr>
                <w:rFonts w:hint="eastAsia" w:cstheme="minorBidi"/>
                <w:color w:val="FF0000"/>
              </w:rPr>
              <w:t>118.24</w:t>
            </w:r>
            <w:r>
              <w:rPr>
                <w:rFonts w:cstheme="minorBidi"/>
                <w:color w:val="FF0000"/>
              </w:rPr>
              <w:t>m</w:t>
            </w:r>
            <w:r>
              <w:rPr>
                <w:rFonts w:cstheme="minorBidi"/>
                <w:color w:val="FF0000"/>
                <w:vertAlign w:val="superscript"/>
              </w:rPr>
              <w:t>3</w:t>
            </w:r>
            <w:r>
              <w:rPr>
                <w:rFonts w:cstheme="minorBidi"/>
                <w:color w:val="FF0000"/>
              </w:rPr>
              <w:t>/d</w:t>
            </w:r>
            <w:r>
              <w:rPr>
                <w:rFonts w:hint="eastAsia" w:cstheme="minorBidi"/>
                <w:color w:val="FF0000"/>
              </w:rPr>
              <w:t>，17736t</w:t>
            </w:r>
          </w:p>
        </w:tc>
        <w:tc>
          <w:tcPr>
            <w:tcW w:w="2551" w:type="dxa"/>
            <w:vAlign w:val="center"/>
          </w:tcPr>
          <w:p w14:paraId="136BAB09">
            <w:pPr>
              <w:pStyle w:val="84"/>
              <w:rPr>
                <w:color w:val="FF0000"/>
              </w:rPr>
            </w:pPr>
            <w:r>
              <w:rPr>
                <w:rFonts w:hint="eastAsia"/>
                <w:color w:val="FF0000"/>
              </w:rPr>
              <w:t>0.38</w:t>
            </w:r>
            <w:r>
              <w:rPr>
                <w:color w:val="FF0000"/>
              </w:rPr>
              <w:t>m</w:t>
            </w:r>
            <w:r>
              <w:rPr>
                <w:color w:val="FF0000"/>
                <w:vertAlign w:val="superscript"/>
              </w:rPr>
              <w:t>3</w:t>
            </w:r>
            <w:r>
              <w:rPr>
                <w:color w:val="FF0000"/>
              </w:rPr>
              <w:t>/d</w:t>
            </w:r>
            <w:r>
              <w:rPr>
                <w:rFonts w:hint="eastAsia"/>
                <w:color w:val="FF0000"/>
              </w:rPr>
              <w:t>，57t</w:t>
            </w:r>
          </w:p>
        </w:tc>
        <w:tc>
          <w:tcPr>
            <w:tcW w:w="1513" w:type="dxa"/>
            <w:tcBorders>
              <w:right w:val="nil"/>
            </w:tcBorders>
            <w:vAlign w:val="center"/>
          </w:tcPr>
          <w:p w14:paraId="06907D31">
            <w:pPr>
              <w:pStyle w:val="84"/>
              <w:rPr>
                <w:color w:val="FF0000"/>
              </w:rPr>
            </w:pPr>
            <w:r>
              <w:rPr>
                <w:rFonts w:hint="eastAsia"/>
                <w:color w:val="FF0000"/>
              </w:rPr>
              <w:t>2.8m</w:t>
            </w:r>
            <w:r>
              <w:rPr>
                <w:rFonts w:hint="eastAsia"/>
                <w:color w:val="FF0000"/>
                <w:vertAlign w:val="superscript"/>
              </w:rPr>
              <w:t>3</w:t>
            </w:r>
            <w:r>
              <w:rPr>
                <w:rFonts w:hint="eastAsia"/>
                <w:color w:val="FF0000"/>
              </w:rPr>
              <w:t>/d，420t</w:t>
            </w:r>
          </w:p>
        </w:tc>
      </w:tr>
      <w:tr w14:paraId="6407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Merge w:val="continue"/>
            <w:tcBorders>
              <w:left w:val="nil"/>
            </w:tcBorders>
            <w:vAlign w:val="center"/>
          </w:tcPr>
          <w:p w14:paraId="610AFB38">
            <w:pPr>
              <w:pStyle w:val="84"/>
              <w:rPr>
                <w:color w:val="FF0000"/>
              </w:rPr>
            </w:pPr>
          </w:p>
        </w:tc>
        <w:tc>
          <w:tcPr>
            <w:tcW w:w="1095" w:type="dxa"/>
            <w:vAlign w:val="center"/>
          </w:tcPr>
          <w:p w14:paraId="03712C6A">
            <w:pPr>
              <w:pStyle w:val="84"/>
              <w:rPr>
                <w:color w:val="FF0000"/>
              </w:rPr>
            </w:pPr>
            <w:r>
              <w:rPr>
                <w:rFonts w:hint="eastAsia"/>
                <w:color w:val="FF0000"/>
              </w:rPr>
              <w:t>排放去向</w:t>
            </w:r>
          </w:p>
        </w:tc>
        <w:tc>
          <w:tcPr>
            <w:tcW w:w="6646" w:type="dxa"/>
            <w:gridSpan w:val="3"/>
            <w:tcBorders>
              <w:right w:val="nil"/>
            </w:tcBorders>
            <w:vAlign w:val="center"/>
          </w:tcPr>
          <w:p w14:paraId="67188F39">
            <w:pPr>
              <w:pStyle w:val="84"/>
              <w:rPr>
                <w:color w:val="FF0000"/>
              </w:rPr>
            </w:pPr>
            <w:r>
              <w:rPr>
                <w:rFonts w:hint="eastAsia"/>
                <w:color w:val="FF0000"/>
              </w:rPr>
              <w:t>废水经简易沉淀后排放</w:t>
            </w:r>
          </w:p>
        </w:tc>
      </w:tr>
      <w:tr w14:paraId="1079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Merge w:val="restart"/>
            <w:tcBorders>
              <w:left w:val="nil"/>
            </w:tcBorders>
            <w:vAlign w:val="center"/>
          </w:tcPr>
          <w:p w14:paraId="793681D2">
            <w:pPr>
              <w:pStyle w:val="84"/>
              <w:rPr>
                <w:color w:val="FF0000"/>
              </w:rPr>
            </w:pPr>
            <w:r>
              <w:rPr>
                <w:rFonts w:hint="eastAsia"/>
                <w:color w:val="FF0000"/>
              </w:rPr>
              <w:t>后续</w:t>
            </w:r>
          </w:p>
          <w:p w14:paraId="4C1185FA">
            <w:pPr>
              <w:pStyle w:val="84"/>
              <w:rPr>
                <w:color w:val="FF0000"/>
              </w:rPr>
            </w:pPr>
            <w:r>
              <w:rPr>
                <w:rFonts w:hint="eastAsia"/>
                <w:color w:val="FF0000"/>
              </w:rPr>
              <w:t>施工</w:t>
            </w:r>
          </w:p>
        </w:tc>
        <w:tc>
          <w:tcPr>
            <w:tcW w:w="1095" w:type="dxa"/>
            <w:vAlign w:val="center"/>
          </w:tcPr>
          <w:p w14:paraId="039E0FBD">
            <w:pPr>
              <w:pStyle w:val="84"/>
              <w:rPr>
                <w:color w:val="FF0000"/>
              </w:rPr>
            </w:pPr>
            <w:r>
              <w:rPr>
                <w:rFonts w:hint="eastAsia"/>
                <w:color w:val="FF0000"/>
              </w:rPr>
              <w:t>产生量</w:t>
            </w:r>
          </w:p>
        </w:tc>
        <w:tc>
          <w:tcPr>
            <w:tcW w:w="2582" w:type="dxa"/>
            <w:tcBorders>
              <w:bottom w:val="single" w:color="auto" w:sz="4" w:space="0"/>
            </w:tcBorders>
            <w:vAlign w:val="center"/>
          </w:tcPr>
          <w:p w14:paraId="3E944DED">
            <w:pPr>
              <w:pStyle w:val="84"/>
              <w:rPr>
                <w:color w:val="FF0000"/>
              </w:rPr>
            </w:pPr>
            <w:r>
              <w:rPr>
                <w:rFonts w:hint="eastAsia" w:cstheme="minorBidi"/>
                <w:color w:val="FF0000"/>
              </w:rPr>
              <w:t>118.24</w:t>
            </w:r>
            <w:r>
              <w:rPr>
                <w:rFonts w:cstheme="minorBidi"/>
                <w:color w:val="FF0000"/>
              </w:rPr>
              <w:t>m</w:t>
            </w:r>
            <w:r>
              <w:rPr>
                <w:rFonts w:cstheme="minorBidi"/>
                <w:color w:val="FF0000"/>
                <w:vertAlign w:val="superscript"/>
              </w:rPr>
              <w:t>3</w:t>
            </w:r>
            <w:r>
              <w:rPr>
                <w:rFonts w:cstheme="minorBidi"/>
                <w:color w:val="FF0000"/>
              </w:rPr>
              <w:t>/d</w:t>
            </w:r>
            <w:r>
              <w:rPr>
                <w:rFonts w:hint="eastAsia" w:cstheme="minorBidi"/>
                <w:color w:val="FF0000"/>
              </w:rPr>
              <w:t>，14188.8t</w:t>
            </w:r>
          </w:p>
        </w:tc>
        <w:tc>
          <w:tcPr>
            <w:tcW w:w="2551" w:type="dxa"/>
            <w:tcBorders>
              <w:bottom w:val="single" w:color="auto" w:sz="4" w:space="0"/>
            </w:tcBorders>
            <w:vAlign w:val="center"/>
          </w:tcPr>
          <w:p w14:paraId="25587690">
            <w:pPr>
              <w:pStyle w:val="84"/>
              <w:rPr>
                <w:color w:val="FF0000"/>
              </w:rPr>
            </w:pPr>
            <w:r>
              <w:rPr>
                <w:rFonts w:hint="eastAsia"/>
                <w:color w:val="FF0000"/>
              </w:rPr>
              <w:t>0.38</w:t>
            </w:r>
            <w:r>
              <w:rPr>
                <w:color w:val="FF0000"/>
              </w:rPr>
              <w:t>m</w:t>
            </w:r>
            <w:r>
              <w:rPr>
                <w:color w:val="FF0000"/>
                <w:vertAlign w:val="superscript"/>
              </w:rPr>
              <w:t>3</w:t>
            </w:r>
            <w:r>
              <w:rPr>
                <w:color w:val="FF0000"/>
              </w:rPr>
              <w:t>/d</w:t>
            </w:r>
            <w:r>
              <w:rPr>
                <w:rFonts w:hint="eastAsia"/>
                <w:color w:val="FF0000"/>
              </w:rPr>
              <w:t>，45.6t</w:t>
            </w:r>
          </w:p>
        </w:tc>
        <w:tc>
          <w:tcPr>
            <w:tcW w:w="1513" w:type="dxa"/>
            <w:tcBorders>
              <w:bottom w:val="single" w:color="auto" w:sz="4" w:space="0"/>
              <w:right w:val="nil"/>
            </w:tcBorders>
            <w:vAlign w:val="center"/>
          </w:tcPr>
          <w:p w14:paraId="59FD8BDA">
            <w:pPr>
              <w:pStyle w:val="84"/>
              <w:rPr>
                <w:color w:val="FF0000"/>
              </w:rPr>
            </w:pPr>
            <w:r>
              <w:rPr>
                <w:rFonts w:hint="eastAsia"/>
                <w:color w:val="FF0000"/>
              </w:rPr>
              <w:t>2.8m</w:t>
            </w:r>
            <w:r>
              <w:rPr>
                <w:rFonts w:hint="eastAsia"/>
                <w:color w:val="FF0000"/>
                <w:vertAlign w:val="superscript"/>
              </w:rPr>
              <w:t>3</w:t>
            </w:r>
            <w:r>
              <w:rPr>
                <w:rFonts w:hint="eastAsia"/>
                <w:color w:val="FF0000"/>
              </w:rPr>
              <w:t>/d，336t</w:t>
            </w:r>
          </w:p>
        </w:tc>
      </w:tr>
      <w:tr w14:paraId="6ECF9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Merge w:val="continue"/>
            <w:tcBorders>
              <w:left w:val="nil"/>
            </w:tcBorders>
            <w:vAlign w:val="center"/>
          </w:tcPr>
          <w:p w14:paraId="678A8039">
            <w:pPr>
              <w:pStyle w:val="84"/>
              <w:rPr>
                <w:color w:val="FF0000"/>
              </w:rPr>
            </w:pPr>
          </w:p>
        </w:tc>
        <w:tc>
          <w:tcPr>
            <w:tcW w:w="1095" w:type="dxa"/>
            <w:vAlign w:val="center"/>
          </w:tcPr>
          <w:p w14:paraId="21511F53">
            <w:pPr>
              <w:pStyle w:val="84"/>
              <w:rPr>
                <w:color w:val="FF0000"/>
              </w:rPr>
            </w:pPr>
            <w:r>
              <w:rPr>
                <w:rFonts w:hint="eastAsia"/>
                <w:color w:val="FF0000"/>
              </w:rPr>
              <w:t>排放去向</w:t>
            </w:r>
          </w:p>
        </w:tc>
        <w:tc>
          <w:tcPr>
            <w:tcW w:w="6646" w:type="dxa"/>
            <w:gridSpan w:val="3"/>
            <w:tcBorders>
              <w:right w:val="nil"/>
            </w:tcBorders>
            <w:vAlign w:val="center"/>
          </w:tcPr>
          <w:p w14:paraId="4A0F2317">
            <w:pPr>
              <w:pStyle w:val="84"/>
              <w:rPr>
                <w:color w:val="FF0000"/>
              </w:rPr>
            </w:pPr>
            <w:r>
              <w:rPr>
                <w:rFonts w:hint="eastAsia"/>
                <w:color w:val="FF0000"/>
              </w:rPr>
              <w:t>经沉淀处理后回用于生产，不外排</w:t>
            </w:r>
          </w:p>
        </w:tc>
      </w:tr>
    </w:tbl>
    <w:p w14:paraId="376193E8">
      <w:pPr>
        <w:pStyle w:val="113"/>
      </w:pPr>
      <w:bookmarkStart w:id="400" w:name="_Toc471737990"/>
      <w:bookmarkStart w:id="401" w:name="_Toc508642445"/>
      <w:r>
        <w:t>3</w:t>
      </w:r>
      <w:r>
        <w:rPr>
          <w:rFonts w:hint="eastAsia"/>
        </w:rPr>
        <w:t>.</w:t>
      </w:r>
      <w:bookmarkEnd w:id="392"/>
      <w:bookmarkEnd w:id="393"/>
      <w:bookmarkEnd w:id="394"/>
      <w:bookmarkEnd w:id="395"/>
      <w:bookmarkStart w:id="402" w:name="_Toc377420723"/>
      <w:bookmarkStart w:id="403" w:name="_Toc377831842"/>
      <w:bookmarkStart w:id="404" w:name="_Toc534485219"/>
      <w:r>
        <w:rPr>
          <w:rFonts w:hint="eastAsia"/>
        </w:rPr>
        <w:t>1.2</w:t>
      </w:r>
      <w:bookmarkEnd w:id="396"/>
      <w:r>
        <w:rPr>
          <w:rFonts w:hint="eastAsia"/>
        </w:rPr>
        <w:t>废气</w:t>
      </w:r>
      <w:bookmarkEnd w:id="397"/>
      <w:bookmarkEnd w:id="398"/>
      <w:bookmarkEnd w:id="400"/>
      <w:bookmarkEnd w:id="401"/>
    </w:p>
    <w:p w14:paraId="21EB7883">
      <w:pPr>
        <w:pStyle w:val="141"/>
      </w:pPr>
      <w:bookmarkStart w:id="405" w:name="_Toc355708974"/>
      <w:bookmarkStart w:id="406" w:name="_Toc355784503"/>
      <w:bookmarkStart w:id="407" w:name="_Toc365812631"/>
      <w:bookmarkStart w:id="408" w:name="_Toc356556678"/>
      <w:bookmarkStart w:id="409" w:name="_Toc7081"/>
      <w:bookmarkStart w:id="410" w:name="_Toc355784262"/>
      <w:r>
        <w:rPr>
          <w:rFonts w:hint="eastAsia"/>
        </w:rPr>
        <w:t>3.1.2.1</w:t>
      </w:r>
      <w:bookmarkEnd w:id="405"/>
      <w:bookmarkEnd w:id="406"/>
      <w:bookmarkEnd w:id="407"/>
      <w:bookmarkEnd w:id="408"/>
      <w:bookmarkEnd w:id="409"/>
      <w:bookmarkEnd w:id="410"/>
      <w:r>
        <w:rPr>
          <w:rFonts w:hint="eastAsia"/>
        </w:rPr>
        <w:t>施工粉尘</w:t>
      </w:r>
    </w:p>
    <w:p w14:paraId="5C6172F8">
      <w:pPr>
        <w:ind w:firstLine="480"/>
        <w:rPr>
          <w:szCs w:val="20"/>
          <w:lang w:val="zh-CN"/>
        </w:rPr>
      </w:pPr>
      <w:r>
        <w:rPr>
          <w:rFonts w:hint="eastAsia"/>
          <w:szCs w:val="20"/>
          <w:lang w:val="zh-CN"/>
        </w:rPr>
        <w:t>项目施工过程中</w:t>
      </w:r>
      <w:r>
        <w:rPr>
          <w:szCs w:val="20"/>
          <w:lang w:val="zh-CN"/>
        </w:rPr>
        <w:t>，</w:t>
      </w:r>
      <w:r>
        <w:rPr>
          <w:rFonts w:hint="eastAsia" w:cstheme="minorBidi"/>
        </w:rPr>
        <w:t>砂</w:t>
      </w:r>
      <w:r>
        <w:rPr>
          <w:rFonts w:cstheme="minorBidi"/>
        </w:rPr>
        <w:t>石料</w:t>
      </w:r>
      <w:r>
        <w:rPr>
          <w:rFonts w:hint="eastAsia" w:cstheme="minorBidi"/>
        </w:rPr>
        <w:t>筛分</w:t>
      </w:r>
      <w:r>
        <w:rPr>
          <w:rFonts w:cstheme="minorBidi"/>
        </w:rPr>
        <w:t>、混凝土拌和以及施工原料运输和装卸都将产生大量粉尘和飘尘，</w:t>
      </w:r>
      <w:r>
        <w:rPr>
          <w:szCs w:val="20"/>
          <w:lang w:val="zh-CN"/>
        </w:rPr>
        <w:t>致使空气中</w:t>
      </w:r>
      <w:r>
        <w:rPr>
          <w:rFonts w:hint="eastAsia"/>
          <w:szCs w:val="20"/>
          <w:lang w:val="zh-CN"/>
        </w:rPr>
        <w:t>TSP</w:t>
      </w:r>
      <w:r>
        <w:rPr>
          <w:szCs w:val="20"/>
          <w:lang w:val="zh-CN"/>
        </w:rPr>
        <w:t>浓度增加，</w:t>
      </w:r>
      <w:r>
        <w:rPr>
          <w:rFonts w:hint="eastAsia"/>
          <w:szCs w:val="20"/>
          <w:lang w:val="zh-CN"/>
        </w:rPr>
        <w:t>污染施工区环境</w:t>
      </w:r>
      <w:r>
        <w:rPr>
          <w:szCs w:val="20"/>
          <w:lang w:val="zh-CN"/>
        </w:rPr>
        <w:t>。</w:t>
      </w:r>
    </w:p>
    <w:p w14:paraId="7D7B3D8C">
      <w:pPr>
        <w:ind w:firstLine="480"/>
        <w:rPr>
          <w:rFonts w:cstheme="minorBidi"/>
        </w:rPr>
      </w:pPr>
      <w:r>
        <w:rPr>
          <w:rFonts w:hint="eastAsia"/>
          <w:szCs w:val="20"/>
          <w:lang w:val="zh-CN"/>
        </w:rPr>
        <w:t>目前，</w:t>
      </w:r>
      <w:r>
        <w:rPr>
          <w:rFonts w:hint="eastAsia"/>
        </w:rPr>
        <w:t>电站进水闸及厂房基础已施工完毕。在工程施工区内，施工单位并未采取任何的抑尘措施。</w:t>
      </w:r>
    </w:p>
    <w:p w14:paraId="0EE385F2">
      <w:pPr>
        <w:pStyle w:val="141"/>
      </w:pPr>
      <w:bookmarkStart w:id="411" w:name="_Toc355784263"/>
      <w:bookmarkStart w:id="412" w:name="_Toc355784504"/>
      <w:bookmarkStart w:id="413" w:name="_Toc25329"/>
      <w:bookmarkStart w:id="414" w:name="_Toc365812632"/>
      <w:bookmarkStart w:id="415" w:name="_Toc356556679"/>
      <w:bookmarkStart w:id="416" w:name="_Toc355708975"/>
      <w:r>
        <w:rPr>
          <w:rFonts w:hint="eastAsia"/>
        </w:rPr>
        <w:t>3.1.2.2</w:t>
      </w:r>
      <w:bookmarkEnd w:id="411"/>
      <w:bookmarkEnd w:id="412"/>
      <w:bookmarkEnd w:id="413"/>
      <w:bookmarkEnd w:id="414"/>
      <w:bookmarkEnd w:id="415"/>
      <w:bookmarkEnd w:id="416"/>
      <w:r>
        <w:rPr>
          <w:rFonts w:hint="eastAsia"/>
        </w:rPr>
        <w:t>燃油机械废气</w:t>
      </w:r>
    </w:p>
    <w:p w14:paraId="6A798572">
      <w:pPr>
        <w:ind w:firstLine="480"/>
        <w:rPr>
          <w:szCs w:val="20"/>
        </w:rPr>
      </w:pPr>
      <w:r>
        <w:rPr>
          <w:rFonts w:hint="eastAsia"/>
        </w:rPr>
        <w:t>电站工程废气主要来源于施工机械和交通运输等方面。</w:t>
      </w:r>
      <w:r>
        <w:rPr>
          <w:szCs w:val="20"/>
          <w:lang w:val="zh-CN"/>
        </w:rPr>
        <w:t>柴油在燃烧过程中将产生CO、NO</w:t>
      </w:r>
      <w:r>
        <w:rPr>
          <w:rFonts w:hint="eastAsia"/>
          <w:szCs w:val="20"/>
          <w:vertAlign w:val="subscript"/>
          <w:lang w:val="zh-CN"/>
        </w:rPr>
        <w:t>x</w:t>
      </w:r>
      <w:r>
        <w:rPr>
          <w:szCs w:val="20"/>
          <w:lang w:val="zh-CN"/>
        </w:rPr>
        <w:t>、SO</w:t>
      </w:r>
      <w:r>
        <w:rPr>
          <w:szCs w:val="20"/>
          <w:vertAlign w:val="subscript"/>
          <w:lang w:val="zh-CN"/>
        </w:rPr>
        <w:t>2</w:t>
      </w:r>
      <w:r>
        <w:rPr>
          <w:szCs w:val="20"/>
          <w:lang w:val="zh-CN"/>
        </w:rPr>
        <w:t>、C</w:t>
      </w:r>
      <w:r>
        <w:rPr>
          <w:szCs w:val="20"/>
          <w:vertAlign w:val="subscript"/>
          <w:lang w:val="zh-CN"/>
        </w:rPr>
        <w:t>m</w:t>
      </w:r>
      <w:r>
        <w:rPr>
          <w:szCs w:val="20"/>
          <w:lang w:val="zh-CN"/>
        </w:rPr>
        <w:t>H</w:t>
      </w:r>
      <w:r>
        <w:rPr>
          <w:szCs w:val="20"/>
          <w:vertAlign w:val="subscript"/>
          <w:lang w:val="zh-CN"/>
        </w:rPr>
        <w:t>n</w:t>
      </w:r>
      <w:r>
        <w:rPr>
          <w:szCs w:val="20"/>
          <w:lang w:val="zh-CN"/>
        </w:rPr>
        <w:t>等污染物质。根据有关资料介绍，柴油燃烧过程中排放或产生的有害气体量详见</w:t>
      </w:r>
      <w:r>
        <w:rPr>
          <w:rFonts w:hint="eastAsia"/>
          <w:szCs w:val="20"/>
        </w:rPr>
        <w:t>下表：</w:t>
      </w:r>
    </w:p>
    <w:p w14:paraId="66E4C91A">
      <w:pPr>
        <w:pStyle w:val="82"/>
        <w:framePr w:hSpace="0" w:wrap="auto" w:vAnchor="margin" w:hAnchor="text" w:xAlign="left" w:yAlign="inline"/>
      </w:pPr>
      <w:bookmarkStart w:id="417" w:name="_Ref196581471"/>
      <w:r>
        <w:t>表</w:t>
      </w:r>
      <w:r>
        <w:rPr>
          <w:rFonts w:hint="eastAsia"/>
        </w:rPr>
        <w:t>3</w:t>
      </w:r>
      <w:r>
        <w:noBreakHyphen/>
      </w:r>
      <w:bookmarkEnd w:id="417"/>
      <w:r>
        <w:rPr>
          <w:rFonts w:hint="eastAsia"/>
        </w:rPr>
        <w:t xml:space="preserve">1-3  </w:t>
      </w:r>
      <w:r>
        <w:t>单位油料燃烧产生的有害气体指标表</w:t>
      </w:r>
    </w:p>
    <w:tbl>
      <w:tblPr>
        <w:tblStyle w:val="56"/>
        <w:tblW w:w="0" w:type="auto"/>
        <w:tblInd w:w="39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01"/>
        <w:gridCol w:w="1222"/>
        <w:gridCol w:w="1258"/>
        <w:gridCol w:w="1081"/>
        <w:gridCol w:w="1260"/>
      </w:tblGrid>
      <w:tr w14:paraId="304695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3001" w:type="dxa"/>
          </w:tcPr>
          <w:p w14:paraId="4A7ACBDA">
            <w:pPr>
              <w:pStyle w:val="84"/>
            </w:pPr>
            <w:bookmarkStart w:id="418" w:name="OLE_LINK3"/>
            <w:r>
              <w:t>有害物质</w:t>
            </w:r>
          </w:p>
        </w:tc>
        <w:tc>
          <w:tcPr>
            <w:tcW w:w="1222" w:type="dxa"/>
          </w:tcPr>
          <w:p w14:paraId="506429EC">
            <w:pPr>
              <w:pStyle w:val="84"/>
            </w:pPr>
            <w:r>
              <w:t>CO</w:t>
            </w:r>
          </w:p>
        </w:tc>
        <w:tc>
          <w:tcPr>
            <w:tcW w:w="1258" w:type="dxa"/>
          </w:tcPr>
          <w:p w14:paraId="64292B8F">
            <w:pPr>
              <w:pStyle w:val="84"/>
            </w:pPr>
            <w:r>
              <w:t>NO</w:t>
            </w:r>
            <w:r>
              <w:rPr>
                <w:vertAlign w:val="subscript"/>
              </w:rPr>
              <w:t>2</w:t>
            </w:r>
          </w:p>
        </w:tc>
        <w:tc>
          <w:tcPr>
            <w:tcW w:w="1081" w:type="dxa"/>
          </w:tcPr>
          <w:p w14:paraId="018BFC8D">
            <w:pPr>
              <w:pStyle w:val="84"/>
            </w:pPr>
            <w:r>
              <w:t>SO</w:t>
            </w:r>
            <w:r>
              <w:rPr>
                <w:vertAlign w:val="subscript"/>
              </w:rPr>
              <w:t>2</w:t>
            </w:r>
          </w:p>
        </w:tc>
        <w:tc>
          <w:tcPr>
            <w:tcW w:w="1260" w:type="dxa"/>
          </w:tcPr>
          <w:p w14:paraId="1BAEAD34">
            <w:pPr>
              <w:pStyle w:val="84"/>
            </w:pPr>
            <w:r>
              <w:t>C</w:t>
            </w:r>
            <w:r>
              <w:rPr>
                <w:vertAlign w:val="subscript"/>
              </w:rPr>
              <w:t>m</w:t>
            </w:r>
            <w:r>
              <w:t>H</w:t>
            </w:r>
            <w:r>
              <w:rPr>
                <w:vertAlign w:val="subscript"/>
              </w:rPr>
              <w:t>n</w:t>
            </w:r>
          </w:p>
        </w:tc>
      </w:tr>
      <w:tr w14:paraId="184BAE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01" w:type="dxa"/>
          </w:tcPr>
          <w:p w14:paraId="159DC490">
            <w:pPr>
              <w:pStyle w:val="84"/>
            </w:pPr>
            <w:r>
              <w:t>燃烧1t柴油排放量（kg）</w:t>
            </w:r>
          </w:p>
        </w:tc>
        <w:tc>
          <w:tcPr>
            <w:tcW w:w="1222" w:type="dxa"/>
          </w:tcPr>
          <w:p w14:paraId="1819B80C">
            <w:pPr>
              <w:pStyle w:val="84"/>
            </w:pPr>
            <w:r>
              <w:rPr>
                <w:rFonts w:hint="eastAsia"/>
              </w:rPr>
              <w:t>0.78</w:t>
            </w:r>
          </w:p>
        </w:tc>
        <w:tc>
          <w:tcPr>
            <w:tcW w:w="1258" w:type="dxa"/>
          </w:tcPr>
          <w:p w14:paraId="54801FC5">
            <w:pPr>
              <w:pStyle w:val="84"/>
            </w:pPr>
            <w:r>
              <w:rPr>
                <w:rFonts w:hint="eastAsia"/>
              </w:rPr>
              <w:t>2.92</w:t>
            </w:r>
          </w:p>
        </w:tc>
        <w:tc>
          <w:tcPr>
            <w:tcW w:w="1081" w:type="dxa"/>
          </w:tcPr>
          <w:p w14:paraId="70FE60E5">
            <w:pPr>
              <w:pStyle w:val="84"/>
            </w:pPr>
            <w:r>
              <w:rPr>
                <w:rFonts w:hint="eastAsia"/>
              </w:rPr>
              <w:t>2.24</w:t>
            </w:r>
          </w:p>
        </w:tc>
        <w:tc>
          <w:tcPr>
            <w:tcW w:w="1260" w:type="dxa"/>
          </w:tcPr>
          <w:p w14:paraId="790C6069">
            <w:pPr>
              <w:pStyle w:val="84"/>
            </w:pPr>
            <w:r>
              <w:rPr>
                <w:rFonts w:hint="eastAsia"/>
              </w:rPr>
              <w:t>2.13</w:t>
            </w:r>
          </w:p>
        </w:tc>
      </w:tr>
      <w:bookmarkEnd w:id="418"/>
    </w:tbl>
    <w:p w14:paraId="516D5703">
      <w:pPr>
        <w:spacing w:before="120" w:beforeLines="50"/>
        <w:ind w:firstLine="480"/>
        <w:rPr>
          <w:szCs w:val="20"/>
          <w:lang w:val="zh-CN"/>
        </w:rPr>
      </w:pPr>
      <w:r>
        <w:rPr>
          <w:rFonts w:hint="eastAsia"/>
          <w:szCs w:val="20"/>
          <w:lang w:val="zh-CN"/>
        </w:rPr>
        <w:t>拟建项目</w:t>
      </w:r>
      <w:r>
        <w:rPr>
          <w:szCs w:val="20"/>
          <w:lang w:val="zh-CN"/>
        </w:rPr>
        <w:t>施工期</w:t>
      </w:r>
      <w:r>
        <w:rPr>
          <w:rFonts w:hint="eastAsia"/>
          <w:szCs w:val="20"/>
          <w:lang w:val="zh-CN"/>
        </w:rPr>
        <w:t>间</w:t>
      </w:r>
      <w:r>
        <w:rPr>
          <w:szCs w:val="20"/>
          <w:lang w:val="zh-CN"/>
        </w:rPr>
        <w:t>机械燃油和施工开挖</w:t>
      </w:r>
      <w:r>
        <w:rPr>
          <w:rFonts w:hint="eastAsia"/>
          <w:szCs w:val="20"/>
          <w:lang w:val="zh-CN"/>
        </w:rPr>
        <w:t>共计使</w:t>
      </w:r>
      <w:r>
        <w:rPr>
          <w:szCs w:val="20"/>
          <w:lang w:val="zh-CN"/>
        </w:rPr>
        <w:t>用柴油</w:t>
      </w:r>
      <w:r>
        <w:rPr>
          <w:rFonts w:hint="eastAsia"/>
          <w:szCs w:val="20"/>
          <w:lang w:val="zh-CN"/>
        </w:rPr>
        <w:t>50</w:t>
      </w:r>
      <w:r>
        <w:rPr>
          <w:szCs w:val="20"/>
          <w:lang w:val="zh-CN"/>
        </w:rPr>
        <w:t>t，产生的有害气体排放量具体</w:t>
      </w:r>
      <w:r>
        <w:rPr>
          <w:rFonts w:hint="eastAsia"/>
          <w:szCs w:val="20"/>
          <w:lang w:val="zh-CN"/>
        </w:rPr>
        <w:t>见下表：</w:t>
      </w:r>
    </w:p>
    <w:p w14:paraId="479D7713">
      <w:pPr>
        <w:pStyle w:val="82"/>
        <w:framePr w:hSpace="0" w:wrap="auto" w:vAnchor="margin" w:hAnchor="text" w:xAlign="left" w:yAlign="inline"/>
      </w:pPr>
      <w:bookmarkStart w:id="419" w:name="_Ref196581481"/>
      <w:r>
        <w:t>表</w:t>
      </w:r>
      <w:bookmarkEnd w:id="419"/>
      <w:r>
        <w:rPr>
          <w:rFonts w:hint="eastAsia"/>
        </w:rPr>
        <w:t xml:space="preserve">3-1-4 </w:t>
      </w:r>
      <w:r>
        <w:t>工程施工期燃油产生的有害气体总量表</w:t>
      </w:r>
    </w:p>
    <w:tbl>
      <w:tblPr>
        <w:tblStyle w:val="5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1469"/>
        <w:gridCol w:w="1621"/>
        <w:gridCol w:w="1081"/>
        <w:gridCol w:w="2025"/>
      </w:tblGrid>
      <w:tr w14:paraId="492248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43" w:type="dxa"/>
          </w:tcPr>
          <w:p w14:paraId="6E1AF98A">
            <w:pPr>
              <w:pStyle w:val="84"/>
            </w:pPr>
            <w:bookmarkStart w:id="420" w:name="OLE_LINK6"/>
            <w:r>
              <w:t>有害物质（</w:t>
            </w:r>
            <w:r>
              <w:rPr>
                <w:rFonts w:hint="eastAsia"/>
              </w:rPr>
              <w:t>kg</w:t>
            </w:r>
            <w:r>
              <w:t>）</w:t>
            </w:r>
          </w:p>
        </w:tc>
        <w:tc>
          <w:tcPr>
            <w:tcW w:w="1469" w:type="dxa"/>
          </w:tcPr>
          <w:p w14:paraId="67CEBD7E">
            <w:pPr>
              <w:pStyle w:val="84"/>
            </w:pPr>
            <w:r>
              <w:t>CO</w:t>
            </w:r>
          </w:p>
        </w:tc>
        <w:tc>
          <w:tcPr>
            <w:tcW w:w="1621" w:type="dxa"/>
          </w:tcPr>
          <w:p w14:paraId="450A107B">
            <w:pPr>
              <w:pStyle w:val="84"/>
            </w:pPr>
            <w:r>
              <w:t>NO</w:t>
            </w:r>
            <w:r>
              <w:rPr>
                <w:vertAlign w:val="subscript"/>
              </w:rPr>
              <w:t>2</w:t>
            </w:r>
          </w:p>
        </w:tc>
        <w:tc>
          <w:tcPr>
            <w:tcW w:w="1081" w:type="dxa"/>
          </w:tcPr>
          <w:p w14:paraId="48CD8F44">
            <w:pPr>
              <w:pStyle w:val="84"/>
            </w:pPr>
            <w:r>
              <w:t>SO</w:t>
            </w:r>
            <w:r>
              <w:rPr>
                <w:vertAlign w:val="subscript"/>
              </w:rPr>
              <w:t>2</w:t>
            </w:r>
          </w:p>
        </w:tc>
        <w:tc>
          <w:tcPr>
            <w:tcW w:w="2025" w:type="dxa"/>
          </w:tcPr>
          <w:p w14:paraId="325C9353">
            <w:pPr>
              <w:pStyle w:val="84"/>
            </w:pPr>
            <w:r>
              <w:t>C</w:t>
            </w:r>
            <w:r>
              <w:rPr>
                <w:vertAlign w:val="subscript"/>
              </w:rPr>
              <w:t>m</w:t>
            </w:r>
            <w:r>
              <w:t>H</w:t>
            </w:r>
            <w:r>
              <w:rPr>
                <w:vertAlign w:val="subscript"/>
              </w:rPr>
              <w:t>n</w:t>
            </w:r>
          </w:p>
        </w:tc>
      </w:tr>
      <w:tr w14:paraId="01A278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3" w:type="dxa"/>
          </w:tcPr>
          <w:p w14:paraId="33B2C092">
            <w:pPr>
              <w:pStyle w:val="84"/>
            </w:pPr>
            <w:r>
              <w:t>柴油</w:t>
            </w:r>
          </w:p>
        </w:tc>
        <w:tc>
          <w:tcPr>
            <w:tcW w:w="1469" w:type="dxa"/>
            <w:vAlign w:val="center"/>
          </w:tcPr>
          <w:p w14:paraId="6BA1DBB4">
            <w:pPr>
              <w:pStyle w:val="84"/>
            </w:pPr>
            <w:r>
              <w:rPr>
                <w:rFonts w:hint="eastAsia"/>
              </w:rPr>
              <w:t>39</w:t>
            </w:r>
          </w:p>
        </w:tc>
        <w:tc>
          <w:tcPr>
            <w:tcW w:w="1621" w:type="dxa"/>
            <w:vAlign w:val="center"/>
          </w:tcPr>
          <w:p w14:paraId="5EC6098A">
            <w:pPr>
              <w:pStyle w:val="84"/>
            </w:pPr>
            <w:r>
              <w:rPr>
                <w:rFonts w:hint="eastAsia"/>
              </w:rPr>
              <w:t>146</w:t>
            </w:r>
          </w:p>
        </w:tc>
        <w:tc>
          <w:tcPr>
            <w:tcW w:w="1081" w:type="dxa"/>
            <w:vAlign w:val="center"/>
          </w:tcPr>
          <w:p w14:paraId="2FA98E05">
            <w:pPr>
              <w:pStyle w:val="84"/>
            </w:pPr>
            <w:r>
              <w:rPr>
                <w:rFonts w:hint="eastAsia"/>
              </w:rPr>
              <w:t>112</w:t>
            </w:r>
          </w:p>
        </w:tc>
        <w:tc>
          <w:tcPr>
            <w:tcW w:w="2025" w:type="dxa"/>
            <w:vAlign w:val="center"/>
          </w:tcPr>
          <w:p w14:paraId="7CADB248">
            <w:pPr>
              <w:pStyle w:val="84"/>
            </w:pPr>
            <w:r>
              <w:rPr>
                <w:rFonts w:hint="eastAsia"/>
              </w:rPr>
              <w:t>106.5</w:t>
            </w:r>
          </w:p>
        </w:tc>
      </w:tr>
      <w:bookmarkEnd w:id="399"/>
      <w:bookmarkEnd w:id="402"/>
      <w:bookmarkEnd w:id="403"/>
      <w:bookmarkEnd w:id="404"/>
      <w:bookmarkEnd w:id="420"/>
    </w:tbl>
    <w:p w14:paraId="47D030C8">
      <w:pPr>
        <w:pStyle w:val="113"/>
      </w:pPr>
      <w:bookmarkStart w:id="421" w:name="_Toc397428316"/>
      <w:bookmarkStart w:id="422" w:name="_Toc443655411"/>
      <w:bookmarkStart w:id="423" w:name="_Toc508642446"/>
      <w:bookmarkStart w:id="424" w:name="_Toc471737991"/>
      <w:bookmarkStart w:id="425" w:name="_Toc454046508"/>
      <w:r>
        <w:rPr>
          <w:rFonts w:hint="eastAsia"/>
        </w:rPr>
        <w:t>3.1.3噪声</w:t>
      </w:r>
      <w:bookmarkEnd w:id="421"/>
      <w:bookmarkEnd w:id="422"/>
      <w:bookmarkEnd w:id="423"/>
      <w:bookmarkEnd w:id="424"/>
      <w:bookmarkEnd w:id="425"/>
    </w:p>
    <w:p w14:paraId="4B884520">
      <w:pPr>
        <w:ind w:firstLine="480"/>
        <w:rPr>
          <w:rFonts w:cstheme="minorBidi"/>
          <w:bCs/>
        </w:rPr>
      </w:pPr>
      <w:r>
        <w:rPr>
          <w:rFonts w:hint="eastAsia"/>
        </w:rPr>
        <w:t>水电工程施工环境噪声源主要有三种：自产型设备噪声源，如砂浆泵、混凝土泵等设备在运行过程中本身产生的噪声；物件加工型设备噪声源，如搅拌机、破碎机等设备在生产过程中与被加工物件接触时产生的噪声；施工交通运输噪声源。上述噪声源具有分布广又相对集中的特点。交通运输噪声具有间歇性，其它施工机械噪声是持续性的。根据项目初设提供的施工机械清单，并与同等规模、同类施工机械的水电站工程项目相类比，可得到施工期主要噪声源噪声强度，具体情况见下表：</w:t>
      </w:r>
    </w:p>
    <w:p w14:paraId="5AE50F5A">
      <w:pPr>
        <w:pStyle w:val="82"/>
        <w:framePr w:hSpace="0" w:wrap="auto" w:vAnchor="margin" w:hAnchor="text" w:xAlign="left" w:yAlign="inline"/>
      </w:pPr>
      <w:r>
        <w:t>表3-</w:t>
      </w:r>
      <w:r>
        <w:rPr>
          <w:rFonts w:hint="eastAsia"/>
        </w:rPr>
        <w:t>1-5</w:t>
      </w:r>
      <w:r>
        <w:t xml:space="preserve">   施工期主要噪声源强表</w:t>
      </w:r>
      <w:r>
        <w:rPr>
          <w:rFonts w:hint="eastAsia"/>
        </w:rPr>
        <w:t xml:space="preserve">    单位：</w:t>
      </w:r>
      <w:r>
        <w:t>dB(A)</w:t>
      </w:r>
      <w:r>
        <w:rPr>
          <w:rFonts w:hint="eastAsia"/>
        </w:rPr>
        <w:t xml:space="preserve"> </w:t>
      </w:r>
    </w:p>
    <w:tbl>
      <w:tblPr>
        <w:tblStyle w:val="57"/>
        <w:tblW w:w="818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68"/>
        <w:gridCol w:w="2977"/>
        <w:gridCol w:w="2835"/>
      </w:tblGrid>
      <w:tr w14:paraId="7199E4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368" w:type="dxa"/>
            <w:vAlign w:val="center"/>
          </w:tcPr>
          <w:p w14:paraId="14F3F9D2">
            <w:pPr>
              <w:pStyle w:val="84"/>
            </w:pPr>
            <w:r>
              <w:rPr>
                <w:rFonts w:hint="eastAsia"/>
              </w:rPr>
              <w:t>声源类型</w:t>
            </w:r>
          </w:p>
        </w:tc>
        <w:tc>
          <w:tcPr>
            <w:tcW w:w="2977" w:type="dxa"/>
            <w:vAlign w:val="center"/>
          </w:tcPr>
          <w:p w14:paraId="46D3B5FF">
            <w:pPr>
              <w:pStyle w:val="84"/>
            </w:pPr>
            <w:r>
              <w:rPr>
                <w:rFonts w:hint="eastAsia"/>
              </w:rPr>
              <w:t>设备名称</w:t>
            </w:r>
          </w:p>
        </w:tc>
        <w:tc>
          <w:tcPr>
            <w:tcW w:w="2835" w:type="dxa"/>
            <w:vAlign w:val="center"/>
          </w:tcPr>
          <w:p w14:paraId="58D1E314">
            <w:pPr>
              <w:pStyle w:val="84"/>
            </w:pPr>
            <w:r>
              <w:rPr>
                <w:rFonts w:hint="eastAsia"/>
              </w:rPr>
              <w:t>噪声级</w:t>
            </w:r>
          </w:p>
        </w:tc>
      </w:tr>
      <w:tr w14:paraId="64E40A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68" w:type="dxa"/>
            <w:vMerge w:val="restart"/>
            <w:vAlign w:val="center"/>
          </w:tcPr>
          <w:p w14:paraId="4EE1CAA5">
            <w:pPr>
              <w:pStyle w:val="84"/>
            </w:pPr>
            <w:r>
              <w:rPr>
                <w:rFonts w:hint="eastAsia"/>
              </w:rPr>
              <w:t>点源</w:t>
            </w:r>
          </w:p>
        </w:tc>
        <w:tc>
          <w:tcPr>
            <w:tcW w:w="2977" w:type="dxa"/>
            <w:vAlign w:val="center"/>
          </w:tcPr>
          <w:p w14:paraId="114301F9">
            <w:pPr>
              <w:pStyle w:val="84"/>
            </w:pPr>
            <w:r>
              <w:rPr>
                <w:rFonts w:hint="eastAsia"/>
              </w:rPr>
              <w:t>挖掘机</w:t>
            </w:r>
          </w:p>
        </w:tc>
        <w:tc>
          <w:tcPr>
            <w:tcW w:w="2835" w:type="dxa"/>
            <w:vAlign w:val="center"/>
          </w:tcPr>
          <w:p w14:paraId="632D08B5">
            <w:pPr>
              <w:pStyle w:val="84"/>
            </w:pPr>
            <w:r>
              <w:rPr>
                <w:rFonts w:hint="eastAsia"/>
              </w:rPr>
              <w:t>82</w:t>
            </w:r>
          </w:p>
        </w:tc>
      </w:tr>
      <w:tr w14:paraId="65017D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68" w:type="dxa"/>
            <w:vMerge w:val="continue"/>
            <w:vAlign w:val="center"/>
          </w:tcPr>
          <w:p w14:paraId="5977169E">
            <w:pPr>
              <w:pStyle w:val="84"/>
            </w:pPr>
          </w:p>
        </w:tc>
        <w:tc>
          <w:tcPr>
            <w:tcW w:w="2977" w:type="dxa"/>
            <w:vAlign w:val="center"/>
          </w:tcPr>
          <w:p w14:paraId="307BA3CE">
            <w:pPr>
              <w:pStyle w:val="84"/>
            </w:pPr>
            <w:r>
              <w:rPr>
                <w:rFonts w:hint="eastAsia"/>
              </w:rPr>
              <w:t>卷扬机</w:t>
            </w:r>
          </w:p>
        </w:tc>
        <w:tc>
          <w:tcPr>
            <w:tcW w:w="2835" w:type="dxa"/>
            <w:vAlign w:val="center"/>
          </w:tcPr>
          <w:p w14:paraId="46724E7A">
            <w:pPr>
              <w:pStyle w:val="84"/>
            </w:pPr>
            <w:r>
              <w:rPr>
                <w:rFonts w:hint="eastAsia"/>
              </w:rPr>
              <w:t>84</w:t>
            </w:r>
          </w:p>
        </w:tc>
      </w:tr>
      <w:tr w14:paraId="27EB6E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68" w:type="dxa"/>
            <w:vMerge w:val="continue"/>
            <w:vAlign w:val="center"/>
          </w:tcPr>
          <w:p w14:paraId="6E0B34B0">
            <w:pPr>
              <w:pStyle w:val="84"/>
            </w:pPr>
          </w:p>
        </w:tc>
        <w:tc>
          <w:tcPr>
            <w:tcW w:w="2977" w:type="dxa"/>
            <w:vAlign w:val="center"/>
          </w:tcPr>
          <w:p w14:paraId="45397B13">
            <w:pPr>
              <w:pStyle w:val="84"/>
            </w:pPr>
            <w:r>
              <w:rPr>
                <w:rFonts w:hint="eastAsia"/>
              </w:rPr>
              <w:t>手风钻</w:t>
            </w:r>
          </w:p>
        </w:tc>
        <w:tc>
          <w:tcPr>
            <w:tcW w:w="2835" w:type="dxa"/>
            <w:vAlign w:val="center"/>
          </w:tcPr>
          <w:p w14:paraId="7FAA8432">
            <w:pPr>
              <w:pStyle w:val="84"/>
            </w:pPr>
            <w:r>
              <w:rPr>
                <w:rFonts w:hint="eastAsia"/>
              </w:rPr>
              <w:t>95</w:t>
            </w:r>
          </w:p>
        </w:tc>
      </w:tr>
      <w:tr w14:paraId="7D108D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68" w:type="dxa"/>
            <w:vMerge w:val="continue"/>
            <w:vAlign w:val="center"/>
          </w:tcPr>
          <w:p w14:paraId="48079DEF">
            <w:pPr>
              <w:pStyle w:val="84"/>
            </w:pPr>
          </w:p>
        </w:tc>
        <w:tc>
          <w:tcPr>
            <w:tcW w:w="2977" w:type="dxa"/>
            <w:vAlign w:val="center"/>
          </w:tcPr>
          <w:p w14:paraId="53BBF502">
            <w:pPr>
              <w:pStyle w:val="84"/>
              <w:rPr>
                <w:color w:val="FF0000"/>
              </w:rPr>
            </w:pPr>
            <w:r>
              <w:rPr>
                <w:rFonts w:hint="eastAsia"/>
                <w:color w:val="FF0000"/>
              </w:rPr>
              <w:t>混凝土搅拌机</w:t>
            </w:r>
          </w:p>
        </w:tc>
        <w:tc>
          <w:tcPr>
            <w:tcW w:w="2835" w:type="dxa"/>
            <w:vAlign w:val="center"/>
          </w:tcPr>
          <w:p w14:paraId="0C8EE212">
            <w:pPr>
              <w:pStyle w:val="84"/>
              <w:rPr>
                <w:color w:val="FF0000"/>
              </w:rPr>
            </w:pPr>
            <w:r>
              <w:rPr>
                <w:rFonts w:hint="eastAsia"/>
                <w:color w:val="FF0000"/>
              </w:rPr>
              <w:t>85</w:t>
            </w:r>
          </w:p>
        </w:tc>
      </w:tr>
      <w:tr w14:paraId="665DFA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68" w:type="dxa"/>
            <w:vMerge w:val="continue"/>
            <w:vAlign w:val="center"/>
          </w:tcPr>
          <w:p w14:paraId="5AAF4E42">
            <w:pPr>
              <w:pStyle w:val="84"/>
            </w:pPr>
          </w:p>
        </w:tc>
        <w:tc>
          <w:tcPr>
            <w:tcW w:w="2977" w:type="dxa"/>
            <w:vAlign w:val="center"/>
          </w:tcPr>
          <w:p w14:paraId="2B20E56C">
            <w:pPr>
              <w:pStyle w:val="84"/>
              <w:rPr>
                <w:color w:val="FF0000"/>
              </w:rPr>
            </w:pPr>
            <w:r>
              <w:rPr>
                <w:rFonts w:hint="eastAsia"/>
                <w:color w:val="FF0000"/>
              </w:rPr>
              <w:t>混凝土泵</w:t>
            </w:r>
          </w:p>
        </w:tc>
        <w:tc>
          <w:tcPr>
            <w:tcW w:w="2835" w:type="dxa"/>
            <w:vAlign w:val="center"/>
          </w:tcPr>
          <w:p w14:paraId="0FE76392">
            <w:pPr>
              <w:pStyle w:val="84"/>
              <w:rPr>
                <w:color w:val="FF0000"/>
              </w:rPr>
            </w:pPr>
            <w:r>
              <w:rPr>
                <w:rFonts w:hint="eastAsia"/>
                <w:color w:val="FF0000"/>
              </w:rPr>
              <w:t>88</w:t>
            </w:r>
          </w:p>
        </w:tc>
      </w:tr>
      <w:tr w14:paraId="5534C2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68" w:type="dxa"/>
            <w:vMerge w:val="continue"/>
            <w:vAlign w:val="center"/>
          </w:tcPr>
          <w:p w14:paraId="129FE435">
            <w:pPr>
              <w:pStyle w:val="84"/>
            </w:pPr>
          </w:p>
        </w:tc>
        <w:tc>
          <w:tcPr>
            <w:tcW w:w="2977" w:type="dxa"/>
            <w:vAlign w:val="center"/>
          </w:tcPr>
          <w:p w14:paraId="5FC44F67">
            <w:pPr>
              <w:pStyle w:val="84"/>
            </w:pPr>
            <w:r>
              <w:rPr>
                <w:rFonts w:hint="eastAsia"/>
              </w:rPr>
              <w:t>砂浆泵</w:t>
            </w:r>
          </w:p>
        </w:tc>
        <w:tc>
          <w:tcPr>
            <w:tcW w:w="2835" w:type="dxa"/>
            <w:vAlign w:val="center"/>
          </w:tcPr>
          <w:p w14:paraId="78652CB7">
            <w:pPr>
              <w:pStyle w:val="84"/>
            </w:pPr>
            <w:r>
              <w:rPr>
                <w:rFonts w:hint="eastAsia"/>
              </w:rPr>
              <w:t>88</w:t>
            </w:r>
          </w:p>
        </w:tc>
      </w:tr>
      <w:tr w14:paraId="24DC3E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68" w:type="dxa"/>
            <w:vMerge w:val="continue"/>
            <w:vAlign w:val="center"/>
          </w:tcPr>
          <w:p w14:paraId="5F2ABAAE">
            <w:pPr>
              <w:pStyle w:val="84"/>
            </w:pPr>
          </w:p>
        </w:tc>
        <w:tc>
          <w:tcPr>
            <w:tcW w:w="2977" w:type="dxa"/>
            <w:vAlign w:val="center"/>
          </w:tcPr>
          <w:p w14:paraId="15C02F86">
            <w:pPr>
              <w:pStyle w:val="84"/>
            </w:pPr>
            <w:r>
              <w:rPr>
                <w:rFonts w:hint="eastAsia"/>
              </w:rPr>
              <w:t>振捣机</w:t>
            </w:r>
          </w:p>
        </w:tc>
        <w:tc>
          <w:tcPr>
            <w:tcW w:w="2835" w:type="dxa"/>
            <w:vAlign w:val="center"/>
          </w:tcPr>
          <w:p w14:paraId="071CFE84">
            <w:pPr>
              <w:pStyle w:val="84"/>
            </w:pPr>
            <w:r>
              <w:rPr>
                <w:rFonts w:hint="eastAsia"/>
              </w:rPr>
              <w:t>92</w:t>
            </w:r>
          </w:p>
        </w:tc>
      </w:tr>
      <w:tr w14:paraId="740EA6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68" w:type="dxa"/>
            <w:vMerge w:val="continue"/>
            <w:vAlign w:val="center"/>
          </w:tcPr>
          <w:p w14:paraId="3E592A52">
            <w:pPr>
              <w:pStyle w:val="84"/>
            </w:pPr>
          </w:p>
        </w:tc>
        <w:tc>
          <w:tcPr>
            <w:tcW w:w="2977" w:type="dxa"/>
            <w:vAlign w:val="center"/>
          </w:tcPr>
          <w:p w14:paraId="1F62858C">
            <w:pPr>
              <w:pStyle w:val="84"/>
            </w:pPr>
            <w:r>
              <w:rPr>
                <w:rFonts w:hint="eastAsia"/>
              </w:rPr>
              <w:t>打夯机</w:t>
            </w:r>
          </w:p>
        </w:tc>
        <w:tc>
          <w:tcPr>
            <w:tcW w:w="2835" w:type="dxa"/>
            <w:vAlign w:val="center"/>
          </w:tcPr>
          <w:p w14:paraId="28A71E0D">
            <w:pPr>
              <w:pStyle w:val="84"/>
            </w:pPr>
            <w:r>
              <w:rPr>
                <w:rFonts w:hint="eastAsia"/>
              </w:rPr>
              <w:t>90</w:t>
            </w:r>
          </w:p>
        </w:tc>
      </w:tr>
      <w:tr w14:paraId="41442C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68" w:type="dxa"/>
            <w:vMerge w:val="continue"/>
            <w:vAlign w:val="center"/>
          </w:tcPr>
          <w:p w14:paraId="6EA85E02">
            <w:pPr>
              <w:pStyle w:val="84"/>
            </w:pPr>
          </w:p>
        </w:tc>
        <w:tc>
          <w:tcPr>
            <w:tcW w:w="2977" w:type="dxa"/>
            <w:vAlign w:val="center"/>
          </w:tcPr>
          <w:p w14:paraId="3240FB2A">
            <w:pPr>
              <w:pStyle w:val="84"/>
            </w:pPr>
            <w:r>
              <w:rPr>
                <w:rFonts w:hint="eastAsia"/>
              </w:rPr>
              <w:t>破碎机</w:t>
            </w:r>
          </w:p>
        </w:tc>
        <w:tc>
          <w:tcPr>
            <w:tcW w:w="2835" w:type="dxa"/>
            <w:vAlign w:val="center"/>
          </w:tcPr>
          <w:p w14:paraId="3C75959C">
            <w:pPr>
              <w:pStyle w:val="84"/>
            </w:pPr>
            <w:r>
              <w:rPr>
                <w:rFonts w:hint="eastAsia"/>
              </w:rPr>
              <w:t>92</w:t>
            </w:r>
          </w:p>
        </w:tc>
      </w:tr>
      <w:tr w14:paraId="6F0E47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68" w:type="dxa"/>
            <w:vMerge w:val="continue"/>
            <w:vAlign w:val="center"/>
          </w:tcPr>
          <w:p w14:paraId="1A6D57D2">
            <w:pPr>
              <w:pStyle w:val="84"/>
            </w:pPr>
          </w:p>
        </w:tc>
        <w:tc>
          <w:tcPr>
            <w:tcW w:w="2977" w:type="dxa"/>
            <w:vAlign w:val="center"/>
          </w:tcPr>
          <w:p w14:paraId="4421E392">
            <w:pPr>
              <w:pStyle w:val="84"/>
            </w:pPr>
            <w:r>
              <w:rPr>
                <w:rFonts w:hint="eastAsia"/>
              </w:rPr>
              <w:t>棒磨机</w:t>
            </w:r>
          </w:p>
        </w:tc>
        <w:tc>
          <w:tcPr>
            <w:tcW w:w="2835" w:type="dxa"/>
            <w:vAlign w:val="center"/>
          </w:tcPr>
          <w:p w14:paraId="1E27DF96">
            <w:pPr>
              <w:pStyle w:val="84"/>
            </w:pPr>
            <w:r>
              <w:rPr>
                <w:rFonts w:hint="eastAsia"/>
              </w:rPr>
              <w:t>91</w:t>
            </w:r>
          </w:p>
        </w:tc>
      </w:tr>
      <w:tr w14:paraId="65E3DD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68" w:type="dxa"/>
            <w:vMerge w:val="continue"/>
            <w:vAlign w:val="center"/>
          </w:tcPr>
          <w:p w14:paraId="0674F558">
            <w:pPr>
              <w:pStyle w:val="84"/>
            </w:pPr>
          </w:p>
        </w:tc>
        <w:tc>
          <w:tcPr>
            <w:tcW w:w="2977" w:type="dxa"/>
            <w:vAlign w:val="center"/>
          </w:tcPr>
          <w:p w14:paraId="2505BAE9">
            <w:pPr>
              <w:pStyle w:val="84"/>
            </w:pPr>
            <w:r>
              <w:rPr>
                <w:rFonts w:hint="eastAsia"/>
              </w:rPr>
              <w:t>电焊机</w:t>
            </w:r>
          </w:p>
        </w:tc>
        <w:tc>
          <w:tcPr>
            <w:tcW w:w="2835" w:type="dxa"/>
            <w:vAlign w:val="center"/>
          </w:tcPr>
          <w:p w14:paraId="2A92486C">
            <w:pPr>
              <w:pStyle w:val="84"/>
            </w:pPr>
            <w:r>
              <w:rPr>
                <w:rFonts w:hint="eastAsia"/>
              </w:rPr>
              <w:t>88</w:t>
            </w:r>
          </w:p>
        </w:tc>
      </w:tr>
      <w:tr w14:paraId="628398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68" w:type="dxa"/>
            <w:vMerge w:val="restart"/>
            <w:vAlign w:val="center"/>
          </w:tcPr>
          <w:p w14:paraId="17F61AC6">
            <w:pPr>
              <w:pStyle w:val="84"/>
            </w:pPr>
            <w:r>
              <w:rPr>
                <w:rFonts w:hint="eastAsia"/>
              </w:rPr>
              <w:t>线源</w:t>
            </w:r>
          </w:p>
        </w:tc>
        <w:tc>
          <w:tcPr>
            <w:tcW w:w="2977" w:type="dxa"/>
            <w:vAlign w:val="center"/>
          </w:tcPr>
          <w:p w14:paraId="6BC0F54F">
            <w:pPr>
              <w:pStyle w:val="84"/>
            </w:pPr>
            <w:r>
              <w:rPr>
                <w:rFonts w:hint="eastAsia"/>
              </w:rPr>
              <w:t>推土机</w:t>
            </w:r>
          </w:p>
        </w:tc>
        <w:tc>
          <w:tcPr>
            <w:tcW w:w="2835" w:type="dxa"/>
            <w:vAlign w:val="center"/>
          </w:tcPr>
          <w:p w14:paraId="681C82B0">
            <w:pPr>
              <w:pStyle w:val="84"/>
            </w:pPr>
            <w:r>
              <w:rPr>
                <w:rFonts w:hint="eastAsia"/>
              </w:rPr>
              <w:t>85</w:t>
            </w:r>
          </w:p>
        </w:tc>
      </w:tr>
      <w:tr w14:paraId="49F943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68" w:type="dxa"/>
            <w:vMerge w:val="continue"/>
            <w:vAlign w:val="center"/>
          </w:tcPr>
          <w:p w14:paraId="4A20DCFC">
            <w:pPr>
              <w:pStyle w:val="84"/>
            </w:pPr>
          </w:p>
        </w:tc>
        <w:tc>
          <w:tcPr>
            <w:tcW w:w="2977" w:type="dxa"/>
            <w:vAlign w:val="center"/>
          </w:tcPr>
          <w:p w14:paraId="67B77933">
            <w:pPr>
              <w:pStyle w:val="84"/>
            </w:pPr>
            <w:r>
              <w:rPr>
                <w:rFonts w:hint="eastAsia"/>
              </w:rPr>
              <w:t>装载机</w:t>
            </w:r>
          </w:p>
        </w:tc>
        <w:tc>
          <w:tcPr>
            <w:tcW w:w="2835" w:type="dxa"/>
            <w:vAlign w:val="center"/>
          </w:tcPr>
          <w:p w14:paraId="2F2E67E8">
            <w:pPr>
              <w:pStyle w:val="84"/>
            </w:pPr>
            <w:r>
              <w:rPr>
                <w:rFonts w:hint="eastAsia"/>
              </w:rPr>
              <w:t>86</w:t>
            </w:r>
          </w:p>
        </w:tc>
      </w:tr>
      <w:tr w14:paraId="48F454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68" w:type="dxa"/>
            <w:vMerge w:val="continue"/>
            <w:vAlign w:val="center"/>
          </w:tcPr>
          <w:p w14:paraId="41926F17">
            <w:pPr>
              <w:pStyle w:val="84"/>
            </w:pPr>
          </w:p>
        </w:tc>
        <w:tc>
          <w:tcPr>
            <w:tcW w:w="2977" w:type="dxa"/>
            <w:vAlign w:val="center"/>
          </w:tcPr>
          <w:p w14:paraId="74636AB4">
            <w:pPr>
              <w:pStyle w:val="84"/>
            </w:pPr>
            <w:r>
              <w:rPr>
                <w:rFonts w:hint="eastAsia"/>
              </w:rPr>
              <w:t>自卸汽车</w:t>
            </w:r>
          </w:p>
        </w:tc>
        <w:tc>
          <w:tcPr>
            <w:tcW w:w="2835" w:type="dxa"/>
            <w:vAlign w:val="center"/>
          </w:tcPr>
          <w:p w14:paraId="4BCC0413">
            <w:pPr>
              <w:pStyle w:val="84"/>
            </w:pPr>
            <w:r>
              <w:rPr>
                <w:rFonts w:hint="eastAsia"/>
              </w:rPr>
              <w:t>78</w:t>
            </w:r>
          </w:p>
        </w:tc>
      </w:tr>
      <w:tr w14:paraId="2FB506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68" w:type="dxa"/>
            <w:vMerge w:val="continue"/>
            <w:vAlign w:val="center"/>
          </w:tcPr>
          <w:p w14:paraId="524BD430">
            <w:pPr>
              <w:pStyle w:val="84"/>
            </w:pPr>
          </w:p>
        </w:tc>
        <w:tc>
          <w:tcPr>
            <w:tcW w:w="2977" w:type="dxa"/>
            <w:vAlign w:val="center"/>
          </w:tcPr>
          <w:p w14:paraId="1BF9357F">
            <w:pPr>
              <w:pStyle w:val="84"/>
            </w:pPr>
            <w:r>
              <w:rPr>
                <w:rFonts w:hint="eastAsia"/>
              </w:rPr>
              <w:t>机械翻斗车</w:t>
            </w:r>
          </w:p>
        </w:tc>
        <w:tc>
          <w:tcPr>
            <w:tcW w:w="2835" w:type="dxa"/>
            <w:vAlign w:val="center"/>
          </w:tcPr>
          <w:p w14:paraId="710A0D65">
            <w:pPr>
              <w:pStyle w:val="84"/>
            </w:pPr>
            <w:r>
              <w:rPr>
                <w:rFonts w:hint="eastAsia"/>
              </w:rPr>
              <w:t>72</w:t>
            </w:r>
          </w:p>
        </w:tc>
      </w:tr>
    </w:tbl>
    <w:p w14:paraId="23EDED76">
      <w:pPr>
        <w:pStyle w:val="113"/>
      </w:pPr>
      <w:bookmarkStart w:id="426" w:name="_Toc397428317"/>
      <w:bookmarkStart w:id="427" w:name="_Toc471737992"/>
      <w:bookmarkStart w:id="428" w:name="_Toc443655412"/>
      <w:bookmarkStart w:id="429" w:name="_Toc454046509"/>
      <w:bookmarkStart w:id="430" w:name="_Toc508642447"/>
      <w:r>
        <w:rPr>
          <w:rFonts w:hint="eastAsia"/>
        </w:rPr>
        <w:t>3.1.4</w:t>
      </w:r>
      <w:bookmarkEnd w:id="426"/>
      <w:r>
        <w:rPr>
          <w:rFonts w:hint="eastAsia"/>
        </w:rPr>
        <w:t>固体废物</w:t>
      </w:r>
      <w:bookmarkEnd w:id="427"/>
      <w:bookmarkEnd w:id="428"/>
      <w:bookmarkEnd w:id="429"/>
      <w:bookmarkEnd w:id="430"/>
    </w:p>
    <w:p w14:paraId="1141D9DD">
      <w:pPr>
        <w:pStyle w:val="141"/>
        <w:rPr>
          <w:color w:val="FF0000"/>
        </w:rPr>
      </w:pPr>
      <w:r>
        <w:rPr>
          <w:rFonts w:hint="eastAsia"/>
          <w:color w:val="FF0000"/>
        </w:rPr>
        <w:t>3.1.4.1工程弃渣及表土</w:t>
      </w:r>
    </w:p>
    <w:p w14:paraId="28D16BA2">
      <w:pPr>
        <w:ind w:firstLine="480"/>
        <w:rPr>
          <w:rFonts w:cstheme="minorBidi"/>
          <w:color w:val="FF0000"/>
        </w:rPr>
      </w:pPr>
      <w:r>
        <w:rPr>
          <w:rFonts w:hint="eastAsia" w:cstheme="minorBidi"/>
          <w:color w:val="FF0000"/>
        </w:rPr>
        <w:t>拟建项目</w:t>
      </w:r>
      <w:r>
        <w:rPr>
          <w:rFonts w:cstheme="minorBidi"/>
          <w:color w:val="FF0000"/>
        </w:rPr>
        <w:t>施工期</w:t>
      </w:r>
      <w:r>
        <w:rPr>
          <w:color w:val="FF0000"/>
          <w:szCs w:val="24"/>
        </w:rPr>
        <w:t>土石方开挖</w:t>
      </w:r>
      <w:r>
        <w:rPr>
          <w:rFonts w:hint="eastAsia"/>
          <w:color w:val="FF0000"/>
          <w:szCs w:val="24"/>
        </w:rPr>
        <w:t>总量为</w:t>
      </w:r>
      <w:r>
        <w:rPr>
          <w:rFonts w:hint="eastAsia"/>
          <w:color w:val="FF0000"/>
        </w:rPr>
        <w:t>609</w:t>
      </w:r>
      <w:r>
        <w:rPr>
          <w:color w:val="FF0000"/>
        </w:rPr>
        <w:t>37</w:t>
      </w:r>
      <w:r>
        <w:rPr>
          <w:rFonts w:hint="eastAsia"/>
          <w:color w:val="FF0000"/>
          <w:szCs w:val="24"/>
        </w:rPr>
        <w:t>m</w:t>
      </w:r>
      <w:r>
        <w:rPr>
          <w:color w:val="FF0000"/>
          <w:szCs w:val="24"/>
          <w:vertAlign w:val="superscript"/>
        </w:rPr>
        <w:t>3</w:t>
      </w:r>
      <w:r>
        <w:rPr>
          <w:rFonts w:hint="eastAsia"/>
          <w:color w:val="FF0000"/>
          <w:szCs w:val="24"/>
        </w:rPr>
        <w:t>，其中土方</w:t>
      </w:r>
      <w:r>
        <w:rPr>
          <w:rFonts w:hint="eastAsia"/>
          <w:color w:val="FF0000"/>
        </w:rPr>
        <w:t>49182</w:t>
      </w:r>
      <w:r>
        <w:rPr>
          <w:rFonts w:hint="eastAsia"/>
          <w:color w:val="FF0000"/>
          <w:szCs w:val="24"/>
        </w:rPr>
        <w:t>m</w:t>
      </w:r>
      <w:r>
        <w:rPr>
          <w:rFonts w:hint="eastAsia"/>
          <w:color w:val="FF0000"/>
          <w:szCs w:val="24"/>
          <w:vertAlign w:val="superscript"/>
        </w:rPr>
        <w:t>3</w:t>
      </w:r>
      <w:r>
        <w:rPr>
          <w:rFonts w:hint="eastAsia"/>
          <w:color w:val="FF0000"/>
          <w:szCs w:val="24"/>
        </w:rPr>
        <w:t>，石方11755m</w:t>
      </w:r>
      <w:r>
        <w:rPr>
          <w:rFonts w:hint="eastAsia"/>
          <w:color w:val="FF0000"/>
          <w:szCs w:val="24"/>
          <w:vertAlign w:val="superscript"/>
        </w:rPr>
        <w:t>3</w:t>
      </w:r>
      <w:r>
        <w:rPr>
          <w:rFonts w:hint="eastAsia"/>
          <w:color w:val="FF0000"/>
          <w:szCs w:val="24"/>
        </w:rPr>
        <w:t>，回填利用量25922m</w:t>
      </w:r>
      <w:r>
        <w:rPr>
          <w:rFonts w:hint="eastAsia"/>
          <w:color w:val="FF0000"/>
          <w:szCs w:val="24"/>
          <w:vertAlign w:val="superscript"/>
        </w:rPr>
        <w:t>3</w:t>
      </w:r>
      <w:r>
        <w:rPr>
          <w:rFonts w:hint="eastAsia"/>
          <w:color w:val="FF0000"/>
          <w:szCs w:val="24"/>
        </w:rPr>
        <w:t>，调出</w:t>
      </w:r>
      <w:r>
        <w:rPr>
          <w:rFonts w:hint="eastAsia" w:hAnsi="宋体"/>
          <w:color w:val="FF0000"/>
          <w:szCs w:val="24"/>
        </w:rPr>
        <w:t>35015</w:t>
      </w:r>
      <w:r>
        <w:rPr>
          <w:rFonts w:hint="eastAsia"/>
          <w:color w:val="FF0000"/>
          <w:szCs w:val="24"/>
        </w:rPr>
        <w:t>m</w:t>
      </w:r>
      <w:r>
        <w:rPr>
          <w:rFonts w:hint="eastAsia"/>
          <w:color w:val="FF0000"/>
          <w:szCs w:val="24"/>
          <w:vertAlign w:val="superscript"/>
        </w:rPr>
        <w:t>3</w:t>
      </w:r>
      <w:r>
        <w:rPr>
          <w:rFonts w:hint="eastAsia"/>
          <w:color w:val="FF0000"/>
          <w:szCs w:val="24"/>
        </w:rPr>
        <w:t>，因此本工程实际并无弃渣产生。</w:t>
      </w:r>
    </w:p>
    <w:p w14:paraId="56F1DE0B">
      <w:pPr>
        <w:ind w:firstLine="480"/>
        <w:rPr>
          <w:rFonts w:cstheme="minorBidi"/>
          <w:color w:val="FF0000"/>
        </w:rPr>
      </w:pPr>
      <w:r>
        <w:rPr>
          <w:rFonts w:hint="eastAsia" w:cstheme="minorBidi"/>
          <w:color w:val="FF0000"/>
        </w:rPr>
        <w:t>工程剥离</w:t>
      </w:r>
      <w:r>
        <w:rPr>
          <w:rFonts w:cstheme="minorBidi"/>
          <w:color w:val="FF0000"/>
        </w:rPr>
        <w:t>表土</w:t>
      </w:r>
      <w:r>
        <w:rPr>
          <w:rFonts w:hint="eastAsia"/>
          <w:color w:val="FF0000"/>
        </w:rPr>
        <w:t>采取就近剥离就近堆放原则，表土</w:t>
      </w:r>
      <w:r>
        <w:rPr>
          <w:rFonts w:cstheme="minorBidi"/>
          <w:color w:val="FF0000"/>
        </w:rPr>
        <w:t>将用于施工生产生活场地绿化覆土土料</w:t>
      </w:r>
      <w:r>
        <w:rPr>
          <w:rFonts w:hint="eastAsia" w:cstheme="minorBidi"/>
          <w:color w:val="FF0000"/>
        </w:rPr>
        <w:t>。</w:t>
      </w:r>
    </w:p>
    <w:p w14:paraId="77B2C1FC">
      <w:pPr>
        <w:pStyle w:val="141"/>
      </w:pPr>
      <w:r>
        <w:rPr>
          <w:rFonts w:hint="eastAsia"/>
        </w:rPr>
        <w:t>3.1.4.2施工人员生活垃圾</w:t>
      </w:r>
    </w:p>
    <w:p w14:paraId="57BB729B">
      <w:pPr>
        <w:ind w:firstLine="480"/>
      </w:pPr>
      <w:r>
        <w:rPr>
          <w:rFonts w:hint="eastAsia"/>
          <w:szCs w:val="20"/>
        </w:rPr>
        <w:t>施工期生活垃圾按每人每天产生1kg，平均每天50人计算，则生活垃圾产生量为50kg/d；施工期间，</w:t>
      </w:r>
      <w:r>
        <w:t>每人每日粪便量按150g计，则产生的</w:t>
      </w:r>
      <w:r>
        <w:rPr>
          <w:rFonts w:hint="eastAsia"/>
        </w:rPr>
        <w:t>污粪</w:t>
      </w:r>
      <w:r>
        <w:t>量为</w:t>
      </w:r>
      <w:r>
        <w:rPr>
          <w:rFonts w:hint="eastAsia"/>
        </w:rPr>
        <w:t>7.5kg</w:t>
      </w:r>
      <w:r>
        <w:t>/</w:t>
      </w:r>
      <w:r>
        <w:rPr>
          <w:rFonts w:hint="eastAsia"/>
        </w:rPr>
        <w:t>d。</w:t>
      </w:r>
    </w:p>
    <w:p w14:paraId="53350802">
      <w:pPr>
        <w:pStyle w:val="113"/>
      </w:pPr>
      <w:bookmarkStart w:id="431" w:name="_Toc471737994"/>
      <w:bookmarkStart w:id="432" w:name="_Toc377831849"/>
      <w:bookmarkStart w:id="433" w:name="_Toc377420730"/>
      <w:bookmarkStart w:id="434" w:name="_Toc327443474"/>
      <w:bookmarkStart w:id="435" w:name="_Toc304985190"/>
      <w:bookmarkStart w:id="436" w:name="_Toc397428320"/>
      <w:bookmarkStart w:id="437" w:name="_Toc443655413"/>
      <w:bookmarkStart w:id="438" w:name="_Toc377115091"/>
      <w:bookmarkStart w:id="439" w:name="_Toc508642448"/>
      <w:bookmarkStart w:id="440" w:name="_Toc534485226"/>
      <w:bookmarkStart w:id="441" w:name="_Toc454046511"/>
      <w:r>
        <w:rPr>
          <w:rFonts w:hint="eastAsia"/>
        </w:rPr>
        <w:t>3.1.5</w:t>
      </w:r>
      <w:r>
        <w:t>工程占地</w:t>
      </w:r>
      <w:bookmarkEnd w:id="431"/>
      <w:bookmarkEnd w:id="432"/>
      <w:bookmarkEnd w:id="433"/>
      <w:bookmarkEnd w:id="434"/>
      <w:bookmarkEnd w:id="435"/>
      <w:bookmarkEnd w:id="436"/>
      <w:bookmarkEnd w:id="437"/>
      <w:bookmarkEnd w:id="438"/>
      <w:bookmarkEnd w:id="439"/>
      <w:bookmarkEnd w:id="440"/>
      <w:bookmarkEnd w:id="441"/>
    </w:p>
    <w:p w14:paraId="5DCD9F99">
      <w:pPr>
        <w:ind w:firstLine="480"/>
        <w:rPr>
          <w:rFonts w:cstheme="minorBidi"/>
          <w:color w:val="FF0000"/>
        </w:rPr>
      </w:pPr>
      <w:r>
        <w:rPr>
          <w:rFonts w:cstheme="minorBidi"/>
          <w:color w:val="FF0000"/>
        </w:rPr>
        <w:t>工程永久建筑物包括</w:t>
      </w:r>
      <w:r>
        <w:rPr>
          <w:rFonts w:hint="eastAsia" w:cstheme="minorBidi"/>
          <w:color w:val="FF0000"/>
        </w:rPr>
        <w:t>拦河</w:t>
      </w:r>
      <w:r>
        <w:rPr>
          <w:rFonts w:cstheme="minorBidi"/>
          <w:color w:val="FF0000"/>
        </w:rPr>
        <w:t>坝、厂房、升压站</w:t>
      </w:r>
      <w:r>
        <w:rPr>
          <w:rFonts w:hint="eastAsia" w:cstheme="minorBidi"/>
          <w:color w:val="FF0000"/>
        </w:rPr>
        <w:t>、尾水渠</w:t>
      </w:r>
      <w:r>
        <w:rPr>
          <w:rFonts w:cstheme="minorBidi"/>
          <w:color w:val="FF0000"/>
        </w:rPr>
        <w:t>等建</w:t>
      </w:r>
      <w:r>
        <w:rPr>
          <w:rFonts w:hint="eastAsia" w:cstheme="minorBidi"/>
          <w:color w:val="FF0000"/>
        </w:rPr>
        <w:t>构</w:t>
      </w:r>
      <w:r>
        <w:rPr>
          <w:rFonts w:cstheme="minorBidi"/>
          <w:color w:val="FF0000"/>
        </w:rPr>
        <w:t>筑物</w:t>
      </w:r>
      <w:r>
        <w:rPr>
          <w:rFonts w:hint="eastAsia" w:cstheme="minorBidi"/>
          <w:color w:val="FF0000"/>
        </w:rPr>
        <w:t>；</w:t>
      </w:r>
      <w:r>
        <w:rPr>
          <w:rFonts w:cstheme="minorBidi"/>
          <w:color w:val="FF0000"/>
        </w:rPr>
        <w:t>临时建筑包括</w:t>
      </w:r>
      <w:r>
        <w:rPr>
          <w:rFonts w:hint="eastAsia" w:cstheme="minorBidi"/>
          <w:color w:val="FF0000"/>
        </w:rPr>
        <w:t>施工生产生活区、</w:t>
      </w:r>
      <w:r>
        <w:rPr>
          <w:color w:val="FF0000"/>
        </w:rPr>
        <w:t>砂砾料场区</w:t>
      </w:r>
      <w:r>
        <w:rPr>
          <w:rFonts w:cstheme="minorBidi"/>
          <w:color w:val="FF0000"/>
        </w:rPr>
        <w:t>等。</w:t>
      </w:r>
    </w:p>
    <w:p w14:paraId="613DACBB">
      <w:pPr>
        <w:adjustRightInd w:val="0"/>
        <w:snapToGrid w:val="0"/>
        <w:ind w:firstLine="480"/>
        <w:rPr>
          <w:rFonts w:cstheme="minorBidi"/>
          <w:highlight w:val="green"/>
        </w:rPr>
      </w:pPr>
      <w:r>
        <w:rPr>
          <w:rFonts w:hint="eastAsia"/>
          <w:color w:val="FF0000"/>
        </w:rPr>
        <w:t>拟建项目</w:t>
      </w:r>
      <w:r>
        <w:rPr>
          <w:color w:val="FF0000"/>
        </w:rPr>
        <w:t>占地</w:t>
      </w:r>
      <w:r>
        <w:rPr>
          <w:rFonts w:hint="eastAsia"/>
          <w:color w:val="FF0000"/>
        </w:rPr>
        <w:t>4.02</w:t>
      </w:r>
      <w:r>
        <w:rPr>
          <w:color w:val="FF0000"/>
        </w:rPr>
        <w:t>hm</w:t>
      </w:r>
      <w:r>
        <w:rPr>
          <w:color w:val="FF0000"/>
          <w:vertAlign w:val="superscript"/>
        </w:rPr>
        <w:t>2</w:t>
      </w:r>
      <w:r>
        <w:rPr>
          <w:color w:val="FF0000"/>
        </w:rPr>
        <w:t>（含水库淹没），</w:t>
      </w:r>
      <w:r>
        <w:t>包括永久占地3.03hm</w:t>
      </w:r>
      <w:r>
        <w:rPr>
          <w:vertAlign w:val="superscript"/>
        </w:rPr>
        <w:t>2</w:t>
      </w:r>
      <w:r>
        <w:rPr>
          <w:rFonts w:hint="eastAsia"/>
        </w:rPr>
        <w:t>（其中：水域及水利设施</w:t>
      </w:r>
      <w:r>
        <w:t>用地</w:t>
      </w:r>
      <w:r>
        <w:rPr>
          <w:rFonts w:hint="eastAsia"/>
        </w:rPr>
        <w:t>2.26</w:t>
      </w:r>
      <w:r>
        <w:t>hm</w:t>
      </w:r>
      <w:r>
        <w:rPr>
          <w:vertAlign w:val="superscript"/>
        </w:rPr>
        <w:t>2</w:t>
      </w:r>
      <w:r>
        <w:rPr>
          <w:rFonts w:hint="eastAsia"/>
        </w:rPr>
        <w:t>，坡耕地0.77</w:t>
      </w:r>
      <w:r>
        <w:t>hm</w:t>
      </w:r>
      <w:r>
        <w:rPr>
          <w:vertAlign w:val="superscript"/>
        </w:rPr>
        <w:t>2</w:t>
      </w:r>
      <w:r>
        <w:rPr>
          <w:rFonts w:hint="eastAsia"/>
        </w:rPr>
        <w:t>）</w:t>
      </w:r>
      <w:r>
        <w:rPr>
          <w:color w:val="FF0000"/>
        </w:rPr>
        <w:t>，临时占地</w:t>
      </w:r>
      <w:r>
        <w:rPr>
          <w:rFonts w:hint="eastAsia"/>
          <w:color w:val="FF0000"/>
        </w:rPr>
        <w:t>0.99</w:t>
      </w:r>
      <w:r>
        <w:rPr>
          <w:color w:val="FF0000"/>
        </w:rPr>
        <w:t>hm</w:t>
      </w:r>
      <w:r>
        <w:rPr>
          <w:color w:val="FF0000"/>
          <w:vertAlign w:val="superscript"/>
        </w:rPr>
        <w:t>2</w:t>
      </w:r>
      <w:r>
        <w:rPr>
          <w:rFonts w:hint="eastAsia"/>
        </w:rPr>
        <w:t>（其中：水域及水利设施</w:t>
      </w:r>
      <w:r>
        <w:t>用地</w:t>
      </w:r>
      <w:r>
        <w:rPr>
          <w:rFonts w:hint="eastAsia"/>
        </w:rPr>
        <w:t>0.61</w:t>
      </w:r>
      <w:r>
        <w:t>hm</w:t>
      </w:r>
      <w:r>
        <w:rPr>
          <w:vertAlign w:val="superscript"/>
        </w:rPr>
        <w:t>2</w:t>
      </w:r>
      <w:r>
        <w:rPr>
          <w:rFonts w:hint="eastAsia"/>
          <w:color w:val="FF0000"/>
        </w:rPr>
        <w:t>，坡耕地0.38</w:t>
      </w:r>
      <w:r>
        <w:rPr>
          <w:color w:val="FF0000"/>
        </w:rPr>
        <w:t>hm</w:t>
      </w:r>
      <w:r>
        <w:rPr>
          <w:color w:val="FF0000"/>
          <w:vertAlign w:val="superscript"/>
        </w:rPr>
        <w:t>2</w:t>
      </w:r>
      <w:r>
        <w:rPr>
          <w:rFonts w:hint="eastAsia"/>
          <w:color w:val="FF0000"/>
        </w:rPr>
        <w:t>）；</w:t>
      </w:r>
      <w:r>
        <w:rPr>
          <w:color w:val="FF0000"/>
        </w:rPr>
        <w:t>占用坡耕地</w:t>
      </w:r>
      <w:r>
        <w:rPr>
          <w:rFonts w:hint="eastAsia"/>
          <w:color w:val="FF0000"/>
        </w:rPr>
        <w:t>1.15</w:t>
      </w:r>
      <w:r>
        <w:rPr>
          <w:color w:val="FF0000"/>
        </w:rPr>
        <w:t>hm</w:t>
      </w:r>
      <w:r>
        <w:rPr>
          <w:color w:val="FF0000"/>
          <w:vertAlign w:val="superscript"/>
        </w:rPr>
        <w:t>2</w:t>
      </w:r>
      <w:r>
        <w:t>、</w:t>
      </w:r>
      <w:r>
        <w:rPr>
          <w:rFonts w:hint="eastAsia"/>
        </w:rPr>
        <w:t>水域及水利设施</w:t>
      </w:r>
      <w:r>
        <w:t>用地2.87hm</w:t>
      </w:r>
      <w:r>
        <w:rPr>
          <w:vertAlign w:val="superscript"/>
        </w:rPr>
        <w:t>2</w:t>
      </w:r>
      <w:r>
        <w:t>。</w:t>
      </w:r>
    </w:p>
    <w:p w14:paraId="46D8C104">
      <w:pPr>
        <w:ind w:firstLine="480"/>
      </w:pPr>
      <w:r>
        <w:t>坝基开挖、</w:t>
      </w:r>
      <w:r>
        <w:rPr>
          <w:rFonts w:hint="eastAsia"/>
        </w:rPr>
        <w:t>厂房及</w:t>
      </w:r>
      <w:r>
        <w:rPr>
          <w:rFonts w:cstheme="minorBidi"/>
        </w:rPr>
        <w:t>升压站</w:t>
      </w:r>
      <w:r>
        <w:rPr>
          <w:rFonts w:hint="eastAsia"/>
        </w:rPr>
        <w:t>建设</w:t>
      </w:r>
      <w:r>
        <w:t>等施工活动，不可避免地</w:t>
      </w:r>
      <w:r>
        <w:rPr>
          <w:rFonts w:hint="eastAsia"/>
        </w:rPr>
        <w:t>将</w:t>
      </w:r>
      <w:r>
        <w:t>使工程施工区范围内的土壤、植被受到严重破坏，大面积裸露地表，弃渣</w:t>
      </w:r>
      <w:r>
        <w:rPr>
          <w:rFonts w:hint="eastAsia"/>
        </w:rPr>
        <w:t>暂</w:t>
      </w:r>
      <w:r>
        <w:t>存，将破坏区域生态环境。</w:t>
      </w:r>
      <w:r>
        <w:rPr>
          <w:rFonts w:hint="eastAsia"/>
        </w:rPr>
        <w:t>此外，工程于</w:t>
      </w:r>
      <w:r>
        <w:rPr>
          <w:rFonts w:hint="eastAsia" w:hAnsi="宋体"/>
        </w:rPr>
        <w:t>坝址下游右岸1.8km处的芒市河河床内设置了一个砂料场，施工过程中，砂料的开采将会对</w:t>
      </w:r>
      <w:r>
        <w:t>工程区河流水质</w:t>
      </w:r>
      <w:r>
        <w:rPr>
          <w:rFonts w:hint="eastAsia"/>
        </w:rPr>
        <w:t>造成一定</w:t>
      </w:r>
      <w:r>
        <w:t>影响</w:t>
      </w:r>
      <w:r>
        <w:rPr>
          <w:rFonts w:hint="eastAsia"/>
        </w:rPr>
        <w:t>。</w:t>
      </w:r>
    </w:p>
    <w:p w14:paraId="5C009A81">
      <w:pPr>
        <w:ind w:firstLine="480"/>
      </w:pPr>
      <w:r>
        <w:rPr>
          <w:rFonts w:hint="eastAsia"/>
        </w:rPr>
        <w:t>目前，工程征地工作已完成，</w:t>
      </w:r>
      <w:r>
        <w:t>工程</w:t>
      </w:r>
      <w:r>
        <w:rPr>
          <w:rFonts w:hint="eastAsia"/>
        </w:rPr>
        <w:t>不占用基本农田及林地，</w:t>
      </w:r>
      <w:r>
        <w:t>永久占地将完全改变土地利用状态，</w:t>
      </w:r>
      <w:r>
        <w:rPr>
          <w:rFonts w:hint="eastAsia"/>
        </w:rPr>
        <w:t>区内的</w:t>
      </w:r>
      <w:r>
        <w:t>地</w:t>
      </w:r>
      <w:r>
        <w:rPr>
          <w:rFonts w:hint="eastAsia"/>
        </w:rPr>
        <w:t>表</w:t>
      </w:r>
      <w:r>
        <w:t>植被将被全部清除；施工临时占地暂时改变</w:t>
      </w:r>
      <w:r>
        <w:rPr>
          <w:rFonts w:hint="eastAsia"/>
        </w:rPr>
        <w:t>了</w:t>
      </w:r>
      <w:r>
        <w:t>土地利用状态，地</w:t>
      </w:r>
      <w:r>
        <w:rPr>
          <w:rFonts w:hint="eastAsia"/>
        </w:rPr>
        <w:t>表植被也将遭到一定程度的</w:t>
      </w:r>
      <w:r>
        <w:t>破坏</w:t>
      </w:r>
      <w:r>
        <w:rPr>
          <w:rFonts w:hint="eastAsia"/>
        </w:rPr>
        <w:t>。</w:t>
      </w:r>
    </w:p>
    <w:p w14:paraId="53DD8AD2">
      <w:pPr>
        <w:pStyle w:val="4"/>
        <w:rPr>
          <w:color w:val="FF0000"/>
        </w:rPr>
      </w:pPr>
      <w:bookmarkStart w:id="442" w:name="_Toc471737996"/>
      <w:bookmarkStart w:id="443" w:name="_Toc508642449"/>
      <w:bookmarkStart w:id="444" w:name="_Toc454046514"/>
      <w:bookmarkStart w:id="445" w:name="_Toc397428321"/>
      <w:bookmarkStart w:id="446" w:name="_Toc443655415"/>
      <w:r>
        <w:rPr>
          <w:rFonts w:hint="eastAsia"/>
          <w:color w:val="FF0000"/>
        </w:rPr>
        <w:t>3.</w:t>
      </w:r>
      <w:bookmarkStart w:id="447" w:name="_Toc365812635"/>
      <w:r>
        <w:rPr>
          <w:rFonts w:hint="eastAsia"/>
          <w:color w:val="FF0000"/>
        </w:rPr>
        <w:t>2运行期</w:t>
      </w:r>
      <w:bookmarkEnd w:id="442"/>
      <w:bookmarkEnd w:id="443"/>
      <w:bookmarkEnd w:id="444"/>
      <w:bookmarkEnd w:id="445"/>
      <w:bookmarkEnd w:id="446"/>
      <w:bookmarkEnd w:id="447"/>
    </w:p>
    <w:p w14:paraId="00246EDD">
      <w:pPr>
        <w:ind w:firstLine="480"/>
        <w:rPr>
          <w:color w:val="FF0000"/>
        </w:rPr>
      </w:pPr>
      <w:r>
        <w:rPr>
          <w:color w:val="FF0000"/>
        </w:rPr>
        <w:t>水电开发属清洁能源，整个生产过程基本没有污染物产生，</w:t>
      </w:r>
      <w:r>
        <w:rPr>
          <w:rFonts w:hint="eastAsia"/>
          <w:color w:val="FF0000"/>
        </w:rPr>
        <w:t>发电只是利用了水能，基本上不消耗水量，发电后的</w:t>
      </w:r>
      <w:r>
        <w:rPr>
          <w:color w:val="FF0000"/>
        </w:rPr>
        <w:t>尾水</w:t>
      </w:r>
      <w:r>
        <w:rPr>
          <w:rFonts w:hint="eastAsia"/>
          <w:color w:val="FF0000"/>
        </w:rPr>
        <w:t>中</w:t>
      </w:r>
      <w:r>
        <w:rPr>
          <w:color w:val="FF0000"/>
        </w:rPr>
        <w:t>基本不含污染物，河道水质基本保持原有状态</w:t>
      </w:r>
      <w:r>
        <w:rPr>
          <w:rFonts w:hint="eastAsia"/>
          <w:color w:val="FF0000"/>
        </w:rPr>
        <w:t>，</w:t>
      </w:r>
      <w:r>
        <w:rPr>
          <w:color w:val="FF0000"/>
        </w:rPr>
        <w:t>不会改变水的物化性质</w:t>
      </w:r>
      <w:r>
        <w:rPr>
          <w:rFonts w:hint="eastAsia"/>
          <w:color w:val="FF0000"/>
        </w:rPr>
        <w:t>。</w:t>
      </w:r>
    </w:p>
    <w:p w14:paraId="5334E46A">
      <w:pPr>
        <w:ind w:firstLine="480"/>
        <w:rPr>
          <w:rFonts w:cstheme="minorBidi"/>
          <w:color w:val="FF0000"/>
        </w:rPr>
      </w:pPr>
      <w:r>
        <w:rPr>
          <w:rFonts w:hint="eastAsia" w:cstheme="minorBidi"/>
          <w:color w:val="FF0000"/>
        </w:rPr>
        <w:t>团结水电站为小型河床式无调节开发，电站取水发电是在优先满足芒里大沟取水的前提下进行的，发电后尾水回归芒市河。</w:t>
      </w:r>
    </w:p>
    <w:p w14:paraId="3E795E2F">
      <w:pPr>
        <w:pStyle w:val="113"/>
      </w:pPr>
      <w:bookmarkStart w:id="448" w:name="_Toc327443477"/>
      <w:bookmarkStart w:id="449" w:name="_Toc377420733"/>
      <w:bookmarkStart w:id="450" w:name="_Toc534485229"/>
      <w:bookmarkStart w:id="451" w:name="_Toc304985193"/>
      <w:bookmarkStart w:id="452" w:name="_Toc377115094"/>
      <w:bookmarkStart w:id="453" w:name="_Toc377831852"/>
      <w:bookmarkStart w:id="454" w:name="_Toc508642450"/>
      <w:bookmarkStart w:id="455" w:name="_Toc468129745"/>
      <w:bookmarkStart w:id="456" w:name="_Toc454046515"/>
      <w:bookmarkStart w:id="457" w:name="_Toc397428322"/>
      <w:bookmarkStart w:id="458" w:name="_Toc443655416"/>
      <w:r>
        <w:t>3.</w:t>
      </w:r>
      <w:r>
        <w:rPr>
          <w:rFonts w:hint="eastAsia"/>
        </w:rPr>
        <w:t>2</w:t>
      </w:r>
      <w:r>
        <w:t>.1</w:t>
      </w:r>
      <w:bookmarkEnd w:id="448"/>
      <w:bookmarkEnd w:id="449"/>
      <w:bookmarkEnd w:id="450"/>
      <w:bookmarkEnd w:id="451"/>
      <w:bookmarkEnd w:id="452"/>
      <w:bookmarkEnd w:id="453"/>
      <w:bookmarkStart w:id="459" w:name="_Toc304985194"/>
      <w:bookmarkStart w:id="460" w:name="_Toc327443478"/>
      <w:bookmarkStart w:id="461" w:name="_Toc534485230"/>
      <w:bookmarkStart w:id="462" w:name="_Toc377831853"/>
      <w:bookmarkStart w:id="463" w:name="_Toc377115095"/>
      <w:bookmarkStart w:id="464" w:name="_Toc377420734"/>
      <w:r>
        <w:rPr>
          <w:rFonts w:hint="eastAsia"/>
        </w:rPr>
        <w:t>大</w:t>
      </w:r>
      <w:r>
        <w:t>坝阻隔</w:t>
      </w:r>
      <w:bookmarkEnd w:id="454"/>
      <w:bookmarkEnd w:id="455"/>
      <w:bookmarkEnd w:id="456"/>
      <w:bookmarkEnd w:id="457"/>
      <w:bookmarkEnd w:id="458"/>
      <w:bookmarkEnd w:id="459"/>
      <w:bookmarkEnd w:id="460"/>
      <w:bookmarkEnd w:id="461"/>
      <w:bookmarkEnd w:id="462"/>
      <w:bookmarkEnd w:id="463"/>
      <w:bookmarkEnd w:id="464"/>
    </w:p>
    <w:p w14:paraId="3EA85C9A">
      <w:pPr>
        <w:ind w:firstLine="480"/>
        <w:rPr>
          <w:color w:val="FF0000"/>
        </w:rPr>
      </w:pPr>
      <w:bookmarkStart w:id="465" w:name="_Toc377831854"/>
      <w:bookmarkStart w:id="466" w:name="_Toc377420735"/>
      <w:bookmarkStart w:id="467" w:name="_Toc377115096"/>
      <w:bookmarkStart w:id="468" w:name="_Toc534485231"/>
      <w:bookmarkStart w:id="469" w:name="_Toc304985195"/>
      <w:bookmarkStart w:id="470" w:name="_Toc327443479"/>
      <w:r>
        <w:rPr>
          <w:rFonts w:hint="eastAsia"/>
          <w:color w:val="FF0000"/>
        </w:rPr>
        <w:t>团结水电站通过修建拦河坝取水，水流进入厂房推动水轮机组，再由水轮机带动发电机组产生电能，发电后尾水回归芒市河。</w:t>
      </w:r>
    </w:p>
    <w:p w14:paraId="696D745A">
      <w:pPr>
        <w:ind w:firstLine="480"/>
        <w:rPr>
          <w:color w:val="FF0000"/>
        </w:rPr>
      </w:pPr>
      <w:r>
        <w:rPr>
          <w:rFonts w:hint="eastAsia"/>
          <w:color w:val="FF0000"/>
        </w:rPr>
        <w:t>拟建项目拦河坝建成后阻断了鱼类上溯和降河的自然通道，对鱼类的自然交流产生影响，并引起坝体下游局部河段和蓄水区河流流速、泥沙、水深、水位等水文条件的改变，使得水环境发生变化，改变了水生生物的生境。</w:t>
      </w:r>
    </w:p>
    <w:p w14:paraId="29DA07A5">
      <w:pPr>
        <w:pStyle w:val="113"/>
      </w:pPr>
      <w:bookmarkStart w:id="471" w:name="_Toc443655417"/>
      <w:bookmarkStart w:id="472" w:name="_Toc397428323"/>
      <w:bookmarkStart w:id="473" w:name="_Toc468129746"/>
      <w:bookmarkStart w:id="474" w:name="_Toc454046516"/>
      <w:bookmarkStart w:id="475" w:name="_Toc508642451"/>
      <w:r>
        <w:t>3.</w:t>
      </w:r>
      <w:r>
        <w:rPr>
          <w:rFonts w:hint="eastAsia"/>
        </w:rPr>
        <w:t>2.2初期下闸</w:t>
      </w:r>
      <w:r>
        <w:t>蓄水</w:t>
      </w:r>
      <w:bookmarkEnd w:id="465"/>
      <w:bookmarkEnd w:id="466"/>
      <w:bookmarkEnd w:id="467"/>
      <w:bookmarkEnd w:id="468"/>
      <w:bookmarkEnd w:id="469"/>
      <w:bookmarkEnd w:id="470"/>
      <w:bookmarkEnd w:id="471"/>
      <w:bookmarkEnd w:id="472"/>
      <w:bookmarkEnd w:id="473"/>
      <w:bookmarkEnd w:id="474"/>
      <w:bookmarkEnd w:id="475"/>
    </w:p>
    <w:p w14:paraId="1EFE06F1">
      <w:pPr>
        <w:ind w:firstLine="480"/>
        <w:rPr>
          <w:color w:val="FF0000"/>
          <w:kern w:val="0"/>
        </w:rPr>
      </w:pPr>
      <w:r>
        <w:rPr>
          <w:rFonts w:hint="eastAsia"/>
          <w:color w:val="FF0000"/>
          <w:kern w:val="0"/>
        </w:rPr>
        <w:t>电站主体工程大坝及厂房等基本完成后，水库已具备蓄水条件。根据施工总计划，工程拟在7月初进行下闸蓄水，在90%保证率下7月份平均流量为</w:t>
      </w:r>
      <w:r>
        <w:rPr>
          <w:color w:val="FF0000"/>
        </w:rPr>
        <w:t>64.4</w:t>
      </w:r>
      <w:r>
        <w:rPr>
          <w:rFonts w:hint="eastAsia"/>
          <w:color w:val="FF0000"/>
          <w:kern w:val="0"/>
        </w:rPr>
        <w:t>m</w:t>
      </w:r>
      <w:r>
        <w:rPr>
          <w:rFonts w:hint="eastAsia"/>
          <w:color w:val="FF0000"/>
          <w:kern w:val="0"/>
          <w:vertAlign w:val="superscript"/>
        </w:rPr>
        <w:t>3</w:t>
      </w:r>
      <w:r>
        <w:rPr>
          <w:rFonts w:hint="eastAsia"/>
          <w:color w:val="FF0000"/>
          <w:kern w:val="0"/>
        </w:rPr>
        <w:t>/s。水库蓄水初始水位高程为冲砂闸底板高程</w:t>
      </w:r>
      <w:r>
        <w:rPr>
          <w:color w:val="FF0000"/>
          <w:kern w:val="0"/>
        </w:rPr>
        <w:t>796.50</w:t>
      </w:r>
      <w:r>
        <w:rPr>
          <w:rFonts w:hint="eastAsia"/>
          <w:color w:val="FF0000"/>
        </w:rPr>
        <w:t>m，电站库容为38.6万m</w:t>
      </w:r>
      <w:r>
        <w:rPr>
          <w:rFonts w:hint="eastAsia"/>
          <w:color w:val="FF0000"/>
          <w:vertAlign w:val="superscript"/>
        </w:rPr>
        <w:t>3</w:t>
      </w:r>
      <w:r>
        <w:rPr>
          <w:rFonts w:hint="eastAsia"/>
          <w:color w:val="FF0000"/>
        </w:rPr>
        <w:t>（正常蓄水位</w:t>
      </w:r>
      <w:r>
        <w:rPr>
          <w:color w:val="FF0000"/>
        </w:rPr>
        <w:t>804.9</w:t>
      </w:r>
      <w:r>
        <w:rPr>
          <w:rFonts w:hint="eastAsia"/>
          <w:color w:val="FF0000"/>
        </w:rPr>
        <w:t>m，水库回水长度1062m），电站蓄水到正常蓄水位的时间为1.66h。</w:t>
      </w:r>
      <w:r>
        <w:rPr>
          <w:rFonts w:hint="eastAsia"/>
          <w:color w:val="FF0000"/>
          <w:kern w:val="0"/>
        </w:rPr>
        <w:t>拟建工程从下闸蓄水至试机发电的这段时间内，坝址下游河段水文情势将会产生一定变化。</w:t>
      </w:r>
    </w:p>
    <w:p w14:paraId="7F6B47D5">
      <w:pPr>
        <w:ind w:firstLine="480"/>
        <w:rPr>
          <w:highlight w:val="yellow"/>
        </w:rPr>
      </w:pPr>
      <w:r>
        <w:rPr>
          <w:rFonts w:hint="eastAsia"/>
          <w:color w:val="FF0000"/>
        </w:rPr>
        <w:t>水库初期蓄水期间，由冲砂闸按5.28</w:t>
      </w:r>
      <w:r>
        <w:rPr>
          <w:color w:val="FF0000"/>
        </w:rPr>
        <w:t>m</w:t>
      </w:r>
      <w:r>
        <w:rPr>
          <w:color w:val="FF0000"/>
          <w:vertAlign w:val="superscript"/>
        </w:rPr>
        <w:t>3</w:t>
      </w:r>
      <w:r>
        <w:rPr>
          <w:color w:val="FF0000"/>
        </w:rPr>
        <w:t>/s的</w:t>
      </w:r>
      <w:r>
        <w:rPr>
          <w:rFonts w:hint="eastAsia"/>
          <w:color w:val="FF0000"/>
        </w:rPr>
        <w:t>最小生态流量</w:t>
      </w:r>
      <w:r>
        <w:rPr>
          <w:color w:val="FF0000"/>
        </w:rPr>
        <w:t>下泄到原河道中</w:t>
      </w:r>
      <w:r>
        <w:rPr>
          <w:rFonts w:hint="eastAsia"/>
          <w:color w:val="FF0000"/>
        </w:rPr>
        <w:t>；待水库蓄水完毕后，打开取水口闸门，电站即进入试运行阶段，此时并不关闭冲砂闸门，待尾水正常回引至大坝附近补足河道正常生态流量后，再关闭冲砂闸。</w:t>
      </w:r>
    </w:p>
    <w:p w14:paraId="219B1A38">
      <w:pPr>
        <w:pStyle w:val="113"/>
      </w:pPr>
      <w:bookmarkStart w:id="476" w:name="_Toc397428324"/>
      <w:bookmarkStart w:id="477" w:name="_Toc508642452"/>
      <w:bookmarkStart w:id="478" w:name="_Toc327443480"/>
      <w:bookmarkStart w:id="479" w:name="_Toc377831855"/>
      <w:bookmarkStart w:id="480" w:name="_Toc468129747"/>
      <w:bookmarkStart w:id="481" w:name="_Toc454046517"/>
      <w:bookmarkStart w:id="482" w:name="_Toc377420736"/>
      <w:bookmarkStart w:id="483" w:name="_Toc443655418"/>
      <w:bookmarkStart w:id="484" w:name="_Toc377115097"/>
      <w:bookmarkStart w:id="485" w:name="_Toc304985196"/>
      <w:bookmarkStart w:id="486" w:name="_Toc534485232"/>
      <w:r>
        <w:t>3.</w:t>
      </w:r>
      <w:r>
        <w:rPr>
          <w:rFonts w:hint="eastAsia"/>
        </w:rPr>
        <w:t>2.3水质</w:t>
      </w:r>
      <w:r>
        <w:t>变化</w:t>
      </w:r>
      <w:bookmarkEnd w:id="476"/>
      <w:bookmarkEnd w:id="477"/>
      <w:bookmarkEnd w:id="478"/>
      <w:bookmarkEnd w:id="479"/>
      <w:bookmarkEnd w:id="480"/>
      <w:bookmarkEnd w:id="481"/>
      <w:bookmarkEnd w:id="482"/>
      <w:bookmarkEnd w:id="483"/>
      <w:bookmarkEnd w:id="484"/>
      <w:bookmarkEnd w:id="485"/>
      <w:bookmarkEnd w:id="486"/>
    </w:p>
    <w:p w14:paraId="52E0B951">
      <w:pPr>
        <w:ind w:firstLine="480"/>
        <w:rPr>
          <w:color w:val="FF0000"/>
        </w:rPr>
      </w:pPr>
      <w:bookmarkStart w:id="487" w:name="_Toc327443481"/>
      <w:bookmarkStart w:id="488" w:name="_Toc304985197"/>
      <w:r>
        <w:rPr>
          <w:rFonts w:hint="eastAsia"/>
          <w:color w:val="FF0000"/>
        </w:rPr>
        <w:t>团结水</w:t>
      </w:r>
      <w:r>
        <w:rPr>
          <w:color w:val="FF0000"/>
        </w:rPr>
        <w:t>电站</w:t>
      </w:r>
      <w:r>
        <w:rPr>
          <w:rFonts w:hint="eastAsia"/>
          <w:color w:val="FF0000"/>
        </w:rPr>
        <w:t>发电只是利用了水能，基本上不消耗水量，发电后的</w:t>
      </w:r>
      <w:r>
        <w:rPr>
          <w:color w:val="FF0000"/>
        </w:rPr>
        <w:t>尾水</w:t>
      </w:r>
      <w:r>
        <w:rPr>
          <w:rFonts w:hint="eastAsia"/>
          <w:color w:val="FF0000"/>
        </w:rPr>
        <w:t>中</w:t>
      </w:r>
      <w:r>
        <w:rPr>
          <w:color w:val="FF0000"/>
        </w:rPr>
        <w:t>基本不含污染物，河道水质基本保持原有状态</w:t>
      </w:r>
      <w:r>
        <w:rPr>
          <w:rFonts w:hint="eastAsia"/>
          <w:color w:val="FF0000"/>
        </w:rPr>
        <w:t>。此外，</w:t>
      </w:r>
      <w:r>
        <w:rPr>
          <w:rFonts w:hint="eastAsia" w:cstheme="minorBidi"/>
          <w:color w:val="FF0000"/>
        </w:rPr>
        <w:t>电站水库回水长度仅为1062m，水库正常蓄水位对应的库容为</w:t>
      </w:r>
      <w:r>
        <w:rPr>
          <w:rFonts w:hint="eastAsia"/>
          <w:color w:val="FF0000"/>
        </w:rPr>
        <w:t>38.6万</w:t>
      </w:r>
      <w:r>
        <w:rPr>
          <w:rFonts w:hint="eastAsia" w:cstheme="minorBidi"/>
          <w:color w:val="FF0000"/>
        </w:rPr>
        <w:t>m</w:t>
      </w:r>
      <w:r>
        <w:rPr>
          <w:rFonts w:hint="eastAsia" w:cstheme="minorBidi"/>
          <w:color w:val="FF0000"/>
          <w:vertAlign w:val="superscript"/>
        </w:rPr>
        <w:t>3</w:t>
      </w:r>
      <w:r>
        <w:rPr>
          <w:rFonts w:hint="eastAsia" w:cstheme="minorBidi"/>
          <w:color w:val="FF0000"/>
        </w:rPr>
        <w:t>，回水范围内的天然河段水位升高成为库区水体，区域流速变缓，水深加深，使得河流</w:t>
      </w:r>
      <w:r>
        <w:rPr>
          <w:rFonts w:hint="eastAsia"/>
          <w:color w:val="FF0000"/>
        </w:rPr>
        <w:t>纳污能力有所改变。</w:t>
      </w:r>
    </w:p>
    <w:p w14:paraId="07F4357B">
      <w:pPr>
        <w:pStyle w:val="113"/>
      </w:pPr>
      <w:bookmarkStart w:id="489" w:name="_Toc508642453"/>
      <w:bookmarkStart w:id="490" w:name="_Toc443655419"/>
      <w:bookmarkStart w:id="491" w:name="_Toc468129748"/>
      <w:bookmarkStart w:id="492" w:name="_Toc454046518"/>
      <w:r>
        <w:rPr>
          <w:rFonts w:hint="eastAsia"/>
        </w:rPr>
        <w:t>3.2.4</w:t>
      </w:r>
      <w:bookmarkStart w:id="493" w:name="_Toc377831856"/>
      <w:bookmarkStart w:id="494" w:name="_Toc377115098"/>
      <w:bookmarkStart w:id="495" w:name="_Toc377420737"/>
      <w:bookmarkStart w:id="496" w:name="_Toc397428325"/>
      <w:bookmarkStart w:id="497" w:name="_Toc534485233"/>
      <w:r>
        <w:t>水文情势变化分析</w:t>
      </w:r>
      <w:bookmarkEnd w:id="487"/>
      <w:bookmarkEnd w:id="488"/>
      <w:bookmarkEnd w:id="489"/>
      <w:bookmarkEnd w:id="490"/>
      <w:bookmarkEnd w:id="491"/>
      <w:bookmarkEnd w:id="492"/>
      <w:bookmarkEnd w:id="493"/>
      <w:bookmarkEnd w:id="494"/>
      <w:bookmarkEnd w:id="495"/>
      <w:bookmarkEnd w:id="496"/>
      <w:bookmarkEnd w:id="497"/>
    </w:p>
    <w:p w14:paraId="11544A4F">
      <w:pPr>
        <w:ind w:firstLine="480"/>
        <w:rPr>
          <w:rFonts w:cstheme="minorBidi"/>
          <w:color w:val="FF0000"/>
        </w:rPr>
      </w:pPr>
      <w:bookmarkStart w:id="498" w:name="_Toc304985198"/>
      <w:r>
        <w:rPr>
          <w:rFonts w:hint="eastAsia" w:cstheme="minorBidi"/>
          <w:color w:val="FF0000"/>
        </w:rPr>
        <w:t>团结水电站为小型河床式无调节开发，电站取水发电是在优先满足芒里大沟取水的前提下进行的，发电后尾水回归芒市河，可完全用于下游的农业灌溉。</w:t>
      </w:r>
    </w:p>
    <w:p w14:paraId="735F92B8">
      <w:pPr>
        <w:ind w:firstLine="480"/>
        <w:rPr>
          <w:rFonts w:cstheme="minorBidi"/>
          <w:color w:val="FF0000"/>
        </w:rPr>
      </w:pPr>
      <w:r>
        <w:rPr>
          <w:rFonts w:hint="eastAsia" w:cstheme="minorBidi"/>
          <w:color w:val="FF0000"/>
        </w:rPr>
        <w:t>发电过程中</w:t>
      </w:r>
      <w:r>
        <w:rPr>
          <w:rFonts w:cstheme="minorBidi"/>
          <w:color w:val="FF0000"/>
        </w:rPr>
        <w:t>仅利用水能，不消耗水量，且水力发电是清洁、环保能源，不污染</w:t>
      </w:r>
      <w:r>
        <w:rPr>
          <w:rFonts w:hint="eastAsia" w:cstheme="minorBidi"/>
          <w:color w:val="FF0000"/>
        </w:rPr>
        <w:t>水质</w:t>
      </w:r>
      <w:r>
        <w:rPr>
          <w:rFonts w:cstheme="minorBidi"/>
          <w:color w:val="FF0000"/>
        </w:rPr>
        <w:t>，</w:t>
      </w:r>
      <w:r>
        <w:rPr>
          <w:rFonts w:hint="eastAsia" w:cstheme="minorBidi"/>
          <w:color w:val="FF0000"/>
        </w:rPr>
        <w:t>所以电站运行发电不改变拦河坝上游及电站尾水口以下区域的水质和水量。因电站为小型河床式开发，拦河建坝取水后直接进入厂房发电，尾水回归芒市河，故因电站取水发电而引起的减水河段很短，仅60m。</w:t>
      </w:r>
    </w:p>
    <w:p w14:paraId="607BDA39">
      <w:pPr>
        <w:ind w:firstLine="480"/>
        <w:rPr>
          <w:color w:val="FF0000"/>
        </w:rPr>
      </w:pPr>
      <w:bookmarkStart w:id="499" w:name="_Toc327443482"/>
      <w:r>
        <w:rPr>
          <w:rFonts w:hint="eastAsia"/>
          <w:color w:val="FF0000"/>
        </w:rPr>
        <w:t>此外，由于水库的形成</w:t>
      </w:r>
      <w:r>
        <w:rPr>
          <w:color w:val="FF0000"/>
        </w:rPr>
        <w:t>将导致坝址上游河段河流水体流速减缓，</w:t>
      </w:r>
      <w:r>
        <w:rPr>
          <w:rFonts w:hint="eastAsia"/>
          <w:color w:val="FF0000"/>
        </w:rPr>
        <w:t>库</w:t>
      </w:r>
      <w:r>
        <w:rPr>
          <w:color w:val="FF0000"/>
        </w:rPr>
        <w:t>区水体由</w:t>
      </w:r>
      <w:r>
        <w:rPr>
          <w:rFonts w:hint="eastAsia"/>
          <w:color w:val="FF0000"/>
        </w:rPr>
        <w:t>河道激</w:t>
      </w:r>
      <w:r>
        <w:rPr>
          <w:color w:val="FF0000"/>
        </w:rPr>
        <w:t>流型转变为缓流型，</w:t>
      </w:r>
      <w:r>
        <w:rPr>
          <w:rFonts w:hint="eastAsia"/>
          <w:color w:val="FF0000"/>
        </w:rPr>
        <w:t>芒市河</w:t>
      </w:r>
      <w:r>
        <w:rPr>
          <w:color w:val="FF0000"/>
        </w:rPr>
        <w:t>径流由降水形成，天然情况下，因流量随降水的季节变化，河道水位汛期高，枯季低。</w:t>
      </w:r>
    </w:p>
    <w:p w14:paraId="746C3D6C">
      <w:pPr>
        <w:pStyle w:val="113"/>
        <w:rPr>
          <w:highlight w:val="green"/>
        </w:rPr>
      </w:pPr>
      <w:bookmarkStart w:id="500" w:name="_Toc377831857"/>
      <w:bookmarkStart w:id="501" w:name="_Toc377115099"/>
      <w:bookmarkStart w:id="502" w:name="_Toc377420738"/>
      <w:bookmarkStart w:id="503" w:name="_Toc534485234"/>
      <w:bookmarkStart w:id="504" w:name="_Toc443655420"/>
      <w:bookmarkStart w:id="505" w:name="_Toc454046519"/>
      <w:bookmarkStart w:id="506" w:name="_Toc468129749"/>
      <w:bookmarkStart w:id="507" w:name="_Toc397428326"/>
      <w:bookmarkStart w:id="508" w:name="_Toc508642454"/>
      <w:r>
        <w:t>3.</w:t>
      </w:r>
      <w:r>
        <w:rPr>
          <w:rFonts w:hint="eastAsia"/>
        </w:rPr>
        <w:t>2.</w:t>
      </w:r>
      <w:bookmarkEnd w:id="498"/>
      <w:bookmarkEnd w:id="499"/>
      <w:bookmarkEnd w:id="500"/>
      <w:bookmarkEnd w:id="501"/>
      <w:bookmarkEnd w:id="502"/>
      <w:bookmarkEnd w:id="503"/>
      <w:r>
        <w:rPr>
          <w:rFonts w:hint="eastAsia"/>
        </w:rPr>
        <w:t>5运营期污染物排放情况</w:t>
      </w:r>
      <w:bookmarkEnd w:id="504"/>
      <w:bookmarkEnd w:id="505"/>
      <w:bookmarkEnd w:id="506"/>
      <w:bookmarkEnd w:id="507"/>
      <w:bookmarkEnd w:id="508"/>
    </w:p>
    <w:p w14:paraId="31BFA26B">
      <w:pPr>
        <w:pStyle w:val="141"/>
        <w:rPr>
          <w:color w:val="FF0000"/>
        </w:rPr>
      </w:pPr>
      <w:r>
        <w:rPr>
          <w:rFonts w:hint="eastAsia"/>
          <w:color w:val="FF0000"/>
        </w:rPr>
        <w:t>3.2.5.1废水</w:t>
      </w:r>
    </w:p>
    <w:p w14:paraId="0CB1657C">
      <w:pPr>
        <w:ind w:firstLine="480"/>
        <w:rPr>
          <w:color w:val="FF0000"/>
        </w:rPr>
      </w:pPr>
      <w:r>
        <w:rPr>
          <w:rFonts w:hint="eastAsia"/>
          <w:color w:val="FF0000"/>
        </w:rPr>
        <w:t>（1）生活废水</w:t>
      </w:r>
    </w:p>
    <w:p w14:paraId="1B300DFF">
      <w:pPr>
        <w:ind w:firstLine="480"/>
        <w:rPr>
          <w:color w:val="FF0000"/>
        </w:rPr>
      </w:pPr>
      <w:r>
        <w:rPr>
          <w:rFonts w:hint="eastAsia"/>
          <w:color w:val="FF0000"/>
        </w:rPr>
        <w:t>团结水</w:t>
      </w:r>
      <w:r>
        <w:rPr>
          <w:color w:val="FF0000"/>
        </w:rPr>
        <w:t>电站</w:t>
      </w:r>
      <w:r>
        <w:rPr>
          <w:rFonts w:hint="eastAsia"/>
          <w:color w:val="FF0000"/>
        </w:rPr>
        <w:t>运行期间由上游芒里电站代管，实际</w:t>
      </w:r>
      <w:r>
        <w:rPr>
          <w:color w:val="FF0000"/>
        </w:rPr>
        <w:t>的定员编制</w:t>
      </w:r>
      <w:r>
        <w:rPr>
          <w:rFonts w:hint="eastAsia"/>
          <w:color w:val="FF0000"/>
        </w:rPr>
        <w:t>仅</w:t>
      </w:r>
      <w:r>
        <w:rPr>
          <w:color w:val="FF0000"/>
        </w:rPr>
        <w:t>为</w:t>
      </w:r>
      <w:r>
        <w:rPr>
          <w:rFonts w:hint="eastAsia"/>
          <w:color w:val="FF0000"/>
        </w:rPr>
        <w:t>2</w:t>
      </w:r>
      <w:r>
        <w:rPr>
          <w:color w:val="FF0000"/>
        </w:rPr>
        <w:t>人，</w:t>
      </w:r>
      <w:r>
        <w:rPr>
          <w:rFonts w:hint="eastAsia"/>
          <w:color w:val="FF0000"/>
        </w:rPr>
        <w:t>为附近村民。电站副厂房内不设生活区，其管理用房为原水管所的守坝房屋（位于电站厂房东侧300m处），只作为值班室使用，员工并不在厂内用餐。电站运营期间无生活废水产生。</w:t>
      </w:r>
    </w:p>
    <w:p w14:paraId="06B516A7">
      <w:pPr>
        <w:ind w:firstLine="480"/>
        <w:rPr>
          <w:color w:val="FF0000"/>
        </w:rPr>
      </w:pPr>
      <w:r>
        <w:rPr>
          <w:rFonts w:hint="eastAsia"/>
          <w:color w:val="FF0000"/>
        </w:rPr>
        <w:t>（2）绿化用水</w:t>
      </w:r>
    </w:p>
    <w:p w14:paraId="3C15A594">
      <w:pPr>
        <w:ind w:firstLine="480"/>
        <w:rPr>
          <w:lang w:val="zh-CN"/>
        </w:rPr>
      </w:pPr>
      <w:r>
        <w:rPr>
          <w:rFonts w:hint="eastAsia"/>
        </w:rPr>
        <w:t>项目厂区绿化面积为1400m</w:t>
      </w:r>
      <w:r>
        <w:rPr>
          <w:rFonts w:hint="eastAsia"/>
          <w:vertAlign w:val="superscript"/>
        </w:rPr>
        <w:t>2</w:t>
      </w:r>
      <w:r>
        <w:rPr>
          <w:rFonts w:hint="eastAsia"/>
        </w:rPr>
        <w:t>，绿化用水按每次3L/m</w:t>
      </w:r>
      <w:r>
        <w:rPr>
          <w:rFonts w:hint="eastAsia"/>
          <w:vertAlign w:val="superscript"/>
        </w:rPr>
        <w:t>2</w:t>
      </w:r>
      <w:r>
        <w:rPr>
          <w:rFonts w:hint="eastAsia"/>
        </w:rPr>
        <w:t>计，每2天浇水一次，非雨天为180天，则绿用水量为378</w:t>
      </w:r>
      <w:r>
        <w:t>m</w:t>
      </w:r>
      <w:r>
        <w:rPr>
          <w:vertAlign w:val="superscript"/>
        </w:rPr>
        <w:t>3</w:t>
      </w:r>
      <w:r>
        <w:rPr>
          <w:rFonts w:hint="eastAsia"/>
          <w:lang w:val="zh-CN"/>
        </w:rPr>
        <w:t>/a</w:t>
      </w:r>
      <w:r>
        <w:rPr>
          <w:rFonts w:hint="eastAsia"/>
        </w:rPr>
        <w:t>，</w:t>
      </w:r>
      <w:r>
        <w:rPr>
          <w:rFonts w:hint="eastAsia"/>
          <w:lang w:val="zh-CN"/>
        </w:rPr>
        <w:t>1.04</w:t>
      </w:r>
      <w:r>
        <w:t>m</w:t>
      </w:r>
      <w:r>
        <w:rPr>
          <w:vertAlign w:val="superscript"/>
        </w:rPr>
        <w:t>3</w:t>
      </w:r>
      <w:r>
        <w:rPr>
          <w:rFonts w:hint="eastAsia"/>
          <w:lang w:val="zh-CN"/>
        </w:rPr>
        <w:t>/d。</w:t>
      </w:r>
      <w:r>
        <w:rPr>
          <w:rFonts w:hint="eastAsia"/>
          <w:color w:val="FF0000"/>
          <w:lang w:val="zh-CN"/>
        </w:rPr>
        <w:t>绿化用水来自于芒市河。</w:t>
      </w:r>
    </w:p>
    <w:p w14:paraId="49DE100D">
      <w:pPr>
        <w:ind w:firstLine="0" w:firstLineChars="0"/>
        <w:jc w:val="center"/>
        <w:rPr>
          <w:color w:val="FF0000"/>
        </w:rPr>
      </w:pPr>
      <w:r>
        <w:rPr>
          <w:color w:val="FF0000"/>
        </w:rPr>
        <w:object>
          <v:shape id="_x0000_i1027" o:spt="75" type="#_x0000_t75" style="height:56.5pt;width:206.5pt;" o:ole="t" filled="f" coordsize="21600,21600">
            <v:path/>
            <v:fill on="f" focussize="0,0"/>
            <v:stroke/>
            <v:imagedata r:id="rId26" o:title=""/>
            <o:lock v:ext="edit" aspectratio="t"/>
            <w10:wrap type="none"/>
            <w10:anchorlock/>
          </v:shape>
          <o:OLEObject Type="Embed" ProgID="Visio.Drawing.11" ShapeID="_x0000_i1027" DrawAspect="Content" ObjectID="_1468075727" r:id="rId25">
            <o:LockedField>false</o:LockedField>
          </o:OLEObject>
        </w:object>
      </w:r>
    </w:p>
    <w:p w14:paraId="54783913">
      <w:pPr>
        <w:ind w:firstLine="0" w:firstLineChars="0"/>
        <w:jc w:val="center"/>
        <w:rPr>
          <w:color w:val="FF0000"/>
        </w:rPr>
      </w:pPr>
      <w:r>
        <w:rPr>
          <w:rStyle w:val="83"/>
          <w:rFonts w:hint="eastAsia"/>
          <w:color w:val="FF0000"/>
          <w:sz w:val="21"/>
          <w:szCs w:val="21"/>
        </w:rPr>
        <w:t>图3-2-1  项目运行期水量平衡图（</w:t>
      </w:r>
      <w:r>
        <w:rPr>
          <w:rStyle w:val="83"/>
          <w:color w:val="FF0000"/>
          <w:sz w:val="21"/>
          <w:szCs w:val="21"/>
        </w:rPr>
        <w:t>m</w:t>
      </w:r>
      <w:r>
        <w:rPr>
          <w:rStyle w:val="83"/>
          <w:color w:val="FF0000"/>
          <w:sz w:val="21"/>
          <w:szCs w:val="21"/>
          <w:vertAlign w:val="superscript"/>
        </w:rPr>
        <w:t>3</w:t>
      </w:r>
      <w:r>
        <w:rPr>
          <w:rStyle w:val="83"/>
          <w:rFonts w:hint="eastAsia"/>
          <w:color w:val="FF0000"/>
          <w:sz w:val="21"/>
          <w:szCs w:val="21"/>
        </w:rPr>
        <w:t>/d）</w:t>
      </w:r>
    </w:p>
    <w:p w14:paraId="436177AF">
      <w:pPr>
        <w:pStyle w:val="141"/>
        <w:rPr>
          <w:kern w:val="0"/>
        </w:rPr>
      </w:pPr>
      <w:r>
        <w:rPr>
          <w:rFonts w:hint="eastAsia"/>
          <w:lang w:val="zh-CN"/>
        </w:rPr>
        <w:t>3.2.5.2废气</w:t>
      </w:r>
    </w:p>
    <w:p w14:paraId="797FB641">
      <w:pPr>
        <w:ind w:firstLine="480"/>
        <w:rPr>
          <w:color w:val="FF0000"/>
        </w:rPr>
      </w:pPr>
      <w:r>
        <w:rPr>
          <w:color w:val="FF0000"/>
          <w:kern w:val="0"/>
        </w:rPr>
        <w:t>电站运</w:t>
      </w:r>
      <w:r>
        <w:rPr>
          <w:rFonts w:hint="eastAsia"/>
          <w:color w:val="FF0000"/>
          <w:kern w:val="0"/>
        </w:rPr>
        <w:t>行</w:t>
      </w:r>
      <w:r>
        <w:rPr>
          <w:color w:val="FF0000"/>
          <w:kern w:val="0"/>
        </w:rPr>
        <w:t>期</w:t>
      </w:r>
      <w:r>
        <w:rPr>
          <w:rFonts w:hint="eastAsia"/>
          <w:color w:val="FF0000"/>
          <w:kern w:val="0"/>
        </w:rPr>
        <w:t>间，厂内仅有2各值班人员，不在厂内用餐，无油烟废气产生；此外，电站</w:t>
      </w:r>
      <w:r>
        <w:rPr>
          <w:color w:val="FF0000"/>
        </w:rPr>
        <w:t>机组运行</w:t>
      </w:r>
      <w:r>
        <w:rPr>
          <w:rFonts w:hint="eastAsia"/>
          <w:color w:val="FF0000"/>
        </w:rPr>
        <w:t>也</w:t>
      </w:r>
      <w:r>
        <w:rPr>
          <w:color w:val="FF0000"/>
        </w:rPr>
        <w:t>不会产生废气</w:t>
      </w:r>
      <w:r>
        <w:rPr>
          <w:rFonts w:hint="eastAsia"/>
          <w:color w:val="FF0000"/>
        </w:rPr>
        <w:t>。</w:t>
      </w:r>
    </w:p>
    <w:p w14:paraId="060FB9EC">
      <w:pPr>
        <w:pStyle w:val="141"/>
        <w:rPr>
          <w:kern w:val="0"/>
        </w:rPr>
      </w:pPr>
      <w:r>
        <w:rPr>
          <w:rFonts w:hint="eastAsia"/>
          <w:lang w:val="zh-CN"/>
        </w:rPr>
        <w:t>3.2.5.3噪声</w:t>
      </w:r>
    </w:p>
    <w:p w14:paraId="61BC13B4">
      <w:pPr>
        <w:autoSpaceDE w:val="0"/>
        <w:autoSpaceDN w:val="0"/>
        <w:adjustRightInd w:val="0"/>
        <w:ind w:firstLine="480"/>
        <w:rPr>
          <w:kern w:val="0"/>
        </w:rPr>
      </w:pPr>
      <w:r>
        <w:rPr>
          <w:rFonts w:hint="eastAsia"/>
          <w:kern w:val="0"/>
        </w:rPr>
        <w:t>工程建成运行后，</w:t>
      </w:r>
      <w:r>
        <w:t>噪声主要为水轮机、发电机运转时产生的机械振动型噪声和尾水排放时产生的流体动力性噪声，源强约80dB(A)～85dB(A)，水轮机与尾水噪声叠加最高为88dB(A)。</w:t>
      </w:r>
    </w:p>
    <w:p w14:paraId="5BCAE463">
      <w:pPr>
        <w:pStyle w:val="141"/>
        <w:rPr>
          <w:color w:val="FF0000"/>
        </w:rPr>
      </w:pPr>
      <w:r>
        <w:rPr>
          <w:rFonts w:hint="eastAsia"/>
          <w:color w:val="FF0000"/>
        </w:rPr>
        <w:t>3.2.5.4固体废物</w:t>
      </w:r>
    </w:p>
    <w:p w14:paraId="4EF70F7A">
      <w:pPr>
        <w:ind w:firstLine="480"/>
        <w:rPr>
          <w:color w:val="FF0000"/>
        </w:rPr>
      </w:pPr>
      <w:r>
        <w:rPr>
          <w:rFonts w:hint="eastAsia"/>
          <w:color w:val="FF0000"/>
        </w:rPr>
        <w:t>电站运营期间由上游芒里电站代管，日常仅有2名值班人员巡守，不在厂内用餐。</w:t>
      </w:r>
      <w:r>
        <w:rPr>
          <w:color w:val="FF0000"/>
        </w:rPr>
        <w:t>生活垃圾按每</w:t>
      </w:r>
      <w:r>
        <w:rPr>
          <w:rFonts w:hint="eastAsia"/>
          <w:color w:val="FF0000"/>
        </w:rPr>
        <w:t>人每天</w:t>
      </w:r>
      <w:r>
        <w:rPr>
          <w:color w:val="FF0000"/>
        </w:rPr>
        <w:t>排放</w:t>
      </w:r>
      <w:r>
        <w:rPr>
          <w:rFonts w:hint="eastAsia"/>
          <w:color w:val="FF0000"/>
        </w:rPr>
        <w:t>0.2</w:t>
      </w:r>
      <w:r>
        <w:rPr>
          <w:color w:val="FF0000"/>
        </w:rPr>
        <w:t>kg计，则日产生</w:t>
      </w:r>
      <w:r>
        <w:rPr>
          <w:rFonts w:hint="eastAsia"/>
          <w:color w:val="FF0000"/>
        </w:rPr>
        <w:t>活</w:t>
      </w:r>
      <w:r>
        <w:rPr>
          <w:color w:val="FF0000"/>
        </w:rPr>
        <w:t>垃圾量为</w:t>
      </w:r>
      <w:r>
        <w:rPr>
          <w:rFonts w:hint="eastAsia"/>
          <w:color w:val="FF0000"/>
        </w:rPr>
        <w:t>0.4</w:t>
      </w:r>
      <w:r>
        <w:rPr>
          <w:color w:val="FF0000"/>
        </w:rPr>
        <w:t>kg/d</w:t>
      </w:r>
      <w:r>
        <w:rPr>
          <w:rFonts w:hint="eastAsia"/>
          <w:color w:val="FF0000"/>
        </w:rPr>
        <w:t>。</w:t>
      </w:r>
    </w:p>
    <w:p w14:paraId="53428F8A">
      <w:pPr>
        <w:ind w:firstLine="480"/>
        <w:rPr>
          <w:rFonts w:hint="eastAsia" w:cstheme="minorBidi"/>
          <w:color w:val="FF0000"/>
        </w:rPr>
      </w:pPr>
      <w:r>
        <w:rPr>
          <w:rFonts w:cstheme="minorBidi"/>
          <w:color w:val="FF0000"/>
        </w:rPr>
        <w:t>此外，电站运行期</w:t>
      </w:r>
      <w:r>
        <w:rPr>
          <w:rFonts w:hint="eastAsia" w:cstheme="minorBidi"/>
          <w:color w:val="FF0000"/>
        </w:rPr>
        <w:t>间机械设备进行检修时会产生一定量的</w:t>
      </w:r>
      <w:r>
        <w:rPr>
          <w:rFonts w:cstheme="minorBidi"/>
          <w:color w:val="FF0000"/>
        </w:rPr>
        <w:t>废机油，</w:t>
      </w:r>
      <w:r>
        <w:rPr>
          <w:rFonts w:hint="eastAsia" w:cstheme="minorBidi"/>
          <w:color w:val="FF0000"/>
        </w:rPr>
        <w:t>其产生量与电站管理水平、维修保养程度有关，无法定量计算。</w:t>
      </w:r>
    </w:p>
    <w:p w14:paraId="3C68CD46">
      <w:pPr>
        <w:ind w:firstLine="480"/>
        <w:rPr>
          <w:color w:val="FF0000"/>
        </w:rPr>
      </w:pPr>
    </w:p>
    <w:p w14:paraId="50E02BEE">
      <w:pPr>
        <w:pStyle w:val="4"/>
        <w:rPr>
          <w:snapToGrid w:val="0"/>
        </w:rPr>
      </w:pPr>
      <w:bookmarkStart w:id="509" w:name="_Toc397428330"/>
      <w:bookmarkStart w:id="510" w:name="_Toc443655421"/>
      <w:bookmarkStart w:id="511" w:name="_Toc454046520"/>
      <w:bookmarkStart w:id="512" w:name="_Toc471738002"/>
      <w:bookmarkStart w:id="513" w:name="_Toc508642455"/>
      <w:r>
        <w:rPr>
          <w:rFonts w:hint="eastAsia"/>
          <w:snapToGrid w:val="0"/>
        </w:rPr>
        <w:t>3.3拟建项目污染源汇总情况</w:t>
      </w:r>
      <w:bookmarkEnd w:id="509"/>
      <w:bookmarkEnd w:id="510"/>
      <w:bookmarkEnd w:id="511"/>
      <w:bookmarkEnd w:id="512"/>
      <w:bookmarkEnd w:id="513"/>
    </w:p>
    <w:p w14:paraId="532AE0AC">
      <w:pPr>
        <w:pStyle w:val="82"/>
        <w:framePr w:hSpace="0" w:wrap="auto" w:vAnchor="margin" w:hAnchor="text" w:xAlign="left" w:yAlign="inline"/>
      </w:pPr>
      <w:r>
        <w:t>表3-</w:t>
      </w:r>
      <w:r>
        <w:rPr>
          <w:rFonts w:hint="eastAsia"/>
        </w:rPr>
        <w:t>3-1</w:t>
      </w:r>
      <w:r>
        <w:t xml:space="preserve">  项目污染源汇总表</w:t>
      </w:r>
    </w:p>
    <w:tbl>
      <w:tblPr>
        <w:tblStyle w:val="586"/>
        <w:tblW w:w="9215" w:type="dxa"/>
        <w:tblInd w:w="-17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134"/>
        <w:gridCol w:w="1984"/>
        <w:gridCol w:w="1276"/>
        <w:gridCol w:w="4111"/>
      </w:tblGrid>
      <w:tr w14:paraId="5DAE6E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710" w:type="dxa"/>
            <w:vAlign w:val="center"/>
          </w:tcPr>
          <w:p w14:paraId="6B9D2701">
            <w:pPr>
              <w:pStyle w:val="84"/>
              <w:rPr>
                <w:lang w:val="zh-CN"/>
              </w:rPr>
            </w:pPr>
            <w:bookmarkStart w:id="514" w:name="_Toc232845602"/>
            <w:bookmarkStart w:id="515" w:name="_Toc365812643"/>
            <w:bookmarkStart w:id="516" w:name="_Toc239739078"/>
            <w:bookmarkStart w:id="517" w:name="_Toc277321334"/>
            <w:bookmarkStart w:id="518" w:name="_Toc232322656"/>
            <w:r>
              <w:rPr>
                <w:rFonts w:hint="eastAsia"/>
                <w:lang w:val="zh-CN"/>
              </w:rPr>
              <w:t>时段</w:t>
            </w:r>
          </w:p>
        </w:tc>
        <w:tc>
          <w:tcPr>
            <w:tcW w:w="1134" w:type="dxa"/>
            <w:vAlign w:val="center"/>
          </w:tcPr>
          <w:p w14:paraId="417A8BAC">
            <w:pPr>
              <w:pStyle w:val="84"/>
              <w:rPr>
                <w:lang w:val="zh-CN"/>
              </w:rPr>
            </w:pPr>
            <w:r>
              <w:rPr>
                <w:lang w:val="zh-CN"/>
              </w:rPr>
              <w:t>环境要素</w:t>
            </w:r>
          </w:p>
        </w:tc>
        <w:tc>
          <w:tcPr>
            <w:tcW w:w="1984" w:type="dxa"/>
            <w:vAlign w:val="center"/>
          </w:tcPr>
          <w:p w14:paraId="7404C2A6">
            <w:pPr>
              <w:pStyle w:val="84"/>
              <w:rPr>
                <w:lang w:val="zh-CN"/>
              </w:rPr>
            </w:pPr>
            <w:r>
              <w:rPr>
                <w:lang w:val="zh-CN"/>
              </w:rPr>
              <w:t>污染源</w:t>
            </w:r>
          </w:p>
        </w:tc>
        <w:tc>
          <w:tcPr>
            <w:tcW w:w="5387" w:type="dxa"/>
            <w:gridSpan w:val="2"/>
            <w:vAlign w:val="center"/>
          </w:tcPr>
          <w:p w14:paraId="177401CA">
            <w:pPr>
              <w:pStyle w:val="84"/>
            </w:pPr>
            <w:r>
              <w:rPr>
                <w:lang w:val="zh-CN"/>
              </w:rPr>
              <w:t>排放量及排放强度</w:t>
            </w:r>
          </w:p>
        </w:tc>
      </w:tr>
      <w:tr w14:paraId="65ACBF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710" w:type="dxa"/>
            <w:vMerge w:val="restart"/>
            <w:vAlign w:val="center"/>
          </w:tcPr>
          <w:p w14:paraId="5C9BA5DA">
            <w:pPr>
              <w:pStyle w:val="84"/>
            </w:pPr>
            <w:r>
              <w:rPr>
                <w:rFonts w:hint="eastAsia"/>
              </w:rPr>
              <w:t>施</w:t>
            </w:r>
          </w:p>
          <w:p w14:paraId="5B9B59D6">
            <w:pPr>
              <w:pStyle w:val="84"/>
            </w:pPr>
            <w:r>
              <w:rPr>
                <w:rFonts w:hint="eastAsia"/>
              </w:rPr>
              <w:t>工</w:t>
            </w:r>
          </w:p>
          <w:p w14:paraId="7B916C80">
            <w:pPr>
              <w:pStyle w:val="84"/>
            </w:pPr>
            <w:r>
              <w:rPr>
                <w:rFonts w:hint="eastAsia"/>
              </w:rPr>
              <w:t>期</w:t>
            </w:r>
          </w:p>
        </w:tc>
        <w:tc>
          <w:tcPr>
            <w:tcW w:w="1134" w:type="dxa"/>
            <w:vMerge w:val="restart"/>
            <w:vAlign w:val="center"/>
          </w:tcPr>
          <w:p w14:paraId="238BA3AD">
            <w:pPr>
              <w:pStyle w:val="84"/>
            </w:pPr>
            <w:r>
              <w:rPr>
                <w:lang w:val="zh-CN"/>
              </w:rPr>
              <w:t>水环境</w:t>
            </w:r>
          </w:p>
        </w:tc>
        <w:tc>
          <w:tcPr>
            <w:tcW w:w="1984" w:type="dxa"/>
            <w:vAlign w:val="center"/>
          </w:tcPr>
          <w:p w14:paraId="1838CEB5">
            <w:pPr>
              <w:pStyle w:val="84"/>
            </w:pPr>
            <w:r>
              <w:rPr>
                <w:rFonts w:cstheme="minorBidi"/>
              </w:rPr>
              <w:t>砂石料加工系统</w:t>
            </w:r>
            <w:r>
              <w:rPr>
                <w:rFonts w:hint="eastAsia" w:cstheme="minorBidi"/>
              </w:rPr>
              <w:t>筛洗</w:t>
            </w:r>
            <w:r>
              <w:rPr>
                <w:rFonts w:cstheme="minorBidi"/>
              </w:rPr>
              <w:t>废水</w:t>
            </w:r>
          </w:p>
        </w:tc>
        <w:tc>
          <w:tcPr>
            <w:tcW w:w="1276" w:type="dxa"/>
            <w:vAlign w:val="center"/>
          </w:tcPr>
          <w:p w14:paraId="6824DE39">
            <w:pPr>
              <w:pStyle w:val="84"/>
            </w:pPr>
            <w:r>
              <w:rPr>
                <w:rFonts w:hint="eastAsia" w:cstheme="minorBidi"/>
              </w:rPr>
              <w:t>118.24</w:t>
            </w:r>
            <w:r>
              <w:rPr>
                <w:rFonts w:cstheme="minorBidi"/>
              </w:rPr>
              <w:t>m</w:t>
            </w:r>
            <w:r>
              <w:rPr>
                <w:rFonts w:cstheme="minorBidi"/>
                <w:vertAlign w:val="superscript"/>
              </w:rPr>
              <w:t>3</w:t>
            </w:r>
            <w:r>
              <w:rPr>
                <w:rFonts w:cstheme="minorBidi"/>
              </w:rPr>
              <w:t>/d</w:t>
            </w:r>
          </w:p>
        </w:tc>
        <w:tc>
          <w:tcPr>
            <w:tcW w:w="4111" w:type="dxa"/>
            <w:vAlign w:val="center"/>
          </w:tcPr>
          <w:p w14:paraId="22F26F80">
            <w:pPr>
              <w:pStyle w:val="84"/>
            </w:pPr>
            <w:r>
              <w:t>SS</w:t>
            </w:r>
            <w:r>
              <w:rPr>
                <w:rFonts w:hint="eastAsia"/>
              </w:rPr>
              <w:t xml:space="preserve"> 500</w:t>
            </w:r>
            <w:r>
              <w:t>mg/L</w:t>
            </w:r>
            <w:r>
              <w:rPr>
                <w:rFonts w:hint="eastAsia"/>
              </w:rPr>
              <w:t>~8</w:t>
            </w:r>
            <w:r>
              <w:t>000mg/L</w:t>
            </w:r>
          </w:p>
        </w:tc>
      </w:tr>
      <w:tr w14:paraId="5CD830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710" w:type="dxa"/>
            <w:vMerge w:val="continue"/>
            <w:vAlign w:val="center"/>
          </w:tcPr>
          <w:p w14:paraId="7682DB39">
            <w:pPr>
              <w:pStyle w:val="84"/>
            </w:pPr>
          </w:p>
        </w:tc>
        <w:tc>
          <w:tcPr>
            <w:tcW w:w="1134" w:type="dxa"/>
            <w:vMerge w:val="continue"/>
            <w:vAlign w:val="center"/>
          </w:tcPr>
          <w:p w14:paraId="32084898">
            <w:pPr>
              <w:pStyle w:val="84"/>
              <w:rPr>
                <w:lang w:val="zh-CN"/>
              </w:rPr>
            </w:pPr>
          </w:p>
        </w:tc>
        <w:tc>
          <w:tcPr>
            <w:tcW w:w="1984" w:type="dxa"/>
            <w:vAlign w:val="center"/>
          </w:tcPr>
          <w:p w14:paraId="01821E7B">
            <w:pPr>
              <w:pStyle w:val="84"/>
              <w:rPr>
                <w:lang w:val="zh-CN"/>
              </w:rPr>
            </w:pPr>
            <w:r>
              <w:rPr>
                <w:lang w:val="zh-CN"/>
              </w:rPr>
              <w:t>混凝土拌和系统冲洗废水</w:t>
            </w:r>
          </w:p>
        </w:tc>
        <w:tc>
          <w:tcPr>
            <w:tcW w:w="1276" w:type="dxa"/>
            <w:vAlign w:val="center"/>
          </w:tcPr>
          <w:p w14:paraId="6DC9BD4C">
            <w:pPr>
              <w:pStyle w:val="84"/>
            </w:pPr>
            <w:r>
              <w:rPr>
                <w:rFonts w:hint="eastAsia"/>
              </w:rPr>
              <w:t>0.38</w:t>
            </w:r>
            <w:r>
              <w:t>m</w:t>
            </w:r>
            <w:r>
              <w:rPr>
                <w:vertAlign w:val="superscript"/>
              </w:rPr>
              <w:t>3</w:t>
            </w:r>
            <w:r>
              <w:t>/d</w:t>
            </w:r>
          </w:p>
        </w:tc>
        <w:tc>
          <w:tcPr>
            <w:tcW w:w="4111" w:type="dxa"/>
            <w:vAlign w:val="center"/>
          </w:tcPr>
          <w:p w14:paraId="0F9AF46E">
            <w:pPr>
              <w:pStyle w:val="84"/>
            </w:pPr>
            <w:r>
              <w:t>SS</w:t>
            </w:r>
            <w:r>
              <w:rPr>
                <w:rFonts w:hint="eastAsia"/>
              </w:rPr>
              <w:t xml:space="preserve"> 200</w:t>
            </w:r>
            <w:r>
              <w:t>mg/L</w:t>
            </w:r>
            <w:r>
              <w:rPr>
                <w:rFonts w:hint="eastAsia"/>
              </w:rPr>
              <w:t>~</w:t>
            </w:r>
            <w:r>
              <w:t>5000mg/L，pH</w:t>
            </w:r>
            <w:r>
              <w:rPr>
                <w:rFonts w:hint="eastAsia"/>
              </w:rPr>
              <w:t>值约为11</w:t>
            </w:r>
          </w:p>
        </w:tc>
      </w:tr>
      <w:tr w14:paraId="33E4A7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14:paraId="7313324A">
            <w:pPr>
              <w:pStyle w:val="84"/>
            </w:pPr>
          </w:p>
        </w:tc>
        <w:tc>
          <w:tcPr>
            <w:tcW w:w="1134" w:type="dxa"/>
            <w:vMerge w:val="continue"/>
            <w:vAlign w:val="center"/>
          </w:tcPr>
          <w:p w14:paraId="12671485">
            <w:pPr>
              <w:pStyle w:val="84"/>
            </w:pPr>
          </w:p>
        </w:tc>
        <w:tc>
          <w:tcPr>
            <w:tcW w:w="1984" w:type="dxa"/>
            <w:vAlign w:val="center"/>
          </w:tcPr>
          <w:p w14:paraId="46CE4E30">
            <w:pPr>
              <w:pStyle w:val="84"/>
              <w:rPr>
                <w:lang w:val="zh-CN"/>
              </w:rPr>
            </w:pPr>
            <w:r>
              <w:rPr>
                <w:lang w:val="zh-CN"/>
              </w:rPr>
              <w:t>施工人员</w:t>
            </w:r>
            <w:r>
              <w:rPr>
                <w:rFonts w:hint="eastAsia"/>
                <w:lang w:val="zh-CN"/>
              </w:rPr>
              <w:t>生活</w:t>
            </w:r>
            <w:r>
              <w:rPr>
                <w:lang w:val="zh-CN"/>
              </w:rPr>
              <w:t>废水</w:t>
            </w:r>
          </w:p>
        </w:tc>
        <w:tc>
          <w:tcPr>
            <w:tcW w:w="1276" w:type="dxa"/>
            <w:vAlign w:val="center"/>
          </w:tcPr>
          <w:p w14:paraId="3776DBF3">
            <w:pPr>
              <w:pStyle w:val="84"/>
            </w:pPr>
            <w:r>
              <w:rPr>
                <w:rFonts w:hint="eastAsia"/>
              </w:rPr>
              <w:t>2.8m</w:t>
            </w:r>
            <w:r>
              <w:rPr>
                <w:rFonts w:hint="eastAsia"/>
                <w:vertAlign w:val="superscript"/>
              </w:rPr>
              <w:t>3</w:t>
            </w:r>
            <w:r>
              <w:rPr>
                <w:rFonts w:hint="eastAsia"/>
              </w:rPr>
              <w:t>/d</w:t>
            </w:r>
          </w:p>
        </w:tc>
        <w:tc>
          <w:tcPr>
            <w:tcW w:w="4111" w:type="dxa"/>
            <w:vAlign w:val="center"/>
          </w:tcPr>
          <w:p w14:paraId="03FCA616">
            <w:pPr>
              <w:pStyle w:val="84"/>
            </w:pPr>
            <w:r>
              <w:rPr>
                <w:rFonts w:hint="eastAsia"/>
              </w:rPr>
              <w:t>SS 300mg/L～400mg/L、NH</w:t>
            </w:r>
            <w:r>
              <w:rPr>
                <w:rFonts w:hint="eastAsia"/>
                <w:vertAlign w:val="subscript"/>
              </w:rPr>
              <w:t>3</w:t>
            </w:r>
            <w:r>
              <w:rPr>
                <w:rFonts w:hint="eastAsia"/>
              </w:rPr>
              <w:t>-N 25mg/L～30mg/L、TP＜8mg/L、COD 100mg/L～200mg/L、BOD</w:t>
            </w:r>
            <w:r>
              <w:rPr>
                <w:rFonts w:hint="eastAsia"/>
                <w:vertAlign w:val="subscript"/>
              </w:rPr>
              <w:t xml:space="preserve">5 </w:t>
            </w:r>
            <w:r>
              <w:rPr>
                <w:rFonts w:hint="eastAsia"/>
              </w:rPr>
              <w:t>80mg/L～150mg/L</w:t>
            </w:r>
          </w:p>
        </w:tc>
      </w:tr>
      <w:tr w14:paraId="1A7166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14:paraId="78BB8168">
            <w:pPr>
              <w:pStyle w:val="84"/>
              <w:rPr>
                <w:highlight w:val="green"/>
              </w:rPr>
            </w:pPr>
          </w:p>
        </w:tc>
        <w:tc>
          <w:tcPr>
            <w:tcW w:w="1134" w:type="dxa"/>
            <w:vAlign w:val="center"/>
          </w:tcPr>
          <w:p w14:paraId="7BB608AB">
            <w:pPr>
              <w:pStyle w:val="84"/>
              <w:rPr>
                <w:lang w:val="zh-CN"/>
              </w:rPr>
            </w:pPr>
            <w:r>
              <w:rPr>
                <w:lang w:val="zh-CN"/>
              </w:rPr>
              <w:t>大气环境</w:t>
            </w:r>
          </w:p>
        </w:tc>
        <w:tc>
          <w:tcPr>
            <w:tcW w:w="1984" w:type="dxa"/>
            <w:vAlign w:val="center"/>
          </w:tcPr>
          <w:p w14:paraId="4B717462">
            <w:pPr>
              <w:pStyle w:val="84"/>
              <w:rPr>
                <w:lang w:val="zh-CN"/>
              </w:rPr>
            </w:pPr>
            <w:r>
              <w:rPr>
                <w:lang w:val="zh-CN"/>
              </w:rPr>
              <w:t>施工废气</w:t>
            </w:r>
          </w:p>
        </w:tc>
        <w:tc>
          <w:tcPr>
            <w:tcW w:w="5387" w:type="dxa"/>
            <w:gridSpan w:val="2"/>
            <w:vAlign w:val="center"/>
          </w:tcPr>
          <w:p w14:paraId="76ACC527">
            <w:pPr>
              <w:pStyle w:val="84"/>
            </w:pPr>
            <w:r>
              <w:t>CO：</w:t>
            </w:r>
            <w:r>
              <w:rPr>
                <w:rFonts w:hint="eastAsia"/>
              </w:rPr>
              <w:t>39kg</w:t>
            </w:r>
            <w:r>
              <w:t>；NO</w:t>
            </w:r>
            <w:r>
              <w:rPr>
                <w:vertAlign w:val="subscript"/>
              </w:rPr>
              <w:t>2</w:t>
            </w:r>
            <w:r>
              <w:t>：</w:t>
            </w:r>
            <w:r>
              <w:rPr>
                <w:rFonts w:hint="eastAsia"/>
              </w:rPr>
              <w:t>146kg</w:t>
            </w:r>
            <w:r>
              <w:t>；SO</w:t>
            </w:r>
            <w:r>
              <w:rPr>
                <w:vertAlign w:val="subscript"/>
              </w:rPr>
              <w:t>2</w:t>
            </w:r>
            <w:r>
              <w:rPr>
                <w:rFonts w:hint="eastAsia"/>
              </w:rPr>
              <w:t>：112kg</w:t>
            </w:r>
            <w:r>
              <w:t>；CmHn：</w:t>
            </w:r>
            <w:r>
              <w:rPr>
                <w:rFonts w:hint="eastAsia"/>
                <w:lang w:val="zh-CN"/>
              </w:rPr>
              <w:t>106.5kg</w:t>
            </w:r>
          </w:p>
        </w:tc>
      </w:tr>
      <w:tr w14:paraId="112A9A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14:paraId="2F8B7F0F">
            <w:pPr>
              <w:pStyle w:val="84"/>
              <w:rPr>
                <w:highlight w:val="green"/>
              </w:rPr>
            </w:pPr>
          </w:p>
        </w:tc>
        <w:tc>
          <w:tcPr>
            <w:tcW w:w="1134" w:type="dxa"/>
            <w:vAlign w:val="center"/>
          </w:tcPr>
          <w:p w14:paraId="2274B624">
            <w:pPr>
              <w:pStyle w:val="84"/>
              <w:rPr>
                <w:lang w:val="zh-CN"/>
              </w:rPr>
            </w:pPr>
            <w:r>
              <w:rPr>
                <w:lang w:val="zh-CN"/>
              </w:rPr>
              <w:t>声环境</w:t>
            </w:r>
          </w:p>
        </w:tc>
        <w:tc>
          <w:tcPr>
            <w:tcW w:w="1984" w:type="dxa"/>
            <w:vAlign w:val="center"/>
          </w:tcPr>
          <w:p w14:paraId="63FF8315">
            <w:pPr>
              <w:pStyle w:val="84"/>
            </w:pPr>
            <w:r>
              <w:t>施工机械噪声</w:t>
            </w:r>
          </w:p>
        </w:tc>
        <w:tc>
          <w:tcPr>
            <w:tcW w:w="5387" w:type="dxa"/>
            <w:gridSpan w:val="2"/>
            <w:vAlign w:val="center"/>
          </w:tcPr>
          <w:p w14:paraId="1DD11C2F">
            <w:pPr>
              <w:pStyle w:val="84"/>
            </w:pPr>
            <w:r>
              <w:rPr>
                <w:lang w:val="zh-CN"/>
              </w:rPr>
              <w:t>7</w:t>
            </w:r>
            <w:r>
              <w:rPr>
                <w:rFonts w:hint="eastAsia"/>
                <w:lang w:val="zh-CN"/>
              </w:rPr>
              <w:t>2</w:t>
            </w:r>
            <w:r>
              <w:t>dB(A)</w:t>
            </w:r>
            <w:r>
              <w:rPr>
                <w:lang w:val="zh-CN"/>
              </w:rPr>
              <w:t>~</w:t>
            </w:r>
            <w:r>
              <w:rPr>
                <w:rFonts w:hint="eastAsia"/>
                <w:lang w:val="zh-CN"/>
              </w:rPr>
              <w:t>95</w:t>
            </w:r>
            <w:r>
              <w:t>dB(A)</w:t>
            </w:r>
          </w:p>
        </w:tc>
      </w:tr>
      <w:tr w14:paraId="0C5848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14:paraId="73FBF1DA">
            <w:pPr>
              <w:pStyle w:val="84"/>
              <w:rPr>
                <w:highlight w:val="green"/>
              </w:rPr>
            </w:pPr>
          </w:p>
        </w:tc>
        <w:tc>
          <w:tcPr>
            <w:tcW w:w="1134" w:type="dxa"/>
            <w:vMerge w:val="restart"/>
            <w:vAlign w:val="center"/>
          </w:tcPr>
          <w:p w14:paraId="25044370">
            <w:pPr>
              <w:pStyle w:val="84"/>
            </w:pPr>
            <w:r>
              <w:rPr>
                <w:lang w:val="zh-CN"/>
              </w:rPr>
              <w:t>固体废物</w:t>
            </w:r>
          </w:p>
        </w:tc>
        <w:tc>
          <w:tcPr>
            <w:tcW w:w="1984" w:type="dxa"/>
            <w:vAlign w:val="center"/>
          </w:tcPr>
          <w:p w14:paraId="221153C8">
            <w:pPr>
              <w:pStyle w:val="84"/>
            </w:pPr>
            <w:r>
              <w:t>土石方</w:t>
            </w:r>
          </w:p>
        </w:tc>
        <w:tc>
          <w:tcPr>
            <w:tcW w:w="5387" w:type="dxa"/>
            <w:gridSpan w:val="2"/>
            <w:vAlign w:val="center"/>
          </w:tcPr>
          <w:p w14:paraId="632ED3EE">
            <w:pPr>
              <w:pStyle w:val="84"/>
              <w:rPr>
                <w:lang w:val="zh-CN"/>
              </w:rPr>
            </w:pPr>
            <w:r>
              <w:rPr>
                <w:color w:val="FF0000"/>
              </w:rPr>
              <w:t>土石方开挖</w:t>
            </w:r>
            <w:r>
              <w:rPr>
                <w:rFonts w:hint="eastAsia"/>
                <w:color w:val="FF0000"/>
              </w:rPr>
              <w:t>总量为609</w:t>
            </w:r>
            <w:r>
              <w:rPr>
                <w:color w:val="FF0000"/>
              </w:rPr>
              <w:t>37</w:t>
            </w:r>
            <w:r>
              <w:rPr>
                <w:rFonts w:hint="eastAsia"/>
                <w:color w:val="FF0000"/>
              </w:rPr>
              <w:t>m</w:t>
            </w:r>
            <w:r>
              <w:rPr>
                <w:color w:val="FF0000"/>
                <w:vertAlign w:val="superscript"/>
              </w:rPr>
              <w:t>3</w:t>
            </w:r>
            <w:r>
              <w:rPr>
                <w:rFonts w:hint="eastAsia"/>
                <w:color w:val="FF0000"/>
              </w:rPr>
              <w:t>，其中土方49182m</w:t>
            </w:r>
            <w:r>
              <w:rPr>
                <w:rFonts w:hint="eastAsia"/>
                <w:color w:val="FF0000"/>
                <w:vertAlign w:val="superscript"/>
              </w:rPr>
              <w:t>3</w:t>
            </w:r>
            <w:r>
              <w:rPr>
                <w:rFonts w:hint="eastAsia"/>
                <w:color w:val="FF0000"/>
              </w:rPr>
              <w:t>，石方11755m</w:t>
            </w:r>
            <w:r>
              <w:rPr>
                <w:rFonts w:hint="eastAsia"/>
                <w:color w:val="FF0000"/>
                <w:vertAlign w:val="superscript"/>
              </w:rPr>
              <w:t>3</w:t>
            </w:r>
            <w:r>
              <w:rPr>
                <w:rFonts w:hint="eastAsia"/>
                <w:color w:val="FF0000"/>
              </w:rPr>
              <w:t>，回填利用量25922m</w:t>
            </w:r>
            <w:r>
              <w:rPr>
                <w:rFonts w:hint="eastAsia"/>
                <w:color w:val="FF0000"/>
                <w:vertAlign w:val="superscript"/>
              </w:rPr>
              <w:t>3</w:t>
            </w:r>
            <w:r>
              <w:rPr>
                <w:rFonts w:hint="eastAsia"/>
                <w:color w:val="FF0000"/>
              </w:rPr>
              <w:t>，调出</w:t>
            </w:r>
            <w:r>
              <w:rPr>
                <w:rFonts w:hint="eastAsia" w:hAnsi="宋体"/>
                <w:color w:val="FF0000"/>
              </w:rPr>
              <w:t>35015</w:t>
            </w:r>
            <w:r>
              <w:rPr>
                <w:rFonts w:hint="eastAsia"/>
                <w:color w:val="FF0000"/>
              </w:rPr>
              <w:t>m</w:t>
            </w:r>
            <w:r>
              <w:rPr>
                <w:rFonts w:hint="eastAsia"/>
                <w:color w:val="FF0000"/>
                <w:vertAlign w:val="superscript"/>
              </w:rPr>
              <w:t>3</w:t>
            </w:r>
            <w:r>
              <w:rPr>
                <w:rFonts w:hint="eastAsia"/>
                <w:color w:val="FF0000"/>
              </w:rPr>
              <w:t>，工程无弃渣产生</w:t>
            </w:r>
          </w:p>
        </w:tc>
      </w:tr>
      <w:tr w14:paraId="26E3DA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14:paraId="3CA78D39">
            <w:pPr>
              <w:pStyle w:val="84"/>
              <w:rPr>
                <w:highlight w:val="green"/>
              </w:rPr>
            </w:pPr>
          </w:p>
        </w:tc>
        <w:tc>
          <w:tcPr>
            <w:tcW w:w="1134" w:type="dxa"/>
            <w:vMerge w:val="continue"/>
            <w:vAlign w:val="center"/>
          </w:tcPr>
          <w:p w14:paraId="75A09BCF">
            <w:pPr>
              <w:pStyle w:val="84"/>
              <w:rPr>
                <w:highlight w:val="green"/>
              </w:rPr>
            </w:pPr>
          </w:p>
        </w:tc>
        <w:tc>
          <w:tcPr>
            <w:tcW w:w="1984" w:type="dxa"/>
            <w:vAlign w:val="center"/>
          </w:tcPr>
          <w:p w14:paraId="4A36B3E4">
            <w:pPr>
              <w:pStyle w:val="84"/>
            </w:pPr>
            <w:r>
              <w:t>生活垃圾</w:t>
            </w:r>
          </w:p>
        </w:tc>
        <w:tc>
          <w:tcPr>
            <w:tcW w:w="5387" w:type="dxa"/>
            <w:gridSpan w:val="2"/>
            <w:vAlign w:val="center"/>
          </w:tcPr>
          <w:p w14:paraId="1283B67F">
            <w:pPr>
              <w:pStyle w:val="84"/>
              <w:rPr>
                <w:lang w:val="zh-CN"/>
              </w:rPr>
            </w:pPr>
            <w:r>
              <w:rPr>
                <w:rFonts w:hint="eastAsia"/>
                <w:szCs w:val="20"/>
              </w:rPr>
              <w:t>50kg/d</w:t>
            </w:r>
          </w:p>
        </w:tc>
      </w:tr>
      <w:tr w14:paraId="5B3B7E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14:paraId="7B1894A0">
            <w:pPr>
              <w:pStyle w:val="84"/>
              <w:rPr>
                <w:highlight w:val="green"/>
              </w:rPr>
            </w:pPr>
          </w:p>
        </w:tc>
        <w:tc>
          <w:tcPr>
            <w:tcW w:w="1134" w:type="dxa"/>
            <w:vMerge w:val="continue"/>
            <w:vAlign w:val="center"/>
          </w:tcPr>
          <w:p w14:paraId="2772210F">
            <w:pPr>
              <w:pStyle w:val="84"/>
              <w:rPr>
                <w:highlight w:val="green"/>
              </w:rPr>
            </w:pPr>
          </w:p>
        </w:tc>
        <w:tc>
          <w:tcPr>
            <w:tcW w:w="1984" w:type="dxa"/>
            <w:vAlign w:val="center"/>
          </w:tcPr>
          <w:p w14:paraId="2FFC47A4">
            <w:pPr>
              <w:pStyle w:val="84"/>
            </w:pPr>
            <w:r>
              <w:rPr>
                <w:rFonts w:hint="eastAsia"/>
              </w:rPr>
              <w:t>旱厕污粪</w:t>
            </w:r>
          </w:p>
        </w:tc>
        <w:tc>
          <w:tcPr>
            <w:tcW w:w="5387" w:type="dxa"/>
            <w:gridSpan w:val="2"/>
            <w:vAlign w:val="center"/>
          </w:tcPr>
          <w:p w14:paraId="0B69F6C0">
            <w:pPr>
              <w:pStyle w:val="84"/>
              <w:rPr>
                <w:lang w:val="zh-CN"/>
              </w:rPr>
            </w:pPr>
            <w:r>
              <w:rPr>
                <w:rFonts w:hint="eastAsia"/>
              </w:rPr>
              <w:t>7.5kg</w:t>
            </w:r>
            <w:r>
              <w:t>/</w:t>
            </w:r>
            <w:r>
              <w:rPr>
                <w:rFonts w:hint="eastAsia"/>
              </w:rPr>
              <w:t>d</w:t>
            </w:r>
          </w:p>
        </w:tc>
      </w:tr>
      <w:tr w14:paraId="2EF4F2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10" w:type="dxa"/>
            <w:vMerge w:val="restart"/>
            <w:vAlign w:val="center"/>
          </w:tcPr>
          <w:p w14:paraId="5CE5624B">
            <w:pPr>
              <w:pStyle w:val="84"/>
              <w:rPr>
                <w:color w:val="FF0000"/>
              </w:rPr>
            </w:pPr>
            <w:r>
              <w:rPr>
                <w:color w:val="FF0000"/>
              </w:rPr>
              <w:t>运</w:t>
            </w:r>
          </w:p>
          <w:p w14:paraId="32BF3086">
            <w:pPr>
              <w:pStyle w:val="84"/>
              <w:rPr>
                <w:color w:val="FF0000"/>
              </w:rPr>
            </w:pPr>
            <w:r>
              <w:rPr>
                <w:color w:val="FF0000"/>
              </w:rPr>
              <w:t>营</w:t>
            </w:r>
          </w:p>
          <w:p w14:paraId="1D5C2875">
            <w:pPr>
              <w:pStyle w:val="84"/>
              <w:rPr>
                <w:color w:val="FF0000"/>
              </w:rPr>
            </w:pPr>
            <w:r>
              <w:rPr>
                <w:color w:val="FF0000"/>
              </w:rPr>
              <w:t>期</w:t>
            </w:r>
          </w:p>
        </w:tc>
        <w:tc>
          <w:tcPr>
            <w:tcW w:w="1134" w:type="dxa"/>
            <w:vAlign w:val="center"/>
          </w:tcPr>
          <w:p w14:paraId="3CB3B875">
            <w:pPr>
              <w:pStyle w:val="84"/>
              <w:rPr>
                <w:color w:val="FF0000"/>
              </w:rPr>
            </w:pPr>
            <w:r>
              <w:rPr>
                <w:color w:val="FF0000"/>
                <w:lang w:val="zh-CN"/>
              </w:rPr>
              <w:t>水环境</w:t>
            </w:r>
          </w:p>
        </w:tc>
        <w:tc>
          <w:tcPr>
            <w:tcW w:w="1984" w:type="dxa"/>
            <w:vAlign w:val="center"/>
          </w:tcPr>
          <w:p w14:paraId="7816F39A">
            <w:pPr>
              <w:pStyle w:val="84"/>
              <w:rPr>
                <w:color w:val="FF0000"/>
              </w:rPr>
            </w:pPr>
            <w:r>
              <w:rPr>
                <w:color w:val="FF0000"/>
              </w:rPr>
              <w:t>生活污水</w:t>
            </w:r>
          </w:p>
        </w:tc>
        <w:tc>
          <w:tcPr>
            <w:tcW w:w="5387" w:type="dxa"/>
            <w:gridSpan w:val="2"/>
            <w:vAlign w:val="center"/>
          </w:tcPr>
          <w:p w14:paraId="4BFCC0B8">
            <w:pPr>
              <w:pStyle w:val="84"/>
              <w:rPr>
                <w:b/>
                <w:color w:val="FF0000"/>
              </w:rPr>
            </w:pPr>
            <w:r>
              <w:rPr>
                <w:rFonts w:hint="eastAsia"/>
                <w:color w:val="FF0000"/>
              </w:rPr>
              <w:t>无生活废水产生</w:t>
            </w:r>
          </w:p>
        </w:tc>
      </w:tr>
      <w:tr w14:paraId="5C117D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14:paraId="6BC2AF88">
            <w:pPr>
              <w:pStyle w:val="84"/>
              <w:rPr>
                <w:color w:val="FF0000"/>
              </w:rPr>
            </w:pPr>
          </w:p>
        </w:tc>
        <w:tc>
          <w:tcPr>
            <w:tcW w:w="1134" w:type="dxa"/>
            <w:vAlign w:val="center"/>
          </w:tcPr>
          <w:p w14:paraId="1B10BC76">
            <w:pPr>
              <w:pStyle w:val="84"/>
              <w:rPr>
                <w:color w:val="FF0000"/>
                <w:lang w:val="zh-CN"/>
              </w:rPr>
            </w:pPr>
            <w:r>
              <w:rPr>
                <w:color w:val="FF0000"/>
                <w:lang w:val="zh-CN"/>
              </w:rPr>
              <w:t>大气环境</w:t>
            </w:r>
          </w:p>
        </w:tc>
        <w:tc>
          <w:tcPr>
            <w:tcW w:w="1984" w:type="dxa"/>
            <w:vAlign w:val="center"/>
          </w:tcPr>
          <w:p w14:paraId="52F34874">
            <w:pPr>
              <w:pStyle w:val="84"/>
              <w:rPr>
                <w:color w:val="FF0000"/>
              </w:rPr>
            </w:pPr>
            <w:r>
              <w:rPr>
                <w:rFonts w:hint="eastAsia"/>
                <w:color w:val="FF0000"/>
              </w:rPr>
              <w:t>废气</w:t>
            </w:r>
          </w:p>
        </w:tc>
        <w:tc>
          <w:tcPr>
            <w:tcW w:w="5387" w:type="dxa"/>
            <w:gridSpan w:val="2"/>
            <w:vAlign w:val="center"/>
          </w:tcPr>
          <w:p w14:paraId="635368EE">
            <w:pPr>
              <w:pStyle w:val="84"/>
              <w:rPr>
                <w:color w:val="FF0000"/>
              </w:rPr>
            </w:pPr>
            <w:r>
              <w:rPr>
                <w:color w:val="FF0000"/>
              </w:rPr>
              <w:t>机组运行不会产生废气</w:t>
            </w:r>
          </w:p>
        </w:tc>
      </w:tr>
      <w:tr w14:paraId="344FED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14:paraId="2E62B796">
            <w:pPr>
              <w:pStyle w:val="84"/>
              <w:rPr>
                <w:color w:val="FF0000"/>
              </w:rPr>
            </w:pPr>
          </w:p>
        </w:tc>
        <w:tc>
          <w:tcPr>
            <w:tcW w:w="1134" w:type="dxa"/>
            <w:vAlign w:val="center"/>
          </w:tcPr>
          <w:p w14:paraId="66D564D7">
            <w:pPr>
              <w:pStyle w:val="84"/>
              <w:rPr>
                <w:color w:val="FF0000"/>
                <w:lang w:val="zh-CN"/>
              </w:rPr>
            </w:pPr>
            <w:r>
              <w:rPr>
                <w:color w:val="FF0000"/>
                <w:lang w:val="zh-CN"/>
              </w:rPr>
              <w:t>声环境</w:t>
            </w:r>
          </w:p>
        </w:tc>
        <w:tc>
          <w:tcPr>
            <w:tcW w:w="1984" w:type="dxa"/>
            <w:vAlign w:val="center"/>
          </w:tcPr>
          <w:p w14:paraId="5C8E4F21">
            <w:pPr>
              <w:pStyle w:val="84"/>
              <w:rPr>
                <w:color w:val="FF0000"/>
              </w:rPr>
            </w:pPr>
            <w:r>
              <w:rPr>
                <w:rFonts w:hint="eastAsia"/>
                <w:color w:val="FF0000"/>
              </w:rPr>
              <w:t>设备噪声</w:t>
            </w:r>
          </w:p>
        </w:tc>
        <w:tc>
          <w:tcPr>
            <w:tcW w:w="5387" w:type="dxa"/>
            <w:gridSpan w:val="2"/>
            <w:vAlign w:val="center"/>
          </w:tcPr>
          <w:p w14:paraId="362339AA">
            <w:pPr>
              <w:pStyle w:val="84"/>
              <w:rPr>
                <w:color w:val="FF0000"/>
              </w:rPr>
            </w:pPr>
            <w:r>
              <w:rPr>
                <w:color w:val="FF0000"/>
              </w:rPr>
              <w:t>80dB(A)～</w:t>
            </w:r>
            <w:r>
              <w:rPr>
                <w:rFonts w:hint="eastAsia"/>
                <w:color w:val="FF0000"/>
              </w:rPr>
              <w:t>88</w:t>
            </w:r>
            <w:r>
              <w:rPr>
                <w:color w:val="FF0000"/>
              </w:rPr>
              <w:t>dB(A)</w:t>
            </w:r>
          </w:p>
        </w:tc>
      </w:tr>
      <w:tr w14:paraId="565949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14:paraId="0B014663">
            <w:pPr>
              <w:pStyle w:val="84"/>
              <w:rPr>
                <w:color w:val="FF0000"/>
                <w:highlight w:val="green"/>
              </w:rPr>
            </w:pPr>
          </w:p>
        </w:tc>
        <w:tc>
          <w:tcPr>
            <w:tcW w:w="1134" w:type="dxa"/>
            <w:vMerge w:val="restart"/>
            <w:vAlign w:val="center"/>
          </w:tcPr>
          <w:p w14:paraId="73149B5B">
            <w:pPr>
              <w:pStyle w:val="84"/>
              <w:rPr>
                <w:color w:val="FF0000"/>
              </w:rPr>
            </w:pPr>
            <w:r>
              <w:rPr>
                <w:color w:val="FF0000"/>
                <w:lang w:val="zh-CN"/>
              </w:rPr>
              <w:t>固体废物</w:t>
            </w:r>
          </w:p>
        </w:tc>
        <w:tc>
          <w:tcPr>
            <w:tcW w:w="1984" w:type="dxa"/>
            <w:vAlign w:val="center"/>
          </w:tcPr>
          <w:p w14:paraId="56F6AE65">
            <w:pPr>
              <w:pStyle w:val="84"/>
              <w:rPr>
                <w:color w:val="FF0000"/>
              </w:rPr>
            </w:pPr>
            <w:r>
              <w:rPr>
                <w:color w:val="FF0000"/>
              </w:rPr>
              <w:t>生活垃圾</w:t>
            </w:r>
          </w:p>
        </w:tc>
        <w:tc>
          <w:tcPr>
            <w:tcW w:w="5387" w:type="dxa"/>
            <w:gridSpan w:val="2"/>
            <w:vAlign w:val="center"/>
          </w:tcPr>
          <w:p w14:paraId="0AD300CE">
            <w:pPr>
              <w:pStyle w:val="84"/>
              <w:rPr>
                <w:color w:val="FF0000"/>
                <w:kern w:val="0"/>
              </w:rPr>
            </w:pPr>
            <w:r>
              <w:rPr>
                <w:rFonts w:hint="eastAsia"/>
                <w:color w:val="FF0000"/>
              </w:rPr>
              <w:t>0.4</w:t>
            </w:r>
            <w:r>
              <w:rPr>
                <w:color w:val="FF0000"/>
              </w:rPr>
              <w:t>kg/d</w:t>
            </w:r>
          </w:p>
        </w:tc>
      </w:tr>
      <w:tr w14:paraId="1BB458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14:paraId="1FE19BC5">
            <w:pPr>
              <w:pStyle w:val="84"/>
              <w:rPr>
                <w:color w:val="FF0000"/>
                <w:highlight w:val="green"/>
              </w:rPr>
            </w:pPr>
          </w:p>
        </w:tc>
        <w:tc>
          <w:tcPr>
            <w:tcW w:w="1134" w:type="dxa"/>
            <w:vMerge w:val="continue"/>
            <w:vAlign w:val="center"/>
          </w:tcPr>
          <w:p w14:paraId="4FAB4AA1">
            <w:pPr>
              <w:pStyle w:val="84"/>
              <w:rPr>
                <w:color w:val="FF0000"/>
                <w:lang w:val="zh-CN"/>
              </w:rPr>
            </w:pPr>
          </w:p>
        </w:tc>
        <w:tc>
          <w:tcPr>
            <w:tcW w:w="1984" w:type="dxa"/>
            <w:vAlign w:val="center"/>
          </w:tcPr>
          <w:p w14:paraId="09A74ECA">
            <w:pPr>
              <w:pStyle w:val="84"/>
              <w:rPr>
                <w:color w:val="FF0000"/>
              </w:rPr>
            </w:pPr>
            <w:r>
              <w:rPr>
                <w:rFonts w:hint="eastAsia"/>
                <w:color w:val="FF0000"/>
              </w:rPr>
              <w:t>废机油</w:t>
            </w:r>
          </w:p>
        </w:tc>
        <w:tc>
          <w:tcPr>
            <w:tcW w:w="5387" w:type="dxa"/>
            <w:gridSpan w:val="2"/>
            <w:vAlign w:val="center"/>
          </w:tcPr>
          <w:p w14:paraId="648BD471">
            <w:pPr>
              <w:pStyle w:val="84"/>
              <w:rPr>
                <w:color w:val="FF0000"/>
              </w:rPr>
            </w:pPr>
            <w:r>
              <w:rPr>
                <w:rFonts w:hint="eastAsia"/>
                <w:color w:val="FF0000"/>
              </w:rPr>
              <w:t>少量</w:t>
            </w:r>
          </w:p>
        </w:tc>
      </w:tr>
      <w:bookmarkEnd w:id="514"/>
      <w:bookmarkEnd w:id="515"/>
      <w:bookmarkEnd w:id="516"/>
      <w:bookmarkEnd w:id="517"/>
      <w:bookmarkEnd w:id="518"/>
    </w:tbl>
    <w:p w14:paraId="2ED28363">
      <w:pPr>
        <w:ind w:firstLine="480"/>
      </w:pPr>
      <w:bookmarkStart w:id="519" w:name="_Toc443655422"/>
      <w:bookmarkStart w:id="520" w:name="_Toc454046521"/>
      <w:bookmarkStart w:id="521" w:name="_Toc471738006"/>
    </w:p>
    <w:p w14:paraId="01A9CDFA">
      <w:pPr>
        <w:widowControl/>
        <w:spacing w:line="240" w:lineRule="auto"/>
        <w:ind w:firstLine="0" w:firstLineChars="0"/>
        <w:jc w:val="left"/>
        <w:rPr>
          <w:rFonts w:eastAsia="黑体" w:cs="宋体"/>
          <w:bCs/>
          <w:kern w:val="44"/>
          <w:sz w:val="30"/>
          <w:szCs w:val="20"/>
        </w:rPr>
      </w:pPr>
      <w:r>
        <w:br w:type="page"/>
      </w:r>
    </w:p>
    <w:p w14:paraId="36DFA75C">
      <w:pPr>
        <w:pStyle w:val="180"/>
      </w:pPr>
      <w:bookmarkStart w:id="522" w:name="_Toc508642456"/>
      <w:r>
        <w:rPr>
          <w:rFonts w:hint="eastAsia"/>
        </w:rPr>
        <w:t>4区域环境概况</w:t>
      </w:r>
      <w:bookmarkEnd w:id="519"/>
      <w:bookmarkEnd w:id="520"/>
      <w:bookmarkEnd w:id="521"/>
      <w:bookmarkEnd w:id="522"/>
    </w:p>
    <w:p w14:paraId="75EDB5C1">
      <w:pPr>
        <w:pStyle w:val="4"/>
      </w:pPr>
      <w:bookmarkStart w:id="523" w:name="_Toc471738007"/>
      <w:bookmarkStart w:id="524" w:name="_Toc443655423"/>
      <w:bookmarkStart w:id="525" w:name="_Toc454046522"/>
      <w:bookmarkStart w:id="526" w:name="_Toc508642457"/>
      <w:r>
        <w:rPr>
          <w:rFonts w:hint="eastAsia"/>
        </w:rPr>
        <w:t>4.1自然环境概况</w:t>
      </w:r>
      <w:bookmarkEnd w:id="523"/>
      <w:bookmarkEnd w:id="524"/>
      <w:bookmarkEnd w:id="525"/>
      <w:bookmarkEnd w:id="526"/>
    </w:p>
    <w:p w14:paraId="69750C74">
      <w:pPr>
        <w:pStyle w:val="113"/>
      </w:pPr>
      <w:bookmarkStart w:id="527" w:name="_Toc454046523"/>
      <w:bookmarkStart w:id="528" w:name="_Toc299117692"/>
      <w:bookmarkStart w:id="529" w:name="_Toc471738008"/>
      <w:bookmarkStart w:id="530" w:name="_Toc508642458"/>
      <w:bookmarkStart w:id="531" w:name="_Toc443655424"/>
      <w:bookmarkStart w:id="532" w:name="_Toc393273286"/>
      <w:bookmarkStart w:id="533" w:name="_Toc319743105"/>
      <w:r>
        <w:t>4.1.1地形地貌</w:t>
      </w:r>
      <w:bookmarkEnd w:id="527"/>
      <w:bookmarkEnd w:id="528"/>
      <w:bookmarkEnd w:id="529"/>
      <w:bookmarkEnd w:id="530"/>
      <w:bookmarkEnd w:id="531"/>
      <w:bookmarkEnd w:id="532"/>
      <w:bookmarkEnd w:id="533"/>
    </w:p>
    <w:p w14:paraId="1476AF5B">
      <w:pPr>
        <w:ind w:firstLine="496"/>
      </w:pPr>
      <w:r>
        <w:rPr>
          <w:rFonts w:hint="eastAsia" w:ascii="宋体" w:hAnsi="宋体"/>
          <w:bCs/>
          <w:spacing w:val="4"/>
          <w:kern w:val="0"/>
        </w:rPr>
        <w:t>德宏傣族景颇族自治州是横断山脉西南部、高黎贡山以西的一块自东北向南西倾斜的切割山原。地势的基本特点是东北高而陡峻，西南低而宽缓；峻岭峡谷相间</w:t>
      </w:r>
      <w:r>
        <w:rPr>
          <w:rFonts w:hint="eastAsia"/>
        </w:rPr>
        <w:t>排列，高山大河平行急下。</w:t>
      </w:r>
    </w:p>
    <w:p w14:paraId="118660AC">
      <w:pPr>
        <w:ind w:firstLine="480"/>
      </w:pPr>
      <w:r>
        <w:t>芒市地处德宏州东南部，位于</w:t>
      </w:r>
      <w:r>
        <w:rPr>
          <w:rFonts w:hint="eastAsia"/>
        </w:rPr>
        <w:t>E</w:t>
      </w:r>
      <w:r>
        <w:t>98°05′</w:t>
      </w:r>
      <w:r>
        <w:rPr>
          <w:rFonts w:hint="eastAsia"/>
        </w:rPr>
        <w:t>～</w:t>
      </w:r>
      <w:r>
        <w:t>98°44′，</w:t>
      </w:r>
      <w:r>
        <w:rPr>
          <w:rFonts w:hint="eastAsia"/>
        </w:rPr>
        <w:t>N</w:t>
      </w:r>
      <w:r>
        <w:t>24°05′</w:t>
      </w:r>
      <w:r>
        <w:rPr>
          <w:rFonts w:hint="eastAsia"/>
        </w:rPr>
        <w:t>～</w:t>
      </w:r>
      <w:r>
        <w:t>24°39′之间</w:t>
      </w:r>
      <w:r>
        <w:rPr>
          <w:rFonts w:hint="eastAsia"/>
        </w:rPr>
        <w:t>，是德宏州府驻地，海拔920m</w:t>
      </w:r>
      <w:r>
        <w:t>。东西长约71</w:t>
      </w:r>
      <w:r>
        <w:rPr>
          <w:rFonts w:hint="eastAsia"/>
        </w:rPr>
        <w:t>km</w:t>
      </w:r>
      <w:r>
        <w:t>，南北宽约62</w:t>
      </w:r>
      <w:r>
        <w:rPr>
          <w:rFonts w:hint="eastAsia"/>
        </w:rPr>
        <w:t>km，</w:t>
      </w:r>
      <w:r>
        <w:t>总面积2987</w:t>
      </w:r>
      <w:r>
        <w:rPr>
          <w:rFonts w:hint="eastAsia"/>
        </w:rPr>
        <w:t>km</w:t>
      </w:r>
      <w:r>
        <w:rPr>
          <w:rFonts w:hint="eastAsia"/>
          <w:vertAlign w:val="superscript"/>
        </w:rPr>
        <w:t>2</w:t>
      </w:r>
      <w:r>
        <w:t>，其中山区占74%，坝区（含海拔在1000</w:t>
      </w:r>
      <w:r>
        <w:rPr>
          <w:rFonts w:hint="eastAsia"/>
        </w:rPr>
        <w:t>m</w:t>
      </w:r>
      <w:r>
        <w:t>以下的低热河谷）占26%。东、东北接保山市龙陵县，西南连瑞丽市、畹町经济开发区，西、西北与梁河县、陇川县隔龙江（陇川江）相望，南与缅甸交界，国境线长68.3</w:t>
      </w:r>
      <w:r>
        <w:rPr>
          <w:rFonts w:hint="eastAsia"/>
        </w:rPr>
        <w:t>km，</w:t>
      </w:r>
      <w:r>
        <w:t>是德宏傣族景颇族自治州5个县市之一。</w:t>
      </w:r>
    </w:p>
    <w:p w14:paraId="3FFFEEAF">
      <w:pPr>
        <w:ind w:firstLine="480"/>
      </w:pPr>
      <w:r>
        <w:rPr>
          <w:rFonts w:hint="eastAsia"/>
        </w:rPr>
        <w:t>芒市河流域地形地貌为东北高、西南低，为中切割的中山地势，山岭呈东北向延伸，与区外群山一脉相承，地势显西高东低，最高点三台山，海拔为1375m，最低点为拟建团结水电站大坝所在河谷，海拔高程约800m。区域地貌受构造所控制，多呈北东-南西向带状分布。</w:t>
      </w:r>
    </w:p>
    <w:p w14:paraId="2D66454C">
      <w:pPr>
        <w:pStyle w:val="113"/>
      </w:pPr>
      <w:bookmarkStart w:id="534" w:name="_Toc454046528"/>
      <w:bookmarkStart w:id="535" w:name="_Toc319743108"/>
      <w:bookmarkStart w:id="536" w:name="_Toc471738013"/>
      <w:bookmarkStart w:id="537" w:name="_Toc393273291"/>
      <w:bookmarkStart w:id="538" w:name="_Toc443655428"/>
      <w:bookmarkStart w:id="539" w:name="_Toc508642459"/>
      <w:r>
        <w:t>4.1.</w:t>
      </w:r>
      <w:bookmarkEnd w:id="534"/>
      <w:bookmarkEnd w:id="535"/>
      <w:bookmarkEnd w:id="536"/>
      <w:bookmarkEnd w:id="537"/>
      <w:bookmarkEnd w:id="538"/>
      <w:r>
        <w:rPr>
          <w:rFonts w:hint="eastAsia"/>
        </w:rPr>
        <w:t>2气候与气象</w:t>
      </w:r>
      <w:bookmarkEnd w:id="539"/>
    </w:p>
    <w:p w14:paraId="17A2A47A">
      <w:pPr>
        <w:ind w:firstLine="480"/>
      </w:pPr>
      <w:r>
        <w:rPr>
          <w:rFonts w:hint="eastAsia"/>
        </w:rPr>
        <w:t>芒市河地处高黎贡山西坡，按纬度划分，属低纬度高原区，太阳辐射较强，热量丰富；夏季受西南季风影响，水气丰沛，湿润多雨，而冬季受西方干暖气团影响，温暖少雨，具有干湿季分明的特征，属南亚热带气候。</w:t>
      </w:r>
      <w:r>
        <w:t>干季11月</w:t>
      </w:r>
      <w:r>
        <w:rPr>
          <w:rFonts w:hint="eastAsia"/>
        </w:rPr>
        <w:t>～</w:t>
      </w:r>
      <w:r>
        <w:t>4月主要受经由北非、中亚、印巴半岛等干热地区而来的西风南支气流控制，气候干燥，降水稀少。雨季5月</w:t>
      </w:r>
      <w:r>
        <w:rPr>
          <w:rFonts w:hint="eastAsia"/>
        </w:rPr>
        <w:t>～</w:t>
      </w:r>
      <w:r>
        <w:t>10月西风南支气流北退，青藏高压生成，太平洋副热带高压北进西伸，在两高的影响下盛行西南季风，主要受来自孟加拉湾暖湿气流控制，</w:t>
      </w:r>
      <w:r>
        <w:rPr>
          <w:rFonts w:hint="eastAsia"/>
        </w:rPr>
        <w:t>由于地处迎风坡及受高黎贡山的地形抬升作用，降雨充沛，单点暴雨突出，易形成较大的暴雨洪水。流域内多年平均降水量1876mm，实测最大年降水量3079mm。</w:t>
      </w:r>
      <w:r>
        <w:t>降雨量年际变化不大，据</w:t>
      </w:r>
      <w:r>
        <w:rPr>
          <w:rFonts w:hint="eastAsia"/>
        </w:rPr>
        <w:t>潞西</w:t>
      </w:r>
      <w:r>
        <w:t>气象站实测资料分析，最大年降雨量为最小年降雨量的1.</w:t>
      </w:r>
      <w:r>
        <w:rPr>
          <w:rFonts w:hint="eastAsia"/>
        </w:rPr>
        <w:t>98</w:t>
      </w:r>
      <w:r>
        <w:t>倍。但年内分配不均，主要降雨集中在5月～10月，其量占全年降雨量的85％以上。</w:t>
      </w:r>
      <w:r>
        <w:rPr>
          <w:rFonts w:hint="eastAsia"/>
        </w:rPr>
        <w:t>潞西</w:t>
      </w:r>
      <w:r>
        <w:t>气象站多年平均降雨量1</w:t>
      </w:r>
      <w:r>
        <w:rPr>
          <w:rFonts w:hint="eastAsia"/>
        </w:rPr>
        <w:t>657</w:t>
      </w:r>
      <w:r>
        <w:t>.</w:t>
      </w:r>
      <w:r>
        <w:rPr>
          <w:rFonts w:hint="eastAsia"/>
        </w:rPr>
        <w:t>6</w:t>
      </w:r>
      <w:r>
        <w:t>mm，多年平均气温18.3°C，最高气温34.0°C，最低气温</w:t>
      </w:r>
      <w:r>
        <w:rPr>
          <w:rFonts w:hint="eastAsia"/>
        </w:rPr>
        <w:t>-</w:t>
      </w:r>
      <w:r>
        <w:t>1.7°C</w:t>
      </w:r>
      <w:r>
        <w:rPr>
          <w:rFonts w:hint="eastAsia"/>
        </w:rPr>
        <w:t>，多年平均日照数2352.3h，蒸发量1723.6mm，无霜期315天。</w:t>
      </w:r>
    </w:p>
    <w:p w14:paraId="03A69DDC">
      <w:pPr>
        <w:pStyle w:val="113"/>
      </w:pPr>
      <w:bookmarkStart w:id="540" w:name="_Toc508642460"/>
      <w:r>
        <w:rPr>
          <w:rFonts w:hint="eastAsia"/>
        </w:rPr>
        <w:t>4.1.3地质</w:t>
      </w:r>
      <w:bookmarkEnd w:id="540"/>
    </w:p>
    <w:p w14:paraId="0E7B1DB7">
      <w:pPr>
        <w:ind w:firstLine="480"/>
      </w:pPr>
      <w:r>
        <w:rPr>
          <w:rFonts w:hint="eastAsia"/>
        </w:rPr>
        <w:t>芒市河位于青、藏、滇、缅、印尼“歹”字型构造西支中段偏北部位的遮放“入”字型构造地带，流域内有龙陵</w:t>
      </w:r>
      <w:r>
        <w:softHyphen/>
      </w:r>
      <w:r>
        <w:rPr>
          <w:rFonts w:hint="eastAsia"/>
        </w:rPr>
        <w:t>-瑞丽大断裂通过，主干断裂两盘地层岩性有明显差异，其断裂北、北西盘为寒武系下段花岗片麻岩，而断裂南西侧则出露有白垩系、侏罗系、二叠系地层。</w:t>
      </w:r>
    </w:p>
    <w:p w14:paraId="07F4C4AA">
      <w:pPr>
        <w:ind w:firstLine="482"/>
        <w:rPr>
          <w:b/>
        </w:rPr>
      </w:pPr>
      <w:r>
        <w:rPr>
          <w:rFonts w:hint="eastAsia"/>
          <w:b/>
        </w:rPr>
        <w:t>1、库区</w:t>
      </w:r>
    </w:p>
    <w:p w14:paraId="0AE7E663">
      <w:pPr>
        <w:ind w:firstLine="480"/>
      </w:pPr>
      <w:r>
        <w:rPr>
          <w:rFonts w:hint="eastAsia"/>
        </w:rPr>
        <w:t>（1）第四系（Q）：岩性为一套粘土及砂砾石层，具二元结构特征。该层位主要出露于区内河流上游，厚约1m～25m，主要分布于库区及坝址。</w:t>
      </w:r>
    </w:p>
    <w:p w14:paraId="5D9D3AAE">
      <w:pPr>
        <w:ind w:firstLine="480"/>
      </w:pPr>
      <w:r>
        <w:rPr>
          <w:rFonts w:hint="eastAsia"/>
        </w:rPr>
        <w:t>（2）寒武系（</w:t>
      </w:r>
      <w:r>
        <w:rPr>
          <w:rFonts w:eastAsia="MS Mincho"/>
        </w:rPr>
        <w:t>Є</w:t>
      </w:r>
      <w:r>
        <w:rPr>
          <w:vertAlign w:val="subscript"/>
        </w:rPr>
        <w:t>1-2</w:t>
      </w:r>
      <w:r>
        <w:rPr>
          <w:rFonts w:hint="eastAsia"/>
        </w:rPr>
        <w:t>）</w:t>
      </w:r>
    </w:p>
    <w:p w14:paraId="719C48B0">
      <w:pPr>
        <w:ind w:firstLine="480"/>
      </w:pPr>
      <w:r>
        <w:rPr>
          <w:rFonts w:hint="eastAsia"/>
        </w:rPr>
        <w:t>该地层的出露仅有下段层位，其岩性为深灰色花岗片麻岩、黑云斜长角闪岩、混合岩化变粒岩及石英微晶片岩。岩层分布于河流两侧的广大地区，厚度大于3000m，主要分布于库区及坝址。</w:t>
      </w:r>
    </w:p>
    <w:p w14:paraId="62B462B0">
      <w:pPr>
        <w:ind w:firstLine="482"/>
        <w:rPr>
          <w:szCs w:val="24"/>
        </w:rPr>
      </w:pPr>
      <w:r>
        <w:rPr>
          <w:rFonts w:hint="eastAsia"/>
          <w:b/>
          <w:szCs w:val="24"/>
        </w:rPr>
        <w:t>2、坝址及厂房区</w:t>
      </w:r>
    </w:p>
    <w:p w14:paraId="42BB5E89">
      <w:pPr>
        <w:ind w:firstLine="480"/>
        <w:rPr>
          <w:szCs w:val="24"/>
        </w:rPr>
      </w:pPr>
      <w:r>
        <w:rPr>
          <w:rFonts w:hint="eastAsia"/>
        </w:rPr>
        <w:t>坝址及厂房区河谷地势相对开阔，两岸较为平坦，右岸为甘蔗地，坡度为</w:t>
      </w:r>
      <w:r>
        <w:rPr>
          <w:rFonts w:hint="eastAsia"/>
          <w:kern w:val="0"/>
        </w:rPr>
        <w:t>0°～5°</w:t>
      </w:r>
      <w:r>
        <w:rPr>
          <w:rFonts w:hint="eastAsia"/>
        </w:rPr>
        <w:t>，左岸地形较平缓，</w:t>
      </w:r>
      <w:r>
        <w:rPr>
          <w:rFonts w:hint="eastAsia"/>
          <w:kern w:val="0"/>
        </w:rPr>
        <w:t>坡度一般8°～13°，</w:t>
      </w:r>
      <w:r>
        <w:rPr>
          <w:rFonts w:hint="eastAsia"/>
        </w:rPr>
        <w:t>多为已有的建筑和规划倒土的河滩地及320国道。河床段高程在779.5m～800.5m左右，呈“U”字形河谷，河面平均宽度为35m，河床坡降较缓，风化侵蚀较强烈。</w:t>
      </w:r>
    </w:p>
    <w:p w14:paraId="739A9BDD">
      <w:pPr>
        <w:ind w:firstLine="480"/>
      </w:pPr>
      <w:r>
        <w:rPr>
          <w:rFonts w:hint="eastAsia"/>
        </w:rPr>
        <w:t>坝址及厂房区出露地层简单，仅出露寒武系（</w:t>
      </w:r>
      <w:r>
        <w:rPr>
          <w:rFonts w:eastAsia="MS Mincho"/>
        </w:rPr>
        <w:t>Є</w:t>
      </w:r>
      <w:r>
        <w:rPr>
          <w:vertAlign w:val="subscript"/>
        </w:rPr>
        <w:t>1-2</w:t>
      </w:r>
      <w:r>
        <w:rPr>
          <w:rFonts w:hint="eastAsia"/>
        </w:rPr>
        <w:t>）花岗片麻岩和第四系地层，基岩出露较差，第四系组成相对复杂。由新至分老述如下：</w:t>
      </w:r>
    </w:p>
    <w:p w14:paraId="19B9D711">
      <w:pPr>
        <w:ind w:firstLine="480"/>
      </w:pPr>
      <w:r>
        <w:rPr>
          <w:rFonts w:hint="eastAsia"/>
        </w:rPr>
        <w:t>（1）第四系（Q）</w:t>
      </w:r>
    </w:p>
    <w:p w14:paraId="6AAE6D00">
      <w:pPr>
        <w:ind w:firstLine="480"/>
      </w:pPr>
      <w:r>
        <w:rPr>
          <w:rFonts w:hint="eastAsia"/>
        </w:rPr>
        <w:t xml:space="preserve"> 冲洪积（Q</w:t>
      </w:r>
      <w:r>
        <w:rPr>
          <w:rFonts w:hint="eastAsia"/>
          <w:vertAlign w:val="superscript"/>
        </w:rPr>
        <w:t>apl</w:t>
      </w:r>
      <w:r>
        <w:rPr>
          <w:rFonts w:hint="eastAsia"/>
        </w:rPr>
        <w:t>）：卵砾石夹砂，偶夹漂石。主要岩石成分为花岗片麻岩、砂岩等，砾径一般 0.5cm～20cm ，漂石直径最大可达约 70cm 。基本无分选，卵石磨圆度差，分布于芒市河河床，厚度1.5m～4.0 m。</w:t>
      </w:r>
    </w:p>
    <w:p w14:paraId="4E7456E3">
      <w:pPr>
        <w:ind w:firstLine="480"/>
      </w:pPr>
      <w:r>
        <w:rPr>
          <w:rFonts w:hint="eastAsia"/>
        </w:rPr>
        <w:t>崩积层（Q</w:t>
      </w:r>
      <w:r>
        <w:rPr>
          <w:rFonts w:hint="eastAsia"/>
          <w:vertAlign w:val="superscript"/>
        </w:rPr>
        <w:t>col</w:t>
      </w:r>
      <w:r>
        <w:rPr>
          <w:rFonts w:hint="eastAsia"/>
        </w:rPr>
        <w:t>）：碎块石、孤石混灰褐色砂壤土，岩石成分主要为花岗片麻岩，与残坡积层混杂，杂乱堆积。分布于芒市河两岸坡及陡崖脚，厚度1m～10m ，其中岩块的含量 50% 以上。</w:t>
      </w:r>
    </w:p>
    <w:p w14:paraId="2FE001AC">
      <w:pPr>
        <w:ind w:firstLine="480"/>
      </w:pPr>
      <w:r>
        <w:rPr>
          <w:rFonts w:hint="eastAsia"/>
        </w:rPr>
        <w:t>残坡积层（Q</w:t>
      </w:r>
      <w:r>
        <w:rPr>
          <w:rFonts w:hint="eastAsia"/>
          <w:vertAlign w:val="superscript"/>
        </w:rPr>
        <w:t>edl</w:t>
      </w:r>
      <w:r>
        <w:rPr>
          <w:rFonts w:hint="eastAsia"/>
        </w:rPr>
        <w:t>）：灰褐色砂壤土夹碎块石，碎块石含量 10%～20% ，主要成分为花岗片麻岩，结构稍密。分布于左右岸山坡局部地带，厚度 0.5m～3m 。</w:t>
      </w:r>
    </w:p>
    <w:p w14:paraId="3179E2C2">
      <w:pPr>
        <w:ind w:firstLine="480"/>
      </w:pPr>
      <w:r>
        <w:rPr>
          <w:rFonts w:hint="eastAsia"/>
        </w:rPr>
        <w:t>（2）寒武系（</w:t>
      </w:r>
      <w:r>
        <w:rPr>
          <w:rFonts w:eastAsia="MS Mincho"/>
        </w:rPr>
        <w:t>Є</w:t>
      </w:r>
      <w:r>
        <w:rPr>
          <w:vertAlign w:val="subscript"/>
        </w:rPr>
        <w:t>1-2</w:t>
      </w:r>
      <w:r>
        <w:rPr>
          <w:rFonts w:hint="eastAsia"/>
        </w:rPr>
        <w:t>）花岗片麻岩（分布于整个坝址区）</w:t>
      </w:r>
    </w:p>
    <w:p w14:paraId="3E257A47">
      <w:pPr>
        <w:ind w:firstLine="480"/>
      </w:pPr>
      <w:r>
        <w:rPr>
          <w:rFonts w:hint="eastAsia"/>
        </w:rPr>
        <w:t>坝线上分布有冲洪积层（Q</w:t>
      </w:r>
      <w:r>
        <w:rPr>
          <w:rFonts w:hint="eastAsia"/>
          <w:vertAlign w:val="superscript"/>
        </w:rPr>
        <w:t>apl</w:t>
      </w:r>
      <w:r>
        <w:rPr>
          <w:rFonts w:hint="eastAsia"/>
        </w:rPr>
        <w:t>）及残坡积层（Q</w:t>
      </w:r>
      <w:r>
        <w:rPr>
          <w:rFonts w:hint="eastAsia"/>
          <w:vertAlign w:val="superscript"/>
        </w:rPr>
        <w:t>edl</w:t>
      </w:r>
      <w:r>
        <w:rPr>
          <w:rFonts w:hint="eastAsia"/>
        </w:rPr>
        <w:t>）。下伏基岩为寒武系（</w:t>
      </w:r>
      <w:r>
        <w:rPr>
          <w:rFonts w:eastAsia="MS Mincho"/>
        </w:rPr>
        <w:t>Є</w:t>
      </w:r>
      <w:r>
        <w:rPr>
          <w:vertAlign w:val="subscript"/>
        </w:rPr>
        <w:t>1-2</w:t>
      </w:r>
      <w:r>
        <w:rPr>
          <w:rFonts w:hint="eastAsia"/>
        </w:rPr>
        <w:t>）花岗片麻岩，岩层片理面倾向左岸。坝址左、右岸坡主要分布地层为 Q</w:t>
      </w:r>
      <w:r>
        <w:rPr>
          <w:rFonts w:hint="eastAsia"/>
          <w:vertAlign w:val="superscript"/>
        </w:rPr>
        <w:t>edl</w:t>
      </w:r>
      <w:r>
        <w:rPr>
          <w:rFonts w:hint="eastAsia"/>
        </w:rPr>
        <w:t xml:space="preserve"> 残坡积层，厚1.0m～3.0m ，结构稍密，全～强风化花岗片麻岩，厚6.0m～15.0m ，渗透性强。河床物质为 Q</w:t>
      </w:r>
      <w:r>
        <w:rPr>
          <w:rFonts w:hint="eastAsia"/>
          <w:vertAlign w:val="superscript"/>
        </w:rPr>
        <w:t>apl</w:t>
      </w:r>
      <w:r>
        <w:rPr>
          <w:rFonts w:hint="eastAsia"/>
        </w:rPr>
        <w:t xml:space="preserve"> 现代河床冲洪积层，厚1.0m～2.0m ，渗透性极强。其下伏基岩为寒武系（</w:t>
      </w:r>
      <w:r>
        <w:rPr>
          <w:rFonts w:eastAsia="MS Mincho"/>
        </w:rPr>
        <w:t>Є</w:t>
      </w:r>
      <w:r>
        <w:rPr>
          <w:vertAlign w:val="subscript"/>
        </w:rPr>
        <w:t>1-2</w:t>
      </w:r>
      <w:r>
        <w:rPr>
          <w:rFonts w:hint="eastAsia"/>
        </w:rPr>
        <w:t>）花岗片麻岩。</w:t>
      </w:r>
    </w:p>
    <w:p w14:paraId="1E4B3D5C">
      <w:pPr>
        <w:pStyle w:val="113"/>
      </w:pPr>
      <w:bookmarkStart w:id="541" w:name="_Toc299117694"/>
      <w:bookmarkStart w:id="542" w:name="_Toc393273290"/>
      <w:bookmarkStart w:id="543" w:name="_Toc443655427"/>
      <w:bookmarkStart w:id="544" w:name="_Toc319743107"/>
      <w:bookmarkStart w:id="545" w:name="_Toc454046526"/>
      <w:bookmarkStart w:id="546" w:name="_Toc471738011"/>
      <w:bookmarkStart w:id="547" w:name="_Toc508642461"/>
      <w:r>
        <w:t>4.1.4水文</w:t>
      </w:r>
      <w:bookmarkEnd w:id="541"/>
      <w:bookmarkEnd w:id="542"/>
      <w:bookmarkEnd w:id="543"/>
      <w:bookmarkEnd w:id="544"/>
      <w:r>
        <w:rPr>
          <w:rFonts w:hint="eastAsia"/>
        </w:rPr>
        <w:t>水系</w:t>
      </w:r>
      <w:bookmarkEnd w:id="545"/>
      <w:bookmarkEnd w:id="546"/>
      <w:bookmarkEnd w:id="547"/>
    </w:p>
    <w:p w14:paraId="60FEA528">
      <w:pPr>
        <w:ind w:firstLine="480"/>
      </w:pPr>
      <w:bookmarkStart w:id="548" w:name="_Toc299117695"/>
      <w:r>
        <w:rPr>
          <w:bCs/>
        </w:rPr>
        <w:t>芒市河</w:t>
      </w:r>
      <w:r>
        <w:t>流域属南亚热带季风气候，四季不分明，但年内干、雨季比较分明。芒市河集水面积1903km</w:t>
      </w:r>
      <w:r>
        <w:rPr>
          <w:vertAlign w:val="superscript"/>
        </w:rPr>
        <w:t>2</w:t>
      </w:r>
      <w:r>
        <w:t>，河长114.4km，河道平均坡降为0.27%</w:t>
      </w:r>
      <w:r>
        <w:rPr>
          <w:rFonts w:hint="eastAsia"/>
        </w:rPr>
        <w:t>。</w:t>
      </w:r>
      <w:r>
        <w:t>一般在5月进入雨季，由于流域调蓄作用，径流量较雨量滞后半月左右，故6月～11月为汛期，12月～5月为枯期</w:t>
      </w:r>
      <w:r>
        <w:rPr>
          <w:rFonts w:hint="eastAsia"/>
        </w:rPr>
        <w:t>。</w:t>
      </w:r>
      <w:r>
        <w:t>芒市河流域多年平均径流量为20.7亿m</w:t>
      </w:r>
      <w:r>
        <w:rPr>
          <w:vertAlign w:val="superscript"/>
        </w:rPr>
        <w:t>3</w:t>
      </w:r>
      <w:r>
        <w:rPr>
          <w:rFonts w:hint="eastAsia"/>
        </w:rPr>
        <w:t>，汛期最大流量65.3m</w:t>
      </w:r>
      <w:r>
        <w:rPr>
          <w:rFonts w:hint="eastAsia"/>
          <w:vertAlign w:val="superscript"/>
        </w:rPr>
        <w:t>3</w:t>
      </w:r>
      <w:r>
        <w:rPr>
          <w:rFonts w:hint="eastAsia"/>
        </w:rPr>
        <w:t>/s，枯季流量</w:t>
      </w:r>
      <w:r>
        <w:t>1</w:t>
      </w:r>
      <w:r>
        <w:rPr>
          <w:rFonts w:hint="eastAsia"/>
        </w:rPr>
        <w:t>2 m</w:t>
      </w:r>
      <w:r>
        <w:rPr>
          <w:rFonts w:hint="eastAsia"/>
          <w:vertAlign w:val="superscript"/>
        </w:rPr>
        <w:t>3</w:t>
      </w:r>
      <w:r>
        <w:rPr>
          <w:rFonts w:hint="eastAsia"/>
        </w:rPr>
        <w:t>/s</w:t>
      </w:r>
      <w:r>
        <w:t>。</w:t>
      </w:r>
    </w:p>
    <w:p w14:paraId="1DCB43EC">
      <w:pPr>
        <w:ind w:firstLine="480"/>
      </w:pPr>
      <w:r>
        <w:rPr>
          <w:rFonts w:hint="eastAsia"/>
        </w:rPr>
        <w:t>团结水电站</w:t>
      </w:r>
      <w:r>
        <w:rPr>
          <w:szCs w:val="24"/>
        </w:rPr>
        <w:t>坝址以上年径流均值为</w:t>
      </w:r>
      <w:r>
        <w:rPr>
          <w:rFonts w:hint="eastAsia"/>
          <w:szCs w:val="24"/>
        </w:rPr>
        <w:t>52.8</w:t>
      </w:r>
      <w:r>
        <w:rPr>
          <w:szCs w:val="24"/>
        </w:rPr>
        <w:t>m³/s，枯</w:t>
      </w:r>
      <w:r>
        <w:t>季径流均值为</w:t>
      </w:r>
      <w:r>
        <w:rPr>
          <w:rFonts w:hint="eastAsia"/>
          <w:szCs w:val="24"/>
        </w:rPr>
        <w:t>18.2</w:t>
      </w:r>
      <w:r>
        <w:rPr>
          <w:szCs w:val="24"/>
        </w:rPr>
        <w:t>m³/s</w:t>
      </w:r>
      <w:r>
        <w:rPr>
          <w:rFonts w:hint="eastAsia"/>
          <w:szCs w:val="24"/>
        </w:rPr>
        <w:t>，</w:t>
      </w:r>
      <w:r>
        <w:rPr>
          <w:rFonts w:hint="eastAsia"/>
        </w:rPr>
        <w:t>坝址断面多年平均侵蚀模数为975T/km</w:t>
      </w:r>
      <w:r>
        <w:rPr>
          <w:rFonts w:hint="eastAsia"/>
          <w:vertAlign w:val="superscript"/>
        </w:rPr>
        <w:t>2</w:t>
      </w:r>
      <w:r>
        <w:rPr>
          <w:rFonts w:hint="eastAsia"/>
        </w:rPr>
        <w:t>，多年平均输沙总量为60.6万t，其中推移质14万t、悬移质46.6万t。</w:t>
      </w:r>
    </w:p>
    <w:p w14:paraId="3D347318">
      <w:pPr>
        <w:ind w:firstLine="480"/>
        <w:rPr>
          <w:szCs w:val="24"/>
        </w:rPr>
      </w:pPr>
      <w:r>
        <w:rPr>
          <w:rFonts w:hint="eastAsia"/>
          <w:szCs w:val="24"/>
        </w:rPr>
        <w:t>评价区域水系图见附图3。</w:t>
      </w:r>
    </w:p>
    <w:p w14:paraId="5516AFFB">
      <w:pPr>
        <w:pStyle w:val="113"/>
      </w:pPr>
      <w:bookmarkStart w:id="549" w:name="_Toc508642462"/>
      <w:bookmarkStart w:id="550" w:name="_Toc471738012"/>
      <w:bookmarkStart w:id="551" w:name="_Toc454046527"/>
      <w:r>
        <w:rPr>
          <w:rFonts w:hint="eastAsia"/>
        </w:rPr>
        <w:t>4.1.5水资源利用现状</w:t>
      </w:r>
      <w:bookmarkEnd w:id="549"/>
      <w:bookmarkEnd w:id="550"/>
      <w:bookmarkEnd w:id="551"/>
    </w:p>
    <w:p w14:paraId="5D9DFF11">
      <w:pPr>
        <w:ind w:firstLine="480"/>
        <w:rPr>
          <w:szCs w:val="24"/>
        </w:rPr>
      </w:pPr>
      <w:r>
        <w:rPr>
          <w:szCs w:val="24"/>
        </w:rPr>
        <w:t>根据现场调查</w:t>
      </w:r>
      <w:r>
        <w:rPr>
          <w:rFonts w:hint="eastAsia"/>
          <w:szCs w:val="24"/>
        </w:rPr>
        <w:t>、资料收集并</w:t>
      </w:r>
      <w:r>
        <w:rPr>
          <w:szCs w:val="24"/>
        </w:rPr>
        <w:t>结</w:t>
      </w:r>
      <w:r>
        <w:rPr>
          <w:rFonts w:cstheme="minorBidi"/>
        </w:rPr>
        <w:t>合</w:t>
      </w:r>
      <w:r>
        <w:rPr>
          <w:rFonts w:hint="eastAsia"/>
        </w:rPr>
        <w:t>《云南省德宏州芒市团结水电站工程水资源论证报告书》</w:t>
      </w:r>
      <w:r>
        <w:rPr>
          <w:rFonts w:hint="eastAsia" w:cstheme="minorBidi"/>
        </w:rPr>
        <w:t>，评价河段</w:t>
      </w:r>
      <w:r>
        <w:rPr>
          <w:rFonts w:hint="eastAsia"/>
        </w:rPr>
        <w:t>内未规划耗水量大的工业项目和调水工程，只在团结水电站厂房上游约26m处的遮放坝头设有芒里大沟取水口。芒里大沟于1949年以前建成，取水口筑有低坝，渠道长23.5km，其中三面衬砌7.88km，其余为土渠，渠首设计引水流量4.5m</w:t>
      </w:r>
      <w:r>
        <w:rPr>
          <w:rFonts w:hint="eastAsia"/>
          <w:vertAlign w:val="superscript"/>
        </w:rPr>
        <w:t>3</w:t>
      </w:r>
      <w:r>
        <w:rPr>
          <w:rFonts w:hint="eastAsia"/>
        </w:rPr>
        <w:t>/s，有效灌溉面积4.089万亩。遮放灌区水稻4.089万亩，年用水定额450m</w:t>
      </w:r>
      <w:r>
        <w:rPr>
          <w:rFonts w:hint="eastAsia"/>
          <w:vertAlign w:val="superscript"/>
        </w:rPr>
        <w:t>3</w:t>
      </w:r>
      <w:r>
        <w:rPr>
          <w:rFonts w:hint="eastAsia"/>
        </w:rPr>
        <w:t>/亩，年用水量1840</w:t>
      </w:r>
      <w:r>
        <w:t>.0</w:t>
      </w:r>
      <w:r>
        <w:rPr>
          <w:rFonts w:hint="eastAsia"/>
        </w:rPr>
        <w:t>万m</w:t>
      </w:r>
      <w:r>
        <w:rPr>
          <w:rFonts w:hint="eastAsia"/>
          <w:vertAlign w:val="superscript"/>
        </w:rPr>
        <w:t>3</w:t>
      </w:r>
      <w:r>
        <w:rPr>
          <w:rFonts w:hint="eastAsia"/>
        </w:rPr>
        <w:t>，规划水平年需水量</w:t>
      </w:r>
      <w:r>
        <w:t>1226.67</w:t>
      </w:r>
      <w:r>
        <w:rPr>
          <w:rFonts w:hint="eastAsia"/>
        </w:rPr>
        <w:t>万m</w:t>
      </w:r>
      <w:r>
        <w:rPr>
          <w:rFonts w:hint="eastAsia"/>
          <w:vertAlign w:val="superscript"/>
        </w:rPr>
        <w:t>3</w:t>
      </w:r>
      <w:r>
        <w:rPr>
          <w:rFonts w:hint="eastAsia"/>
        </w:rPr>
        <w:t>。上游已建芒里电站其调节库容达2414万m</w:t>
      </w:r>
      <w:r>
        <w:rPr>
          <w:rFonts w:hint="eastAsia"/>
          <w:vertAlign w:val="superscript"/>
        </w:rPr>
        <w:t>3</w:t>
      </w:r>
      <w:r>
        <w:rPr>
          <w:rFonts w:hint="eastAsia"/>
        </w:rPr>
        <w:t>，增加了枯季水量，使芒里大沟供水得到保证，并提高了供水保证率。</w:t>
      </w:r>
    </w:p>
    <w:p w14:paraId="5041CC56">
      <w:pPr>
        <w:pStyle w:val="113"/>
      </w:pPr>
      <w:bookmarkStart w:id="552" w:name="_Toc443655425"/>
      <w:bookmarkStart w:id="553" w:name="_Toc299117693"/>
      <w:bookmarkStart w:id="554" w:name="_Toc393273287"/>
      <w:bookmarkStart w:id="555" w:name="_Toc319743106"/>
      <w:bookmarkStart w:id="556" w:name="_Toc471738009"/>
      <w:bookmarkStart w:id="557" w:name="_Toc454046524"/>
      <w:bookmarkStart w:id="558" w:name="_Toc508642463"/>
      <w:r>
        <w:t>4.1.</w:t>
      </w:r>
      <w:bookmarkEnd w:id="552"/>
      <w:bookmarkEnd w:id="553"/>
      <w:bookmarkEnd w:id="554"/>
      <w:bookmarkEnd w:id="555"/>
      <w:bookmarkEnd w:id="556"/>
      <w:bookmarkEnd w:id="557"/>
      <w:r>
        <w:rPr>
          <w:rFonts w:hint="eastAsia"/>
        </w:rPr>
        <w:t>6地下水</w:t>
      </w:r>
      <w:bookmarkEnd w:id="558"/>
    </w:p>
    <w:p w14:paraId="198AAC6D">
      <w:pPr>
        <w:ind w:firstLine="480"/>
      </w:pPr>
      <w:r>
        <w:rPr>
          <w:rFonts w:hint="eastAsia"/>
        </w:rPr>
        <w:t>芒市河自北东向南西蜿蜒流经于潞西盆地中西部至遮放注入龙江流往瑞丽江，两侧树枝状支流发育。据等戛水文站资料，芒市河历年平均流量52.8m</w:t>
      </w:r>
      <w:r>
        <w:rPr>
          <w:rFonts w:hint="eastAsia"/>
          <w:vertAlign w:val="superscript"/>
        </w:rPr>
        <w:t>3</w:t>
      </w:r>
      <w:r>
        <w:rPr>
          <w:rFonts w:hint="eastAsia"/>
        </w:rPr>
        <w:t>/s，汛期最大流量65.3m</w:t>
      </w:r>
      <w:r>
        <w:rPr>
          <w:rFonts w:hint="eastAsia"/>
          <w:vertAlign w:val="superscript"/>
        </w:rPr>
        <w:t>3</w:t>
      </w:r>
      <w:r>
        <w:rPr>
          <w:rFonts w:hint="eastAsia"/>
        </w:rPr>
        <w:t>/s，枯季流量</w:t>
      </w:r>
      <w:r>
        <w:t>1</w:t>
      </w:r>
      <w:r>
        <w:rPr>
          <w:rFonts w:hint="eastAsia"/>
        </w:rPr>
        <w:t>2m</w:t>
      </w:r>
      <w:r>
        <w:rPr>
          <w:rFonts w:hint="eastAsia"/>
          <w:vertAlign w:val="superscript"/>
        </w:rPr>
        <w:t>3</w:t>
      </w:r>
      <w:r>
        <w:rPr>
          <w:rFonts w:hint="eastAsia"/>
        </w:rPr>
        <w:t>/s。</w:t>
      </w:r>
    </w:p>
    <w:p w14:paraId="158A513A">
      <w:pPr>
        <w:ind w:firstLine="482"/>
        <w:rPr>
          <w:b/>
        </w:rPr>
      </w:pPr>
      <w:r>
        <w:rPr>
          <w:rFonts w:hint="eastAsia"/>
          <w:b/>
        </w:rPr>
        <w:t>1、含水层（组）及地下水类型</w:t>
      </w:r>
    </w:p>
    <w:p w14:paraId="70024672">
      <w:pPr>
        <w:ind w:firstLine="480"/>
      </w:pPr>
      <w:r>
        <w:rPr>
          <w:rFonts w:hint="eastAsia"/>
        </w:rPr>
        <w:t>芒市河流域内水文地质条件复杂，地下水类型较齐全。根据地下水水理性质、岩石类型及赋存条件划分为松散岩类孔隙水、碎屑岩类裂隙孔隙水及基岩裂隙水。</w:t>
      </w:r>
    </w:p>
    <w:p w14:paraId="62587CAC">
      <w:pPr>
        <w:ind w:firstLine="480"/>
      </w:pPr>
      <w:r>
        <w:rPr>
          <w:rFonts w:hint="eastAsia"/>
        </w:rPr>
        <w:t>松散岩类孔隙水：分布在潞西至曼棒、芒究一带的山间盆地中，含水层厚度20m-200m，水位埋深</w:t>
      </w:r>
      <w:r>
        <w:t>0.30</w:t>
      </w:r>
      <w:r>
        <w:rPr>
          <w:rFonts w:hint="eastAsia"/>
        </w:rPr>
        <w:t>m-</w:t>
      </w:r>
      <w:r>
        <w:t>9.8</w:t>
      </w:r>
      <w:r>
        <w:rPr>
          <w:rFonts w:hint="eastAsia"/>
        </w:rPr>
        <w:t>m。</w:t>
      </w:r>
    </w:p>
    <w:p w14:paraId="5EA67584">
      <w:pPr>
        <w:ind w:firstLine="480"/>
      </w:pPr>
      <w:r>
        <w:rPr>
          <w:rFonts w:hint="eastAsia"/>
        </w:rPr>
        <w:t>潜水：</w:t>
      </w:r>
    </w:p>
    <w:p w14:paraId="6CC6F9A9">
      <w:pPr>
        <w:ind w:firstLine="480"/>
      </w:pPr>
      <w:r>
        <w:rPr>
          <w:rFonts w:hint="eastAsia"/>
        </w:rPr>
        <w:t>富水层（组），主要分布于遮放盆地的全新统冲积层（Q</w:t>
      </w:r>
      <w:r>
        <w:rPr>
          <w:rFonts w:hint="eastAsia"/>
          <w:vertAlign w:val="superscript"/>
        </w:rPr>
        <w:t>apl</w:t>
      </w:r>
      <w:r>
        <w:rPr>
          <w:rFonts w:hint="eastAsia"/>
        </w:rPr>
        <w:t>）地层中，含水主要岩性为粘质砂土及砂、砂砾石层。水化学类型为C</w:t>
      </w:r>
      <w:r>
        <w:t>a</w:t>
      </w:r>
      <w:r>
        <w:rPr>
          <w:rFonts w:hint="eastAsia"/>
        </w:rPr>
        <w:t>·</w:t>
      </w:r>
      <w:r>
        <w:t>mg</w:t>
      </w:r>
      <w:r>
        <w:rPr>
          <w:rFonts w:hint="eastAsia"/>
        </w:rPr>
        <w:t>型，矿化度小于</w:t>
      </w:r>
      <w:r>
        <w:t>0.2</w:t>
      </w:r>
      <w:r>
        <w:rPr>
          <w:rFonts w:hint="eastAsia"/>
        </w:rPr>
        <w:t>g/L。</w:t>
      </w:r>
    </w:p>
    <w:p w14:paraId="7FC9F3D9">
      <w:pPr>
        <w:ind w:firstLine="480"/>
      </w:pPr>
      <w:r>
        <w:rPr>
          <w:rFonts w:hint="eastAsia"/>
        </w:rPr>
        <w:t>中等含水层（组）（Q</w:t>
      </w:r>
      <w:r>
        <w:rPr>
          <w:rFonts w:hint="eastAsia"/>
          <w:vertAlign w:val="superscript"/>
        </w:rPr>
        <w:t>edl</w:t>
      </w:r>
      <w:r>
        <w:rPr>
          <w:rFonts w:hint="eastAsia"/>
        </w:rPr>
        <w:t>）及冲洪积层（Q</w:t>
      </w:r>
      <w:r>
        <w:rPr>
          <w:rFonts w:hint="eastAsia"/>
          <w:vertAlign w:val="superscript"/>
        </w:rPr>
        <w:t>apl</w:t>
      </w:r>
      <w:r>
        <w:rPr>
          <w:rFonts w:hint="eastAsia"/>
        </w:rPr>
        <w:t>），主要出露于潞西及遮放盆地I级阶地及冲洪积扇，含水岩性为粘质砂土及砂砾石层，一般厚度13m-30m，潞西盆地最大厚度</w:t>
      </w:r>
      <w:r>
        <w:t>37.8</w:t>
      </w:r>
      <w:r>
        <w:rPr>
          <w:rFonts w:hint="eastAsia"/>
        </w:rPr>
        <w:t>0m，水位埋深</w:t>
      </w:r>
      <w:r>
        <w:t>0.30</w:t>
      </w:r>
      <w:r>
        <w:rPr>
          <w:rFonts w:hint="eastAsia"/>
        </w:rPr>
        <w:t>m-2.08m。水化学类型为HCO</w:t>
      </w:r>
      <w:r>
        <w:rPr>
          <w:rFonts w:hint="eastAsia"/>
          <w:vertAlign w:val="subscript"/>
        </w:rPr>
        <w:t>3</w:t>
      </w:r>
      <w:r>
        <w:rPr>
          <w:rFonts w:hint="eastAsia"/>
        </w:rPr>
        <w:t>-N</w:t>
      </w:r>
      <w:r>
        <w:t>a</w:t>
      </w:r>
      <w:r>
        <w:rPr>
          <w:rFonts w:hint="eastAsia"/>
        </w:rPr>
        <w:t>·</w:t>
      </w:r>
      <w:r>
        <w:t>Ca</w:t>
      </w:r>
      <w:r>
        <w:rPr>
          <w:rFonts w:hint="eastAsia"/>
        </w:rPr>
        <w:t>型，矿化度小于</w:t>
      </w:r>
      <w:r>
        <w:t>0.2</w:t>
      </w:r>
      <w:r>
        <w:rPr>
          <w:rFonts w:hint="eastAsia"/>
        </w:rPr>
        <w:t>g/L。</w:t>
      </w:r>
    </w:p>
    <w:p w14:paraId="0C7DABB6">
      <w:pPr>
        <w:ind w:firstLine="480"/>
      </w:pPr>
      <w:r>
        <w:rPr>
          <w:rFonts w:hint="eastAsia"/>
        </w:rPr>
        <w:t>中等含水层（</w:t>
      </w:r>
      <w:r>
        <w:t>Q</w:t>
      </w:r>
      <w:r>
        <w:rPr>
          <w:rFonts w:hint="eastAsia"/>
          <w:vertAlign w:val="superscript"/>
        </w:rPr>
        <w:t>edl＋apl</w:t>
      </w:r>
      <w:r>
        <w:rPr>
          <w:rFonts w:hint="eastAsia"/>
        </w:rPr>
        <w:t>），洪积层（Q</w:t>
      </w:r>
      <w:r>
        <w:rPr>
          <w:rFonts w:hint="eastAsia"/>
          <w:vertAlign w:val="superscript"/>
        </w:rPr>
        <w:t>apl</w:t>
      </w:r>
      <w:r>
        <w:rPr>
          <w:rFonts w:hint="eastAsia"/>
        </w:rPr>
        <w:t>），在分布于潞西盆地的II级阶地及洪积扇，含水层由粘土质砂、砂砾石组成，厚度30m-152m，水位埋深1m-10m之间。水化学类型为HCO</w:t>
      </w:r>
      <w:r>
        <w:rPr>
          <w:rFonts w:hint="eastAsia"/>
          <w:vertAlign w:val="subscript"/>
        </w:rPr>
        <w:t>3</w:t>
      </w:r>
      <w:r>
        <w:rPr>
          <w:rFonts w:hint="eastAsia"/>
        </w:rPr>
        <w:t>-C</w:t>
      </w:r>
      <w:r>
        <w:t>a</w:t>
      </w:r>
      <w:r>
        <w:rPr>
          <w:rFonts w:hint="eastAsia"/>
        </w:rPr>
        <w:t>·mg型，矿化度小于</w:t>
      </w:r>
      <w:r>
        <w:t>0.5</w:t>
      </w:r>
      <w:r>
        <w:rPr>
          <w:rFonts w:hint="eastAsia"/>
        </w:rPr>
        <w:t>g/L。</w:t>
      </w:r>
    </w:p>
    <w:p w14:paraId="78A36B98">
      <w:pPr>
        <w:ind w:firstLine="480"/>
      </w:pPr>
      <w:r>
        <w:rPr>
          <w:rFonts w:hint="eastAsia"/>
        </w:rPr>
        <w:t>水量贫乏的含水层（组）全新统冲洪积层，多分布于区内的各山间盆地山谷沟口部位，岩性由粘土质砂、碎石、砾石组成，分选性及磨圆度甚差，含水层小于5m，水位埋深1m-3m。水化学类型为HC</w:t>
      </w:r>
      <w:r>
        <w:t>O</w:t>
      </w:r>
      <w:r>
        <w:rPr>
          <w:vertAlign w:val="subscript"/>
        </w:rPr>
        <w:t>3</w:t>
      </w:r>
      <w:r>
        <w:rPr>
          <w:rFonts w:hint="eastAsia"/>
        </w:rPr>
        <w:t>-C</w:t>
      </w:r>
      <w:r>
        <w:t>a</w:t>
      </w:r>
      <w:r>
        <w:rPr>
          <w:rFonts w:hint="eastAsia"/>
        </w:rPr>
        <w:t>·N</w:t>
      </w:r>
      <w:r>
        <w:t>a</w:t>
      </w:r>
      <w:r>
        <w:rPr>
          <w:rFonts w:hint="eastAsia"/>
        </w:rPr>
        <w:t>或HCO</w:t>
      </w:r>
      <w:r>
        <w:rPr>
          <w:rFonts w:hint="eastAsia"/>
          <w:vertAlign w:val="subscript"/>
        </w:rPr>
        <w:t>3</w:t>
      </w:r>
      <w:r>
        <w:rPr>
          <w:rFonts w:hint="eastAsia"/>
        </w:rPr>
        <w:t>-N</w:t>
      </w:r>
      <w:r>
        <w:t>a</w:t>
      </w:r>
      <w:r>
        <w:rPr>
          <w:rFonts w:hint="eastAsia"/>
        </w:rPr>
        <w:t>型水，矿化度小于</w:t>
      </w:r>
      <w:r>
        <w:t>0.3</w:t>
      </w:r>
      <w:r>
        <w:rPr>
          <w:rFonts w:hint="eastAsia"/>
        </w:rPr>
        <w:t>g/L。</w:t>
      </w:r>
    </w:p>
    <w:p w14:paraId="1FDE5602">
      <w:pPr>
        <w:ind w:firstLine="480"/>
      </w:pPr>
      <w:r>
        <w:rPr>
          <w:rFonts w:hint="eastAsia"/>
        </w:rPr>
        <w:t>承压水：</w:t>
      </w:r>
    </w:p>
    <w:p w14:paraId="0AD6D1D1">
      <w:pPr>
        <w:ind w:firstLine="480"/>
      </w:pPr>
      <w:r>
        <w:rPr>
          <w:rFonts w:hint="eastAsia"/>
        </w:rPr>
        <w:t>富水层（组），分布于潞西盆地芒市河中下游，为I级阶地迭置之下的II级阶地的更新统冲洪积层（Q</w:t>
      </w:r>
      <w:r>
        <w:rPr>
          <w:rFonts w:hint="eastAsia"/>
          <w:vertAlign w:val="superscript"/>
        </w:rPr>
        <w:t>apl</w:t>
      </w:r>
      <w:r>
        <w:rPr>
          <w:rFonts w:hint="eastAsia"/>
        </w:rPr>
        <w:t>），岩性由微显胶结的砂质粘土及砂、砂砾石层组成，具多元结构。水化学类型为HCO</w:t>
      </w:r>
      <w:r>
        <w:rPr>
          <w:rFonts w:hint="eastAsia"/>
          <w:vertAlign w:val="subscript"/>
        </w:rPr>
        <w:t>3</w:t>
      </w:r>
      <w:r>
        <w:rPr>
          <w:rFonts w:hint="eastAsia"/>
        </w:rPr>
        <w:t>-C</w:t>
      </w:r>
      <w:r>
        <w:t>a</w:t>
      </w:r>
      <w:r>
        <w:rPr>
          <w:rFonts w:hint="eastAsia"/>
        </w:rPr>
        <w:t>·</w:t>
      </w:r>
      <w:r>
        <w:t>mg</w:t>
      </w:r>
      <w:r>
        <w:rPr>
          <w:rFonts w:hint="eastAsia"/>
        </w:rPr>
        <w:t>型，矿化度小于</w:t>
      </w:r>
      <w:r>
        <w:t>0.25</w:t>
      </w:r>
      <w:r>
        <w:rPr>
          <w:rFonts w:hint="eastAsia"/>
        </w:rPr>
        <w:t>g/L。</w:t>
      </w:r>
    </w:p>
    <w:p w14:paraId="7F52BA09">
      <w:pPr>
        <w:ind w:firstLine="480"/>
      </w:pPr>
      <w:r>
        <w:rPr>
          <w:rFonts w:hint="eastAsia"/>
        </w:rPr>
        <w:t>中等含水层（组），为组成遮放盆地I级阶地的全新统冲积层（Q</w:t>
      </w:r>
      <w:r>
        <w:rPr>
          <w:rFonts w:hint="eastAsia"/>
          <w:vertAlign w:val="superscript"/>
        </w:rPr>
        <w:t>apl</w:t>
      </w:r>
      <w:r>
        <w:rPr>
          <w:rFonts w:hint="eastAsia"/>
        </w:rPr>
        <w:t>），岩性为粘土及砂砾石层，具多元结构。水化学类型为HC</w:t>
      </w:r>
      <w:r>
        <w:t>O</w:t>
      </w:r>
      <w:r>
        <w:rPr>
          <w:vertAlign w:val="subscript"/>
        </w:rPr>
        <w:t>3</w:t>
      </w:r>
      <w:r>
        <w:rPr>
          <w:rFonts w:hint="eastAsia"/>
        </w:rPr>
        <w:t>-C</w:t>
      </w:r>
      <w:r>
        <w:t>a</w:t>
      </w:r>
      <w:r>
        <w:rPr>
          <w:rFonts w:hint="eastAsia"/>
        </w:rPr>
        <w:t>型水，矿化度小于</w:t>
      </w:r>
      <w:r>
        <w:t>0.3</w:t>
      </w:r>
      <w:r>
        <w:rPr>
          <w:rFonts w:hint="eastAsia"/>
        </w:rPr>
        <w:t xml:space="preserve"> g/L。</w:t>
      </w:r>
    </w:p>
    <w:p w14:paraId="53D75A14">
      <w:pPr>
        <w:ind w:firstLine="480"/>
      </w:pPr>
      <w:r>
        <w:rPr>
          <w:rFonts w:hint="eastAsia"/>
        </w:rPr>
        <w:t>潞西盆地芒市河中下游含水层具双层结构，上部为潜水，下部为承压水，顶板埋藏深度小于50m，面积36km</w:t>
      </w:r>
      <w:r>
        <w:rPr>
          <w:rFonts w:hint="eastAsia"/>
          <w:vertAlign w:val="superscript"/>
        </w:rPr>
        <w:t>2</w:t>
      </w:r>
      <w:r>
        <w:rPr>
          <w:rFonts w:hint="eastAsia"/>
        </w:rPr>
        <w:t>。</w:t>
      </w:r>
    </w:p>
    <w:p w14:paraId="4FD81E76">
      <w:pPr>
        <w:ind w:firstLine="482"/>
        <w:rPr>
          <w:b/>
        </w:rPr>
      </w:pPr>
      <w:r>
        <w:rPr>
          <w:rFonts w:hint="eastAsia"/>
          <w:b/>
        </w:rPr>
        <w:t>2、</w:t>
      </w:r>
      <w:r>
        <w:rPr>
          <w:b/>
        </w:rPr>
        <w:t>地下水的补给、径流、排泄特点</w:t>
      </w:r>
    </w:p>
    <w:p w14:paraId="1F3E87A1">
      <w:pPr>
        <w:ind w:firstLine="480"/>
        <w:rPr>
          <w:szCs w:val="24"/>
        </w:rPr>
      </w:pPr>
      <w:r>
        <w:rPr>
          <w:rFonts w:hint="eastAsia"/>
        </w:rPr>
        <w:t>工程区地表分水岭与地下分水岭总体一致，地下水经大气降水补给，通过岩</w:t>
      </w:r>
      <w:r>
        <w:t>体中的孔隙、裂隙在重力作用下不断运移、汇集，最终以泉水方式（点状排泄）排出地表或以向河流泄流（线状排泄）方式补给河水，芒市河为区内相对最低排泄基准面。</w:t>
      </w:r>
      <w:r>
        <w:rPr>
          <w:rFonts w:hint="eastAsia"/>
        </w:rPr>
        <w:t>因区域地形切割强烈，山高谷深，地下水流程短，循环交替迅速。</w:t>
      </w:r>
    </w:p>
    <w:p w14:paraId="73281483">
      <w:pPr>
        <w:pStyle w:val="113"/>
      </w:pPr>
      <w:bookmarkStart w:id="559" w:name="_Toc393273292"/>
      <w:bookmarkStart w:id="560" w:name="_Toc319743109"/>
      <w:bookmarkStart w:id="561" w:name="_Toc471738014"/>
      <w:bookmarkStart w:id="562" w:name="_Toc508642464"/>
      <w:bookmarkStart w:id="563" w:name="_Toc443655429"/>
      <w:bookmarkStart w:id="564" w:name="_Toc454046529"/>
      <w:r>
        <w:t>4.1.</w:t>
      </w:r>
      <w:r>
        <w:rPr>
          <w:rFonts w:hint="eastAsia"/>
        </w:rPr>
        <w:t>7</w:t>
      </w:r>
      <w:r>
        <w:t>土壤</w:t>
      </w:r>
      <w:bookmarkEnd w:id="559"/>
      <w:bookmarkEnd w:id="560"/>
      <w:bookmarkEnd w:id="561"/>
      <w:bookmarkEnd w:id="562"/>
      <w:bookmarkEnd w:id="563"/>
      <w:bookmarkEnd w:id="564"/>
    </w:p>
    <w:bookmarkEnd w:id="548"/>
    <w:p w14:paraId="77FAC22D">
      <w:pPr>
        <w:ind w:firstLine="480"/>
        <w:rPr>
          <w:szCs w:val="21"/>
        </w:rPr>
      </w:pPr>
      <w:r>
        <w:rPr>
          <w:rFonts w:hint="eastAsia"/>
        </w:rPr>
        <w:t>据芒市土壤普查资料分析，芒市河流域从低到高依次呈地带性分布的土壤类型有赤红壤、红壤、黄壤。流域因降水丰富，因而土壤垂直带具有偏湿型特色，表现为红壤、黄色砖红壤性红壤亚类占优势。其意义是，土壤含水率较高，耐旱性较好，生物积蓄较强，有机质含量相对较高，但盐基淋溶作用也强，引起土壤偏酸。</w:t>
      </w:r>
    </w:p>
    <w:p w14:paraId="38DC74BE">
      <w:pPr>
        <w:pStyle w:val="113"/>
      </w:pPr>
      <w:bookmarkStart w:id="565" w:name="_Toc393273293"/>
      <w:bookmarkStart w:id="566" w:name="_Toc471738015"/>
      <w:bookmarkStart w:id="567" w:name="_Toc443655430"/>
      <w:bookmarkStart w:id="568" w:name="_Toc508642465"/>
      <w:bookmarkStart w:id="569" w:name="_Toc454046530"/>
      <w:r>
        <w:t>4.1.</w:t>
      </w:r>
      <w:r>
        <w:rPr>
          <w:rFonts w:hint="eastAsia"/>
        </w:rPr>
        <w:t>8</w:t>
      </w:r>
      <w:r>
        <w:t>植被</w:t>
      </w:r>
      <w:bookmarkEnd w:id="565"/>
      <w:bookmarkEnd w:id="566"/>
      <w:bookmarkEnd w:id="567"/>
      <w:bookmarkEnd w:id="568"/>
      <w:bookmarkEnd w:id="569"/>
    </w:p>
    <w:p w14:paraId="4BBBFF1A">
      <w:pPr>
        <w:ind w:firstLine="480"/>
      </w:pPr>
      <w:r>
        <w:rPr>
          <w:rFonts w:hint="eastAsia"/>
        </w:rPr>
        <w:t>评价</w:t>
      </w:r>
      <w:r>
        <w:t>区主要为</w:t>
      </w:r>
      <w:r>
        <w:rPr>
          <w:rFonts w:hint="eastAsia"/>
        </w:rPr>
        <w:t>“</w:t>
      </w:r>
      <w:r>
        <w:t>季风热带北缘雨林季雨林地带</w:t>
      </w:r>
      <w:r>
        <w:rPr>
          <w:rFonts w:hint="eastAsia"/>
        </w:rPr>
        <w:t>”-“</w:t>
      </w:r>
      <w:r>
        <w:t>滇南、滇西南间山盆地季节雨林和半常绿季雨林区</w:t>
      </w:r>
      <w:r>
        <w:rPr>
          <w:rFonts w:hint="eastAsia"/>
        </w:rPr>
        <w:t>”-“</w:t>
      </w:r>
      <w:r>
        <w:t>滇西南中山宽谷高榕、麻楝亚区</w:t>
      </w:r>
      <w:r>
        <w:rPr>
          <w:rFonts w:hint="eastAsia"/>
        </w:rPr>
        <w:t>”</w:t>
      </w:r>
      <w:r>
        <w:t>。</w:t>
      </w:r>
      <w:r>
        <w:rPr>
          <w:rFonts w:hint="eastAsia"/>
        </w:rPr>
        <w:t>区内植被类型主要为</w:t>
      </w:r>
      <w:r>
        <w:rPr>
          <w:rFonts w:hint="eastAsia"/>
          <w:kern w:val="0"/>
        </w:rPr>
        <w:t>常绿落叶阔叶混交林，分布有西南桦、红木荷林；热性稀树灌草丛，分布有含毛麻楝、黄牛木的中草草丛；</w:t>
      </w:r>
      <w:r>
        <w:rPr>
          <w:rFonts w:hint="eastAsia"/>
          <w:bCs/>
          <w:kern w:val="0"/>
        </w:rPr>
        <w:t>暖热性竹林，主要为凤尾竹林；草丛主要包括肿柄菊草丛、飞机草草丛和卡开芦草丛等。</w:t>
      </w:r>
    </w:p>
    <w:p w14:paraId="1BA39789">
      <w:pPr>
        <w:pStyle w:val="4"/>
      </w:pPr>
      <w:bookmarkStart w:id="570" w:name="_Toc437412314"/>
      <w:bookmarkStart w:id="571" w:name="_Toc390940002"/>
      <w:bookmarkStart w:id="572" w:name="_Toc471738018"/>
      <w:bookmarkStart w:id="573" w:name="_Toc393273295"/>
      <w:bookmarkStart w:id="574" w:name="_Toc299117696"/>
      <w:bookmarkStart w:id="575" w:name="_Toc443655433"/>
      <w:bookmarkStart w:id="576" w:name="_Toc454046533"/>
      <w:bookmarkStart w:id="577" w:name="_Toc319743111"/>
      <w:bookmarkStart w:id="578" w:name="_Toc508642466"/>
      <w:r>
        <w:t>4.2</w:t>
      </w:r>
      <w:bookmarkEnd w:id="570"/>
      <w:bookmarkEnd w:id="571"/>
      <w:bookmarkEnd w:id="572"/>
      <w:bookmarkEnd w:id="573"/>
      <w:bookmarkEnd w:id="574"/>
      <w:bookmarkEnd w:id="575"/>
      <w:bookmarkEnd w:id="576"/>
      <w:bookmarkEnd w:id="577"/>
      <w:bookmarkStart w:id="579" w:name="_Toc443655437"/>
      <w:bookmarkStart w:id="580" w:name="_Toc471738019"/>
      <w:bookmarkStart w:id="581" w:name="_Toc454046537"/>
      <w:r>
        <w:rPr>
          <w:rFonts w:hint="eastAsia"/>
        </w:rPr>
        <w:t>评价区存在的主要环境问题</w:t>
      </w:r>
      <w:bookmarkEnd w:id="578"/>
      <w:bookmarkEnd w:id="579"/>
      <w:bookmarkEnd w:id="580"/>
      <w:bookmarkEnd w:id="581"/>
    </w:p>
    <w:p w14:paraId="73678447">
      <w:pPr>
        <w:ind w:firstLine="480"/>
      </w:pPr>
      <w:r>
        <w:rPr>
          <w:rFonts w:hint="eastAsia"/>
        </w:rPr>
        <w:t>通过现场踏勘、资料收集，目前工程区存在的主要环境问题有以下几点：</w:t>
      </w:r>
    </w:p>
    <w:p w14:paraId="043B45B4">
      <w:pPr>
        <w:ind w:firstLine="480"/>
      </w:pPr>
      <w:r>
        <w:rPr>
          <w:rFonts w:hint="eastAsia"/>
        </w:rPr>
        <w:t>1、流域内农业生产活动较为频繁，天然植被资源处于逐年减少的趋势。由于受当地村民的生产生活影响，流域内大片自然植被已经遭到破坏，被当地居民开垦用于种植玉米、橡胶等作物，流域内人为活动影响显著，植被次生化严重，生态环境遭人类活动影响较大。</w:t>
      </w:r>
    </w:p>
    <w:p w14:paraId="5D7B4318">
      <w:pPr>
        <w:ind w:firstLine="480"/>
      </w:pPr>
      <w:r>
        <w:rPr>
          <w:rFonts w:hint="eastAsia"/>
        </w:rPr>
        <w:t>2、当地居民能源以柴薪为主，落后的能源利用方式不仅对当地森林资源不断破坏，而且燃烧废气对当地大气环境也会有一定影响。</w:t>
      </w:r>
    </w:p>
    <w:p w14:paraId="12BC3B72">
      <w:pPr>
        <w:ind w:firstLine="480"/>
      </w:pPr>
      <w:r>
        <w:rPr>
          <w:rFonts w:hint="eastAsia"/>
        </w:rPr>
        <w:t>3、通过对当地居民的调查，大部分接受调查的居民表示目前评价区内水污染、噪声影响比较突出。</w:t>
      </w:r>
      <w:r>
        <w:br w:type="page"/>
      </w:r>
    </w:p>
    <w:p w14:paraId="68B8DE6A">
      <w:pPr>
        <w:pStyle w:val="180"/>
      </w:pPr>
      <w:bookmarkStart w:id="582" w:name="_Toc508642467"/>
      <w:bookmarkStart w:id="583" w:name="_Toc454046538"/>
      <w:bookmarkStart w:id="584" w:name="_Toc471738020"/>
      <w:bookmarkStart w:id="585" w:name="_Toc443655438"/>
      <w:r>
        <w:rPr>
          <w:rFonts w:hint="eastAsia"/>
        </w:rPr>
        <w:t>5评价区环境质量现状调查与评价</w:t>
      </w:r>
      <w:bookmarkEnd w:id="582"/>
      <w:bookmarkEnd w:id="583"/>
      <w:bookmarkEnd w:id="584"/>
      <w:bookmarkEnd w:id="585"/>
    </w:p>
    <w:p w14:paraId="5412C080">
      <w:pPr>
        <w:pStyle w:val="4"/>
      </w:pPr>
      <w:bookmarkStart w:id="586" w:name="_Toc508642468"/>
      <w:bookmarkStart w:id="587" w:name="_Toc443655439"/>
      <w:bookmarkStart w:id="588" w:name="_Toc471738021"/>
      <w:bookmarkStart w:id="589" w:name="_Toc454046539"/>
      <w:r>
        <w:rPr>
          <w:rFonts w:hint="eastAsia"/>
        </w:rPr>
        <w:t>5.1生态环境现状</w:t>
      </w:r>
      <w:bookmarkEnd w:id="586"/>
      <w:bookmarkEnd w:id="587"/>
      <w:bookmarkEnd w:id="588"/>
      <w:bookmarkEnd w:id="589"/>
    </w:p>
    <w:p w14:paraId="1C884059">
      <w:pPr>
        <w:ind w:firstLine="480"/>
      </w:pPr>
      <w:r>
        <w:rPr>
          <w:rFonts w:hint="eastAsia"/>
          <w:kern w:val="0"/>
        </w:rPr>
        <w:t>根据《环境影响评价技术导则</w:t>
      </w:r>
      <w:r>
        <w:rPr>
          <w:kern w:val="0"/>
        </w:rPr>
        <w:t xml:space="preserve"> </w:t>
      </w:r>
      <w:r>
        <w:rPr>
          <w:rFonts w:hint="eastAsia"/>
          <w:kern w:val="0"/>
        </w:rPr>
        <w:t>生态影响》（</w:t>
      </w:r>
      <w:r>
        <w:rPr>
          <w:kern w:val="0"/>
        </w:rPr>
        <w:t>HJ19-2011</w:t>
      </w:r>
      <w:r>
        <w:rPr>
          <w:rFonts w:hint="eastAsia"/>
          <w:kern w:val="0"/>
        </w:rPr>
        <w:t>）的有关要求，我单位组织专业人员于</w:t>
      </w:r>
      <w:r>
        <w:rPr>
          <w:kern w:val="0"/>
        </w:rPr>
        <w:t>201</w:t>
      </w:r>
      <w:r>
        <w:rPr>
          <w:rFonts w:hint="eastAsia"/>
          <w:kern w:val="0"/>
        </w:rPr>
        <w:t>6年1月对团结水电站项目环境影响评价区范围内的生态环境现状进行了野外调查工作。</w:t>
      </w:r>
    </w:p>
    <w:p w14:paraId="3CFDCF22">
      <w:pPr>
        <w:ind w:firstLine="480"/>
      </w:pPr>
      <w:r>
        <w:rPr>
          <w:rFonts w:hint="eastAsia"/>
        </w:rPr>
        <w:t>因芒市河流域水电规划环境影响报告编制时间较早，资料已遗失，因此本次生态环境现状以现场实际调查结果为主。</w:t>
      </w:r>
    </w:p>
    <w:p w14:paraId="6322BA2F">
      <w:pPr>
        <w:pStyle w:val="113"/>
      </w:pPr>
      <w:bookmarkStart w:id="590" w:name="_Toc508642469"/>
      <w:r>
        <w:rPr>
          <w:rFonts w:hint="eastAsia"/>
        </w:rPr>
        <w:t>5.1.1景观生态</w:t>
      </w:r>
      <w:bookmarkEnd w:id="590"/>
    </w:p>
    <w:p w14:paraId="0951200C">
      <w:pPr>
        <w:ind w:firstLine="480"/>
      </w:pPr>
      <w:r>
        <w:t>在自然体系等级划分中，评价范围属于自然景观生态系统，主要由林地系统、草地系统相间组成。</w:t>
      </w:r>
      <w:r>
        <w:rPr>
          <w:rFonts w:hint="eastAsia"/>
        </w:rPr>
        <w:t>拟建</w:t>
      </w:r>
      <w:r>
        <w:t>项目所在地林地、草地等土地类型均有分布，主要包括森林景观和草丛景观。</w:t>
      </w:r>
    </w:p>
    <w:p w14:paraId="3FB823F0">
      <w:pPr>
        <w:pStyle w:val="113"/>
      </w:pPr>
      <w:bookmarkStart w:id="591" w:name="_Toc454046540"/>
      <w:bookmarkStart w:id="592" w:name="_Toc471738022"/>
      <w:bookmarkStart w:id="593" w:name="_Toc443655440"/>
      <w:bookmarkStart w:id="594" w:name="_Toc508642470"/>
      <w:r>
        <w:rPr>
          <w:rFonts w:hint="eastAsia"/>
        </w:rPr>
        <w:t>5</w:t>
      </w:r>
      <w:r>
        <w:t>.</w:t>
      </w:r>
      <w:r>
        <w:rPr>
          <w:rFonts w:hint="eastAsia"/>
        </w:rPr>
        <w:t>1</w:t>
      </w:r>
      <w:r>
        <w:t>.</w:t>
      </w:r>
      <w:r>
        <w:rPr>
          <w:rFonts w:hint="eastAsia"/>
        </w:rPr>
        <w:t>2</w:t>
      </w:r>
      <w:r>
        <w:t>植被</w:t>
      </w:r>
      <w:r>
        <w:rPr>
          <w:rFonts w:hint="eastAsia"/>
        </w:rPr>
        <w:t>及主要植物</w:t>
      </w:r>
      <w:r>
        <w:t>现状调查</w:t>
      </w:r>
      <w:r>
        <w:rPr>
          <w:rFonts w:hint="eastAsia"/>
        </w:rPr>
        <w:t>与</w:t>
      </w:r>
      <w:r>
        <w:t>评价</w:t>
      </w:r>
      <w:bookmarkEnd w:id="591"/>
      <w:bookmarkEnd w:id="592"/>
      <w:bookmarkEnd w:id="593"/>
      <w:bookmarkEnd w:id="594"/>
    </w:p>
    <w:p w14:paraId="5701DCD3">
      <w:pPr>
        <w:pStyle w:val="141"/>
      </w:pPr>
      <w:r>
        <w:rPr>
          <w:rFonts w:hint="eastAsia"/>
        </w:rPr>
        <w:t>5.1.2.1陆生植物资源现状</w:t>
      </w:r>
    </w:p>
    <w:p w14:paraId="59BF4FCC">
      <w:pPr>
        <w:ind w:firstLine="482"/>
        <w:rPr>
          <w:b/>
        </w:rPr>
      </w:pPr>
      <w:r>
        <w:rPr>
          <w:rFonts w:hint="eastAsia"/>
          <w:b/>
        </w:rPr>
        <w:t>1、调查方法</w:t>
      </w:r>
    </w:p>
    <w:p w14:paraId="54E9DF21">
      <w:pPr>
        <w:ind w:firstLine="480"/>
      </w:pPr>
      <w:r>
        <w:t>本次调查采用了野外实地调查与资料收集相结合的方法。野外实地调查采取线路调查法、样方调查法为主，辅以问询法进行现场观察与记录。评价区植物种类的调查仅调查维管束植物，即蕨类植物和种子植物（包括裸子植物和被子植物）</w:t>
      </w:r>
      <w:r>
        <w:rPr>
          <w:rFonts w:hint="eastAsia"/>
        </w:rPr>
        <w:t>。</w:t>
      </w:r>
      <w:r>
        <w:t>详细记录评价区内分布的植物种类</w:t>
      </w:r>
      <w:r>
        <w:rPr>
          <w:rFonts w:hint="eastAsia"/>
        </w:rPr>
        <w:t>，</w:t>
      </w:r>
      <w:r>
        <w:t>对现场能确认物种的，记录种名</w:t>
      </w:r>
      <w:r>
        <w:rPr>
          <w:rFonts w:hint="eastAsia"/>
        </w:rPr>
        <w:t>；</w:t>
      </w:r>
      <w:r>
        <w:t>对现场不能准确确定的物种，采集标本，根据《中国植物志》</w:t>
      </w:r>
      <w:r>
        <w:rPr>
          <w:rFonts w:hint="eastAsia"/>
        </w:rPr>
        <w:t>、《云南植物志》</w:t>
      </w:r>
      <w:r>
        <w:t>等专著对其鉴定。最后，将样地内出现的物种与样地外沿途记录的物种汇总，得到评价区的植物名录。</w:t>
      </w:r>
    </w:p>
    <w:p w14:paraId="6821F66B">
      <w:pPr>
        <w:ind w:firstLine="480"/>
      </w:pPr>
      <w:r>
        <w:t>对区内可能出现的珍稀濒危植物和古树名树，根据《国家重点保护野生植物名录》（第一批，1999）和国家对名木古树的相关规定，调查记录各种保护植物和各种名木古树；记录内容包括保护的名称GPS位置、海拔等。</w:t>
      </w:r>
    </w:p>
    <w:p w14:paraId="7B871AC2">
      <w:pPr>
        <w:ind w:firstLine="482"/>
        <w:rPr>
          <w:b/>
          <w:szCs w:val="24"/>
        </w:rPr>
      </w:pPr>
      <w:r>
        <w:rPr>
          <w:rFonts w:hint="eastAsia"/>
          <w:b/>
        </w:rPr>
        <w:t>2、</w:t>
      </w:r>
      <w:r>
        <w:rPr>
          <w:b/>
        </w:rPr>
        <w:t>植物科、属、种的组成分析</w:t>
      </w:r>
    </w:p>
    <w:p w14:paraId="339BA622">
      <w:pPr>
        <w:ind w:firstLine="480"/>
      </w:pPr>
      <w:r>
        <w:rPr>
          <w:rFonts w:hint="eastAsia"/>
        </w:rPr>
        <w:t>据调查记录的统计结果，</w:t>
      </w:r>
      <w:r>
        <w:t>评价区野生维管束植物</w:t>
      </w:r>
      <w:r>
        <w:rPr>
          <w:rFonts w:hint="eastAsia"/>
        </w:rPr>
        <w:t>295</w:t>
      </w:r>
      <w:r>
        <w:t>种，隶属</w:t>
      </w:r>
      <w:r>
        <w:rPr>
          <w:rFonts w:hint="eastAsia"/>
        </w:rPr>
        <w:t>82</w:t>
      </w:r>
      <w:r>
        <w:t>科</w:t>
      </w:r>
      <w:r>
        <w:rPr>
          <w:rFonts w:hint="eastAsia"/>
        </w:rPr>
        <w:t>227</w:t>
      </w:r>
      <w:r>
        <w:t>属。其中，蕨类植物</w:t>
      </w:r>
      <w:r>
        <w:rPr>
          <w:rFonts w:hint="eastAsia"/>
        </w:rPr>
        <w:t>11</w:t>
      </w:r>
      <w:r>
        <w:t>科</w:t>
      </w:r>
      <w:r>
        <w:rPr>
          <w:rFonts w:hint="eastAsia"/>
        </w:rPr>
        <w:t>13</w:t>
      </w:r>
      <w:r>
        <w:t>属</w:t>
      </w:r>
      <w:r>
        <w:rPr>
          <w:rFonts w:hint="eastAsia"/>
        </w:rPr>
        <w:t>18</w:t>
      </w:r>
      <w:r>
        <w:t>种，种子植物</w:t>
      </w:r>
      <w:r>
        <w:rPr>
          <w:rFonts w:hint="eastAsia"/>
        </w:rPr>
        <w:t>71</w:t>
      </w:r>
      <w:r>
        <w:t>科</w:t>
      </w:r>
      <w:r>
        <w:rPr>
          <w:rFonts w:hint="eastAsia"/>
        </w:rPr>
        <w:t>214</w:t>
      </w:r>
      <w:r>
        <w:t>属</w:t>
      </w:r>
      <w:r>
        <w:rPr>
          <w:rFonts w:hint="eastAsia"/>
        </w:rPr>
        <w:t>277</w:t>
      </w:r>
      <w:r>
        <w:t>种</w:t>
      </w:r>
      <w:r>
        <w:rPr>
          <w:rFonts w:hint="eastAsia"/>
        </w:rPr>
        <w:t>（裸子植物1科1属1种，被子植物70科213属276种），</w:t>
      </w:r>
      <w:r>
        <w:t>被子植物中双子叶植物</w:t>
      </w:r>
      <w:r>
        <w:rPr>
          <w:rFonts w:hint="eastAsia"/>
        </w:rPr>
        <w:t>63</w:t>
      </w:r>
      <w:r>
        <w:t>科</w:t>
      </w:r>
      <w:r>
        <w:rPr>
          <w:rFonts w:hint="eastAsia"/>
        </w:rPr>
        <w:t>173</w:t>
      </w:r>
      <w:r>
        <w:t>属</w:t>
      </w:r>
      <w:r>
        <w:rPr>
          <w:rFonts w:hint="eastAsia"/>
        </w:rPr>
        <w:t>224</w:t>
      </w:r>
      <w:r>
        <w:t>种，单子叶植物</w:t>
      </w:r>
      <w:r>
        <w:rPr>
          <w:rFonts w:hint="eastAsia"/>
        </w:rPr>
        <w:t>7</w:t>
      </w:r>
      <w:r>
        <w:t>科</w:t>
      </w:r>
      <w:r>
        <w:rPr>
          <w:rFonts w:hint="eastAsia"/>
        </w:rPr>
        <w:t>40</w:t>
      </w:r>
      <w:r>
        <w:t>属</w:t>
      </w:r>
      <w:r>
        <w:rPr>
          <w:rFonts w:hint="eastAsia"/>
        </w:rPr>
        <w:t>52</w:t>
      </w:r>
      <w:r>
        <w:t>种。</w:t>
      </w:r>
      <w:r>
        <w:rPr>
          <w:rFonts w:hint="eastAsia"/>
        </w:rPr>
        <w:t>评价区内以草本、灌木、乔木为主，其中常见草本为卡开芦、密序野古草、大白茅、肿柄菊、飞机草等；灌木以水锦树、鸡嗉子榕幼苗、马缨丹较为常见；乔木稀少，但仍可见有西南桦、毛麻楝、楹树等分布。</w:t>
      </w:r>
    </w:p>
    <w:p w14:paraId="33BF7601">
      <w:pPr>
        <w:ind w:firstLine="482"/>
        <w:rPr>
          <w:b/>
          <w:szCs w:val="24"/>
        </w:rPr>
      </w:pPr>
      <w:r>
        <w:rPr>
          <w:rFonts w:hint="eastAsia"/>
          <w:b/>
          <w:szCs w:val="24"/>
        </w:rPr>
        <w:t>3、</w:t>
      </w:r>
      <w:r>
        <w:rPr>
          <w:b/>
        </w:rPr>
        <w:t>种子植物</w:t>
      </w:r>
      <w:r>
        <w:rPr>
          <w:rFonts w:hint="eastAsia"/>
          <w:b/>
        </w:rPr>
        <w:t>属的</w:t>
      </w:r>
      <w:r>
        <w:rPr>
          <w:b/>
        </w:rPr>
        <w:t>区系成分分析</w:t>
      </w:r>
    </w:p>
    <w:p w14:paraId="33E12F94">
      <w:pPr>
        <w:ind w:firstLine="480"/>
        <w:rPr>
          <w:szCs w:val="24"/>
        </w:rPr>
      </w:pPr>
      <w:r>
        <w:rPr>
          <w:rFonts w:hAnsi="宋体"/>
        </w:rPr>
        <w:t>根据吴征镒在《中国种子植物属的分布区类型》划分</w:t>
      </w:r>
      <w:r>
        <w:rPr>
          <w:rFonts w:hint="eastAsia" w:hAnsi="宋体"/>
        </w:rPr>
        <w:t>，</w:t>
      </w:r>
      <w:r>
        <w:rPr>
          <w:rFonts w:hAnsi="宋体"/>
        </w:rPr>
        <w:t>评价区有</w:t>
      </w:r>
      <w:r>
        <w:rPr>
          <w:rFonts w:hint="eastAsia"/>
        </w:rPr>
        <w:t>13</w:t>
      </w:r>
      <w:r>
        <w:rPr>
          <w:rFonts w:hAnsi="宋体"/>
        </w:rPr>
        <w:t>种类型及</w:t>
      </w:r>
      <w:r>
        <w:rPr>
          <w:rFonts w:hint="eastAsia"/>
        </w:rPr>
        <w:t>12</w:t>
      </w:r>
      <w:r>
        <w:rPr>
          <w:rFonts w:hAnsi="宋体"/>
        </w:rPr>
        <w:t>种变型</w:t>
      </w:r>
      <w:r>
        <w:rPr>
          <w:rFonts w:hint="eastAsia" w:hAnsi="宋体"/>
        </w:rPr>
        <w:t>，</w:t>
      </w:r>
      <w:r>
        <w:rPr>
          <w:rFonts w:hAnsi="宋体"/>
        </w:rPr>
        <w:t>分别占了中国境内种子植物属分布类型的</w:t>
      </w:r>
      <w:r>
        <w:rPr>
          <w:rFonts w:hint="eastAsia"/>
        </w:rPr>
        <w:t>86.67</w:t>
      </w:r>
      <w:r>
        <w:t>%</w:t>
      </w:r>
      <w:r>
        <w:rPr>
          <w:rFonts w:hAnsi="宋体"/>
        </w:rPr>
        <w:t>及</w:t>
      </w:r>
      <w:r>
        <w:rPr>
          <w:rFonts w:hint="eastAsia"/>
        </w:rPr>
        <w:t>38.71</w:t>
      </w:r>
      <w:r>
        <w:t>%</w:t>
      </w:r>
      <w:r>
        <w:rPr>
          <w:rFonts w:hAnsi="宋体"/>
        </w:rPr>
        <w:t>，体现了该地区系的复杂性。</w:t>
      </w:r>
      <w:r>
        <w:rPr>
          <w:rFonts w:hint="eastAsia" w:hAnsi="宋体"/>
        </w:rPr>
        <w:t>评价区214属中，世界分布共计28属；热带分布属共计124属（2-7型），占总属数的66.67%，温带分布属（8-14型）共计60属，占总属数的32.26%；中国特有属2属，占总属数的1.08%。从属的水平上看，热带成分占明显优势，这也与该区域的气候类型相吻合。</w:t>
      </w:r>
    </w:p>
    <w:p w14:paraId="53411262">
      <w:pPr>
        <w:pStyle w:val="82"/>
        <w:framePr w:hSpace="0" w:wrap="auto" w:vAnchor="margin" w:hAnchor="text" w:xAlign="left" w:yAlign="inline"/>
      </w:pPr>
      <w:r>
        <w:rPr>
          <w:rFonts w:hint="eastAsia"/>
        </w:rPr>
        <w:t xml:space="preserve">表5-1-1    </w:t>
      </w:r>
      <w:r>
        <w:t>调查区内种子植物科的分布区类型统计</w:t>
      </w:r>
    </w:p>
    <w:tbl>
      <w:tblPr>
        <w:tblStyle w:val="56"/>
        <w:tblW w:w="8991" w:type="dxa"/>
        <w:tblInd w:w="93"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6480"/>
        <w:gridCol w:w="840"/>
        <w:gridCol w:w="936"/>
      </w:tblGrid>
      <w:tr w14:paraId="5F4257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7215" w:type="dxa"/>
            <w:gridSpan w:val="2"/>
            <w:shd w:val="clear" w:color="auto" w:fill="auto"/>
            <w:noWrap/>
            <w:vAlign w:val="center"/>
          </w:tcPr>
          <w:p w14:paraId="542ECA07">
            <w:pPr>
              <w:pStyle w:val="84"/>
            </w:pPr>
            <w:r>
              <w:t>分布区类型</w:t>
            </w:r>
          </w:p>
        </w:tc>
        <w:tc>
          <w:tcPr>
            <w:tcW w:w="840" w:type="dxa"/>
            <w:shd w:val="clear" w:color="auto" w:fill="auto"/>
            <w:noWrap/>
            <w:vAlign w:val="center"/>
          </w:tcPr>
          <w:p w14:paraId="73929CCC">
            <w:pPr>
              <w:pStyle w:val="84"/>
            </w:pPr>
            <w:r>
              <w:t>属数</w:t>
            </w:r>
          </w:p>
        </w:tc>
        <w:tc>
          <w:tcPr>
            <w:tcW w:w="936" w:type="dxa"/>
            <w:shd w:val="clear" w:color="auto" w:fill="auto"/>
            <w:noWrap/>
            <w:vAlign w:val="center"/>
          </w:tcPr>
          <w:p w14:paraId="7B9DA26E">
            <w:pPr>
              <w:pStyle w:val="84"/>
            </w:pPr>
            <w:r>
              <w:rPr>
                <w:rFonts w:hint="eastAsia"/>
              </w:rPr>
              <w:t>%</w:t>
            </w:r>
          </w:p>
        </w:tc>
      </w:tr>
      <w:tr w14:paraId="025E36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00" w:hRule="atLeast"/>
        </w:trPr>
        <w:tc>
          <w:tcPr>
            <w:tcW w:w="735" w:type="dxa"/>
            <w:shd w:val="clear" w:color="auto" w:fill="auto"/>
            <w:noWrap/>
            <w:vAlign w:val="center"/>
          </w:tcPr>
          <w:p w14:paraId="2171EA52">
            <w:pPr>
              <w:pStyle w:val="84"/>
              <w:rPr>
                <w:rFonts w:eastAsia="仿宋_GB2312"/>
                <w:kern w:val="0"/>
                <w:szCs w:val="21"/>
              </w:rPr>
            </w:pPr>
            <w:r>
              <w:rPr>
                <w:rFonts w:eastAsia="仿宋_GB2312"/>
                <w:kern w:val="0"/>
                <w:szCs w:val="21"/>
              </w:rPr>
              <w:t>1</w:t>
            </w:r>
          </w:p>
        </w:tc>
        <w:tc>
          <w:tcPr>
            <w:tcW w:w="6480" w:type="dxa"/>
            <w:shd w:val="clear" w:color="auto" w:fill="auto"/>
            <w:noWrap/>
            <w:vAlign w:val="center"/>
          </w:tcPr>
          <w:p w14:paraId="042AC267">
            <w:pPr>
              <w:pStyle w:val="84"/>
            </w:pPr>
            <w:r>
              <w:t>世界分布</w:t>
            </w:r>
          </w:p>
        </w:tc>
        <w:tc>
          <w:tcPr>
            <w:tcW w:w="840" w:type="dxa"/>
            <w:shd w:val="clear" w:color="auto" w:fill="auto"/>
            <w:noWrap/>
            <w:vAlign w:val="center"/>
          </w:tcPr>
          <w:p w14:paraId="6071BB90">
            <w:pPr>
              <w:pStyle w:val="84"/>
            </w:pPr>
            <w:r>
              <w:rPr>
                <w:rFonts w:hint="eastAsia"/>
              </w:rPr>
              <w:t>28</w:t>
            </w:r>
          </w:p>
        </w:tc>
        <w:tc>
          <w:tcPr>
            <w:tcW w:w="936" w:type="dxa"/>
            <w:shd w:val="clear" w:color="auto" w:fill="auto"/>
            <w:noWrap/>
            <w:vAlign w:val="center"/>
          </w:tcPr>
          <w:p w14:paraId="20C3F6C2">
            <w:pPr>
              <w:pStyle w:val="84"/>
            </w:pPr>
            <w:r>
              <w:rPr>
                <w:rFonts w:hint="eastAsia"/>
              </w:rPr>
              <w:t>13.08</w:t>
            </w:r>
          </w:p>
        </w:tc>
      </w:tr>
      <w:tr w14:paraId="1456DD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shd w:val="clear" w:color="auto" w:fill="auto"/>
            <w:noWrap/>
            <w:vAlign w:val="center"/>
          </w:tcPr>
          <w:p w14:paraId="0F85499C">
            <w:pPr>
              <w:pStyle w:val="84"/>
              <w:rPr>
                <w:rFonts w:eastAsia="仿宋_GB2312"/>
                <w:kern w:val="0"/>
                <w:szCs w:val="21"/>
              </w:rPr>
            </w:pPr>
            <w:r>
              <w:rPr>
                <w:rFonts w:eastAsia="仿宋_GB2312"/>
                <w:kern w:val="0"/>
                <w:szCs w:val="21"/>
              </w:rPr>
              <w:t>2</w:t>
            </w:r>
          </w:p>
        </w:tc>
        <w:tc>
          <w:tcPr>
            <w:tcW w:w="6480" w:type="dxa"/>
            <w:shd w:val="clear" w:color="auto" w:fill="auto"/>
            <w:noWrap/>
            <w:vAlign w:val="center"/>
          </w:tcPr>
          <w:p w14:paraId="47959C71">
            <w:pPr>
              <w:pStyle w:val="84"/>
            </w:pPr>
            <w:r>
              <w:t>泛热带分布</w:t>
            </w:r>
          </w:p>
        </w:tc>
        <w:tc>
          <w:tcPr>
            <w:tcW w:w="840" w:type="dxa"/>
            <w:shd w:val="clear" w:color="auto" w:fill="auto"/>
            <w:noWrap/>
            <w:vAlign w:val="center"/>
          </w:tcPr>
          <w:p w14:paraId="3C8CAB47">
            <w:pPr>
              <w:pStyle w:val="84"/>
            </w:pPr>
            <w:r>
              <w:rPr>
                <w:rFonts w:hint="eastAsia"/>
              </w:rPr>
              <w:t>46</w:t>
            </w:r>
          </w:p>
        </w:tc>
        <w:tc>
          <w:tcPr>
            <w:tcW w:w="936" w:type="dxa"/>
            <w:shd w:val="clear" w:color="auto" w:fill="auto"/>
            <w:noWrap/>
            <w:vAlign w:val="center"/>
          </w:tcPr>
          <w:p w14:paraId="7FAD1F03">
            <w:pPr>
              <w:pStyle w:val="84"/>
            </w:pPr>
            <w:r>
              <w:rPr>
                <w:rFonts w:hint="eastAsia"/>
              </w:rPr>
              <w:t>24.73</w:t>
            </w:r>
          </w:p>
        </w:tc>
      </w:tr>
      <w:tr w14:paraId="0BBAF6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shd w:val="clear" w:color="auto" w:fill="auto"/>
            <w:noWrap/>
            <w:vAlign w:val="center"/>
          </w:tcPr>
          <w:p w14:paraId="3674FF3C">
            <w:pPr>
              <w:pStyle w:val="84"/>
              <w:rPr>
                <w:rFonts w:eastAsia="仿宋_GB2312"/>
                <w:kern w:val="0"/>
                <w:szCs w:val="21"/>
              </w:rPr>
            </w:pPr>
            <w:r>
              <w:rPr>
                <w:rFonts w:eastAsia="仿宋_GB2312"/>
                <w:kern w:val="0"/>
                <w:szCs w:val="21"/>
              </w:rPr>
              <w:t>2.1</w:t>
            </w:r>
          </w:p>
        </w:tc>
        <w:tc>
          <w:tcPr>
            <w:tcW w:w="6480" w:type="dxa"/>
            <w:shd w:val="clear" w:color="auto" w:fill="auto"/>
            <w:noWrap/>
            <w:vAlign w:val="center"/>
          </w:tcPr>
          <w:p w14:paraId="6BFF0E81">
            <w:pPr>
              <w:pStyle w:val="84"/>
            </w:pPr>
            <w:r>
              <w:t>热带亚洲、大洋洲（至新西兰）和中、南美洲（或墨西哥）间断分布</w:t>
            </w:r>
          </w:p>
        </w:tc>
        <w:tc>
          <w:tcPr>
            <w:tcW w:w="840" w:type="dxa"/>
            <w:shd w:val="clear" w:color="auto" w:fill="auto"/>
            <w:noWrap/>
            <w:vAlign w:val="center"/>
          </w:tcPr>
          <w:p w14:paraId="53E4CA2F">
            <w:pPr>
              <w:pStyle w:val="84"/>
            </w:pPr>
            <w:r>
              <w:t>1</w:t>
            </w:r>
          </w:p>
        </w:tc>
        <w:tc>
          <w:tcPr>
            <w:tcW w:w="936" w:type="dxa"/>
            <w:shd w:val="clear" w:color="auto" w:fill="auto"/>
            <w:noWrap/>
            <w:vAlign w:val="center"/>
          </w:tcPr>
          <w:p w14:paraId="0C940E71">
            <w:pPr>
              <w:pStyle w:val="84"/>
            </w:pPr>
            <w:r>
              <w:rPr>
                <w:rFonts w:hint="eastAsia"/>
              </w:rPr>
              <w:t>0.54</w:t>
            </w:r>
          </w:p>
        </w:tc>
      </w:tr>
      <w:tr w14:paraId="463F18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shd w:val="clear" w:color="auto" w:fill="auto"/>
            <w:noWrap/>
            <w:vAlign w:val="center"/>
          </w:tcPr>
          <w:p w14:paraId="1197B07C">
            <w:pPr>
              <w:pStyle w:val="84"/>
              <w:rPr>
                <w:rFonts w:eastAsia="仿宋_GB2312"/>
                <w:kern w:val="0"/>
                <w:szCs w:val="21"/>
              </w:rPr>
            </w:pPr>
            <w:r>
              <w:rPr>
                <w:rFonts w:eastAsia="仿宋_GB2312"/>
                <w:kern w:val="0"/>
                <w:szCs w:val="21"/>
              </w:rPr>
              <w:t>2.2</w:t>
            </w:r>
          </w:p>
        </w:tc>
        <w:tc>
          <w:tcPr>
            <w:tcW w:w="6480" w:type="dxa"/>
            <w:shd w:val="clear" w:color="auto" w:fill="auto"/>
            <w:noWrap/>
            <w:vAlign w:val="center"/>
          </w:tcPr>
          <w:p w14:paraId="43FB2C56">
            <w:pPr>
              <w:pStyle w:val="84"/>
            </w:pPr>
            <w:r>
              <w:t>热带亚洲、非洲和中、南美洲间断分布</w:t>
            </w:r>
          </w:p>
        </w:tc>
        <w:tc>
          <w:tcPr>
            <w:tcW w:w="840" w:type="dxa"/>
            <w:shd w:val="clear" w:color="auto" w:fill="auto"/>
            <w:noWrap/>
            <w:vAlign w:val="center"/>
          </w:tcPr>
          <w:p w14:paraId="5F585CB3">
            <w:pPr>
              <w:pStyle w:val="84"/>
            </w:pPr>
            <w:r>
              <w:rPr>
                <w:rFonts w:hint="eastAsia"/>
              </w:rPr>
              <w:t>7</w:t>
            </w:r>
          </w:p>
        </w:tc>
        <w:tc>
          <w:tcPr>
            <w:tcW w:w="936" w:type="dxa"/>
            <w:shd w:val="clear" w:color="auto" w:fill="auto"/>
            <w:noWrap/>
            <w:vAlign w:val="center"/>
          </w:tcPr>
          <w:p w14:paraId="49F99314">
            <w:pPr>
              <w:pStyle w:val="84"/>
            </w:pPr>
            <w:r>
              <w:rPr>
                <w:rFonts w:hint="eastAsia"/>
              </w:rPr>
              <w:t>3.76</w:t>
            </w:r>
          </w:p>
        </w:tc>
      </w:tr>
      <w:tr w14:paraId="5BBD41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shd w:val="clear" w:color="auto" w:fill="auto"/>
            <w:noWrap/>
            <w:vAlign w:val="center"/>
          </w:tcPr>
          <w:p w14:paraId="5FD37271">
            <w:pPr>
              <w:pStyle w:val="84"/>
              <w:rPr>
                <w:rFonts w:eastAsia="仿宋_GB2312"/>
                <w:kern w:val="0"/>
                <w:szCs w:val="21"/>
              </w:rPr>
            </w:pPr>
            <w:r>
              <w:rPr>
                <w:rFonts w:eastAsia="仿宋_GB2312"/>
                <w:kern w:val="0"/>
                <w:szCs w:val="21"/>
              </w:rPr>
              <w:t>3</w:t>
            </w:r>
          </w:p>
        </w:tc>
        <w:tc>
          <w:tcPr>
            <w:tcW w:w="6480" w:type="dxa"/>
            <w:shd w:val="clear" w:color="auto" w:fill="auto"/>
            <w:noWrap/>
            <w:vAlign w:val="center"/>
          </w:tcPr>
          <w:p w14:paraId="46489215">
            <w:pPr>
              <w:pStyle w:val="84"/>
            </w:pPr>
            <w:r>
              <w:t>热带亚洲和热带美洲间断分布</w:t>
            </w:r>
          </w:p>
        </w:tc>
        <w:tc>
          <w:tcPr>
            <w:tcW w:w="840" w:type="dxa"/>
            <w:shd w:val="clear" w:color="auto" w:fill="auto"/>
            <w:noWrap/>
            <w:vAlign w:val="center"/>
          </w:tcPr>
          <w:p w14:paraId="2781C273">
            <w:pPr>
              <w:pStyle w:val="84"/>
            </w:pPr>
            <w:r>
              <w:rPr>
                <w:rFonts w:hint="eastAsia"/>
              </w:rPr>
              <w:t>10</w:t>
            </w:r>
          </w:p>
        </w:tc>
        <w:tc>
          <w:tcPr>
            <w:tcW w:w="936" w:type="dxa"/>
            <w:shd w:val="clear" w:color="auto" w:fill="auto"/>
            <w:noWrap/>
            <w:vAlign w:val="center"/>
          </w:tcPr>
          <w:p w14:paraId="24044DDA">
            <w:pPr>
              <w:pStyle w:val="84"/>
            </w:pPr>
            <w:r>
              <w:rPr>
                <w:rFonts w:hint="eastAsia"/>
              </w:rPr>
              <w:t>5.38</w:t>
            </w:r>
          </w:p>
        </w:tc>
      </w:tr>
      <w:tr w14:paraId="5B6280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shd w:val="clear" w:color="auto" w:fill="auto"/>
            <w:noWrap/>
            <w:vAlign w:val="center"/>
          </w:tcPr>
          <w:p w14:paraId="364C84A8">
            <w:pPr>
              <w:pStyle w:val="84"/>
              <w:rPr>
                <w:rFonts w:eastAsia="仿宋_GB2312"/>
                <w:kern w:val="0"/>
                <w:szCs w:val="21"/>
              </w:rPr>
            </w:pPr>
            <w:r>
              <w:rPr>
                <w:rFonts w:eastAsia="仿宋_GB2312"/>
                <w:kern w:val="0"/>
                <w:szCs w:val="21"/>
              </w:rPr>
              <w:t>4</w:t>
            </w:r>
          </w:p>
        </w:tc>
        <w:tc>
          <w:tcPr>
            <w:tcW w:w="6480" w:type="dxa"/>
            <w:shd w:val="clear" w:color="auto" w:fill="auto"/>
            <w:noWrap/>
            <w:vAlign w:val="center"/>
          </w:tcPr>
          <w:p w14:paraId="715D9437">
            <w:pPr>
              <w:pStyle w:val="84"/>
            </w:pPr>
            <w:r>
              <w:t>旧世界热带分布</w:t>
            </w:r>
          </w:p>
        </w:tc>
        <w:tc>
          <w:tcPr>
            <w:tcW w:w="840" w:type="dxa"/>
            <w:shd w:val="clear" w:color="auto" w:fill="auto"/>
            <w:noWrap/>
            <w:vAlign w:val="center"/>
          </w:tcPr>
          <w:p w14:paraId="283E3D3D">
            <w:pPr>
              <w:pStyle w:val="84"/>
            </w:pPr>
            <w:r>
              <w:rPr>
                <w:rFonts w:hint="eastAsia"/>
              </w:rPr>
              <w:t>12</w:t>
            </w:r>
          </w:p>
        </w:tc>
        <w:tc>
          <w:tcPr>
            <w:tcW w:w="936" w:type="dxa"/>
            <w:shd w:val="clear" w:color="auto" w:fill="auto"/>
            <w:noWrap/>
            <w:vAlign w:val="center"/>
          </w:tcPr>
          <w:p w14:paraId="4FF2D5EF">
            <w:pPr>
              <w:pStyle w:val="84"/>
            </w:pPr>
            <w:r>
              <w:rPr>
                <w:rFonts w:hint="eastAsia"/>
              </w:rPr>
              <w:t>6.45</w:t>
            </w:r>
          </w:p>
        </w:tc>
      </w:tr>
      <w:tr w14:paraId="7CAD3B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shd w:val="clear" w:color="auto" w:fill="auto"/>
            <w:noWrap/>
            <w:vAlign w:val="center"/>
          </w:tcPr>
          <w:p w14:paraId="6F4C1324">
            <w:pPr>
              <w:pStyle w:val="84"/>
              <w:rPr>
                <w:rFonts w:eastAsia="仿宋_GB2312"/>
                <w:kern w:val="0"/>
                <w:szCs w:val="21"/>
              </w:rPr>
            </w:pPr>
            <w:r>
              <w:rPr>
                <w:rFonts w:eastAsia="仿宋_GB2312"/>
                <w:kern w:val="0"/>
                <w:szCs w:val="21"/>
              </w:rPr>
              <w:t>4.1</w:t>
            </w:r>
          </w:p>
        </w:tc>
        <w:tc>
          <w:tcPr>
            <w:tcW w:w="6480" w:type="dxa"/>
            <w:shd w:val="clear" w:color="auto" w:fill="auto"/>
            <w:noWrap/>
            <w:vAlign w:val="center"/>
          </w:tcPr>
          <w:p w14:paraId="6CE0E7F9">
            <w:pPr>
              <w:pStyle w:val="84"/>
            </w:pPr>
            <w:r>
              <w:t>热带亚洲、非洲（或东非、马达加斯加）和大洋洲间断分布</w:t>
            </w:r>
          </w:p>
        </w:tc>
        <w:tc>
          <w:tcPr>
            <w:tcW w:w="840" w:type="dxa"/>
            <w:shd w:val="clear" w:color="auto" w:fill="auto"/>
            <w:noWrap/>
            <w:vAlign w:val="center"/>
          </w:tcPr>
          <w:p w14:paraId="5C5AB0FC">
            <w:pPr>
              <w:pStyle w:val="84"/>
            </w:pPr>
            <w:r>
              <w:rPr>
                <w:rFonts w:hint="eastAsia"/>
              </w:rPr>
              <w:t>1</w:t>
            </w:r>
          </w:p>
        </w:tc>
        <w:tc>
          <w:tcPr>
            <w:tcW w:w="936" w:type="dxa"/>
            <w:shd w:val="clear" w:color="auto" w:fill="auto"/>
            <w:noWrap/>
            <w:vAlign w:val="center"/>
          </w:tcPr>
          <w:p w14:paraId="5283A7EF">
            <w:pPr>
              <w:pStyle w:val="84"/>
            </w:pPr>
            <w:r>
              <w:rPr>
                <w:rFonts w:hint="eastAsia"/>
              </w:rPr>
              <w:t>0.54</w:t>
            </w:r>
          </w:p>
        </w:tc>
      </w:tr>
      <w:tr w14:paraId="3DE10A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shd w:val="clear" w:color="auto" w:fill="auto"/>
            <w:noWrap/>
            <w:vAlign w:val="center"/>
          </w:tcPr>
          <w:p w14:paraId="770A7865">
            <w:pPr>
              <w:pStyle w:val="84"/>
              <w:rPr>
                <w:rFonts w:eastAsia="仿宋_GB2312"/>
                <w:kern w:val="0"/>
                <w:szCs w:val="21"/>
              </w:rPr>
            </w:pPr>
            <w:r>
              <w:rPr>
                <w:rFonts w:eastAsia="仿宋_GB2312"/>
                <w:kern w:val="0"/>
                <w:szCs w:val="21"/>
              </w:rPr>
              <w:t>5</w:t>
            </w:r>
          </w:p>
        </w:tc>
        <w:tc>
          <w:tcPr>
            <w:tcW w:w="6480" w:type="dxa"/>
            <w:shd w:val="clear" w:color="auto" w:fill="auto"/>
            <w:noWrap/>
            <w:vAlign w:val="center"/>
          </w:tcPr>
          <w:p w14:paraId="40EEFCC7">
            <w:pPr>
              <w:pStyle w:val="84"/>
            </w:pPr>
            <w:r>
              <w:t>热带亚洲至热带大洋洲分布</w:t>
            </w:r>
          </w:p>
        </w:tc>
        <w:tc>
          <w:tcPr>
            <w:tcW w:w="840" w:type="dxa"/>
            <w:shd w:val="clear" w:color="auto" w:fill="auto"/>
            <w:noWrap/>
            <w:vAlign w:val="center"/>
          </w:tcPr>
          <w:p w14:paraId="79C0CFA0">
            <w:pPr>
              <w:pStyle w:val="84"/>
            </w:pPr>
            <w:r>
              <w:rPr>
                <w:rFonts w:hint="eastAsia"/>
              </w:rPr>
              <w:t>6</w:t>
            </w:r>
          </w:p>
        </w:tc>
        <w:tc>
          <w:tcPr>
            <w:tcW w:w="936" w:type="dxa"/>
            <w:shd w:val="clear" w:color="auto" w:fill="auto"/>
            <w:noWrap/>
            <w:vAlign w:val="center"/>
          </w:tcPr>
          <w:p w14:paraId="484486CC">
            <w:pPr>
              <w:pStyle w:val="84"/>
            </w:pPr>
            <w:r>
              <w:rPr>
                <w:rFonts w:hint="eastAsia"/>
              </w:rPr>
              <w:t>3.23</w:t>
            </w:r>
          </w:p>
        </w:tc>
      </w:tr>
      <w:tr w14:paraId="068D5D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shd w:val="clear" w:color="auto" w:fill="auto"/>
            <w:noWrap/>
            <w:vAlign w:val="center"/>
          </w:tcPr>
          <w:p w14:paraId="438DEE26">
            <w:pPr>
              <w:pStyle w:val="84"/>
              <w:rPr>
                <w:rFonts w:eastAsia="仿宋_GB2312"/>
                <w:kern w:val="0"/>
                <w:szCs w:val="21"/>
              </w:rPr>
            </w:pPr>
            <w:r>
              <w:rPr>
                <w:rFonts w:eastAsia="仿宋_GB2312"/>
                <w:kern w:val="0"/>
                <w:szCs w:val="21"/>
              </w:rPr>
              <w:t>6</w:t>
            </w:r>
          </w:p>
        </w:tc>
        <w:tc>
          <w:tcPr>
            <w:tcW w:w="6480" w:type="dxa"/>
            <w:shd w:val="clear" w:color="auto" w:fill="auto"/>
            <w:noWrap/>
            <w:vAlign w:val="center"/>
          </w:tcPr>
          <w:p w14:paraId="64C0C774">
            <w:pPr>
              <w:pStyle w:val="84"/>
            </w:pPr>
            <w:r>
              <w:t>热带亚洲至热带非洲分布</w:t>
            </w:r>
          </w:p>
        </w:tc>
        <w:tc>
          <w:tcPr>
            <w:tcW w:w="840" w:type="dxa"/>
            <w:shd w:val="clear" w:color="auto" w:fill="auto"/>
            <w:noWrap/>
            <w:vAlign w:val="center"/>
          </w:tcPr>
          <w:p w14:paraId="250B6C3E">
            <w:pPr>
              <w:pStyle w:val="84"/>
            </w:pPr>
            <w:r>
              <w:rPr>
                <w:rFonts w:hint="eastAsia"/>
              </w:rPr>
              <w:t>14</w:t>
            </w:r>
          </w:p>
        </w:tc>
        <w:tc>
          <w:tcPr>
            <w:tcW w:w="936" w:type="dxa"/>
            <w:shd w:val="clear" w:color="auto" w:fill="auto"/>
            <w:noWrap/>
            <w:vAlign w:val="center"/>
          </w:tcPr>
          <w:p w14:paraId="760885EC">
            <w:pPr>
              <w:pStyle w:val="84"/>
            </w:pPr>
            <w:r>
              <w:rPr>
                <w:rFonts w:hint="eastAsia"/>
              </w:rPr>
              <w:t>7.53</w:t>
            </w:r>
          </w:p>
        </w:tc>
      </w:tr>
      <w:tr w14:paraId="5BC8DD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shd w:val="clear" w:color="auto" w:fill="auto"/>
            <w:noWrap/>
            <w:vAlign w:val="center"/>
          </w:tcPr>
          <w:p w14:paraId="63F72C24">
            <w:pPr>
              <w:pStyle w:val="84"/>
              <w:rPr>
                <w:rFonts w:eastAsia="仿宋_GB2312"/>
                <w:kern w:val="0"/>
                <w:szCs w:val="21"/>
              </w:rPr>
            </w:pPr>
            <w:r>
              <w:rPr>
                <w:rFonts w:eastAsia="仿宋_GB2312"/>
                <w:kern w:val="0"/>
                <w:szCs w:val="21"/>
              </w:rPr>
              <w:t>6.2</w:t>
            </w:r>
          </w:p>
        </w:tc>
        <w:tc>
          <w:tcPr>
            <w:tcW w:w="6480" w:type="dxa"/>
            <w:shd w:val="clear" w:color="auto" w:fill="auto"/>
            <w:noWrap/>
            <w:vAlign w:val="center"/>
          </w:tcPr>
          <w:p w14:paraId="46B49805">
            <w:pPr>
              <w:pStyle w:val="84"/>
            </w:pPr>
            <w:r>
              <w:t>热带亚洲和东非或马达加斯加间断分布</w:t>
            </w:r>
          </w:p>
        </w:tc>
        <w:tc>
          <w:tcPr>
            <w:tcW w:w="840" w:type="dxa"/>
            <w:shd w:val="clear" w:color="auto" w:fill="auto"/>
            <w:noWrap/>
            <w:vAlign w:val="center"/>
          </w:tcPr>
          <w:p w14:paraId="6D3E8AED">
            <w:pPr>
              <w:pStyle w:val="84"/>
            </w:pPr>
            <w:r>
              <w:rPr>
                <w:rFonts w:hint="eastAsia"/>
              </w:rPr>
              <w:t>1</w:t>
            </w:r>
          </w:p>
        </w:tc>
        <w:tc>
          <w:tcPr>
            <w:tcW w:w="936" w:type="dxa"/>
            <w:shd w:val="clear" w:color="auto" w:fill="auto"/>
            <w:noWrap/>
            <w:vAlign w:val="center"/>
          </w:tcPr>
          <w:p w14:paraId="435CCB8F">
            <w:pPr>
              <w:pStyle w:val="84"/>
            </w:pPr>
            <w:r>
              <w:rPr>
                <w:rFonts w:hint="eastAsia"/>
              </w:rPr>
              <w:t>0.54</w:t>
            </w:r>
          </w:p>
        </w:tc>
      </w:tr>
      <w:tr w14:paraId="054DEE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shd w:val="clear" w:color="auto" w:fill="auto"/>
            <w:noWrap/>
            <w:vAlign w:val="center"/>
          </w:tcPr>
          <w:p w14:paraId="63BBE6B2">
            <w:pPr>
              <w:pStyle w:val="84"/>
              <w:rPr>
                <w:rFonts w:eastAsia="仿宋_GB2312"/>
                <w:kern w:val="0"/>
                <w:szCs w:val="21"/>
              </w:rPr>
            </w:pPr>
            <w:r>
              <w:rPr>
                <w:rFonts w:eastAsia="仿宋_GB2312"/>
                <w:kern w:val="0"/>
                <w:szCs w:val="21"/>
              </w:rPr>
              <w:t>7</w:t>
            </w:r>
          </w:p>
        </w:tc>
        <w:tc>
          <w:tcPr>
            <w:tcW w:w="6480" w:type="dxa"/>
            <w:shd w:val="clear" w:color="auto" w:fill="auto"/>
            <w:noWrap/>
            <w:vAlign w:val="center"/>
          </w:tcPr>
          <w:p w14:paraId="3DC1FFBD">
            <w:pPr>
              <w:pStyle w:val="84"/>
            </w:pPr>
            <w:r>
              <w:t>热带亚洲( 印度-马来西亚）分布</w:t>
            </w:r>
          </w:p>
        </w:tc>
        <w:tc>
          <w:tcPr>
            <w:tcW w:w="840" w:type="dxa"/>
            <w:shd w:val="clear" w:color="auto" w:fill="auto"/>
            <w:noWrap/>
            <w:vAlign w:val="center"/>
          </w:tcPr>
          <w:p w14:paraId="58D0DF99">
            <w:pPr>
              <w:pStyle w:val="84"/>
            </w:pPr>
            <w:r>
              <w:rPr>
                <w:rFonts w:hint="eastAsia"/>
              </w:rPr>
              <w:t>22</w:t>
            </w:r>
          </w:p>
        </w:tc>
        <w:tc>
          <w:tcPr>
            <w:tcW w:w="936" w:type="dxa"/>
            <w:shd w:val="clear" w:color="auto" w:fill="auto"/>
            <w:noWrap/>
            <w:vAlign w:val="center"/>
          </w:tcPr>
          <w:p w14:paraId="0E76CD17">
            <w:pPr>
              <w:pStyle w:val="84"/>
            </w:pPr>
            <w:r>
              <w:rPr>
                <w:rFonts w:hint="eastAsia"/>
              </w:rPr>
              <w:t>11.83</w:t>
            </w:r>
          </w:p>
        </w:tc>
      </w:tr>
      <w:tr w14:paraId="5A7D39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shd w:val="clear" w:color="auto" w:fill="auto"/>
            <w:noWrap/>
            <w:vAlign w:val="center"/>
          </w:tcPr>
          <w:p w14:paraId="5E3AF974">
            <w:pPr>
              <w:pStyle w:val="84"/>
              <w:rPr>
                <w:rFonts w:eastAsia="仿宋_GB2312"/>
                <w:kern w:val="0"/>
                <w:szCs w:val="21"/>
              </w:rPr>
            </w:pPr>
            <w:r>
              <w:rPr>
                <w:rFonts w:eastAsia="仿宋_GB2312"/>
                <w:kern w:val="0"/>
                <w:szCs w:val="21"/>
              </w:rPr>
              <w:t>7.1</w:t>
            </w:r>
          </w:p>
        </w:tc>
        <w:tc>
          <w:tcPr>
            <w:tcW w:w="6480" w:type="dxa"/>
            <w:shd w:val="clear" w:color="auto" w:fill="auto"/>
            <w:noWrap/>
            <w:vAlign w:val="center"/>
          </w:tcPr>
          <w:p w14:paraId="2D088FF6">
            <w:pPr>
              <w:pStyle w:val="84"/>
            </w:pPr>
            <w:r>
              <w:t>热带印度至华南（尤其云南南部）分布</w:t>
            </w:r>
          </w:p>
        </w:tc>
        <w:tc>
          <w:tcPr>
            <w:tcW w:w="840" w:type="dxa"/>
            <w:shd w:val="clear" w:color="auto" w:fill="auto"/>
            <w:noWrap/>
            <w:vAlign w:val="center"/>
          </w:tcPr>
          <w:p w14:paraId="09B09DBC">
            <w:pPr>
              <w:pStyle w:val="84"/>
            </w:pPr>
            <w:r>
              <w:rPr>
                <w:rFonts w:hint="eastAsia"/>
              </w:rPr>
              <w:t>2</w:t>
            </w:r>
          </w:p>
        </w:tc>
        <w:tc>
          <w:tcPr>
            <w:tcW w:w="936" w:type="dxa"/>
            <w:shd w:val="clear" w:color="auto" w:fill="auto"/>
            <w:noWrap/>
            <w:vAlign w:val="center"/>
          </w:tcPr>
          <w:p w14:paraId="72B9C570">
            <w:pPr>
              <w:pStyle w:val="84"/>
            </w:pPr>
            <w:r>
              <w:rPr>
                <w:rFonts w:hint="eastAsia"/>
              </w:rPr>
              <w:t>1.08</w:t>
            </w:r>
          </w:p>
        </w:tc>
      </w:tr>
      <w:tr w14:paraId="005D39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shd w:val="clear" w:color="auto" w:fill="auto"/>
            <w:noWrap/>
            <w:vAlign w:val="center"/>
          </w:tcPr>
          <w:p w14:paraId="11EB6C12">
            <w:pPr>
              <w:pStyle w:val="84"/>
              <w:rPr>
                <w:rFonts w:eastAsia="仿宋_GB2312"/>
                <w:kern w:val="0"/>
                <w:szCs w:val="21"/>
              </w:rPr>
            </w:pPr>
            <w:r>
              <w:rPr>
                <w:rFonts w:eastAsia="仿宋_GB2312"/>
                <w:kern w:val="0"/>
                <w:szCs w:val="21"/>
              </w:rPr>
              <w:t>7.2</w:t>
            </w:r>
          </w:p>
        </w:tc>
        <w:tc>
          <w:tcPr>
            <w:tcW w:w="6480" w:type="dxa"/>
            <w:shd w:val="clear" w:color="auto" w:fill="auto"/>
            <w:noWrap/>
            <w:vAlign w:val="center"/>
          </w:tcPr>
          <w:p w14:paraId="339E9E4E">
            <w:pPr>
              <w:pStyle w:val="84"/>
            </w:pPr>
            <w:r>
              <w:t>爪哇（或苏门答腊）、喜马拉雅间断或星散分布到华南、西南</w:t>
            </w:r>
            <w:r>
              <w:rPr>
                <w:rFonts w:hint="eastAsia"/>
              </w:rPr>
              <w:t>分布</w:t>
            </w:r>
          </w:p>
        </w:tc>
        <w:tc>
          <w:tcPr>
            <w:tcW w:w="840" w:type="dxa"/>
            <w:shd w:val="clear" w:color="auto" w:fill="auto"/>
            <w:noWrap/>
            <w:vAlign w:val="center"/>
          </w:tcPr>
          <w:p w14:paraId="598CA5EC">
            <w:pPr>
              <w:pStyle w:val="84"/>
            </w:pPr>
            <w:r>
              <w:rPr>
                <w:rFonts w:hint="eastAsia"/>
              </w:rPr>
              <w:t>1</w:t>
            </w:r>
          </w:p>
        </w:tc>
        <w:tc>
          <w:tcPr>
            <w:tcW w:w="936" w:type="dxa"/>
            <w:shd w:val="clear" w:color="auto" w:fill="auto"/>
            <w:noWrap/>
            <w:vAlign w:val="center"/>
          </w:tcPr>
          <w:p w14:paraId="36FBE1EE">
            <w:pPr>
              <w:pStyle w:val="84"/>
            </w:pPr>
            <w:r>
              <w:rPr>
                <w:rFonts w:hint="eastAsia"/>
              </w:rPr>
              <w:t>0.54</w:t>
            </w:r>
          </w:p>
        </w:tc>
      </w:tr>
      <w:tr w14:paraId="1E2599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shd w:val="clear" w:color="auto" w:fill="auto"/>
            <w:noWrap/>
            <w:vAlign w:val="center"/>
          </w:tcPr>
          <w:p w14:paraId="6948119E">
            <w:pPr>
              <w:pStyle w:val="84"/>
              <w:rPr>
                <w:rFonts w:eastAsia="仿宋_GB2312"/>
                <w:kern w:val="0"/>
                <w:szCs w:val="21"/>
              </w:rPr>
            </w:pPr>
            <w:r>
              <w:rPr>
                <w:rFonts w:hint="eastAsia" w:eastAsia="仿宋_GB2312"/>
                <w:kern w:val="0"/>
                <w:szCs w:val="21"/>
              </w:rPr>
              <w:t>7.3</w:t>
            </w:r>
          </w:p>
        </w:tc>
        <w:tc>
          <w:tcPr>
            <w:tcW w:w="6480" w:type="dxa"/>
            <w:shd w:val="clear" w:color="auto" w:fill="auto"/>
            <w:noWrap/>
            <w:vAlign w:val="center"/>
          </w:tcPr>
          <w:p w14:paraId="023511E6">
            <w:pPr>
              <w:pStyle w:val="84"/>
            </w:pPr>
            <w:r>
              <w:rPr>
                <w:rFonts w:hint="eastAsia"/>
              </w:rPr>
              <w:t>缅甸、泰国至华西南</w:t>
            </w:r>
          </w:p>
        </w:tc>
        <w:tc>
          <w:tcPr>
            <w:tcW w:w="840" w:type="dxa"/>
            <w:shd w:val="clear" w:color="auto" w:fill="auto"/>
            <w:noWrap/>
            <w:vAlign w:val="center"/>
          </w:tcPr>
          <w:p w14:paraId="0847A704">
            <w:pPr>
              <w:pStyle w:val="84"/>
            </w:pPr>
            <w:r>
              <w:rPr>
                <w:rFonts w:hint="eastAsia"/>
              </w:rPr>
              <w:t>1</w:t>
            </w:r>
          </w:p>
        </w:tc>
        <w:tc>
          <w:tcPr>
            <w:tcW w:w="936" w:type="dxa"/>
            <w:shd w:val="clear" w:color="auto" w:fill="auto"/>
            <w:noWrap/>
            <w:vAlign w:val="center"/>
          </w:tcPr>
          <w:p w14:paraId="138C7416">
            <w:pPr>
              <w:pStyle w:val="84"/>
            </w:pPr>
            <w:r>
              <w:rPr>
                <w:rFonts w:hint="eastAsia"/>
              </w:rPr>
              <w:t>0.54</w:t>
            </w:r>
          </w:p>
        </w:tc>
      </w:tr>
      <w:tr w14:paraId="5CC7EA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215" w:type="dxa"/>
            <w:gridSpan w:val="2"/>
            <w:shd w:val="clear" w:color="auto" w:fill="auto"/>
            <w:noWrap/>
            <w:vAlign w:val="center"/>
          </w:tcPr>
          <w:p w14:paraId="5CD27122">
            <w:pPr>
              <w:pStyle w:val="84"/>
            </w:pPr>
            <w:r>
              <w:t>热带分布(2-7.</w:t>
            </w:r>
            <w:r>
              <w:rPr>
                <w:rFonts w:hint="eastAsia"/>
              </w:rPr>
              <w:t>3</w:t>
            </w:r>
            <w:r>
              <w:t>)</w:t>
            </w:r>
          </w:p>
        </w:tc>
        <w:tc>
          <w:tcPr>
            <w:tcW w:w="840" w:type="dxa"/>
            <w:shd w:val="clear" w:color="auto" w:fill="auto"/>
            <w:noWrap/>
            <w:vAlign w:val="center"/>
          </w:tcPr>
          <w:p w14:paraId="691F7954">
            <w:pPr>
              <w:pStyle w:val="84"/>
            </w:pPr>
            <w:r>
              <w:rPr>
                <w:rFonts w:hint="eastAsia"/>
              </w:rPr>
              <w:t>124</w:t>
            </w:r>
          </w:p>
        </w:tc>
        <w:tc>
          <w:tcPr>
            <w:tcW w:w="936" w:type="dxa"/>
            <w:shd w:val="clear" w:color="auto" w:fill="auto"/>
            <w:noWrap/>
            <w:vAlign w:val="center"/>
          </w:tcPr>
          <w:p w14:paraId="43C91985">
            <w:pPr>
              <w:pStyle w:val="84"/>
            </w:pPr>
            <w:r>
              <w:rPr>
                <w:rFonts w:hint="eastAsia"/>
              </w:rPr>
              <w:t>66.67</w:t>
            </w:r>
          </w:p>
        </w:tc>
      </w:tr>
      <w:tr w14:paraId="083083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shd w:val="clear" w:color="auto" w:fill="auto"/>
            <w:noWrap/>
            <w:vAlign w:val="center"/>
          </w:tcPr>
          <w:p w14:paraId="45CE77B2">
            <w:pPr>
              <w:pStyle w:val="84"/>
              <w:rPr>
                <w:rFonts w:eastAsia="仿宋_GB2312"/>
                <w:kern w:val="0"/>
                <w:szCs w:val="21"/>
              </w:rPr>
            </w:pPr>
            <w:r>
              <w:rPr>
                <w:rFonts w:eastAsia="仿宋_GB2312"/>
                <w:kern w:val="0"/>
                <w:szCs w:val="21"/>
              </w:rPr>
              <w:t>8</w:t>
            </w:r>
          </w:p>
        </w:tc>
        <w:tc>
          <w:tcPr>
            <w:tcW w:w="6480" w:type="dxa"/>
            <w:shd w:val="clear" w:color="auto" w:fill="auto"/>
            <w:noWrap/>
            <w:vAlign w:val="center"/>
          </w:tcPr>
          <w:p w14:paraId="3511F7AF">
            <w:pPr>
              <w:pStyle w:val="84"/>
            </w:pPr>
            <w:r>
              <w:t>北温带分布</w:t>
            </w:r>
          </w:p>
        </w:tc>
        <w:tc>
          <w:tcPr>
            <w:tcW w:w="840" w:type="dxa"/>
            <w:shd w:val="clear" w:color="auto" w:fill="auto"/>
            <w:noWrap/>
            <w:vAlign w:val="center"/>
          </w:tcPr>
          <w:p w14:paraId="3A518012">
            <w:pPr>
              <w:pStyle w:val="84"/>
            </w:pPr>
            <w:r>
              <w:rPr>
                <w:rFonts w:hint="eastAsia"/>
              </w:rPr>
              <w:t>22</w:t>
            </w:r>
          </w:p>
        </w:tc>
        <w:tc>
          <w:tcPr>
            <w:tcW w:w="936" w:type="dxa"/>
            <w:shd w:val="clear" w:color="auto" w:fill="auto"/>
            <w:noWrap/>
            <w:vAlign w:val="center"/>
          </w:tcPr>
          <w:p w14:paraId="6DA84540">
            <w:pPr>
              <w:pStyle w:val="84"/>
            </w:pPr>
            <w:r>
              <w:rPr>
                <w:rFonts w:hint="eastAsia"/>
              </w:rPr>
              <w:t>11.83</w:t>
            </w:r>
          </w:p>
        </w:tc>
      </w:tr>
      <w:tr w14:paraId="2684B9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shd w:val="clear" w:color="auto" w:fill="auto"/>
            <w:noWrap/>
            <w:vAlign w:val="center"/>
          </w:tcPr>
          <w:p w14:paraId="0B04C9BF">
            <w:pPr>
              <w:pStyle w:val="84"/>
              <w:rPr>
                <w:rFonts w:eastAsia="仿宋_GB2312"/>
                <w:kern w:val="0"/>
                <w:szCs w:val="21"/>
              </w:rPr>
            </w:pPr>
            <w:r>
              <w:rPr>
                <w:rFonts w:eastAsia="仿宋_GB2312"/>
                <w:kern w:val="0"/>
                <w:szCs w:val="21"/>
              </w:rPr>
              <w:t>8.4</w:t>
            </w:r>
          </w:p>
        </w:tc>
        <w:tc>
          <w:tcPr>
            <w:tcW w:w="6480" w:type="dxa"/>
            <w:shd w:val="clear" w:color="auto" w:fill="auto"/>
            <w:noWrap/>
            <w:vAlign w:val="center"/>
          </w:tcPr>
          <w:p w14:paraId="5AE6535F">
            <w:pPr>
              <w:pStyle w:val="84"/>
            </w:pPr>
            <w:r>
              <w:t>北温带和南温带间断分布“全温带”</w:t>
            </w:r>
          </w:p>
        </w:tc>
        <w:tc>
          <w:tcPr>
            <w:tcW w:w="840" w:type="dxa"/>
            <w:shd w:val="clear" w:color="auto" w:fill="auto"/>
            <w:noWrap/>
            <w:vAlign w:val="center"/>
          </w:tcPr>
          <w:p w14:paraId="00661C27">
            <w:pPr>
              <w:pStyle w:val="84"/>
            </w:pPr>
            <w:r>
              <w:rPr>
                <w:rFonts w:hint="eastAsia"/>
              </w:rPr>
              <w:t>6</w:t>
            </w:r>
          </w:p>
        </w:tc>
        <w:tc>
          <w:tcPr>
            <w:tcW w:w="936" w:type="dxa"/>
            <w:shd w:val="clear" w:color="auto" w:fill="auto"/>
            <w:noWrap/>
            <w:vAlign w:val="center"/>
          </w:tcPr>
          <w:p w14:paraId="31B31992">
            <w:pPr>
              <w:pStyle w:val="84"/>
            </w:pPr>
            <w:r>
              <w:rPr>
                <w:rFonts w:hint="eastAsia"/>
              </w:rPr>
              <w:t>3.23</w:t>
            </w:r>
          </w:p>
        </w:tc>
      </w:tr>
      <w:tr w14:paraId="2C4A30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shd w:val="clear" w:color="auto" w:fill="auto"/>
            <w:noWrap/>
            <w:vAlign w:val="center"/>
          </w:tcPr>
          <w:p w14:paraId="68405817">
            <w:pPr>
              <w:pStyle w:val="84"/>
              <w:rPr>
                <w:rFonts w:eastAsia="仿宋_GB2312"/>
                <w:kern w:val="0"/>
                <w:szCs w:val="21"/>
              </w:rPr>
            </w:pPr>
            <w:r>
              <w:rPr>
                <w:rFonts w:hint="eastAsia" w:eastAsia="仿宋_GB2312"/>
                <w:kern w:val="0"/>
                <w:szCs w:val="21"/>
              </w:rPr>
              <w:t>8.6</w:t>
            </w:r>
          </w:p>
        </w:tc>
        <w:tc>
          <w:tcPr>
            <w:tcW w:w="6480" w:type="dxa"/>
            <w:shd w:val="clear" w:color="auto" w:fill="auto"/>
            <w:noWrap/>
            <w:vAlign w:val="center"/>
          </w:tcPr>
          <w:p w14:paraId="21390317">
            <w:pPr>
              <w:pStyle w:val="84"/>
            </w:pPr>
            <w:r>
              <w:rPr>
                <w:rFonts w:hint="eastAsia"/>
              </w:rPr>
              <w:t>地中海区、东亚、新西兰和墨西哥到智利间断</w:t>
            </w:r>
          </w:p>
        </w:tc>
        <w:tc>
          <w:tcPr>
            <w:tcW w:w="840" w:type="dxa"/>
            <w:shd w:val="clear" w:color="auto" w:fill="auto"/>
            <w:noWrap/>
            <w:vAlign w:val="center"/>
          </w:tcPr>
          <w:p w14:paraId="57F6480D">
            <w:pPr>
              <w:pStyle w:val="84"/>
            </w:pPr>
            <w:r>
              <w:rPr>
                <w:rFonts w:hint="eastAsia"/>
              </w:rPr>
              <w:t>1</w:t>
            </w:r>
          </w:p>
        </w:tc>
        <w:tc>
          <w:tcPr>
            <w:tcW w:w="936" w:type="dxa"/>
            <w:shd w:val="clear" w:color="auto" w:fill="auto"/>
            <w:noWrap/>
            <w:vAlign w:val="center"/>
          </w:tcPr>
          <w:p w14:paraId="3A7F3FD0">
            <w:pPr>
              <w:pStyle w:val="84"/>
            </w:pPr>
            <w:r>
              <w:rPr>
                <w:rFonts w:hint="eastAsia"/>
              </w:rPr>
              <w:t>0.54</w:t>
            </w:r>
          </w:p>
        </w:tc>
      </w:tr>
      <w:tr w14:paraId="0CD09E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shd w:val="clear" w:color="auto" w:fill="auto"/>
            <w:noWrap/>
            <w:vAlign w:val="center"/>
          </w:tcPr>
          <w:p w14:paraId="0D61A1F2">
            <w:pPr>
              <w:pStyle w:val="84"/>
              <w:rPr>
                <w:rFonts w:eastAsia="仿宋_GB2312"/>
                <w:kern w:val="0"/>
                <w:szCs w:val="21"/>
              </w:rPr>
            </w:pPr>
            <w:r>
              <w:rPr>
                <w:rFonts w:eastAsia="仿宋_GB2312"/>
                <w:kern w:val="0"/>
                <w:szCs w:val="21"/>
              </w:rPr>
              <w:t>9</w:t>
            </w:r>
          </w:p>
        </w:tc>
        <w:tc>
          <w:tcPr>
            <w:tcW w:w="6480" w:type="dxa"/>
            <w:shd w:val="clear" w:color="auto" w:fill="auto"/>
            <w:noWrap/>
            <w:vAlign w:val="center"/>
          </w:tcPr>
          <w:p w14:paraId="39F7AAFE">
            <w:pPr>
              <w:pStyle w:val="84"/>
            </w:pPr>
            <w:r>
              <w:t>东亚和北美洲间断分布</w:t>
            </w:r>
          </w:p>
        </w:tc>
        <w:tc>
          <w:tcPr>
            <w:tcW w:w="840" w:type="dxa"/>
            <w:shd w:val="clear" w:color="auto" w:fill="auto"/>
            <w:noWrap/>
            <w:vAlign w:val="center"/>
          </w:tcPr>
          <w:p w14:paraId="319FB859">
            <w:pPr>
              <w:pStyle w:val="84"/>
            </w:pPr>
            <w:r>
              <w:rPr>
                <w:rFonts w:hint="eastAsia"/>
              </w:rPr>
              <w:t>12</w:t>
            </w:r>
          </w:p>
        </w:tc>
        <w:tc>
          <w:tcPr>
            <w:tcW w:w="936" w:type="dxa"/>
            <w:shd w:val="clear" w:color="auto" w:fill="auto"/>
            <w:noWrap/>
            <w:vAlign w:val="center"/>
          </w:tcPr>
          <w:p w14:paraId="31775FAD">
            <w:pPr>
              <w:pStyle w:val="84"/>
            </w:pPr>
            <w:r>
              <w:rPr>
                <w:rFonts w:hint="eastAsia"/>
              </w:rPr>
              <w:t>6.45</w:t>
            </w:r>
          </w:p>
        </w:tc>
      </w:tr>
      <w:tr w14:paraId="2ED791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shd w:val="clear" w:color="auto" w:fill="auto"/>
            <w:noWrap/>
            <w:vAlign w:val="center"/>
          </w:tcPr>
          <w:p w14:paraId="31C6FCE5">
            <w:pPr>
              <w:pStyle w:val="84"/>
              <w:rPr>
                <w:rFonts w:eastAsia="仿宋_GB2312"/>
                <w:kern w:val="0"/>
                <w:szCs w:val="21"/>
              </w:rPr>
            </w:pPr>
            <w:r>
              <w:rPr>
                <w:rFonts w:eastAsia="仿宋_GB2312"/>
                <w:kern w:val="0"/>
                <w:szCs w:val="21"/>
              </w:rPr>
              <w:t>10</w:t>
            </w:r>
          </w:p>
        </w:tc>
        <w:tc>
          <w:tcPr>
            <w:tcW w:w="6480" w:type="dxa"/>
            <w:shd w:val="clear" w:color="auto" w:fill="auto"/>
            <w:noWrap/>
            <w:vAlign w:val="center"/>
          </w:tcPr>
          <w:p w14:paraId="7CA96C87">
            <w:pPr>
              <w:pStyle w:val="84"/>
            </w:pPr>
            <w:r>
              <w:t>旧世界温带分布</w:t>
            </w:r>
          </w:p>
        </w:tc>
        <w:tc>
          <w:tcPr>
            <w:tcW w:w="840" w:type="dxa"/>
            <w:shd w:val="clear" w:color="auto" w:fill="auto"/>
            <w:noWrap/>
            <w:vAlign w:val="center"/>
          </w:tcPr>
          <w:p w14:paraId="3AA6A22E">
            <w:pPr>
              <w:pStyle w:val="84"/>
            </w:pPr>
            <w:r>
              <w:rPr>
                <w:rFonts w:hint="eastAsia"/>
              </w:rPr>
              <w:t>7</w:t>
            </w:r>
          </w:p>
        </w:tc>
        <w:tc>
          <w:tcPr>
            <w:tcW w:w="936" w:type="dxa"/>
            <w:shd w:val="clear" w:color="auto" w:fill="auto"/>
            <w:noWrap/>
            <w:vAlign w:val="center"/>
          </w:tcPr>
          <w:p w14:paraId="357FC0D8">
            <w:pPr>
              <w:pStyle w:val="84"/>
            </w:pPr>
            <w:r>
              <w:rPr>
                <w:rFonts w:hint="eastAsia"/>
              </w:rPr>
              <w:t>3.76</w:t>
            </w:r>
          </w:p>
        </w:tc>
      </w:tr>
      <w:tr w14:paraId="63A8EA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shd w:val="clear" w:color="auto" w:fill="auto"/>
            <w:noWrap/>
            <w:vAlign w:val="center"/>
          </w:tcPr>
          <w:p w14:paraId="79627902">
            <w:pPr>
              <w:pStyle w:val="84"/>
              <w:rPr>
                <w:rFonts w:eastAsia="仿宋_GB2312"/>
                <w:kern w:val="0"/>
                <w:szCs w:val="21"/>
              </w:rPr>
            </w:pPr>
            <w:r>
              <w:rPr>
                <w:rFonts w:hint="eastAsia" w:eastAsia="仿宋_GB2312"/>
                <w:kern w:val="0"/>
                <w:szCs w:val="21"/>
              </w:rPr>
              <w:t>10.1</w:t>
            </w:r>
          </w:p>
        </w:tc>
        <w:tc>
          <w:tcPr>
            <w:tcW w:w="6480" w:type="dxa"/>
            <w:shd w:val="clear" w:color="auto" w:fill="auto"/>
            <w:noWrap/>
            <w:vAlign w:val="center"/>
          </w:tcPr>
          <w:p w14:paraId="3C0E33C8">
            <w:pPr>
              <w:pStyle w:val="84"/>
            </w:pPr>
            <w:r>
              <w:rPr>
                <w:rFonts w:hint="eastAsia"/>
              </w:rPr>
              <w:t>地中海区、西亚和东亚间断</w:t>
            </w:r>
          </w:p>
        </w:tc>
        <w:tc>
          <w:tcPr>
            <w:tcW w:w="840" w:type="dxa"/>
            <w:shd w:val="clear" w:color="auto" w:fill="auto"/>
            <w:noWrap/>
            <w:vAlign w:val="center"/>
          </w:tcPr>
          <w:p w14:paraId="1DE0E7D4">
            <w:pPr>
              <w:pStyle w:val="84"/>
            </w:pPr>
            <w:r>
              <w:rPr>
                <w:rFonts w:hint="eastAsia"/>
              </w:rPr>
              <w:t>2</w:t>
            </w:r>
          </w:p>
        </w:tc>
        <w:tc>
          <w:tcPr>
            <w:tcW w:w="936" w:type="dxa"/>
            <w:shd w:val="clear" w:color="auto" w:fill="auto"/>
            <w:noWrap/>
            <w:vAlign w:val="center"/>
          </w:tcPr>
          <w:p w14:paraId="35DF673F">
            <w:pPr>
              <w:pStyle w:val="84"/>
            </w:pPr>
            <w:r>
              <w:rPr>
                <w:rFonts w:hint="eastAsia"/>
              </w:rPr>
              <w:t>1.08</w:t>
            </w:r>
          </w:p>
        </w:tc>
      </w:tr>
      <w:tr w14:paraId="340328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shd w:val="clear" w:color="auto" w:fill="auto"/>
            <w:noWrap/>
            <w:vAlign w:val="center"/>
          </w:tcPr>
          <w:p w14:paraId="10313ACE">
            <w:pPr>
              <w:pStyle w:val="84"/>
              <w:rPr>
                <w:rFonts w:eastAsia="仿宋_GB2312"/>
                <w:kern w:val="0"/>
                <w:szCs w:val="21"/>
              </w:rPr>
            </w:pPr>
            <w:r>
              <w:rPr>
                <w:rFonts w:hint="eastAsia" w:eastAsia="仿宋_GB2312"/>
                <w:kern w:val="0"/>
                <w:szCs w:val="21"/>
              </w:rPr>
              <w:t>11</w:t>
            </w:r>
          </w:p>
        </w:tc>
        <w:tc>
          <w:tcPr>
            <w:tcW w:w="6480" w:type="dxa"/>
            <w:shd w:val="clear" w:color="auto" w:fill="auto"/>
            <w:noWrap/>
            <w:vAlign w:val="center"/>
          </w:tcPr>
          <w:p w14:paraId="39053E4B">
            <w:pPr>
              <w:pStyle w:val="84"/>
            </w:pPr>
            <w:r>
              <w:rPr>
                <w:rFonts w:hint="eastAsia"/>
              </w:rPr>
              <w:t>温带亚洲分布</w:t>
            </w:r>
          </w:p>
        </w:tc>
        <w:tc>
          <w:tcPr>
            <w:tcW w:w="840" w:type="dxa"/>
            <w:shd w:val="clear" w:color="auto" w:fill="auto"/>
            <w:noWrap/>
            <w:vAlign w:val="center"/>
          </w:tcPr>
          <w:p w14:paraId="410440BF">
            <w:pPr>
              <w:pStyle w:val="84"/>
            </w:pPr>
            <w:r>
              <w:rPr>
                <w:rFonts w:hint="eastAsia"/>
              </w:rPr>
              <w:t>1</w:t>
            </w:r>
          </w:p>
        </w:tc>
        <w:tc>
          <w:tcPr>
            <w:tcW w:w="936" w:type="dxa"/>
            <w:shd w:val="clear" w:color="auto" w:fill="auto"/>
            <w:noWrap/>
            <w:vAlign w:val="center"/>
          </w:tcPr>
          <w:p w14:paraId="1D477602">
            <w:pPr>
              <w:pStyle w:val="84"/>
            </w:pPr>
            <w:r>
              <w:rPr>
                <w:rFonts w:hint="eastAsia"/>
              </w:rPr>
              <w:t>0.54</w:t>
            </w:r>
          </w:p>
        </w:tc>
      </w:tr>
      <w:tr w14:paraId="565243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shd w:val="clear" w:color="auto" w:fill="auto"/>
            <w:noWrap/>
            <w:vAlign w:val="center"/>
          </w:tcPr>
          <w:p w14:paraId="17898671">
            <w:pPr>
              <w:pStyle w:val="84"/>
              <w:rPr>
                <w:rFonts w:eastAsia="仿宋_GB2312"/>
                <w:kern w:val="0"/>
                <w:szCs w:val="21"/>
              </w:rPr>
            </w:pPr>
            <w:r>
              <w:rPr>
                <w:rFonts w:hint="eastAsia" w:eastAsia="仿宋_GB2312"/>
                <w:kern w:val="0"/>
                <w:szCs w:val="21"/>
              </w:rPr>
              <w:t>12.3</w:t>
            </w:r>
          </w:p>
        </w:tc>
        <w:tc>
          <w:tcPr>
            <w:tcW w:w="6480" w:type="dxa"/>
            <w:shd w:val="clear" w:color="auto" w:fill="auto"/>
            <w:noWrap/>
            <w:vAlign w:val="center"/>
          </w:tcPr>
          <w:p w14:paraId="07927964">
            <w:pPr>
              <w:pStyle w:val="84"/>
            </w:pPr>
            <w:r>
              <w:rPr>
                <w:rFonts w:hint="eastAsia"/>
              </w:rPr>
              <w:t>地中海区至温带、热带亚洲、大洋洲和南美洲间断</w:t>
            </w:r>
          </w:p>
        </w:tc>
        <w:tc>
          <w:tcPr>
            <w:tcW w:w="840" w:type="dxa"/>
            <w:shd w:val="clear" w:color="auto" w:fill="auto"/>
            <w:noWrap/>
            <w:vAlign w:val="center"/>
          </w:tcPr>
          <w:p w14:paraId="6E6F4133">
            <w:pPr>
              <w:pStyle w:val="84"/>
            </w:pPr>
            <w:r>
              <w:rPr>
                <w:rFonts w:hint="eastAsia"/>
              </w:rPr>
              <w:t>1</w:t>
            </w:r>
          </w:p>
        </w:tc>
        <w:tc>
          <w:tcPr>
            <w:tcW w:w="936" w:type="dxa"/>
            <w:shd w:val="clear" w:color="auto" w:fill="auto"/>
            <w:noWrap/>
            <w:vAlign w:val="center"/>
          </w:tcPr>
          <w:p w14:paraId="181C1D61">
            <w:pPr>
              <w:pStyle w:val="84"/>
            </w:pPr>
            <w:r>
              <w:rPr>
                <w:rFonts w:hint="eastAsia"/>
              </w:rPr>
              <w:t>0.54</w:t>
            </w:r>
          </w:p>
        </w:tc>
      </w:tr>
      <w:tr w14:paraId="161674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shd w:val="clear" w:color="auto" w:fill="auto"/>
            <w:noWrap/>
            <w:vAlign w:val="center"/>
          </w:tcPr>
          <w:p w14:paraId="5E8EADE9">
            <w:pPr>
              <w:pStyle w:val="84"/>
              <w:rPr>
                <w:rFonts w:eastAsia="仿宋_GB2312"/>
                <w:kern w:val="0"/>
                <w:szCs w:val="21"/>
              </w:rPr>
            </w:pPr>
            <w:r>
              <w:rPr>
                <w:rFonts w:eastAsia="仿宋_GB2312"/>
                <w:kern w:val="0"/>
                <w:szCs w:val="21"/>
              </w:rPr>
              <w:t>14</w:t>
            </w:r>
          </w:p>
        </w:tc>
        <w:tc>
          <w:tcPr>
            <w:tcW w:w="6480" w:type="dxa"/>
            <w:shd w:val="clear" w:color="auto" w:fill="auto"/>
            <w:noWrap/>
            <w:vAlign w:val="center"/>
          </w:tcPr>
          <w:p w14:paraId="62E67936">
            <w:pPr>
              <w:pStyle w:val="84"/>
            </w:pPr>
            <w:r>
              <w:t>东亚分布</w:t>
            </w:r>
          </w:p>
        </w:tc>
        <w:tc>
          <w:tcPr>
            <w:tcW w:w="840" w:type="dxa"/>
            <w:shd w:val="clear" w:color="auto" w:fill="auto"/>
            <w:noWrap/>
            <w:vAlign w:val="center"/>
          </w:tcPr>
          <w:p w14:paraId="52529FC7">
            <w:pPr>
              <w:pStyle w:val="84"/>
            </w:pPr>
            <w:r>
              <w:rPr>
                <w:rFonts w:hint="eastAsia"/>
              </w:rPr>
              <w:t>6</w:t>
            </w:r>
          </w:p>
        </w:tc>
        <w:tc>
          <w:tcPr>
            <w:tcW w:w="936" w:type="dxa"/>
            <w:shd w:val="clear" w:color="auto" w:fill="auto"/>
            <w:noWrap/>
            <w:vAlign w:val="center"/>
          </w:tcPr>
          <w:p w14:paraId="2EA5F880">
            <w:pPr>
              <w:pStyle w:val="84"/>
            </w:pPr>
            <w:r>
              <w:rPr>
                <w:rFonts w:hint="eastAsia"/>
              </w:rPr>
              <w:t>3.23</w:t>
            </w:r>
          </w:p>
        </w:tc>
      </w:tr>
      <w:tr w14:paraId="681FAB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shd w:val="clear" w:color="auto" w:fill="auto"/>
            <w:noWrap/>
            <w:vAlign w:val="center"/>
          </w:tcPr>
          <w:p w14:paraId="0BEE8904">
            <w:pPr>
              <w:pStyle w:val="84"/>
              <w:rPr>
                <w:rFonts w:eastAsia="仿宋_GB2312"/>
                <w:kern w:val="0"/>
                <w:szCs w:val="21"/>
              </w:rPr>
            </w:pPr>
            <w:r>
              <w:rPr>
                <w:rFonts w:hint="eastAsia" w:eastAsia="仿宋_GB2312"/>
                <w:kern w:val="0"/>
                <w:szCs w:val="21"/>
              </w:rPr>
              <w:t>14.2</w:t>
            </w:r>
          </w:p>
        </w:tc>
        <w:tc>
          <w:tcPr>
            <w:tcW w:w="6480" w:type="dxa"/>
            <w:shd w:val="clear" w:color="auto" w:fill="auto"/>
            <w:noWrap/>
            <w:vAlign w:val="center"/>
          </w:tcPr>
          <w:p w14:paraId="6A462947">
            <w:pPr>
              <w:pStyle w:val="84"/>
            </w:pPr>
            <w:r>
              <w:rPr>
                <w:rFonts w:hint="eastAsia"/>
              </w:rPr>
              <w:t>中国-日本分布</w:t>
            </w:r>
          </w:p>
        </w:tc>
        <w:tc>
          <w:tcPr>
            <w:tcW w:w="840" w:type="dxa"/>
            <w:shd w:val="clear" w:color="auto" w:fill="auto"/>
            <w:noWrap/>
            <w:vAlign w:val="center"/>
          </w:tcPr>
          <w:p w14:paraId="10CF48F1">
            <w:pPr>
              <w:pStyle w:val="84"/>
            </w:pPr>
            <w:r>
              <w:rPr>
                <w:rFonts w:hint="eastAsia"/>
              </w:rPr>
              <w:t>2</w:t>
            </w:r>
          </w:p>
        </w:tc>
        <w:tc>
          <w:tcPr>
            <w:tcW w:w="936" w:type="dxa"/>
            <w:shd w:val="clear" w:color="auto" w:fill="auto"/>
            <w:noWrap/>
            <w:vAlign w:val="center"/>
          </w:tcPr>
          <w:p w14:paraId="3D1219C6">
            <w:pPr>
              <w:pStyle w:val="84"/>
            </w:pPr>
            <w:r>
              <w:rPr>
                <w:rFonts w:hint="eastAsia"/>
              </w:rPr>
              <w:t>1.08</w:t>
            </w:r>
          </w:p>
        </w:tc>
      </w:tr>
      <w:tr w14:paraId="24BEC9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215" w:type="dxa"/>
            <w:gridSpan w:val="2"/>
            <w:shd w:val="clear" w:color="auto" w:fill="auto"/>
            <w:noWrap/>
            <w:vAlign w:val="center"/>
          </w:tcPr>
          <w:p w14:paraId="287FC6A4">
            <w:pPr>
              <w:pStyle w:val="84"/>
            </w:pPr>
            <w:r>
              <w:t>温带分布(8-14.1)</w:t>
            </w:r>
          </w:p>
        </w:tc>
        <w:tc>
          <w:tcPr>
            <w:tcW w:w="840" w:type="dxa"/>
            <w:shd w:val="clear" w:color="auto" w:fill="auto"/>
            <w:noWrap/>
            <w:vAlign w:val="center"/>
          </w:tcPr>
          <w:p w14:paraId="40AFC6BB">
            <w:pPr>
              <w:pStyle w:val="84"/>
            </w:pPr>
            <w:r>
              <w:rPr>
                <w:rFonts w:hint="eastAsia"/>
              </w:rPr>
              <w:t>60</w:t>
            </w:r>
          </w:p>
        </w:tc>
        <w:tc>
          <w:tcPr>
            <w:tcW w:w="936" w:type="dxa"/>
            <w:shd w:val="clear" w:color="auto" w:fill="auto"/>
            <w:noWrap/>
            <w:vAlign w:val="center"/>
          </w:tcPr>
          <w:p w14:paraId="6A91BD3B">
            <w:pPr>
              <w:pStyle w:val="84"/>
            </w:pPr>
            <w:r>
              <w:rPr>
                <w:rFonts w:hint="eastAsia"/>
              </w:rPr>
              <w:t>32.26</w:t>
            </w:r>
          </w:p>
        </w:tc>
      </w:tr>
      <w:tr w14:paraId="688FFC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shd w:val="clear" w:color="auto" w:fill="auto"/>
            <w:noWrap/>
            <w:vAlign w:val="center"/>
          </w:tcPr>
          <w:p w14:paraId="53ABE629">
            <w:pPr>
              <w:pStyle w:val="84"/>
              <w:rPr>
                <w:rFonts w:eastAsia="仿宋_GB2312"/>
                <w:kern w:val="0"/>
                <w:szCs w:val="21"/>
              </w:rPr>
            </w:pPr>
            <w:r>
              <w:rPr>
                <w:rFonts w:hint="eastAsia" w:eastAsia="仿宋_GB2312"/>
                <w:kern w:val="0"/>
                <w:szCs w:val="21"/>
              </w:rPr>
              <w:t>15</w:t>
            </w:r>
          </w:p>
        </w:tc>
        <w:tc>
          <w:tcPr>
            <w:tcW w:w="6480" w:type="dxa"/>
            <w:shd w:val="clear" w:color="auto" w:fill="auto"/>
            <w:noWrap/>
            <w:vAlign w:val="center"/>
          </w:tcPr>
          <w:p w14:paraId="389CF29F">
            <w:pPr>
              <w:pStyle w:val="84"/>
            </w:pPr>
            <w:r>
              <w:rPr>
                <w:rFonts w:hint="eastAsia"/>
              </w:rPr>
              <w:t>中国特有属分布</w:t>
            </w:r>
          </w:p>
        </w:tc>
        <w:tc>
          <w:tcPr>
            <w:tcW w:w="840" w:type="dxa"/>
            <w:shd w:val="clear" w:color="auto" w:fill="auto"/>
            <w:noWrap/>
            <w:vAlign w:val="center"/>
          </w:tcPr>
          <w:p w14:paraId="74ED7392">
            <w:pPr>
              <w:pStyle w:val="84"/>
            </w:pPr>
            <w:r>
              <w:rPr>
                <w:rFonts w:hint="eastAsia"/>
              </w:rPr>
              <w:t>2</w:t>
            </w:r>
          </w:p>
        </w:tc>
        <w:tc>
          <w:tcPr>
            <w:tcW w:w="936" w:type="dxa"/>
            <w:shd w:val="clear" w:color="auto" w:fill="auto"/>
            <w:noWrap/>
            <w:vAlign w:val="center"/>
          </w:tcPr>
          <w:p w14:paraId="16548142">
            <w:pPr>
              <w:pStyle w:val="84"/>
            </w:pPr>
            <w:r>
              <w:rPr>
                <w:rFonts w:hint="eastAsia"/>
              </w:rPr>
              <w:t>1.08</w:t>
            </w:r>
          </w:p>
        </w:tc>
      </w:tr>
      <w:tr w14:paraId="3148A5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215" w:type="dxa"/>
            <w:gridSpan w:val="2"/>
            <w:shd w:val="clear" w:color="auto" w:fill="auto"/>
            <w:noWrap/>
            <w:vAlign w:val="center"/>
          </w:tcPr>
          <w:p w14:paraId="2C8158E6">
            <w:pPr>
              <w:pStyle w:val="84"/>
            </w:pPr>
            <w:r>
              <w:t>总计</w:t>
            </w:r>
          </w:p>
        </w:tc>
        <w:tc>
          <w:tcPr>
            <w:tcW w:w="840" w:type="dxa"/>
            <w:shd w:val="clear" w:color="auto" w:fill="auto"/>
            <w:noWrap/>
            <w:vAlign w:val="center"/>
          </w:tcPr>
          <w:p w14:paraId="4526ED2E">
            <w:pPr>
              <w:pStyle w:val="84"/>
            </w:pPr>
            <w:r>
              <w:rPr>
                <w:rFonts w:hint="eastAsia"/>
              </w:rPr>
              <w:t>214</w:t>
            </w:r>
          </w:p>
        </w:tc>
        <w:tc>
          <w:tcPr>
            <w:tcW w:w="936" w:type="dxa"/>
            <w:shd w:val="clear" w:color="auto" w:fill="auto"/>
            <w:noWrap/>
            <w:vAlign w:val="center"/>
          </w:tcPr>
          <w:p w14:paraId="246CF457">
            <w:pPr>
              <w:pStyle w:val="84"/>
            </w:pPr>
            <w:r>
              <w:t>100.00</w:t>
            </w:r>
          </w:p>
        </w:tc>
      </w:tr>
    </w:tbl>
    <w:p w14:paraId="3CE3FB06">
      <w:pPr>
        <w:spacing w:before="240"/>
        <w:ind w:firstLine="480"/>
      </w:pPr>
      <w:r>
        <w:rPr>
          <w:rFonts w:hint="eastAsia"/>
          <w:szCs w:val="24"/>
        </w:rPr>
        <w:t>在评价区214个属中，泛热带属为46属所有类型及变型中占比例最高，达24.73%；其次是热带亚洲分布和被温带分布，均为22属，占总属数的11.83%。</w:t>
      </w:r>
      <w:r>
        <w:t>通常，在热带东南亚地区，泛热带分布的属多数是热带地区次生性质的属，它们多数分布在旷野、林缘等次生环境中。而热带亚洲分布的属主要是该区域中自然植被，尤其是原生森林中的成分。评价区泛热带属的数量明显高于热带亚洲属，表明该区域的植物构成中原生物种数量下降，次生物种的种类增多，本区的植物区系具有明显的次生性质。</w:t>
      </w:r>
    </w:p>
    <w:p w14:paraId="590BD2AE">
      <w:pPr>
        <w:ind w:firstLine="482"/>
        <w:rPr>
          <w:b/>
        </w:rPr>
      </w:pPr>
      <w:r>
        <w:rPr>
          <w:rFonts w:hint="eastAsia"/>
          <w:b/>
        </w:rPr>
        <w:t>4、</w:t>
      </w:r>
      <w:r>
        <w:rPr>
          <w:b/>
        </w:rPr>
        <w:t>珍稀濒危植物与特有物种</w:t>
      </w:r>
    </w:p>
    <w:p w14:paraId="412D7C82">
      <w:pPr>
        <w:ind w:firstLine="480"/>
      </w:pPr>
      <w:r>
        <w:t>根据相关资料记录和野外考察结果，评价区</w:t>
      </w:r>
      <w:r>
        <w:rPr>
          <w:rFonts w:hint="eastAsia"/>
        </w:rPr>
        <w:t>未发现</w:t>
      </w:r>
      <w:r>
        <w:t>有《国家重点保护野生植物名录》(第一批，1999)记载</w:t>
      </w:r>
      <w:r>
        <w:rPr>
          <w:rFonts w:hint="eastAsia"/>
        </w:rPr>
        <w:t>的保护植物，仅有2种中国特有属植物，分别是慈竹</w:t>
      </w:r>
      <w:r>
        <w:rPr>
          <w:i/>
        </w:rPr>
        <w:t>Neosinocalamus affinis</w:t>
      </w:r>
      <w:r>
        <w:rPr>
          <w:rFonts w:hint="eastAsia"/>
        </w:rPr>
        <w:t>和盾果草</w:t>
      </w:r>
      <w:r>
        <w:rPr>
          <w:i/>
        </w:rPr>
        <w:t>Thyrocarpus sampsonii Hance</w:t>
      </w:r>
      <w:r>
        <w:rPr>
          <w:rFonts w:hint="eastAsia"/>
        </w:rPr>
        <w:t>。</w:t>
      </w:r>
    </w:p>
    <w:p w14:paraId="541576FE">
      <w:pPr>
        <w:tabs>
          <w:tab w:val="left" w:pos="4395"/>
        </w:tabs>
        <w:ind w:firstLine="482"/>
        <w:rPr>
          <w:b/>
        </w:rPr>
      </w:pPr>
      <w:r>
        <w:rPr>
          <w:rFonts w:hint="eastAsia"/>
          <w:b/>
        </w:rPr>
        <w:t>5、</w:t>
      </w:r>
      <w:r>
        <w:rPr>
          <w:b/>
        </w:rPr>
        <w:t>名木古树</w:t>
      </w:r>
    </w:p>
    <w:p w14:paraId="4A84A3C1">
      <w:pPr>
        <w:ind w:firstLine="480"/>
      </w:pPr>
      <w:r>
        <w:t>全国绿化委员会2001年制定了《全国古树名木普查建档技术规定》，对古树名木进行了界定：古树指树龄在100年以上的树木；名木指在历史上或社会上有重大影响的中外历代名人、领袖人物所植或者具有极其重要的历史、文化价值、纪念意义的树木。调查表明，</w:t>
      </w:r>
      <w:r>
        <w:rPr>
          <w:rFonts w:hint="eastAsia"/>
        </w:rPr>
        <w:t>评价区内未发现有“名木”分布。</w:t>
      </w:r>
    </w:p>
    <w:p w14:paraId="65DBF4B3">
      <w:pPr>
        <w:ind w:firstLine="482"/>
        <w:rPr>
          <w:b/>
        </w:rPr>
      </w:pPr>
      <w:r>
        <w:rPr>
          <w:rFonts w:hint="eastAsia"/>
          <w:b/>
        </w:rPr>
        <w:t>6、</w:t>
      </w:r>
      <w:r>
        <w:rPr>
          <w:b/>
        </w:rPr>
        <w:t>外来入侵物种</w:t>
      </w:r>
    </w:p>
    <w:p w14:paraId="55191D5A">
      <w:pPr>
        <w:ind w:firstLine="480"/>
      </w:pPr>
      <w:r>
        <w:t>经鉴定，评价内外来入侵植物有紫茎泽兰</w:t>
      </w:r>
      <w:r>
        <w:rPr>
          <w:i/>
        </w:rPr>
        <w:t>Ageratina adenophor</w:t>
      </w:r>
      <w:r>
        <w:t>，薇甘菊</w:t>
      </w:r>
      <w:r>
        <w:rPr>
          <w:i/>
        </w:rPr>
        <w:t>Mikania micrantha</w:t>
      </w:r>
      <w:r>
        <w:t>，肿柄菊</w:t>
      </w:r>
      <w:r>
        <w:rPr>
          <w:i/>
        </w:rPr>
        <w:t>Tithonia diversifolia</w:t>
      </w:r>
      <w:r>
        <w:t>，飞机草</w:t>
      </w:r>
      <w:r>
        <w:rPr>
          <w:i/>
        </w:rPr>
        <w:t>Eupatorium odoratum</w:t>
      </w:r>
      <w:r>
        <w:t>等种类，大多为菊科植物，入侵植株有一定数量，</w:t>
      </w:r>
      <w:r>
        <w:rPr>
          <w:rFonts w:hint="eastAsia"/>
        </w:rPr>
        <w:t>在评价区的局部区域已经对</w:t>
      </w:r>
      <w:r>
        <w:t>土著种</w:t>
      </w:r>
      <w:r>
        <w:rPr>
          <w:rFonts w:hint="eastAsia"/>
        </w:rPr>
        <w:t>生存造成了</w:t>
      </w:r>
      <w:r>
        <w:t>威胁。</w:t>
      </w:r>
    </w:p>
    <w:p w14:paraId="6F7B9788">
      <w:pPr>
        <w:ind w:firstLine="482"/>
        <w:rPr>
          <w:b/>
        </w:rPr>
      </w:pPr>
      <w:r>
        <w:rPr>
          <w:rFonts w:hint="eastAsia"/>
          <w:b/>
        </w:rPr>
        <w:t>7、资源植物</w:t>
      </w:r>
    </w:p>
    <w:p w14:paraId="0323744A">
      <w:pPr>
        <w:ind w:firstLine="480"/>
        <w:rPr>
          <w:kern w:val="28"/>
        </w:rPr>
      </w:pPr>
      <w:r>
        <w:rPr>
          <w:rFonts w:hint="eastAsia"/>
        </w:rPr>
        <w:t>根据实际走访调查，将团结水电站附近的植物资源划分为</w:t>
      </w:r>
      <w:r>
        <w:rPr>
          <w:kern w:val="28"/>
        </w:rPr>
        <w:t>药用资源、观赏资源、食用资源、蜜源及工业原料</w:t>
      </w:r>
      <w:r>
        <w:rPr>
          <w:rFonts w:hint="eastAsia"/>
          <w:kern w:val="28"/>
        </w:rPr>
        <w:t>5类，如下表所示：</w:t>
      </w:r>
    </w:p>
    <w:p w14:paraId="176378EE">
      <w:pPr>
        <w:pStyle w:val="82"/>
        <w:framePr w:hSpace="0" w:wrap="auto" w:vAnchor="margin" w:hAnchor="text" w:xAlign="left" w:yAlign="inline"/>
      </w:pPr>
      <w:r>
        <w:rPr>
          <w:rFonts w:hint="eastAsia"/>
        </w:rPr>
        <w:t>表5-1-2    评价区</w:t>
      </w:r>
      <w:r>
        <w:t>内维管植物资源类型统计（单位：种）</w:t>
      </w:r>
    </w:p>
    <w:tbl>
      <w:tblPr>
        <w:tblStyle w:val="56"/>
        <w:tblW w:w="0" w:type="auto"/>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04"/>
        <w:gridCol w:w="1204"/>
        <w:gridCol w:w="1203"/>
        <w:gridCol w:w="1194"/>
        <w:gridCol w:w="811"/>
        <w:gridCol w:w="2706"/>
      </w:tblGrid>
      <w:tr w14:paraId="402688EE">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04" w:type="dxa"/>
            <w:vAlign w:val="center"/>
          </w:tcPr>
          <w:p w14:paraId="4F36B9AF">
            <w:pPr>
              <w:pStyle w:val="84"/>
            </w:pPr>
            <w:r>
              <w:t>资源类型</w:t>
            </w:r>
          </w:p>
        </w:tc>
        <w:tc>
          <w:tcPr>
            <w:tcW w:w="1204" w:type="dxa"/>
            <w:vAlign w:val="center"/>
          </w:tcPr>
          <w:p w14:paraId="689C5AEA">
            <w:pPr>
              <w:pStyle w:val="84"/>
            </w:pPr>
            <w:r>
              <w:t>蕨类植物</w:t>
            </w:r>
          </w:p>
        </w:tc>
        <w:tc>
          <w:tcPr>
            <w:tcW w:w="1203" w:type="dxa"/>
            <w:vAlign w:val="center"/>
          </w:tcPr>
          <w:p w14:paraId="5BE57C5E">
            <w:pPr>
              <w:pStyle w:val="84"/>
            </w:pPr>
            <w:r>
              <w:t>裸子植物</w:t>
            </w:r>
          </w:p>
        </w:tc>
        <w:tc>
          <w:tcPr>
            <w:tcW w:w="1194" w:type="dxa"/>
            <w:vAlign w:val="center"/>
          </w:tcPr>
          <w:p w14:paraId="5CB5CFE0">
            <w:pPr>
              <w:pStyle w:val="84"/>
            </w:pPr>
            <w:r>
              <w:t>被子植物</w:t>
            </w:r>
          </w:p>
        </w:tc>
        <w:tc>
          <w:tcPr>
            <w:tcW w:w="811" w:type="dxa"/>
            <w:vAlign w:val="center"/>
          </w:tcPr>
          <w:p w14:paraId="20187F9A">
            <w:pPr>
              <w:pStyle w:val="84"/>
            </w:pPr>
            <w:r>
              <w:t>合计</w:t>
            </w:r>
          </w:p>
        </w:tc>
        <w:tc>
          <w:tcPr>
            <w:tcW w:w="2706" w:type="dxa"/>
            <w:vAlign w:val="center"/>
          </w:tcPr>
          <w:p w14:paraId="75592200">
            <w:pPr>
              <w:pStyle w:val="84"/>
            </w:pPr>
            <w:r>
              <w:t>占本区物种总数（</w:t>
            </w:r>
            <w:r>
              <w:rPr>
                <w:rFonts w:hint="eastAsia"/>
              </w:rPr>
              <w:t>295种</w:t>
            </w:r>
            <w:r>
              <w:t>）的比例</w:t>
            </w:r>
          </w:p>
        </w:tc>
      </w:tr>
      <w:tr w14:paraId="3A2941F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5" w:hRule="atLeast"/>
          <w:jc w:val="center"/>
        </w:trPr>
        <w:tc>
          <w:tcPr>
            <w:tcW w:w="1404" w:type="dxa"/>
            <w:vAlign w:val="center"/>
          </w:tcPr>
          <w:p w14:paraId="50E959B1">
            <w:pPr>
              <w:pStyle w:val="84"/>
            </w:pPr>
            <w:r>
              <w:t>药用资源</w:t>
            </w:r>
          </w:p>
        </w:tc>
        <w:tc>
          <w:tcPr>
            <w:tcW w:w="1204" w:type="dxa"/>
            <w:vAlign w:val="center"/>
          </w:tcPr>
          <w:p w14:paraId="6D923CAF">
            <w:pPr>
              <w:pStyle w:val="84"/>
            </w:pPr>
            <w:r>
              <w:rPr>
                <w:rFonts w:hint="eastAsia"/>
              </w:rPr>
              <w:t>12</w:t>
            </w:r>
          </w:p>
        </w:tc>
        <w:tc>
          <w:tcPr>
            <w:tcW w:w="1203" w:type="dxa"/>
            <w:vAlign w:val="center"/>
          </w:tcPr>
          <w:p w14:paraId="1EAB7B1B">
            <w:pPr>
              <w:pStyle w:val="84"/>
            </w:pPr>
            <w:r>
              <w:rPr>
                <w:rFonts w:hint="eastAsia"/>
              </w:rPr>
              <w:t>0</w:t>
            </w:r>
          </w:p>
        </w:tc>
        <w:tc>
          <w:tcPr>
            <w:tcW w:w="1194" w:type="dxa"/>
            <w:vAlign w:val="center"/>
          </w:tcPr>
          <w:p w14:paraId="38A1F636">
            <w:pPr>
              <w:pStyle w:val="84"/>
            </w:pPr>
            <w:r>
              <w:rPr>
                <w:rFonts w:hint="eastAsia"/>
              </w:rPr>
              <w:t>142</w:t>
            </w:r>
          </w:p>
        </w:tc>
        <w:tc>
          <w:tcPr>
            <w:tcW w:w="811" w:type="dxa"/>
            <w:vAlign w:val="center"/>
          </w:tcPr>
          <w:p w14:paraId="36BD8252">
            <w:pPr>
              <w:pStyle w:val="84"/>
            </w:pPr>
            <w:r>
              <w:rPr>
                <w:rFonts w:hint="eastAsia"/>
              </w:rPr>
              <w:t>154</w:t>
            </w:r>
          </w:p>
        </w:tc>
        <w:tc>
          <w:tcPr>
            <w:tcW w:w="2706" w:type="dxa"/>
            <w:vAlign w:val="center"/>
          </w:tcPr>
          <w:p w14:paraId="3B47681C">
            <w:pPr>
              <w:pStyle w:val="84"/>
              <w:rPr>
                <w:sz w:val="22"/>
              </w:rPr>
            </w:pPr>
            <w:r>
              <w:rPr>
                <w:rFonts w:hint="eastAsia"/>
                <w:sz w:val="22"/>
              </w:rPr>
              <w:t>52.20%</w:t>
            </w:r>
          </w:p>
        </w:tc>
      </w:tr>
      <w:tr w14:paraId="5CED258E">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8" w:hRule="atLeast"/>
          <w:jc w:val="center"/>
        </w:trPr>
        <w:tc>
          <w:tcPr>
            <w:tcW w:w="1404" w:type="dxa"/>
            <w:vAlign w:val="center"/>
          </w:tcPr>
          <w:p w14:paraId="464F5878">
            <w:pPr>
              <w:pStyle w:val="84"/>
            </w:pPr>
            <w:r>
              <w:t>观赏资源</w:t>
            </w:r>
          </w:p>
        </w:tc>
        <w:tc>
          <w:tcPr>
            <w:tcW w:w="1204" w:type="dxa"/>
            <w:vAlign w:val="center"/>
          </w:tcPr>
          <w:p w14:paraId="0E15D297">
            <w:pPr>
              <w:pStyle w:val="84"/>
            </w:pPr>
            <w:r>
              <w:rPr>
                <w:rFonts w:hint="eastAsia"/>
              </w:rPr>
              <w:t>5</w:t>
            </w:r>
          </w:p>
        </w:tc>
        <w:tc>
          <w:tcPr>
            <w:tcW w:w="1203" w:type="dxa"/>
            <w:vAlign w:val="center"/>
          </w:tcPr>
          <w:p w14:paraId="1EC5EC4B">
            <w:pPr>
              <w:pStyle w:val="84"/>
            </w:pPr>
            <w:r>
              <w:rPr>
                <w:rFonts w:hint="eastAsia"/>
              </w:rPr>
              <w:t>0</w:t>
            </w:r>
          </w:p>
        </w:tc>
        <w:tc>
          <w:tcPr>
            <w:tcW w:w="1194" w:type="dxa"/>
            <w:vAlign w:val="center"/>
          </w:tcPr>
          <w:p w14:paraId="7B1C959E">
            <w:pPr>
              <w:pStyle w:val="84"/>
            </w:pPr>
            <w:r>
              <w:rPr>
                <w:rFonts w:hint="eastAsia"/>
              </w:rPr>
              <w:t>42</w:t>
            </w:r>
          </w:p>
        </w:tc>
        <w:tc>
          <w:tcPr>
            <w:tcW w:w="811" w:type="dxa"/>
            <w:vAlign w:val="center"/>
          </w:tcPr>
          <w:p w14:paraId="75B252F4">
            <w:pPr>
              <w:pStyle w:val="84"/>
            </w:pPr>
            <w:r>
              <w:rPr>
                <w:rFonts w:hint="eastAsia"/>
              </w:rPr>
              <w:t>47</w:t>
            </w:r>
          </w:p>
        </w:tc>
        <w:tc>
          <w:tcPr>
            <w:tcW w:w="2706" w:type="dxa"/>
            <w:vAlign w:val="center"/>
          </w:tcPr>
          <w:p w14:paraId="6E75D32B">
            <w:pPr>
              <w:pStyle w:val="84"/>
              <w:rPr>
                <w:sz w:val="22"/>
              </w:rPr>
            </w:pPr>
            <w:r>
              <w:rPr>
                <w:rFonts w:hint="eastAsia"/>
                <w:sz w:val="22"/>
              </w:rPr>
              <w:t>15.93%</w:t>
            </w:r>
          </w:p>
        </w:tc>
      </w:tr>
      <w:tr w14:paraId="62B4E460">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1" w:hRule="atLeast"/>
          <w:jc w:val="center"/>
        </w:trPr>
        <w:tc>
          <w:tcPr>
            <w:tcW w:w="1404" w:type="dxa"/>
            <w:vAlign w:val="center"/>
          </w:tcPr>
          <w:p w14:paraId="218E3F0E">
            <w:pPr>
              <w:pStyle w:val="84"/>
            </w:pPr>
            <w:r>
              <w:t>食用资源</w:t>
            </w:r>
          </w:p>
        </w:tc>
        <w:tc>
          <w:tcPr>
            <w:tcW w:w="1204" w:type="dxa"/>
            <w:vAlign w:val="center"/>
          </w:tcPr>
          <w:p w14:paraId="2DF30F6E">
            <w:pPr>
              <w:pStyle w:val="84"/>
            </w:pPr>
            <w:r>
              <w:rPr>
                <w:rFonts w:hint="eastAsia"/>
              </w:rPr>
              <w:t>2</w:t>
            </w:r>
          </w:p>
        </w:tc>
        <w:tc>
          <w:tcPr>
            <w:tcW w:w="1203" w:type="dxa"/>
            <w:vAlign w:val="center"/>
          </w:tcPr>
          <w:p w14:paraId="0ECE9DF4">
            <w:pPr>
              <w:pStyle w:val="84"/>
            </w:pPr>
            <w:r>
              <w:rPr>
                <w:rFonts w:hint="eastAsia"/>
              </w:rPr>
              <w:t>0</w:t>
            </w:r>
          </w:p>
        </w:tc>
        <w:tc>
          <w:tcPr>
            <w:tcW w:w="1194" w:type="dxa"/>
            <w:vAlign w:val="center"/>
          </w:tcPr>
          <w:p w14:paraId="733A3FFE">
            <w:pPr>
              <w:pStyle w:val="84"/>
            </w:pPr>
            <w:r>
              <w:rPr>
                <w:rFonts w:hint="eastAsia"/>
              </w:rPr>
              <w:t>42</w:t>
            </w:r>
          </w:p>
        </w:tc>
        <w:tc>
          <w:tcPr>
            <w:tcW w:w="811" w:type="dxa"/>
            <w:vAlign w:val="center"/>
          </w:tcPr>
          <w:p w14:paraId="1628BF77">
            <w:pPr>
              <w:pStyle w:val="84"/>
            </w:pPr>
            <w:r>
              <w:rPr>
                <w:rFonts w:hint="eastAsia"/>
              </w:rPr>
              <w:t>44</w:t>
            </w:r>
          </w:p>
        </w:tc>
        <w:tc>
          <w:tcPr>
            <w:tcW w:w="2706" w:type="dxa"/>
            <w:vAlign w:val="center"/>
          </w:tcPr>
          <w:p w14:paraId="461FF436">
            <w:pPr>
              <w:pStyle w:val="84"/>
              <w:rPr>
                <w:sz w:val="22"/>
              </w:rPr>
            </w:pPr>
            <w:r>
              <w:rPr>
                <w:rFonts w:hint="eastAsia"/>
                <w:sz w:val="22"/>
              </w:rPr>
              <w:t>14.92%</w:t>
            </w:r>
          </w:p>
        </w:tc>
      </w:tr>
      <w:tr w14:paraId="1043ED1B">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4" w:hRule="atLeast"/>
          <w:jc w:val="center"/>
        </w:trPr>
        <w:tc>
          <w:tcPr>
            <w:tcW w:w="1404" w:type="dxa"/>
            <w:vAlign w:val="center"/>
          </w:tcPr>
          <w:p w14:paraId="43516B4A">
            <w:pPr>
              <w:pStyle w:val="84"/>
            </w:pPr>
            <w:r>
              <w:t>蜜源</w:t>
            </w:r>
            <w:r>
              <w:rPr>
                <w:rFonts w:hint="eastAsia"/>
              </w:rPr>
              <w:t>资源</w:t>
            </w:r>
          </w:p>
        </w:tc>
        <w:tc>
          <w:tcPr>
            <w:tcW w:w="1204" w:type="dxa"/>
            <w:vAlign w:val="center"/>
          </w:tcPr>
          <w:p w14:paraId="49FDE3E1">
            <w:pPr>
              <w:pStyle w:val="84"/>
            </w:pPr>
            <w:r>
              <w:rPr>
                <w:rFonts w:hint="eastAsia"/>
              </w:rPr>
              <w:t>0</w:t>
            </w:r>
          </w:p>
        </w:tc>
        <w:tc>
          <w:tcPr>
            <w:tcW w:w="1203" w:type="dxa"/>
            <w:vAlign w:val="center"/>
          </w:tcPr>
          <w:p w14:paraId="12B5D499">
            <w:pPr>
              <w:pStyle w:val="84"/>
            </w:pPr>
            <w:r>
              <w:rPr>
                <w:rFonts w:hint="eastAsia"/>
              </w:rPr>
              <w:t>0</w:t>
            </w:r>
          </w:p>
        </w:tc>
        <w:tc>
          <w:tcPr>
            <w:tcW w:w="1194" w:type="dxa"/>
            <w:vAlign w:val="center"/>
          </w:tcPr>
          <w:p w14:paraId="224CDF30">
            <w:pPr>
              <w:pStyle w:val="84"/>
            </w:pPr>
            <w:r>
              <w:rPr>
                <w:rFonts w:hint="eastAsia"/>
              </w:rPr>
              <w:t>31</w:t>
            </w:r>
          </w:p>
        </w:tc>
        <w:tc>
          <w:tcPr>
            <w:tcW w:w="811" w:type="dxa"/>
            <w:vAlign w:val="center"/>
          </w:tcPr>
          <w:p w14:paraId="119757CE">
            <w:pPr>
              <w:pStyle w:val="84"/>
            </w:pPr>
            <w:r>
              <w:rPr>
                <w:rFonts w:hint="eastAsia"/>
              </w:rPr>
              <w:t>31</w:t>
            </w:r>
          </w:p>
        </w:tc>
        <w:tc>
          <w:tcPr>
            <w:tcW w:w="2706" w:type="dxa"/>
            <w:vAlign w:val="center"/>
          </w:tcPr>
          <w:p w14:paraId="6E5B8C1E">
            <w:pPr>
              <w:pStyle w:val="84"/>
              <w:rPr>
                <w:sz w:val="22"/>
              </w:rPr>
            </w:pPr>
            <w:r>
              <w:rPr>
                <w:rFonts w:hint="eastAsia"/>
                <w:sz w:val="22"/>
              </w:rPr>
              <w:t>10.51%</w:t>
            </w:r>
          </w:p>
        </w:tc>
      </w:tr>
      <w:tr w14:paraId="0A169214">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8" w:hRule="atLeast"/>
          <w:jc w:val="center"/>
        </w:trPr>
        <w:tc>
          <w:tcPr>
            <w:tcW w:w="1404" w:type="dxa"/>
            <w:vAlign w:val="center"/>
          </w:tcPr>
          <w:p w14:paraId="25D91518">
            <w:pPr>
              <w:pStyle w:val="84"/>
            </w:pPr>
            <w:r>
              <w:t>工业原料</w:t>
            </w:r>
          </w:p>
        </w:tc>
        <w:tc>
          <w:tcPr>
            <w:tcW w:w="1204" w:type="dxa"/>
            <w:vAlign w:val="center"/>
          </w:tcPr>
          <w:p w14:paraId="6D4A7861">
            <w:pPr>
              <w:pStyle w:val="84"/>
            </w:pPr>
            <w:r>
              <w:rPr>
                <w:rFonts w:hint="eastAsia"/>
              </w:rPr>
              <w:t>0</w:t>
            </w:r>
          </w:p>
        </w:tc>
        <w:tc>
          <w:tcPr>
            <w:tcW w:w="1203" w:type="dxa"/>
            <w:vAlign w:val="center"/>
          </w:tcPr>
          <w:p w14:paraId="189FDBDD">
            <w:pPr>
              <w:pStyle w:val="84"/>
            </w:pPr>
            <w:r>
              <w:rPr>
                <w:rFonts w:hint="eastAsia"/>
              </w:rPr>
              <w:t>1</w:t>
            </w:r>
          </w:p>
        </w:tc>
        <w:tc>
          <w:tcPr>
            <w:tcW w:w="1194" w:type="dxa"/>
            <w:vAlign w:val="center"/>
          </w:tcPr>
          <w:p w14:paraId="014BB221">
            <w:pPr>
              <w:pStyle w:val="84"/>
            </w:pPr>
            <w:r>
              <w:rPr>
                <w:rFonts w:hint="eastAsia"/>
              </w:rPr>
              <w:t>29</w:t>
            </w:r>
          </w:p>
        </w:tc>
        <w:tc>
          <w:tcPr>
            <w:tcW w:w="811" w:type="dxa"/>
            <w:vAlign w:val="center"/>
          </w:tcPr>
          <w:p w14:paraId="5C34272A">
            <w:pPr>
              <w:pStyle w:val="84"/>
            </w:pPr>
            <w:r>
              <w:rPr>
                <w:rFonts w:hint="eastAsia"/>
              </w:rPr>
              <w:t>30</w:t>
            </w:r>
          </w:p>
        </w:tc>
        <w:tc>
          <w:tcPr>
            <w:tcW w:w="2706" w:type="dxa"/>
            <w:vAlign w:val="center"/>
          </w:tcPr>
          <w:p w14:paraId="02700313">
            <w:pPr>
              <w:pStyle w:val="84"/>
              <w:rPr>
                <w:sz w:val="22"/>
              </w:rPr>
            </w:pPr>
            <w:r>
              <w:rPr>
                <w:rFonts w:hint="eastAsia"/>
                <w:sz w:val="22"/>
              </w:rPr>
              <w:t>10.17%</w:t>
            </w:r>
          </w:p>
        </w:tc>
      </w:tr>
    </w:tbl>
    <w:p w14:paraId="36C0B675">
      <w:pPr>
        <w:spacing w:before="240"/>
        <w:ind w:firstLine="480"/>
        <w:rPr>
          <w:bCs/>
          <w:kern w:val="28"/>
        </w:rPr>
      </w:pPr>
      <w:r>
        <w:rPr>
          <w:rFonts w:hint="eastAsia"/>
          <w:bCs/>
          <w:szCs w:val="24"/>
        </w:rPr>
        <w:t>（1）</w:t>
      </w:r>
      <w:r>
        <w:rPr>
          <w:rFonts w:hint="eastAsia"/>
          <w:kern w:val="28"/>
        </w:rPr>
        <w:t>药用植物：西南石韦（</w:t>
      </w:r>
      <w:r>
        <w:rPr>
          <w:i/>
          <w:iCs/>
          <w:kern w:val="28"/>
          <w:lang w:val="it-IT"/>
        </w:rPr>
        <w:t>Pyrrosia gralla</w:t>
      </w:r>
      <w:r>
        <w:rPr>
          <w:rFonts w:hint="eastAsia"/>
          <w:kern w:val="28"/>
        </w:rPr>
        <w:t>）</w:t>
      </w:r>
      <w:r>
        <w:rPr>
          <w:rFonts w:hint="eastAsia"/>
          <w:bCs/>
          <w:kern w:val="28"/>
        </w:rPr>
        <w:t>、草玉梅（</w:t>
      </w:r>
      <w:r>
        <w:rPr>
          <w:bCs/>
          <w:i/>
          <w:kern w:val="28"/>
        </w:rPr>
        <w:t>Anemone rivularis</w:t>
      </w:r>
      <w:r>
        <w:rPr>
          <w:rFonts w:hint="eastAsia"/>
          <w:bCs/>
          <w:kern w:val="28"/>
        </w:rPr>
        <w:t>）、繁缕（</w:t>
      </w:r>
      <w:r>
        <w:rPr>
          <w:bCs/>
          <w:i/>
          <w:kern w:val="28"/>
        </w:rPr>
        <w:t>Stellaria media</w:t>
      </w:r>
      <w:r>
        <w:rPr>
          <w:rFonts w:hint="eastAsia"/>
          <w:bCs/>
          <w:kern w:val="28"/>
        </w:rPr>
        <w:t>）、火炭母</w:t>
      </w:r>
      <w:r>
        <w:rPr>
          <w:rFonts w:hint="eastAsia"/>
          <w:kern w:val="28"/>
        </w:rPr>
        <w:t>（</w:t>
      </w:r>
      <w:r>
        <w:rPr>
          <w:bCs/>
          <w:i/>
          <w:kern w:val="28"/>
        </w:rPr>
        <w:t>Polygonum chinensis</w:t>
      </w:r>
      <w:r>
        <w:rPr>
          <w:rFonts w:hint="eastAsia"/>
          <w:bCs/>
          <w:kern w:val="28"/>
        </w:rPr>
        <w:t>）等；</w:t>
      </w:r>
    </w:p>
    <w:p w14:paraId="6BC12EE4">
      <w:pPr>
        <w:ind w:firstLine="480"/>
        <w:rPr>
          <w:kern w:val="28"/>
        </w:rPr>
      </w:pPr>
      <w:r>
        <w:rPr>
          <w:rFonts w:hint="eastAsia"/>
          <w:bCs/>
          <w:kern w:val="28"/>
        </w:rPr>
        <w:t>（2）观赏植物：</w:t>
      </w:r>
      <w:r>
        <w:rPr>
          <w:rFonts w:hint="eastAsia"/>
          <w:kern w:val="28"/>
        </w:rPr>
        <w:t>报春花（</w:t>
      </w:r>
      <w:r>
        <w:rPr>
          <w:i/>
          <w:iCs/>
          <w:kern w:val="28"/>
        </w:rPr>
        <w:t>Primula malacoides</w:t>
      </w:r>
      <w:r>
        <w:rPr>
          <w:rFonts w:hint="eastAsia"/>
          <w:kern w:val="28"/>
        </w:rPr>
        <w:t>）、马桑（</w:t>
      </w:r>
      <w:r>
        <w:rPr>
          <w:bCs/>
          <w:i/>
          <w:kern w:val="28"/>
        </w:rPr>
        <w:t>Coriaria nepalensis</w:t>
      </w:r>
      <w:r>
        <w:rPr>
          <w:rFonts w:hint="eastAsia"/>
          <w:kern w:val="28"/>
        </w:rPr>
        <w:t>）、石楠（</w:t>
      </w:r>
      <w:r>
        <w:rPr>
          <w:i/>
          <w:iCs/>
          <w:kern w:val="28"/>
        </w:rPr>
        <w:t>Photinia serratifolia</w:t>
      </w:r>
      <w:r>
        <w:rPr>
          <w:rFonts w:hint="eastAsia"/>
          <w:kern w:val="28"/>
        </w:rPr>
        <w:t>）等；</w:t>
      </w:r>
    </w:p>
    <w:p w14:paraId="5C574B1A">
      <w:pPr>
        <w:ind w:firstLine="480"/>
        <w:rPr>
          <w:kern w:val="28"/>
        </w:rPr>
      </w:pPr>
      <w:r>
        <w:rPr>
          <w:rFonts w:hint="eastAsia"/>
          <w:kern w:val="28"/>
        </w:rPr>
        <w:t>（3）食用植物：</w:t>
      </w:r>
      <w:r>
        <w:rPr>
          <w:rFonts w:hint="eastAsia"/>
          <w:bCs/>
          <w:kern w:val="28"/>
        </w:rPr>
        <w:t>水蓼（</w:t>
      </w:r>
      <w:r>
        <w:rPr>
          <w:bCs/>
          <w:i/>
          <w:kern w:val="28"/>
        </w:rPr>
        <w:t>Polygonum hydropiper</w:t>
      </w:r>
      <w:r>
        <w:rPr>
          <w:rFonts w:hint="eastAsia"/>
          <w:bCs/>
          <w:kern w:val="28"/>
        </w:rPr>
        <w:t>）、碎米荠（</w:t>
      </w:r>
      <w:r>
        <w:rPr>
          <w:i/>
          <w:kern w:val="28"/>
        </w:rPr>
        <w:t>Cardamine hirsuta</w:t>
      </w:r>
      <w:r>
        <w:rPr>
          <w:rFonts w:hint="eastAsia"/>
          <w:bCs/>
          <w:kern w:val="28"/>
        </w:rPr>
        <w:t>）、</w:t>
      </w:r>
      <w:r>
        <w:rPr>
          <w:rFonts w:hint="eastAsia"/>
          <w:kern w:val="28"/>
        </w:rPr>
        <w:t>大车前（</w:t>
      </w:r>
      <w:r>
        <w:rPr>
          <w:i/>
          <w:kern w:val="28"/>
        </w:rPr>
        <w:t>Plantago major</w:t>
      </w:r>
      <w:r>
        <w:rPr>
          <w:rFonts w:hint="eastAsia"/>
          <w:kern w:val="28"/>
        </w:rPr>
        <w:t>）、悬钩子属（</w:t>
      </w:r>
      <w:r>
        <w:rPr>
          <w:rFonts w:hint="eastAsia"/>
          <w:i/>
          <w:kern w:val="28"/>
        </w:rPr>
        <w:t>Rubus</w:t>
      </w:r>
      <w:r>
        <w:rPr>
          <w:rFonts w:hint="eastAsia"/>
          <w:kern w:val="28"/>
        </w:rPr>
        <w:t>）的绝大部分等。</w:t>
      </w:r>
    </w:p>
    <w:p w14:paraId="6DAC020B">
      <w:pPr>
        <w:ind w:firstLine="480"/>
        <w:rPr>
          <w:kern w:val="28"/>
        </w:rPr>
      </w:pPr>
      <w:r>
        <w:rPr>
          <w:rFonts w:hint="eastAsia"/>
          <w:kern w:val="28"/>
        </w:rPr>
        <w:t>（4）蜜源植物：唇形科多种植物；</w:t>
      </w:r>
    </w:p>
    <w:p w14:paraId="0DC56D36">
      <w:pPr>
        <w:ind w:firstLine="480"/>
        <w:rPr>
          <w:bCs/>
          <w:sz w:val="28"/>
          <w:szCs w:val="24"/>
        </w:rPr>
      </w:pPr>
      <w:r>
        <w:rPr>
          <w:rFonts w:hint="eastAsia"/>
          <w:kern w:val="28"/>
        </w:rPr>
        <w:t>（5）工业原料：清香木（</w:t>
      </w:r>
      <w:r>
        <w:rPr>
          <w:bCs/>
          <w:i/>
          <w:kern w:val="28"/>
          <w:lang w:val="sv-SE"/>
        </w:rPr>
        <w:t>Pistacia weinmannifolia</w:t>
      </w:r>
      <w:r>
        <w:rPr>
          <w:rFonts w:hint="eastAsia"/>
          <w:kern w:val="28"/>
        </w:rPr>
        <w:t>）、青冈（</w:t>
      </w:r>
      <w:r>
        <w:rPr>
          <w:i/>
          <w:kern w:val="28"/>
        </w:rPr>
        <w:t>Cyclobalanopsis glauca</w:t>
      </w:r>
      <w:r>
        <w:rPr>
          <w:rFonts w:hint="eastAsia"/>
          <w:kern w:val="28"/>
        </w:rPr>
        <w:t>）、柳杉（</w:t>
      </w:r>
      <w:r>
        <w:rPr>
          <w:i/>
          <w:kern w:val="28"/>
        </w:rPr>
        <w:t>Cryptomeria japonica</w:t>
      </w:r>
      <w:r>
        <w:rPr>
          <w:kern w:val="28"/>
        </w:rPr>
        <w:t xml:space="preserve"> var. </w:t>
      </w:r>
      <w:r>
        <w:rPr>
          <w:i/>
          <w:kern w:val="28"/>
        </w:rPr>
        <w:t>sinensis</w:t>
      </w:r>
      <w:r>
        <w:rPr>
          <w:rFonts w:hint="eastAsia"/>
          <w:kern w:val="28"/>
        </w:rPr>
        <w:t>）等。</w:t>
      </w:r>
    </w:p>
    <w:p w14:paraId="4078BCA0">
      <w:pPr>
        <w:pStyle w:val="141"/>
      </w:pPr>
      <w:r>
        <w:rPr>
          <w:rFonts w:hint="eastAsia"/>
        </w:rPr>
        <w:t>5.1.2.2陆生植被现状</w:t>
      </w:r>
    </w:p>
    <w:p w14:paraId="6D9FA184">
      <w:pPr>
        <w:adjustRightInd w:val="0"/>
        <w:snapToGrid w:val="0"/>
        <w:ind w:firstLine="482"/>
        <w:rPr>
          <w:rFonts w:hAnsi="宋体"/>
          <w:b/>
        </w:rPr>
      </w:pPr>
      <w:r>
        <w:rPr>
          <w:rFonts w:hint="eastAsia" w:hAnsi="宋体"/>
          <w:b/>
        </w:rPr>
        <w:t>1、植被调查方法</w:t>
      </w:r>
    </w:p>
    <w:p w14:paraId="2902BD06">
      <w:pPr>
        <w:adjustRightInd w:val="0"/>
        <w:snapToGrid w:val="0"/>
        <w:ind w:firstLine="480"/>
        <w:rPr>
          <w:rFonts w:hAnsi="宋体"/>
        </w:rPr>
      </w:pPr>
      <w:r>
        <w:rPr>
          <w:rFonts w:hAnsi="宋体"/>
        </w:rPr>
        <w:t>植被调查是根据区域地形图及相关规划图件，并按照中国生态系统研究网络观察与分析标准方法《陆地生物群落调查观察与分析》</w:t>
      </w:r>
      <w:r>
        <w:rPr>
          <w:rFonts w:hint="eastAsia" w:hAnsi="宋体"/>
        </w:rPr>
        <w:t>，根据林业专业部门的工作，如《云南森林资源状况图册》的仔细阅读，再根据室内判读的植被与土地利用类型初图，现场核实判读的正误率，并对每个GPS取样点作海拔、植被类型(群系、群系组或植被亚型)、优势植物、珍稀濒危植物、植被特征等记录。</w:t>
      </w:r>
    </w:p>
    <w:p w14:paraId="33F4C8CF">
      <w:pPr>
        <w:ind w:firstLine="480"/>
      </w:pPr>
      <w:r>
        <w:rPr>
          <w:rFonts w:hint="eastAsia"/>
        </w:rPr>
        <w:t>通过实地踏查，确定典型的群落地段，采用法瑞学派样地记录法进行群落调查，森林群落样地面积为20m</w:t>
      </w:r>
      <w:r>
        <w:rPr>
          <w:rFonts w:hint="eastAsia"/>
          <w:vertAlign w:val="superscript"/>
        </w:rPr>
        <w:t>2</w:t>
      </w:r>
      <w:r>
        <w:rPr>
          <w:rFonts w:hint="eastAsia"/>
        </w:rPr>
        <w:t>×20m</w:t>
      </w:r>
      <w:r>
        <w:rPr>
          <w:rFonts w:hint="eastAsia"/>
          <w:vertAlign w:val="superscript"/>
        </w:rPr>
        <w:t>2</w:t>
      </w:r>
      <w:r>
        <w:rPr>
          <w:rFonts w:hint="eastAsia"/>
        </w:rPr>
        <w:t>，灌丛群落样地面积为10m</w:t>
      </w:r>
      <w:r>
        <w:rPr>
          <w:rFonts w:hint="eastAsia"/>
          <w:vertAlign w:val="superscript"/>
        </w:rPr>
        <w:t>2</w:t>
      </w:r>
      <w:r>
        <w:rPr>
          <w:rFonts w:hint="eastAsia"/>
        </w:rPr>
        <w:t>×10m</w:t>
      </w:r>
      <w:r>
        <w:rPr>
          <w:rFonts w:hint="eastAsia"/>
          <w:vertAlign w:val="superscript"/>
        </w:rPr>
        <w:t>2</w:t>
      </w:r>
      <w:r>
        <w:rPr>
          <w:rFonts w:hint="eastAsia"/>
        </w:rPr>
        <w:t>，草地群落样地面积为3m</w:t>
      </w:r>
      <w:r>
        <w:rPr>
          <w:rFonts w:hint="eastAsia"/>
          <w:vertAlign w:val="superscript"/>
        </w:rPr>
        <w:t>2</w:t>
      </w:r>
      <w:r>
        <w:rPr>
          <w:rFonts w:hint="eastAsia"/>
        </w:rPr>
        <w:t>×3m</w:t>
      </w:r>
      <w:r>
        <w:rPr>
          <w:rFonts w:hint="eastAsia"/>
          <w:vertAlign w:val="superscript"/>
        </w:rPr>
        <w:t>2</w:t>
      </w:r>
      <w:r>
        <w:rPr>
          <w:rFonts w:hint="eastAsia"/>
        </w:rPr>
        <w:t>；记录样地的所有种类，并按Braun-Blanquet多优度—群聚度记分，利用GPS确定样地位置。</w:t>
      </w:r>
    </w:p>
    <w:p w14:paraId="33EEC587">
      <w:pPr>
        <w:ind w:firstLine="482"/>
        <w:rPr>
          <w:b/>
          <w:bCs/>
          <w:szCs w:val="24"/>
        </w:rPr>
      </w:pPr>
      <w:r>
        <w:rPr>
          <w:rFonts w:hint="eastAsia"/>
          <w:b/>
          <w:bCs/>
          <w:szCs w:val="24"/>
        </w:rPr>
        <w:t>2、群落类型及组成特征</w:t>
      </w:r>
    </w:p>
    <w:p w14:paraId="1C280D8B">
      <w:pPr>
        <w:ind w:firstLine="480"/>
        <w:rPr>
          <w:bCs/>
          <w:szCs w:val="24"/>
        </w:rPr>
      </w:pPr>
      <w:r>
        <w:rPr>
          <w:rFonts w:hint="eastAsia"/>
          <w:bCs/>
          <w:szCs w:val="24"/>
        </w:rPr>
        <w:t>该区域未发现有成片的保存较好的植被。由于评价区内有村庄分布，人类活动频繁，在常年原始的刀耕火种后，原本良好的植被早已被次生植物所取代，因此该区域的植被总体情况一般。</w:t>
      </w:r>
    </w:p>
    <w:p w14:paraId="5E972265">
      <w:pPr>
        <w:ind w:firstLine="480"/>
      </w:pPr>
      <w:r>
        <w:t>按照《云南植被》（1980）对云南植被进行的区划，</w:t>
      </w:r>
      <w:r>
        <w:rPr>
          <w:rFonts w:hint="eastAsia"/>
        </w:rPr>
        <w:t>评价</w:t>
      </w:r>
      <w:r>
        <w:t>区主要为</w:t>
      </w:r>
      <w:r>
        <w:rPr>
          <w:rFonts w:hint="eastAsia"/>
        </w:rPr>
        <w:t>“</w:t>
      </w:r>
      <w:r>
        <w:t>季风热带北缘雨林季雨林地带</w:t>
      </w:r>
      <w:r>
        <w:rPr>
          <w:rFonts w:hint="eastAsia"/>
        </w:rPr>
        <w:t>”-“</w:t>
      </w:r>
      <w:r>
        <w:t>滇南、滇西南间山盆地季节雨林和半常绿季雨林区</w:t>
      </w:r>
      <w:r>
        <w:rPr>
          <w:rFonts w:hint="eastAsia"/>
        </w:rPr>
        <w:t>”-“</w:t>
      </w:r>
      <w:r>
        <w:t>滇西南中山宽谷高榕、麻楝亚区</w:t>
      </w:r>
      <w:r>
        <w:rPr>
          <w:rFonts w:hint="eastAsia"/>
        </w:rPr>
        <w:t>”</w:t>
      </w:r>
      <w:r>
        <w:t>。</w:t>
      </w:r>
    </w:p>
    <w:p w14:paraId="22A87113">
      <w:pPr>
        <w:ind w:firstLine="480"/>
      </w:pPr>
    </w:p>
    <w:p w14:paraId="362C5145">
      <w:pPr>
        <w:ind w:firstLine="482"/>
        <w:rPr>
          <w:b/>
        </w:rPr>
      </w:pPr>
      <w:r>
        <w:rPr>
          <w:rFonts w:hint="eastAsia"/>
          <w:b/>
        </w:rPr>
        <w:t>3、</w:t>
      </w:r>
      <w:r>
        <w:rPr>
          <w:b/>
        </w:rPr>
        <w:t>植被分布特征和类型划分</w:t>
      </w:r>
    </w:p>
    <w:p w14:paraId="6E28BDEB">
      <w:pPr>
        <w:ind w:firstLine="480"/>
      </w:pPr>
      <w:r>
        <w:t>（1）评价区主要植被类型划分</w:t>
      </w:r>
    </w:p>
    <w:p w14:paraId="40D08046">
      <w:pPr>
        <w:ind w:firstLine="480"/>
      </w:pPr>
      <w:r>
        <w:rPr>
          <w:rFonts w:hint="eastAsia"/>
        </w:rPr>
        <w:t>根据调查，</w:t>
      </w:r>
      <w:r>
        <w:t>评价区范围内涉及的自然植被类型</w:t>
      </w:r>
      <w:r>
        <w:rPr>
          <w:rFonts w:hint="eastAsia"/>
        </w:rPr>
        <w:t>较丰富</w:t>
      </w:r>
      <w:r>
        <w:t>，根据现有的植被状况，依据《云南植被》中采用的分类系统，并参考《中国植被》、《云南森林》等重要的植被专著，遵循群落学-生态学的分类原则，评价区出现的植被可划分为</w:t>
      </w:r>
      <w:r>
        <w:rPr>
          <w:rFonts w:hint="eastAsia"/>
        </w:rPr>
        <w:t>4</w:t>
      </w:r>
      <w:r>
        <w:t>个植被型、</w:t>
      </w:r>
      <w:r>
        <w:rPr>
          <w:rFonts w:hint="eastAsia"/>
        </w:rPr>
        <w:t>5</w:t>
      </w:r>
      <w:r>
        <w:t>个</w:t>
      </w:r>
      <w:r>
        <w:rPr>
          <w:rFonts w:hint="eastAsia"/>
        </w:rPr>
        <w:t>植被亚型和6个群落类型</w:t>
      </w:r>
      <w:r>
        <w:t>。</w:t>
      </w:r>
      <w:r>
        <w:rPr>
          <w:rFonts w:hint="eastAsia"/>
        </w:rPr>
        <w:t>自然</w:t>
      </w:r>
      <w:r>
        <w:t>植被分类系统见下</w:t>
      </w:r>
      <w:r>
        <w:rPr>
          <w:rFonts w:hint="eastAsia"/>
        </w:rPr>
        <w:t>表</w:t>
      </w:r>
      <w:r>
        <w:t>：</w:t>
      </w:r>
    </w:p>
    <w:p w14:paraId="21BE5D94">
      <w:pPr>
        <w:pStyle w:val="82"/>
        <w:framePr w:hSpace="0" w:wrap="auto" w:vAnchor="margin" w:hAnchor="text" w:xAlign="left" w:yAlign="inline"/>
      </w:pPr>
      <w:r>
        <w:rPr>
          <w:rFonts w:hint="eastAsia"/>
        </w:rPr>
        <w:t>表5-1-3    评价区自然植被类型一览表</w:t>
      </w:r>
    </w:p>
    <w:tbl>
      <w:tblPr>
        <w:tblStyle w:val="56"/>
        <w:tblW w:w="8415"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76"/>
        <w:gridCol w:w="2836"/>
        <w:gridCol w:w="3403"/>
      </w:tblGrid>
      <w:tr w14:paraId="0703B6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176" w:type="dxa"/>
            <w:vAlign w:val="center"/>
          </w:tcPr>
          <w:p w14:paraId="4DB97C71">
            <w:pPr>
              <w:pStyle w:val="84"/>
            </w:pPr>
            <w:r>
              <w:rPr>
                <w:rFonts w:hint="eastAsia"/>
              </w:rPr>
              <w:t>植被型</w:t>
            </w:r>
          </w:p>
        </w:tc>
        <w:tc>
          <w:tcPr>
            <w:tcW w:w="2836" w:type="dxa"/>
            <w:vAlign w:val="center"/>
          </w:tcPr>
          <w:p w14:paraId="24248752">
            <w:pPr>
              <w:pStyle w:val="84"/>
            </w:pPr>
            <w:r>
              <w:rPr>
                <w:rFonts w:hint="eastAsia"/>
              </w:rPr>
              <w:t>植被亚型</w:t>
            </w:r>
          </w:p>
        </w:tc>
        <w:tc>
          <w:tcPr>
            <w:tcW w:w="3403" w:type="dxa"/>
            <w:vAlign w:val="center"/>
          </w:tcPr>
          <w:p w14:paraId="0F6ED8A8">
            <w:pPr>
              <w:pStyle w:val="84"/>
            </w:pPr>
            <w:r>
              <w:rPr>
                <w:rFonts w:hint="eastAsia"/>
              </w:rPr>
              <w:t>群系</w:t>
            </w:r>
          </w:p>
        </w:tc>
      </w:tr>
      <w:tr w14:paraId="4303D4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2176" w:type="dxa"/>
            <w:vAlign w:val="center"/>
          </w:tcPr>
          <w:p w14:paraId="0F1DAC8E">
            <w:pPr>
              <w:pStyle w:val="84"/>
            </w:pPr>
            <w:r>
              <w:rPr>
                <w:rFonts w:hint="eastAsia"/>
              </w:rPr>
              <w:t>一、</w:t>
            </w:r>
            <w:r>
              <w:rPr>
                <w:rFonts w:hint="eastAsia"/>
                <w:kern w:val="0"/>
              </w:rPr>
              <w:t>季风常绿阔叶林</w:t>
            </w:r>
          </w:p>
        </w:tc>
        <w:tc>
          <w:tcPr>
            <w:tcW w:w="2836" w:type="dxa"/>
            <w:vAlign w:val="center"/>
          </w:tcPr>
          <w:p w14:paraId="061DEDE6">
            <w:pPr>
              <w:pStyle w:val="84"/>
            </w:pPr>
            <w:r>
              <w:t>1</w:t>
            </w:r>
            <w:r>
              <w:rPr>
                <w:rFonts w:hint="eastAsia"/>
              </w:rPr>
              <w:t>、</w:t>
            </w:r>
            <w:r>
              <w:rPr>
                <w:rFonts w:hint="eastAsia"/>
                <w:kern w:val="0"/>
              </w:rPr>
              <w:t>常绿落叶阔叶混交林</w:t>
            </w:r>
          </w:p>
        </w:tc>
        <w:tc>
          <w:tcPr>
            <w:tcW w:w="3403" w:type="dxa"/>
            <w:vAlign w:val="center"/>
          </w:tcPr>
          <w:p w14:paraId="4BB3CC33">
            <w:pPr>
              <w:pStyle w:val="84"/>
            </w:pPr>
            <w:r>
              <w:rPr>
                <w:rFonts w:hint="eastAsia"/>
              </w:rPr>
              <w:t>（</w:t>
            </w:r>
            <w:r>
              <w:t>1</w:t>
            </w:r>
            <w:r>
              <w:rPr>
                <w:rFonts w:hint="eastAsia"/>
              </w:rPr>
              <w:t>）</w:t>
            </w:r>
            <w:r>
              <w:rPr>
                <w:rFonts w:hint="eastAsia"/>
                <w:kern w:val="0"/>
              </w:rPr>
              <w:t>西南桦、红木荷林</w:t>
            </w:r>
          </w:p>
        </w:tc>
      </w:tr>
      <w:tr w14:paraId="1E9F77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2176" w:type="dxa"/>
            <w:vAlign w:val="center"/>
          </w:tcPr>
          <w:p w14:paraId="1FFFB3E3">
            <w:pPr>
              <w:pStyle w:val="84"/>
            </w:pPr>
            <w:r>
              <w:rPr>
                <w:rFonts w:hint="eastAsia"/>
              </w:rPr>
              <w:t>二、</w:t>
            </w:r>
            <w:r>
              <w:rPr>
                <w:rFonts w:hint="eastAsia"/>
                <w:bCs/>
                <w:kern w:val="0"/>
              </w:rPr>
              <w:t>稀树灌草丛</w:t>
            </w:r>
          </w:p>
        </w:tc>
        <w:tc>
          <w:tcPr>
            <w:tcW w:w="2836" w:type="dxa"/>
            <w:vAlign w:val="center"/>
          </w:tcPr>
          <w:p w14:paraId="625ECECE">
            <w:pPr>
              <w:pStyle w:val="84"/>
            </w:pPr>
            <w:r>
              <w:t>2</w:t>
            </w:r>
            <w:r>
              <w:rPr>
                <w:rFonts w:hint="eastAsia"/>
              </w:rPr>
              <w:t>、</w:t>
            </w:r>
            <w:r>
              <w:rPr>
                <w:rFonts w:hint="eastAsia"/>
                <w:kern w:val="0"/>
              </w:rPr>
              <w:t>热性稀树灌草丛</w:t>
            </w:r>
          </w:p>
        </w:tc>
        <w:tc>
          <w:tcPr>
            <w:tcW w:w="3403" w:type="dxa"/>
            <w:vAlign w:val="center"/>
          </w:tcPr>
          <w:p w14:paraId="3C9210F6">
            <w:pPr>
              <w:pStyle w:val="84"/>
            </w:pPr>
            <w:r>
              <w:rPr>
                <w:rFonts w:hint="eastAsia"/>
              </w:rPr>
              <w:t>（</w:t>
            </w:r>
            <w:r>
              <w:t>2</w:t>
            </w:r>
            <w:r>
              <w:rPr>
                <w:rFonts w:hint="eastAsia"/>
              </w:rPr>
              <w:t>）</w:t>
            </w:r>
            <w:r>
              <w:rPr>
                <w:rFonts w:hint="eastAsia"/>
                <w:kern w:val="0"/>
              </w:rPr>
              <w:t>含毛麻楝、黄牛木的中草草丛</w:t>
            </w:r>
          </w:p>
        </w:tc>
      </w:tr>
      <w:tr w14:paraId="0BEE24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2176" w:type="dxa"/>
            <w:vAlign w:val="center"/>
          </w:tcPr>
          <w:p w14:paraId="1E146BEE">
            <w:pPr>
              <w:pStyle w:val="84"/>
            </w:pPr>
            <w:r>
              <w:rPr>
                <w:rFonts w:hint="eastAsia"/>
              </w:rPr>
              <w:t>三、</w:t>
            </w:r>
            <w:r>
              <w:rPr>
                <w:rFonts w:hint="eastAsia"/>
                <w:bCs/>
                <w:kern w:val="0"/>
              </w:rPr>
              <w:t>竹林</w:t>
            </w:r>
          </w:p>
        </w:tc>
        <w:tc>
          <w:tcPr>
            <w:tcW w:w="2836" w:type="dxa"/>
            <w:vAlign w:val="center"/>
          </w:tcPr>
          <w:p w14:paraId="6E981F5B">
            <w:pPr>
              <w:pStyle w:val="84"/>
            </w:pPr>
            <w:r>
              <w:t>3</w:t>
            </w:r>
            <w:r>
              <w:rPr>
                <w:rFonts w:hint="eastAsia"/>
              </w:rPr>
              <w:t>、</w:t>
            </w:r>
            <w:r>
              <w:rPr>
                <w:rFonts w:hint="eastAsia"/>
                <w:bCs/>
                <w:kern w:val="0"/>
              </w:rPr>
              <w:t>暖热性竹林</w:t>
            </w:r>
          </w:p>
        </w:tc>
        <w:tc>
          <w:tcPr>
            <w:tcW w:w="3403" w:type="dxa"/>
            <w:vAlign w:val="center"/>
          </w:tcPr>
          <w:p w14:paraId="723098A2">
            <w:pPr>
              <w:pStyle w:val="84"/>
            </w:pPr>
            <w:r>
              <w:rPr>
                <w:rFonts w:hint="eastAsia"/>
              </w:rPr>
              <w:t>（</w:t>
            </w:r>
            <w:r>
              <w:t>3</w:t>
            </w:r>
            <w:r>
              <w:rPr>
                <w:rFonts w:hint="eastAsia"/>
              </w:rPr>
              <w:t>）</w:t>
            </w:r>
            <w:r>
              <w:rPr>
                <w:rFonts w:hint="eastAsia"/>
                <w:bCs/>
                <w:kern w:val="0"/>
              </w:rPr>
              <w:t>凤尾竹林</w:t>
            </w:r>
          </w:p>
        </w:tc>
      </w:tr>
      <w:tr w14:paraId="648409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2176" w:type="dxa"/>
            <w:vMerge w:val="restart"/>
            <w:vAlign w:val="center"/>
          </w:tcPr>
          <w:p w14:paraId="1772EDF9">
            <w:pPr>
              <w:pStyle w:val="84"/>
            </w:pPr>
            <w:r>
              <w:rPr>
                <w:rFonts w:hint="eastAsia"/>
              </w:rPr>
              <w:t>四、</w:t>
            </w:r>
            <w:r>
              <w:rPr>
                <w:rFonts w:hint="eastAsia"/>
                <w:bCs/>
                <w:kern w:val="0"/>
              </w:rPr>
              <w:t>草丛</w:t>
            </w:r>
          </w:p>
        </w:tc>
        <w:tc>
          <w:tcPr>
            <w:tcW w:w="2836" w:type="dxa"/>
            <w:vMerge w:val="restart"/>
            <w:vAlign w:val="center"/>
          </w:tcPr>
          <w:p w14:paraId="1E5932A8">
            <w:pPr>
              <w:pStyle w:val="84"/>
            </w:pPr>
            <w:r>
              <w:rPr>
                <w:bCs/>
                <w:kern w:val="0"/>
              </w:rPr>
              <w:t>4</w:t>
            </w:r>
            <w:r>
              <w:rPr>
                <w:rFonts w:hint="eastAsia"/>
                <w:bCs/>
                <w:kern w:val="0"/>
              </w:rPr>
              <w:t>、杂草草丛</w:t>
            </w:r>
          </w:p>
        </w:tc>
        <w:tc>
          <w:tcPr>
            <w:tcW w:w="3403" w:type="dxa"/>
            <w:vAlign w:val="center"/>
          </w:tcPr>
          <w:p w14:paraId="0E962BD8">
            <w:pPr>
              <w:pStyle w:val="84"/>
            </w:pPr>
            <w:r>
              <w:rPr>
                <w:rFonts w:hint="eastAsia"/>
              </w:rPr>
              <w:t>（</w:t>
            </w:r>
            <w:r>
              <w:t>4</w:t>
            </w:r>
            <w:r>
              <w:rPr>
                <w:rFonts w:hint="eastAsia"/>
              </w:rPr>
              <w:t>）</w:t>
            </w:r>
            <w:r>
              <w:rPr>
                <w:rFonts w:hint="eastAsia"/>
                <w:bCs/>
                <w:kern w:val="0"/>
              </w:rPr>
              <w:t>肿柄菊草丛</w:t>
            </w:r>
          </w:p>
        </w:tc>
      </w:tr>
      <w:tr w14:paraId="4B810B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2176" w:type="dxa"/>
            <w:vMerge w:val="continue"/>
            <w:vAlign w:val="center"/>
          </w:tcPr>
          <w:p w14:paraId="0B09966B">
            <w:pPr>
              <w:pStyle w:val="84"/>
              <w:rPr>
                <w:rFonts w:eastAsia="宋体"/>
              </w:rPr>
            </w:pPr>
          </w:p>
        </w:tc>
        <w:tc>
          <w:tcPr>
            <w:tcW w:w="2836" w:type="dxa"/>
            <w:vMerge w:val="continue"/>
            <w:vAlign w:val="center"/>
          </w:tcPr>
          <w:p w14:paraId="3F9BFB56">
            <w:pPr>
              <w:pStyle w:val="84"/>
              <w:rPr>
                <w:rFonts w:eastAsia="宋体"/>
              </w:rPr>
            </w:pPr>
          </w:p>
        </w:tc>
        <w:tc>
          <w:tcPr>
            <w:tcW w:w="3403" w:type="dxa"/>
            <w:vAlign w:val="center"/>
          </w:tcPr>
          <w:p w14:paraId="6E426C7C">
            <w:pPr>
              <w:pStyle w:val="84"/>
            </w:pPr>
            <w:r>
              <w:rPr>
                <w:rFonts w:hint="eastAsia"/>
              </w:rPr>
              <w:t>（</w:t>
            </w:r>
            <w:r>
              <w:t>5</w:t>
            </w:r>
            <w:r>
              <w:rPr>
                <w:rFonts w:hint="eastAsia"/>
              </w:rPr>
              <w:t>）</w:t>
            </w:r>
            <w:r>
              <w:rPr>
                <w:rFonts w:hint="eastAsia"/>
                <w:bCs/>
                <w:kern w:val="0"/>
              </w:rPr>
              <w:t>飞机草草丛</w:t>
            </w:r>
          </w:p>
        </w:tc>
      </w:tr>
      <w:tr w14:paraId="3E5710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176" w:type="dxa"/>
            <w:vMerge w:val="continue"/>
            <w:vAlign w:val="center"/>
          </w:tcPr>
          <w:p w14:paraId="27029764">
            <w:pPr>
              <w:pStyle w:val="84"/>
              <w:rPr>
                <w:rFonts w:eastAsia="宋体"/>
              </w:rPr>
            </w:pPr>
          </w:p>
        </w:tc>
        <w:tc>
          <w:tcPr>
            <w:tcW w:w="2836" w:type="dxa"/>
            <w:vAlign w:val="center"/>
          </w:tcPr>
          <w:p w14:paraId="1557B039">
            <w:pPr>
              <w:pStyle w:val="84"/>
            </w:pPr>
            <w:r>
              <w:t>5</w:t>
            </w:r>
            <w:r>
              <w:rPr>
                <w:rFonts w:hint="eastAsia"/>
              </w:rPr>
              <w:t>、</w:t>
            </w:r>
            <w:r>
              <w:rPr>
                <w:rFonts w:hint="eastAsia"/>
                <w:bCs/>
                <w:kern w:val="0"/>
              </w:rPr>
              <w:t>热性草丛</w:t>
            </w:r>
          </w:p>
        </w:tc>
        <w:tc>
          <w:tcPr>
            <w:tcW w:w="3403" w:type="dxa"/>
            <w:vAlign w:val="center"/>
          </w:tcPr>
          <w:p w14:paraId="2A6BB78A">
            <w:pPr>
              <w:pStyle w:val="84"/>
            </w:pPr>
            <w:r>
              <w:rPr>
                <w:rFonts w:hint="eastAsia"/>
              </w:rPr>
              <w:t>（</w:t>
            </w:r>
            <w:r>
              <w:t>6</w:t>
            </w:r>
            <w:r>
              <w:rPr>
                <w:rFonts w:hint="eastAsia"/>
              </w:rPr>
              <w:t>）</w:t>
            </w:r>
            <w:r>
              <w:rPr>
                <w:rFonts w:hint="eastAsia"/>
                <w:bCs/>
                <w:kern w:val="0"/>
              </w:rPr>
              <w:t>卡开芦草丛</w:t>
            </w:r>
          </w:p>
        </w:tc>
      </w:tr>
    </w:tbl>
    <w:p w14:paraId="1FFE8448">
      <w:pPr>
        <w:spacing w:before="240"/>
        <w:ind w:firstLine="482"/>
        <w:rPr>
          <w:b/>
        </w:rPr>
      </w:pPr>
      <w:r>
        <w:rPr>
          <w:rFonts w:hint="eastAsia"/>
          <w:b/>
        </w:rPr>
        <w:t>A、季风常绿阔叶林</w:t>
      </w:r>
    </w:p>
    <w:p w14:paraId="2D1171A4">
      <w:pPr>
        <w:tabs>
          <w:tab w:val="left" w:pos="467"/>
        </w:tabs>
        <w:adjustRightInd w:val="0"/>
        <w:snapToGrid w:val="0"/>
        <w:ind w:firstLine="482"/>
        <w:rPr>
          <w:b/>
          <w:szCs w:val="24"/>
        </w:rPr>
      </w:pPr>
      <w:r>
        <w:rPr>
          <w:rFonts w:hint="eastAsia"/>
          <w:b/>
          <w:szCs w:val="24"/>
        </w:rPr>
        <w:t>西南桦、红木荷林</w:t>
      </w:r>
    </w:p>
    <w:p w14:paraId="1D4E2E69">
      <w:pPr>
        <w:tabs>
          <w:tab w:val="left" w:pos="467"/>
        </w:tabs>
        <w:adjustRightInd w:val="0"/>
        <w:snapToGrid w:val="0"/>
        <w:ind w:firstLine="480"/>
        <w:rPr>
          <w:kern w:val="16"/>
        </w:rPr>
      </w:pPr>
      <w:r>
        <w:rPr>
          <w:kern w:val="16"/>
        </w:rPr>
        <w:t>群落</w:t>
      </w:r>
      <w:r>
        <w:rPr>
          <w:rFonts w:hint="eastAsia"/>
          <w:kern w:val="16"/>
        </w:rPr>
        <w:t>仅存在于芒里电站附近，在评价区内所占面积很小。群落的原生植被应属于季风常绿</w:t>
      </w:r>
      <w:r>
        <w:rPr>
          <w:rFonts w:hint="eastAsia"/>
          <w:kern w:val="0"/>
        </w:rPr>
        <w:t>阔</w:t>
      </w:r>
      <w:r>
        <w:rPr>
          <w:rFonts w:hint="eastAsia"/>
          <w:kern w:val="16"/>
        </w:rPr>
        <w:t>叶林，但是由于人类砍伐侵扰落叶的西南桦逐渐将其取代形成次生林，</w:t>
      </w:r>
      <w:r>
        <w:rPr>
          <w:kern w:val="16"/>
        </w:rPr>
        <w:t>呈现出灰绿色的外貌。群落结构简单，一般明显地分为乔、灌、草三个层次</w:t>
      </w:r>
      <w:r>
        <w:rPr>
          <w:rFonts w:hint="eastAsia"/>
          <w:kern w:val="16"/>
        </w:rPr>
        <w:t>，</w:t>
      </w:r>
      <w:r>
        <w:rPr>
          <w:kern w:val="16"/>
        </w:rPr>
        <w:t>乔木层</w:t>
      </w:r>
      <w:r>
        <w:rPr>
          <w:rFonts w:hint="eastAsia"/>
          <w:kern w:val="0"/>
        </w:rPr>
        <w:t>高度约10m~12m，</w:t>
      </w:r>
      <w:r>
        <w:rPr>
          <w:kern w:val="16"/>
        </w:rPr>
        <w:t>覆盖度70%左右</w:t>
      </w:r>
      <w:r>
        <w:rPr>
          <w:rFonts w:hint="eastAsia"/>
          <w:kern w:val="16"/>
        </w:rPr>
        <w:t>，以西南桦、红木荷、</w:t>
      </w:r>
      <w:r>
        <w:rPr>
          <w:rFonts w:hint="eastAsia"/>
          <w:kern w:val="0"/>
        </w:rPr>
        <w:t>合欢</w:t>
      </w:r>
      <w:r>
        <w:rPr>
          <w:szCs w:val="24"/>
        </w:rPr>
        <w:t>（</w:t>
      </w:r>
      <w:r>
        <w:rPr>
          <w:i/>
          <w:szCs w:val="24"/>
        </w:rPr>
        <w:t>Acacia farnesiana</w:t>
      </w:r>
      <w:r>
        <w:rPr>
          <w:szCs w:val="24"/>
        </w:rPr>
        <w:t>）</w:t>
      </w:r>
      <w:r>
        <w:rPr>
          <w:rFonts w:hint="eastAsia"/>
          <w:kern w:val="0"/>
        </w:rPr>
        <w:t>、</w:t>
      </w:r>
      <w:r>
        <w:rPr>
          <w:rFonts w:hint="eastAsia"/>
        </w:rPr>
        <w:t>重阳木等为主</w:t>
      </w:r>
      <w:r>
        <w:rPr>
          <w:rFonts w:hint="eastAsia"/>
          <w:kern w:val="0"/>
        </w:rPr>
        <w:t>；灌木层高3m~4m，层盖度多在10%~20%之间，种类混杂，常见单叶泡花树、米饭花、岗柃、银柴</w:t>
      </w:r>
      <w:r>
        <w:rPr>
          <w:szCs w:val="24"/>
        </w:rPr>
        <w:t>（</w:t>
      </w:r>
      <w:r>
        <w:rPr>
          <w:i/>
          <w:szCs w:val="24"/>
        </w:rPr>
        <w:t>Aporusa dioica</w:t>
      </w:r>
      <w:r>
        <w:rPr>
          <w:szCs w:val="24"/>
        </w:rPr>
        <w:t>）</w:t>
      </w:r>
      <w:r>
        <w:rPr>
          <w:rFonts w:hint="eastAsia"/>
          <w:kern w:val="0"/>
        </w:rPr>
        <w:t>等；草本层高可达1.0m，层盖度10%~25%，常见种为竹叶草、崖爬藤、蔓生莠竹、冷水花、楼梯草、狗脊蕨</w:t>
      </w:r>
      <w:r>
        <w:rPr>
          <w:szCs w:val="24"/>
        </w:rPr>
        <w:t>（</w:t>
      </w:r>
      <w:r>
        <w:rPr>
          <w:i/>
          <w:szCs w:val="24"/>
        </w:rPr>
        <w:t>Woodwardia japonica</w:t>
      </w:r>
      <w:r>
        <w:rPr>
          <w:szCs w:val="24"/>
        </w:rPr>
        <w:t>）</w:t>
      </w:r>
      <w:r>
        <w:rPr>
          <w:rFonts w:hint="eastAsia"/>
          <w:kern w:val="0"/>
        </w:rPr>
        <w:t>等。</w:t>
      </w:r>
    </w:p>
    <w:p w14:paraId="33BFF7DE">
      <w:pPr>
        <w:ind w:firstLine="482"/>
        <w:rPr>
          <w:b/>
          <w:bCs/>
        </w:rPr>
      </w:pPr>
      <w:r>
        <w:rPr>
          <w:rFonts w:hint="eastAsia"/>
          <w:b/>
        </w:rPr>
        <w:t>B、稀树灌草丛</w:t>
      </w:r>
    </w:p>
    <w:p w14:paraId="4BC22945">
      <w:pPr>
        <w:ind w:firstLine="482"/>
        <w:rPr>
          <w:b/>
          <w:szCs w:val="24"/>
        </w:rPr>
      </w:pPr>
      <w:r>
        <w:rPr>
          <w:rFonts w:hint="eastAsia"/>
          <w:b/>
          <w:szCs w:val="24"/>
        </w:rPr>
        <w:t>含毛麻楝、黄牛木的中草草丛</w:t>
      </w:r>
    </w:p>
    <w:p w14:paraId="107BEDAD">
      <w:pPr>
        <w:ind w:firstLine="480"/>
        <w:rPr>
          <w:szCs w:val="24"/>
        </w:rPr>
      </w:pPr>
      <w:r>
        <w:rPr>
          <w:rFonts w:hint="eastAsia"/>
          <w:szCs w:val="24"/>
        </w:rPr>
        <w:t>该群落在芒市、瑞丽、陇川等宽谷两侧广泛分布，这些地段的原始植被为半常绿季雨林，由于长期人为干扰，加之土壤板结，才形成现在的次生稀树灌木草丛。该群落组成上以草本为优势，但稀疏夹杂有少量木本植物，主要是毛麻楝、黄牛木、粗糠柴、浆果楝等，偶见有歪叶榕、楹树，乔木层高度约6m~8m，盖度约5%~10%；灌木层有少量</w:t>
      </w:r>
      <w:r>
        <w:rPr>
          <w:rFonts w:hint="eastAsia"/>
        </w:rPr>
        <w:t>糙叶水锦树、云南银柴、地桃花等，高度0.2m~1.2m，盖度约5%~15%；草本层植物丰富，以阿拉伯黄背草、大白茅为主，伴生有菅、四脉金茅、粽叶芦、五节芒等，并可见有假杜鹃、火炭母、白花疏绒草、水蓼等。</w:t>
      </w:r>
    </w:p>
    <w:p w14:paraId="3CF4A4B2">
      <w:pPr>
        <w:ind w:firstLine="482"/>
        <w:rPr>
          <w:b/>
        </w:rPr>
      </w:pPr>
      <w:r>
        <w:rPr>
          <w:rFonts w:hint="eastAsia"/>
          <w:b/>
        </w:rPr>
        <w:t>C、竹林</w:t>
      </w:r>
    </w:p>
    <w:p w14:paraId="233EB99A">
      <w:pPr>
        <w:ind w:firstLine="480"/>
        <w:rPr>
          <w:szCs w:val="24"/>
        </w:rPr>
      </w:pPr>
      <w:r>
        <w:rPr>
          <w:rFonts w:hint="eastAsia"/>
          <w:szCs w:val="24"/>
        </w:rPr>
        <w:t>评价区内人类火烧、干扰频繁，原有的灌木层早已被取代，仅记录到和人类生活较为相关的一个灌丛类型-竹林。</w:t>
      </w:r>
    </w:p>
    <w:p w14:paraId="4C9D19F4">
      <w:pPr>
        <w:ind w:firstLine="482"/>
        <w:rPr>
          <w:b/>
          <w:szCs w:val="24"/>
        </w:rPr>
      </w:pPr>
      <w:r>
        <w:rPr>
          <w:rFonts w:hint="eastAsia"/>
          <w:b/>
          <w:szCs w:val="24"/>
        </w:rPr>
        <w:t>凤尾竹林</w:t>
      </w:r>
    </w:p>
    <w:p w14:paraId="53BA0B19">
      <w:pPr>
        <w:ind w:firstLine="480"/>
        <w:rPr>
          <w:szCs w:val="24"/>
        </w:rPr>
      </w:pPr>
      <w:r>
        <w:rPr>
          <w:rFonts w:hint="eastAsia"/>
          <w:szCs w:val="24"/>
        </w:rPr>
        <w:t>凤尾竹是云南特有竹类，该灌丛在评价区内呈簇状散生，工程区旁的村落均有分布，但面积较小，群落高度整齐约4.5m，盖度约70%，物种单一，以凤尾竹为单优种，仅在竹林边可见有肿柄菊、紫茎泽兰、藿香蓟等少量菊科植物。</w:t>
      </w:r>
    </w:p>
    <w:p w14:paraId="2596360D">
      <w:pPr>
        <w:ind w:firstLine="482"/>
        <w:rPr>
          <w:b/>
        </w:rPr>
      </w:pPr>
      <w:r>
        <w:rPr>
          <w:rFonts w:hint="eastAsia"/>
          <w:b/>
        </w:rPr>
        <w:t>D、草丛</w:t>
      </w:r>
    </w:p>
    <w:p w14:paraId="45B6B0FE">
      <w:pPr>
        <w:ind w:firstLine="482"/>
        <w:rPr>
          <w:b/>
        </w:rPr>
      </w:pPr>
      <w:r>
        <w:rPr>
          <w:rFonts w:hint="eastAsia"/>
          <w:b/>
        </w:rPr>
        <w:t>肿柄菊草丛</w:t>
      </w:r>
    </w:p>
    <w:p w14:paraId="6F43835D">
      <w:pPr>
        <w:ind w:firstLine="480"/>
        <w:rPr>
          <w:szCs w:val="24"/>
        </w:rPr>
      </w:pPr>
      <w:r>
        <w:rPr>
          <w:rFonts w:hint="eastAsia"/>
        </w:rPr>
        <w:t>由于电站附近人为痕迹较重，原生植被基本都被取代，周围村庄最明显的就是被肿柄菊</w:t>
      </w:r>
      <w:r>
        <w:rPr>
          <w:i/>
        </w:rPr>
        <w:t>Tithonia diversifolia</w:t>
      </w:r>
      <w:r>
        <w:rPr>
          <w:rFonts w:hint="eastAsia"/>
        </w:rPr>
        <w:t>、藿香蓟</w:t>
      </w:r>
      <w:r>
        <w:rPr>
          <w:i/>
          <w:szCs w:val="24"/>
        </w:rPr>
        <w:t>Ageratum conyzoides</w:t>
      </w:r>
      <w:r>
        <w:rPr>
          <w:rFonts w:hint="eastAsia"/>
        </w:rPr>
        <w:t>、紫茎泽兰</w:t>
      </w:r>
      <w:r>
        <w:rPr>
          <w:i/>
          <w:szCs w:val="24"/>
        </w:rPr>
        <w:t>Ageratina adenophora</w:t>
      </w:r>
      <w:r>
        <w:rPr>
          <w:rFonts w:hint="eastAsia"/>
        </w:rPr>
        <w:t>等所占据，其中肿柄菊占优势，群落高度约0.5m~0.8m，盖度60%以上，混杂有马唐</w:t>
      </w:r>
      <w:r>
        <w:rPr>
          <w:i/>
        </w:rPr>
        <w:t>Digitaria sanguinalis</w:t>
      </w:r>
      <w:r>
        <w:rPr>
          <w:rFonts w:hint="eastAsia"/>
        </w:rPr>
        <w:t>，狗尾草</w:t>
      </w:r>
      <w:r>
        <w:rPr>
          <w:i/>
        </w:rPr>
        <w:t xml:space="preserve">Setaria </w:t>
      </w:r>
      <w:r>
        <w:rPr>
          <w:rFonts w:hint="eastAsia"/>
          <w:i/>
        </w:rPr>
        <w:t>virid</w:t>
      </w:r>
      <w:r>
        <w:rPr>
          <w:rFonts w:hint="eastAsia"/>
        </w:rPr>
        <w:t>，求米草</w:t>
      </w:r>
      <w:r>
        <w:rPr>
          <w:i/>
          <w:szCs w:val="24"/>
        </w:rPr>
        <w:t>Oplismenus undulatifolius</w:t>
      </w:r>
      <w:r>
        <w:rPr>
          <w:rFonts w:hint="eastAsia"/>
        </w:rPr>
        <w:t>，飞机草</w:t>
      </w:r>
      <w:r>
        <w:rPr>
          <w:i/>
          <w:szCs w:val="24"/>
        </w:rPr>
        <w:t>Eupatorium odoratum</w:t>
      </w:r>
      <w:r>
        <w:rPr>
          <w:rFonts w:hint="eastAsia"/>
          <w:szCs w:val="24"/>
        </w:rPr>
        <w:t>等，该草丛分布虽然零散，但是总面积不小。由于人为干扰的持续加剧，该草丛的面积仍会进一步扩大。肿柄菊群落在拟建电站坝址旁及芒里大沟旁均有分布。</w:t>
      </w:r>
    </w:p>
    <w:p w14:paraId="121A79A6">
      <w:pPr>
        <w:ind w:firstLine="482"/>
        <w:rPr>
          <w:b/>
        </w:rPr>
      </w:pPr>
      <w:r>
        <w:rPr>
          <w:rFonts w:hint="eastAsia"/>
          <w:b/>
        </w:rPr>
        <w:t>飞机草草丛</w:t>
      </w:r>
    </w:p>
    <w:p w14:paraId="55E703BB">
      <w:pPr>
        <w:ind w:firstLine="480"/>
      </w:pPr>
      <w:r>
        <w:rPr>
          <w:rFonts w:hint="eastAsia"/>
          <w:szCs w:val="24"/>
        </w:rPr>
        <w:t>飞机草草丛有飞机草</w:t>
      </w:r>
      <w:r>
        <w:rPr>
          <w:i/>
          <w:szCs w:val="24"/>
        </w:rPr>
        <w:t>Eupatorium odoratum</w:t>
      </w:r>
      <w:r>
        <w:rPr>
          <w:rFonts w:hint="eastAsia"/>
          <w:szCs w:val="24"/>
        </w:rPr>
        <w:t>、紫茎泽兰</w:t>
      </w:r>
      <w:r>
        <w:rPr>
          <w:i/>
          <w:szCs w:val="24"/>
        </w:rPr>
        <w:t>Ageratina adenophora</w:t>
      </w:r>
      <w:r>
        <w:rPr>
          <w:rFonts w:hint="eastAsia"/>
          <w:szCs w:val="24"/>
        </w:rPr>
        <w:t>为优势，群落高度约0.6m~1.0m，盖度75%以上，夹杂有五色梅</w:t>
      </w:r>
      <w:r>
        <w:rPr>
          <w:i/>
          <w:szCs w:val="24"/>
        </w:rPr>
        <w:t>Lantana camara</w:t>
      </w:r>
      <w:r>
        <w:rPr>
          <w:rFonts w:hint="eastAsia"/>
          <w:szCs w:val="24"/>
        </w:rPr>
        <w:t>、藿香蓟</w:t>
      </w:r>
      <w:r>
        <w:rPr>
          <w:i/>
          <w:szCs w:val="24"/>
        </w:rPr>
        <w:t>Ageratum conyzoides</w:t>
      </w:r>
      <w:r>
        <w:rPr>
          <w:rFonts w:hint="eastAsia"/>
        </w:rPr>
        <w:t>、六棱菊</w:t>
      </w:r>
      <w:r>
        <w:rPr>
          <w:i/>
        </w:rPr>
        <w:t>Laggera alata</w:t>
      </w:r>
      <w:r>
        <w:rPr>
          <w:rFonts w:hint="eastAsia"/>
        </w:rPr>
        <w:t>、</w:t>
      </w:r>
      <w:r>
        <w:rPr>
          <w:szCs w:val="24"/>
        </w:rPr>
        <w:t>鬼针草</w:t>
      </w:r>
      <w:r>
        <w:rPr>
          <w:i/>
          <w:szCs w:val="24"/>
        </w:rPr>
        <w:t>Bidens bipinnata</w:t>
      </w:r>
      <w:r>
        <w:rPr>
          <w:rFonts w:hint="eastAsia"/>
          <w:szCs w:val="24"/>
        </w:rPr>
        <w:t>、</w:t>
      </w:r>
      <w:r>
        <w:rPr>
          <w:rFonts w:hint="eastAsia"/>
        </w:rPr>
        <w:t>等植物。草丛边缘偶见有牛筋草</w:t>
      </w:r>
      <w:r>
        <w:rPr>
          <w:i/>
        </w:rPr>
        <w:t>Eleusine indica</w:t>
      </w:r>
      <w:r>
        <w:rPr>
          <w:rFonts w:hint="eastAsia"/>
        </w:rPr>
        <w:t>、狗牙根</w:t>
      </w:r>
      <w:r>
        <w:rPr>
          <w:i/>
        </w:rPr>
        <w:t>Cynodon dactylon</w:t>
      </w:r>
      <w:r>
        <w:rPr>
          <w:rFonts w:hint="eastAsia"/>
          <w:i/>
        </w:rPr>
        <w:t>、</w:t>
      </w:r>
      <w:r>
        <w:rPr>
          <w:rFonts w:hint="eastAsia"/>
        </w:rPr>
        <w:t>密序野古草</w:t>
      </w:r>
      <w:r>
        <w:rPr>
          <w:i/>
        </w:rPr>
        <w:t>Arundinella bengalensis</w:t>
      </w:r>
      <w:r>
        <w:rPr>
          <w:rFonts w:hint="eastAsia"/>
        </w:rPr>
        <w:t>等。</w:t>
      </w:r>
      <w:r>
        <w:rPr>
          <w:rFonts w:hint="eastAsia" w:ascii="宋体" w:hAnsi="宋体" w:cs="宋体"/>
          <w:kern w:val="0"/>
        </w:rPr>
        <w:t>藿香蓟、飞机草草丛在芒市河两岸及淹没区均有分布。</w:t>
      </w:r>
    </w:p>
    <w:p w14:paraId="7D6A1574">
      <w:pPr>
        <w:ind w:firstLine="482"/>
        <w:rPr>
          <w:b/>
          <w:szCs w:val="24"/>
        </w:rPr>
      </w:pPr>
      <w:r>
        <w:rPr>
          <w:rFonts w:hint="eastAsia"/>
          <w:b/>
          <w:szCs w:val="24"/>
        </w:rPr>
        <w:t>卡开芦草丛</w:t>
      </w:r>
    </w:p>
    <w:p w14:paraId="7DDCDA0D">
      <w:pPr>
        <w:ind w:firstLine="480"/>
      </w:pPr>
      <w:r>
        <w:rPr>
          <w:rFonts w:hint="eastAsia"/>
          <w:szCs w:val="24"/>
        </w:rPr>
        <w:t>该群落仅存在于芒市河附近，水分充足的地方，群落高度1.0m~2.0m，群落盖度约60%，群落中卡开芦丛生为主，群落边缘有</w:t>
      </w:r>
      <w:r>
        <w:t>大白茅</w:t>
      </w:r>
      <w:r>
        <w:rPr>
          <w:i/>
        </w:rPr>
        <w:t>Imperata cylindrica</w:t>
      </w:r>
      <w:r>
        <w:t xml:space="preserve"> var</w:t>
      </w:r>
      <w:r>
        <w:rPr>
          <w:i/>
        </w:rPr>
        <w:t>. major</w:t>
      </w:r>
      <w:r>
        <w:rPr>
          <w:rFonts w:hint="eastAsia"/>
        </w:rPr>
        <w:t>、</w:t>
      </w:r>
      <w:r>
        <w:rPr>
          <w:rFonts w:hint="eastAsia"/>
          <w:szCs w:val="24"/>
        </w:rPr>
        <w:t>蒿类、蔗茅、石芒草等，还有少量</w:t>
      </w:r>
      <w:r>
        <w:t xml:space="preserve">白酒草 </w:t>
      </w:r>
      <w:r>
        <w:rPr>
          <w:i/>
        </w:rPr>
        <w:t>Conyza japonica</w:t>
      </w:r>
      <w:r>
        <w:rPr>
          <w:rFonts w:hint="eastAsia"/>
        </w:rPr>
        <w:t>、</w:t>
      </w:r>
      <w:r>
        <w:t xml:space="preserve">驳骨丹 </w:t>
      </w:r>
      <w:r>
        <w:rPr>
          <w:i/>
        </w:rPr>
        <w:t>Buddleja asiatica</w:t>
      </w:r>
      <w:r>
        <w:t>、硬杆子草</w:t>
      </w:r>
      <w:r>
        <w:rPr>
          <w:i/>
        </w:rPr>
        <w:t>Capillipedium assimile</w:t>
      </w:r>
      <w:r>
        <w:rPr>
          <w:rFonts w:hint="eastAsia"/>
        </w:rPr>
        <w:t>等。距离水边一段距离后还可见有毛麻楝幼苗。</w:t>
      </w:r>
    </w:p>
    <w:p w14:paraId="72ECB383">
      <w:pPr>
        <w:ind w:firstLine="482"/>
        <w:rPr>
          <w:b/>
        </w:rPr>
      </w:pPr>
      <w:r>
        <w:rPr>
          <w:rFonts w:hint="eastAsia"/>
          <w:b/>
        </w:rPr>
        <w:t>E、人工植被</w:t>
      </w:r>
    </w:p>
    <w:p w14:paraId="292FAE32">
      <w:pPr>
        <w:ind w:firstLine="480"/>
        <w:rPr>
          <w:szCs w:val="24"/>
        </w:rPr>
      </w:pPr>
      <w:r>
        <w:rPr>
          <w:szCs w:val="24"/>
        </w:rPr>
        <w:t>评价区人工植被主要有经济林</w:t>
      </w:r>
      <w:r>
        <w:rPr>
          <w:rFonts w:hint="eastAsia"/>
          <w:szCs w:val="24"/>
        </w:rPr>
        <w:t>（橡胶林、咖啡）</w:t>
      </w:r>
      <w:r>
        <w:rPr>
          <w:szCs w:val="24"/>
        </w:rPr>
        <w:t>和农田植被</w:t>
      </w:r>
      <w:r>
        <w:rPr>
          <w:rFonts w:hint="eastAsia"/>
          <w:szCs w:val="24"/>
        </w:rPr>
        <w:t>两</w:t>
      </w:r>
      <w:r>
        <w:rPr>
          <w:szCs w:val="24"/>
        </w:rPr>
        <w:t>类。</w:t>
      </w:r>
    </w:p>
    <w:p w14:paraId="066EFFBA">
      <w:pPr>
        <w:ind w:firstLine="482"/>
        <w:rPr>
          <w:b/>
          <w:szCs w:val="24"/>
        </w:rPr>
      </w:pPr>
      <w:r>
        <w:rPr>
          <w:rFonts w:hint="eastAsia"/>
          <w:b/>
          <w:szCs w:val="24"/>
        </w:rPr>
        <w:t>橡胶林</w:t>
      </w:r>
    </w:p>
    <w:p w14:paraId="7BD726F0">
      <w:pPr>
        <w:ind w:firstLine="480"/>
        <w:rPr>
          <w:szCs w:val="24"/>
        </w:rPr>
      </w:pPr>
      <w:r>
        <w:rPr>
          <w:rFonts w:hint="eastAsia"/>
          <w:szCs w:val="24"/>
        </w:rPr>
        <w:t>橡胶林是芒市、瑞丽地区常见的经济林，通常种植在水热条件充足的河边，种植较为集中，以纯橡胶树为主，林下物种较少，部分平缓地带种有咖啡，草本层以飞机草，紫茎泽兰，蕨类等较为多见。评价区内所见橡胶林距离电站相对较远。</w:t>
      </w:r>
    </w:p>
    <w:p w14:paraId="65A3F5D3">
      <w:pPr>
        <w:ind w:firstLine="482"/>
        <w:rPr>
          <w:b/>
          <w:szCs w:val="24"/>
        </w:rPr>
      </w:pPr>
      <w:r>
        <w:rPr>
          <w:rFonts w:hint="eastAsia"/>
          <w:b/>
          <w:szCs w:val="24"/>
        </w:rPr>
        <w:t>农田植被</w:t>
      </w:r>
    </w:p>
    <w:p w14:paraId="34C70974">
      <w:pPr>
        <w:ind w:firstLine="480"/>
        <w:rPr>
          <w:szCs w:val="24"/>
        </w:rPr>
      </w:pPr>
      <w:r>
        <w:rPr>
          <w:szCs w:val="24"/>
        </w:rPr>
        <w:t>农田植被是指以粮食油料等为主的农作物植被，包括旱地植被和水田植被。评价区</w:t>
      </w:r>
      <w:r>
        <w:rPr>
          <w:rFonts w:hint="eastAsia"/>
          <w:szCs w:val="24"/>
        </w:rPr>
        <w:t>罕见有</w:t>
      </w:r>
      <w:r>
        <w:rPr>
          <w:szCs w:val="24"/>
        </w:rPr>
        <w:t>水田</w:t>
      </w:r>
      <w:r>
        <w:rPr>
          <w:rFonts w:hint="eastAsia"/>
          <w:szCs w:val="24"/>
        </w:rPr>
        <w:t>，几乎都是旱地作物，最常见的农作物为甘蔗，另可见有少量玉米可见。</w:t>
      </w:r>
    </w:p>
    <w:tbl>
      <w:tblPr>
        <w:tblStyle w:val="56"/>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6D543C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4261" w:type="dxa"/>
            <w:vAlign w:val="center"/>
          </w:tcPr>
          <w:p w14:paraId="15448ADF">
            <w:pPr>
              <w:pStyle w:val="84"/>
              <w:rPr>
                <w:rFonts w:ascii="宋体" w:hAnsi="宋体" w:cs="宋体"/>
                <w:kern w:val="0"/>
              </w:rPr>
            </w:pPr>
            <w:r>
              <w:rPr>
                <w:rFonts w:ascii="宋体" w:hAnsi="宋体" w:cs="宋体"/>
                <w:kern w:val="0"/>
              </w:rPr>
              <w:drawing>
                <wp:inline distT="0" distB="0" distL="0" distR="0">
                  <wp:extent cx="2447290" cy="1835150"/>
                  <wp:effectExtent l="0" t="0" r="0" b="0"/>
                  <wp:docPr id="30" name="图片 30" descr="E:\1项目\1送审稿\2报告书\17团结电站2015.12.10\0资料\生态\藿香蓟、飞机草草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1项目\1送审稿\2报告书\17团结电站2015.12.10\0资料\生态\藿香蓟、飞机草草丛.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54839" cy="1840797"/>
                          </a:xfrm>
                          <a:prstGeom prst="rect">
                            <a:avLst/>
                          </a:prstGeom>
                          <a:noFill/>
                          <a:ln>
                            <a:noFill/>
                          </a:ln>
                        </pic:spPr>
                      </pic:pic>
                    </a:graphicData>
                  </a:graphic>
                </wp:inline>
              </w:drawing>
            </w:r>
          </w:p>
        </w:tc>
        <w:tc>
          <w:tcPr>
            <w:tcW w:w="4261" w:type="dxa"/>
            <w:vAlign w:val="center"/>
          </w:tcPr>
          <w:p w14:paraId="2241473C">
            <w:pPr>
              <w:pStyle w:val="84"/>
              <w:rPr>
                <w:rFonts w:ascii="宋体" w:hAnsi="宋体" w:cs="宋体"/>
                <w:kern w:val="0"/>
              </w:rPr>
            </w:pPr>
            <w:r>
              <w:rPr>
                <w:rFonts w:ascii="宋体" w:hAnsi="宋体" w:cs="宋体"/>
                <w:kern w:val="0"/>
              </w:rPr>
              <w:drawing>
                <wp:inline distT="0" distB="0" distL="0" distR="0">
                  <wp:extent cx="2447290" cy="1835150"/>
                  <wp:effectExtent l="0" t="0" r="0" b="0"/>
                  <wp:docPr id="31" name="图片 31" descr="E:\1项目\1送审稿\2报告书\17团结电站2015.12.10\0资料\生态\肿柄菊群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1项目\1送审稿\2报告书\17团结电站2015.12.10\0资料\生态\肿柄菊群落.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56394" cy="1841965"/>
                          </a:xfrm>
                          <a:prstGeom prst="rect">
                            <a:avLst/>
                          </a:prstGeom>
                          <a:noFill/>
                          <a:ln>
                            <a:noFill/>
                          </a:ln>
                        </pic:spPr>
                      </pic:pic>
                    </a:graphicData>
                  </a:graphic>
                </wp:inline>
              </w:drawing>
            </w:r>
          </w:p>
        </w:tc>
      </w:tr>
      <w:tr w14:paraId="2D269F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4261" w:type="dxa"/>
            <w:vAlign w:val="center"/>
          </w:tcPr>
          <w:p w14:paraId="548A3942">
            <w:pPr>
              <w:pStyle w:val="84"/>
              <w:rPr>
                <w:rFonts w:ascii="宋体" w:hAnsi="宋体" w:cs="宋体"/>
                <w:kern w:val="0"/>
              </w:rPr>
            </w:pPr>
            <w:r>
              <w:rPr>
                <w:rFonts w:hint="eastAsia" w:ascii="宋体" w:hAnsi="宋体" w:cs="宋体"/>
                <w:kern w:val="0"/>
              </w:rPr>
              <w:t>藿香蓟、飞机草草丛（芒市河岸边）</w:t>
            </w:r>
          </w:p>
        </w:tc>
        <w:tc>
          <w:tcPr>
            <w:tcW w:w="4261" w:type="dxa"/>
            <w:vAlign w:val="center"/>
          </w:tcPr>
          <w:p w14:paraId="12EB3D9D">
            <w:pPr>
              <w:pStyle w:val="84"/>
              <w:rPr>
                <w:rFonts w:ascii="宋体" w:hAnsi="宋体" w:cs="宋体"/>
                <w:kern w:val="0"/>
              </w:rPr>
            </w:pPr>
            <w:r>
              <w:rPr>
                <w:rFonts w:hint="eastAsia" w:ascii="宋体" w:hAnsi="宋体" w:cs="宋体"/>
                <w:kern w:val="0"/>
              </w:rPr>
              <w:t>肿柄菊群落（芒里大沟旁）</w:t>
            </w:r>
          </w:p>
        </w:tc>
      </w:tr>
      <w:tr w14:paraId="795AA6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4261" w:type="dxa"/>
            <w:vAlign w:val="center"/>
          </w:tcPr>
          <w:p w14:paraId="091C9104">
            <w:pPr>
              <w:pStyle w:val="84"/>
              <w:rPr>
                <w:rFonts w:ascii="宋体" w:hAnsi="宋体" w:cs="宋体"/>
                <w:kern w:val="0"/>
              </w:rPr>
            </w:pPr>
            <w:r>
              <w:rPr>
                <w:rFonts w:ascii="宋体" w:hAnsi="宋体" w:cs="宋体"/>
                <w:kern w:val="0"/>
              </w:rPr>
              <w:drawing>
                <wp:inline distT="0" distB="0" distL="0" distR="0">
                  <wp:extent cx="2472690" cy="1854200"/>
                  <wp:effectExtent l="0" t="0" r="3810" b="0"/>
                  <wp:docPr id="32" name="图片 32" descr="E:\1项目\1送审稿\2报告书\17团结电站2015.12.10\0资料\生态\大白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1项目\1送审稿\2报告书\17团结电站2015.12.10\0资料\生态\大白茅.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490843" cy="1867798"/>
                          </a:xfrm>
                          <a:prstGeom prst="rect">
                            <a:avLst/>
                          </a:prstGeom>
                          <a:noFill/>
                          <a:ln>
                            <a:noFill/>
                          </a:ln>
                        </pic:spPr>
                      </pic:pic>
                    </a:graphicData>
                  </a:graphic>
                </wp:inline>
              </w:drawing>
            </w:r>
          </w:p>
        </w:tc>
        <w:tc>
          <w:tcPr>
            <w:tcW w:w="4261" w:type="dxa"/>
            <w:vAlign w:val="center"/>
          </w:tcPr>
          <w:p w14:paraId="697673E7">
            <w:pPr>
              <w:pStyle w:val="84"/>
              <w:rPr>
                <w:rFonts w:ascii="宋体" w:hAnsi="宋体" w:cs="宋体"/>
                <w:kern w:val="0"/>
              </w:rPr>
            </w:pPr>
            <w:r>
              <w:rPr>
                <w:rFonts w:ascii="宋体" w:hAnsi="宋体" w:cs="宋体"/>
                <w:kern w:val="0"/>
              </w:rPr>
              <w:drawing>
                <wp:inline distT="0" distB="0" distL="0" distR="0">
                  <wp:extent cx="2447290" cy="1835150"/>
                  <wp:effectExtent l="0" t="0" r="0" b="0"/>
                  <wp:docPr id="33" name="图片 33" descr="E:\1项目\1送审稿\2报告书\17团结电站2015.12.10\0资料\生态\对叶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1项目\1送审稿\2报告书\17团结电站2015.12.10\0资料\生态\对叶榕.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457094" cy="1842488"/>
                          </a:xfrm>
                          <a:prstGeom prst="rect">
                            <a:avLst/>
                          </a:prstGeom>
                          <a:noFill/>
                          <a:ln>
                            <a:noFill/>
                          </a:ln>
                        </pic:spPr>
                      </pic:pic>
                    </a:graphicData>
                  </a:graphic>
                </wp:inline>
              </w:drawing>
            </w:r>
          </w:p>
        </w:tc>
      </w:tr>
      <w:tr w14:paraId="663416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261" w:type="dxa"/>
            <w:vAlign w:val="center"/>
          </w:tcPr>
          <w:p w14:paraId="6388FEDF">
            <w:pPr>
              <w:pStyle w:val="84"/>
              <w:rPr>
                <w:rFonts w:ascii="宋体" w:hAnsi="宋体" w:cs="宋体"/>
                <w:kern w:val="0"/>
              </w:rPr>
            </w:pPr>
            <w:r>
              <w:rPr>
                <w:rFonts w:hint="eastAsia" w:ascii="宋体" w:hAnsi="宋体" w:cs="宋体"/>
                <w:kern w:val="0"/>
              </w:rPr>
              <w:t>大白茅（坝址处）</w:t>
            </w:r>
          </w:p>
        </w:tc>
        <w:tc>
          <w:tcPr>
            <w:tcW w:w="4261" w:type="dxa"/>
            <w:vAlign w:val="center"/>
          </w:tcPr>
          <w:p w14:paraId="2A2FD1C0">
            <w:pPr>
              <w:pStyle w:val="84"/>
              <w:rPr>
                <w:rFonts w:ascii="宋体" w:hAnsi="宋体" w:cs="宋体"/>
                <w:kern w:val="0"/>
              </w:rPr>
            </w:pPr>
            <w:r>
              <w:rPr>
                <w:rFonts w:hint="eastAsia" w:ascii="宋体" w:hAnsi="宋体" w:cs="宋体"/>
                <w:kern w:val="0"/>
              </w:rPr>
              <w:t>对叶榕（厂房处）</w:t>
            </w:r>
          </w:p>
        </w:tc>
      </w:tr>
      <w:tr w14:paraId="4F13A9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4261" w:type="dxa"/>
            <w:vAlign w:val="center"/>
          </w:tcPr>
          <w:p w14:paraId="289472F8">
            <w:pPr>
              <w:pStyle w:val="84"/>
              <w:rPr>
                <w:rFonts w:ascii="宋体" w:hAnsi="宋体" w:cs="宋体"/>
                <w:kern w:val="0"/>
              </w:rPr>
            </w:pPr>
            <w:r>
              <w:rPr>
                <w:rFonts w:ascii="宋体" w:hAnsi="宋体" w:cs="宋体"/>
                <w:kern w:val="0"/>
              </w:rPr>
              <w:drawing>
                <wp:inline distT="0" distB="0" distL="0" distR="0">
                  <wp:extent cx="2447290" cy="1835150"/>
                  <wp:effectExtent l="0" t="0" r="0" b="0"/>
                  <wp:docPr id="34" name="图片 34" descr="E:\1项目\1送审稿\2报告书\17团结电站2015.12.10\0资料\生态\凤尾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1项目\1送审稿\2报告书\17团结电站2015.12.10\0资料\生态\凤尾竹.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458715" cy="1843704"/>
                          </a:xfrm>
                          <a:prstGeom prst="rect">
                            <a:avLst/>
                          </a:prstGeom>
                          <a:noFill/>
                          <a:ln>
                            <a:noFill/>
                          </a:ln>
                        </pic:spPr>
                      </pic:pic>
                    </a:graphicData>
                  </a:graphic>
                </wp:inline>
              </w:drawing>
            </w:r>
          </w:p>
        </w:tc>
        <w:tc>
          <w:tcPr>
            <w:tcW w:w="4261" w:type="dxa"/>
            <w:vAlign w:val="center"/>
          </w:tcPr>
          <w:p w14:paraId="2A400A75">
            <w:pPr>
              <w:pStyle w:val="84"/>
              <w:rPr>
                <w:rFonts w:ascii="宋体" w:hAnsi="宋体" w:cs="宋体"/>
                <w:kern w:val="0"/>
              </w:rPr>
            </w:pPr>
            <w:r>
              <w:rPr>
                <w:rFonts w:ascii="宋体" w:hAnsi="宋体" w:cs="宋体"/>
                <w:kern w:val="0"/>
              </w:rPr>
              <w:drawing>
                <wp:inline distT="0" distB="0" distL="0" distR="0">
                  <wp:extent cx="2433955" cy="1824990"/>
                  <wp:effectExtent l="0" t="0" r="4445" b="3810"/>
                  <wp:docPr id="7" name="图片 7" descr="E:\1项目\1送审稿\2报告书\17团结电站2015.12.10\0资料\生态\楹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1项目\1送审稿\2报告书\17团结电站2015.12.10\0资料\生态\楹树.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441245" cy="1830601"/>
                          </a:xfrm>
                          <a:prstGeom prst="rect">
                            <a:avLst/>
                          </a:prstGeom>
                          <a:noFill/>
                          <a:ln>
                            <a:noFill/>
                          </a:ln>
                        </pic:spPr>
                      </pic:pic>
                    </a:graphicData>
                  </a:graphic>
                </wp:inline>
              </w:drawing>
            </w:r>
          </w:p>
        </w:tc>
      </w:tr>
      <w:tr w14:paraId="18CCC1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4261" w:type="dxa"/>
            <w:vAlign w:val="center"/>
          </w:tcPr>
          <w:p w14:paraId="2DAFE1CF">
            <w:pPr>
              <w:pStyle w:val="84"/>
              <w:rPr>
                <w:rFonts w:ascii="宋体" w:hAnsi="宋体" w:cs="宋体"/>
                <w:kern w:val="0"/>
              </w:rPr>
            </w:pPr>
            <w:r>
              <w:rPr>
                <w:rFonts w:hint="eastAsia" w:ascii="宋体" w:hAnsi="宋体" w:cs="宋体"/>
                <w:kern w:val="0"/>
              </w:rPr>
              <w:t>凤尾竹（芒里大沟旁）</w:t>
            </w:r>
          </w:p>
        </w:tc>
        <w:tc>
          <w:tcPr>
            <w:tcW w:w="4261" w:type="dxa"/>
            <w:vAlign w:val="center"/>
          </w:tcPr>
          <w:p w14:paraId="44B83461">
            <w:pPr>
              <w:pStyle w:val="84"/>
              <w:rPr>
                <w:rFonts w:ascii="宋体" w:hAnsi="宋体" w:cs="宋体"/>
                <w:kern w:val="0"/>
              </w:rPr>
            </w:pPr>
            <w:r>
              <w:rPr>
                <w:rFonts w:hint="eastAsia" w:ascii="宋体" w:hAnsi="宋体" w:cs="宋体"/>
                <w:kern w:val="0"/>
              </w:rPr>
              <w:t>楹树（厂房处）</w:t>
            </w:r>
          </w:p>
        </w:tc>
      </w:tr>
    </w:tbl>
    <w:p w14:paraId="116FCE40">
      <w:pPr>
        <w:pStyle w:val="82"/>
        <w:framePr w:hSpace="0" w:wrap="auto" w:vAnchor="margin" w:hAnchor="text" w:xAlign="left" w:yAlign="inline"/>
        <w:spacing w:before="100" w:after="120" w:afterLines="50"/>
      </w:pPr>
      <w:bookmarkStart w:id="595" w:name="_Toc471738023"/>
      <w:r>
        <w:rPr>
          <w:rFonts w:hint="eastAsia"/>
        </w:rPr>
        <w:t>图5-1-1  评价范围内生态现状调查部分照片（主要为工程区）</w:t>
      </w:r>
    </w:p>
    <w:p w14:paraId="126B5612">
      <w:pPr>
        <w:pStyle w:val="113"/>
      </w:pPr>
      <w:bookmarkStart w:id="596" w:name="_Toc508642471"/>
      <w:r>
        <w:rPr>
          <w:rFonts w:hint="eastAsia"/>
        </w:rPr>
        <w:t>5.1.3野生动物及其生境现状调查</w:t>
      </w:r>
      <w:bookmarkEnd w:id="595"/>
      <w:bookmarkEnd w:id="596"/>
    </w:p>
    <w:p w14:paraId="18D749A9">
      <w:pPr>
        <w:ind w:firstLine="480"/>
        <w:rPr>
          <w:szCs w:val="24"/>
        </w:rPr>
      </w:pPr>
      <w:r>
        <w:rPr>
          <w:szCs w:val="24"/>
        </w:rPr>
        <w:t>课题组于20</w:t>
      </w:r>
      <w:r>
        <w:rPr>
          <w:rFonts w:hint="eastAsia"/>
          <w:szCs w:val="24"/>
        </w:rPr>
        <w:t>16</w:t>
      </w:r>
      <w:r>
        <w:rPr>
          <w:szCs w:val="24"/>
        </w:rPr>
        <w:t>年</w:t>
      </w:r>
      <w:r>
        <w:rPr>
          <w:rFonts w:hint="eastAsia"/>
          <w:szCs w:val="24"/>
        </w:rPr>
        <w:t>1</w:t>
      </w:r>
      <w:r>
        <w:rPr>
          <w:szCs w:val="24"/>
        </w:rPr>
        <w:t>月对</w:t>
      </w:r>
      <w:r>
        <w:rPr>
          <w:rFonts w:hint="eastAsia"/>
          <w:szCs w:val="24"/>
        </w:rPr>
        <w:t>团结水电站涉及的芒市河流域</w:t>
      </w:r>
      <w:r>
        <w:rPr>
          <w:szCs w:val="24"/>
        </w:rPr>
        <w:t>及邻近地区的陆栖脊椎动物进行了调查。野外调查工作的重点为</w:t>
      </w:r>
      <w:r>
        <w:rPr>
          <w:rFonts w:hint="eastAsia"/>
          <w:szCs w:val="24"/>
        </w:rPr>
        <w:t>坝址、厂房、周边渣场、运输道路</w:t>
      </w:r>
      <w:r>
        <w:rPr>
          <w:szCs w:val="24"/>
        </w:rPr>
        <w:t>沿</w:t>
      </w:r>
      <w:r>
        <w:rPr>
          <w:rFonts w:hint="eastAsia"/>
          <w:szCs w:val="24"/>
        </w:rPr>
        <w:t>线</w:t>
      </w:r>
      <w:r>
        <w:rPr>
          <w:szCs w:val="24"/>
        </w:rPr>
        <w:t>，其次是与流域内相邻的地区。野外调查中，主要观察记录了陆栖脊椎动物的生境状况；询问</w:t>
      </w:r>
      <w:r>
        <w:rPr>
          <w:rFonts w:hint="eastAsia"/>
          <w:szCs w:val="24"/>
        </w:rPr>
        <w:t>了</w:t>
      </w:r>
      <w:r>
        <w:rPr>
          <w:szCs w:val="24"/>
        </w:rPr>
        <w:t>有关野生脊椎动物的情况</w:t>
      </w:r>
      <w:r>
        <w:rPr>
          <w:rFonts w:hint="eastAsia"/>
          <w:szCs w:val="24"/>
        </w:rPr>
        <w:t>，</w:t>
      </w:r>
      <w:r>
        <w:rPr>
          <w:szCs w:val="24"/>
        </w:rPr>
        <w:t>调阅相关资料</w:t>
      </w:r>
      <w:r>
        <w:rPr>
          <w:rFonts w:hint="eastAsia"/>
          <w:szCs w:val="24"/>
        </w:rPr>
        <w:t>，并</w:t>
      </w:r>
      <w:r>
        <w:rPr>
          <w:szCs w:val="24"/>
        </w:rPr>
        <w:t>查阅</w:t>
      </w:r>
      <w:r>
        <w:rPr>
          <w:rFonts w:hint="eastAsia"/>
          <w:szCs w:val="24"/>
        </w:rPr>
        <w:t>和</w:t>
      </w:r>
      <w:r>
        <w:rPr>
          <w:szCs w:val="24"/>
        </w:rPr>
        <w:t>收集了已发表的相关文献资料；鸟类调查主要使用双筒望远镜观察记录。</w:t>
      </w:r>
    </w:p>
    <w:p w14:paraId="11E7F99D">
      <w:pPr>
        <w:ind w:firstLine="482"/>
        <w:rPr>
          <w:b/>
          <w:szCs w:val="24"/>
        </w:rPr>
      </w:pPr>
      <w:r>
        <w:rPr>
          <w:rFonts w:hint="eastAsia"/>
          <w:b/>
          <w:szCs w:val="24"/>
        </w:rPr>
        <w:t>1、</w:t>
      </w:r>
      <w:r>
        <w:rPr>
          <w:b/>
          <w:szCs w:val="24"/>
        </w:rPr>
        <w:t>两栖类</w:t>
      </w:r>
    </w:p>
    <w:p w14:paraId="4391F542">
      <w:pPr>
        <w:ind w:firstLine="480"/>
      </w:pPr>
      <w:r>
        <w:t>评价区内共记录两栖动物</w:t>
      </w:r>
      <w:r>
        <w:rPr>
          <w:rFonts w:hint="eastAsia"/>
        </w:rPr>
        <w:t>8</w:t>
      </w:r>
      <w:r>
        <w:t>种，隶属于1目</w:t>
      </w:r>
      <w:r>
        <w:rPr>
          <w:rFonts w:hint="eastAsia"/>
        </w:rPr>
        <w:t>4</w:t>
      </w:r>
      <w:r>
        <w:t>科</w:t>
      </w:r>
      <w:r>
        <w:rPr>
          <w:rFonts w:hint="eastAsia"/>
        </w:rPr>
        <w:t>，见下表：</w:t>
      </w:r>
    </w:p>
    <w:p w14:paraId="4A2DEA4A">
      <w:pPr>
        <w:pStyle w:val="82"/>
        <w:framePr w:hSpace="0" w:wrap="auto" w:vAnchor="margin" w:hAnchor="text" w:xAlign="left" w:yAlign="inline"/>
      </w:pPr>
      <w:r>
        <w:rPr>
          <w:rFonts w:hint="eastAsia"/>
        </w:rPr>
        <w:t>表5-1-4   评价区两栖类组成</w:t>
      </w:r>
    </w:p>
    <w:tbl>
      <w:tblPr>
        <w:tblStyle w:val="56"/>
        <w:tblW w:w="5123" w:type="pct"/>
        <w:tblInd w:w="0" w:type="dxa"/>
        <w:tblBorders>
          <w:top w:val="single" w:color="auto" w:sz="2" w:space="0"/>
          <w:left w:val="none" w:color="auto" w:sz="0" w:space="0"/>
          <w:bottom w:val="single" w:color="auto" w:sz="4"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171"/>
        <w:gridCol w:w="3821"/>
        <w:gridCol w:w="1740"/>
      </w:tblGrid>
      <w:tr w14:paraId="6E7538FD">
        <w:tblPrEx>
          <w:tblBorders>
            <w:top w:val="single" w:color="auto" w:sz="2"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8" w:hRule="atLeast"/>
        </w:trPr>
        <w:tc>
          <w:tcPr>
            <w:tcW w:w="1816" w:type="pct"/>
            <w:shd w:val="clear" w:color="auto" w:fill="auto"/>
            <w:noWrap/>
            <w:vAlign w:val="center"/>
          </w:tcPr>
          <w:p w14:paraId="03F33C83">
            <w:pPr>
              <w:pStyle w:val="84"/>
            </w:pPr>
            <w:r>
              <w:t>目</w:t>
            </w:r>
          </w:p>
        </w:tc>
        <w:tc>
          <w:tcPr>
            <w:tcW w:w="2188" w:type="pct"/>
            <w:shd w:val="clear" w:color="auto" w:fill="auto"/>
            <w:noWrap/>
            <w:vAlign w:val="center"/>
          </w:tcPr>
          <w:p w14:paraId="4413306D">
            <w:pPr>
              <w:pStyle w:val="84"/>
            </w:pPr>
            <w:r>
              <w:t>科</w:t>
            </w:r>
          </w:p>
        </w:tc>
        <w:tc>
          <w:tcPr>
            <w:tcW w:w="996" w:type="pct"/>
            <w:shd w:val="clear" w:color="auto" w:fill="auto"/>
            <w:noWrap/>
            <w:vAlign w:val="center"/>
          </w:tcPr>
          <w:p w14:paraId="2D22ADC7">
            <w:pPr>
              <w:pStyle w:val="84"/>
            </w:pPr>
            <w:r>
              <w:t>种数</w:t>
            </w:r>
          </w:p>
        </w:tc>
      </w:tr>
      <w:tr w14:paraId="22B23E58">
        <w:tblPrEx>
          <w:tblBorders>
            <w:top w:val="single" w:color="auto" w:sz="2"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8" w:hRule="atLeast"/>
        </w:trPr>
        <w:tc>
          <w:tcPr>
            <w:tcW w:w="1816" w:type="pct"/>
            <w:vMerge w:val="restart"/>
            <w:shd w:val="clear" w:color="auto" w:fill="auto"/>
            <w:noWrap/>
            <w:vAlign w:val="center"/>
          </w:tcPr>
          <w:p w14:paraId="3951022D">
            <w:pPr>
              <w:pStyle w:val="84"/>
            </w:pPr>
            <w:r>
              <w:t>无尾目ANURA</w:t>
            </w:r>
          </w:p>
        </w:tc>
        <w:tc>
          <w:tcPr>
            <w:tcW w:w="2188" w:type="pct"/>
            <w:shd w:val="clear" w:color="auto" w:fill="auto"/>
            <w:noWrap/>
            <w:vAlign w:val="bottom"/>
          </w:tcPr>
          <w:p w14:paraId="2DC9C9D7">
            <w:pPr>
              <w:pStyle w:val="84"/>
            </w:pPr>
            <w:r>
              <w:t>蛙科Ranidae</w:t>
            </w:r>
          </w:p>
        </w:tc>
        <w:tc>
          <w:tcPr>
            <w:tcW w:w="996" w:type="pct"/>
            <w:shd w:val="clear" w:color="auto" w:fill="auto"/>
            <w:noWrap/>
            <w:vAlign w:val="bottom"/>
          </w:tcPr>
          <w:p w14:paraId="4F123043">
            <w:pPr>
              <w:pStyle w:val="84"/>
            </w:pPr>
            <w:r>
              <w:t>3</w:t>
            </w:r>
          </w:p>
        </w:tc>
      </w:tr>
      <w:tr w14:paraId="7C396969">
        <w:tblPrEx>
          <w:tblBorders>
            <w:top w:val="single" w:color="auto" w:sz="2"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8" w:hRule="atLeast"/>
        </w:trPr>
        <w:tc>
          <w:tcPr>
            <w:tcW w:w="1816" w:type="pct"/>
            <w:vMerge w:val="continue"/>
            <w:shd w:val="clear" w:color="auto" w:fill="auto"/>
            <w:noWrap/>
            <w:vAlign w:val="bottom"/>
          </w:tcPr>
          <w:p w14:paraId="1813FBCE">
            <w:pPr>
              <w:pStyle w:val="84"/>
            </w:pPr>
          </w:p>
        </w:tc>
        <w:tc>
          <w:tcPr>
            <w:tcW w:w="2188" w:type="pct"/>
            <w:shd w:val="clear" w:color="auto" w:fill="auto"/>
            <w:noWrap/>
            <w:vAlign w:val="bottom"/>
          </w:tcPr>
          <w:p w14:paraId="27F8A5A2">
            <w:pPr>
              <w:pStyle w:val="84"/>
            </w:pPr>
            <w:r>
              <w:t>姬蛙科Microhyla</w:t>
            </w:r>
          </w:p>
        </w:tc>
        <w:tc>
          <w:tcPr>
            <w:tcW w:w="996" w:type="pct"/>
            <w:shd w:val="clear" w:color="auto" w:fill="auto"/>
            <w:noWrap/>
            <w:vAlign w:val="bottom"/>
          </w:tcPr>
          <w:p w14:paraId="28C2F2CB">
            <w:pPr>
              <w:pStyle w:val="84"/>
            </w:pPr>
            <w:r>
              <w:t>2</w:t>
            </w:r>
          </w:p>
        </w:tc>
      </w:tr>
      <w:tr w14:paraId="02705702">
        <w:tblPrEx>
          <w:tblBorders>
            <w:top w:val="single" w:color="auto" w:sz="2"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8" w:hRule="atLeast"/>
        </w:trPr>
        <w:tc>
          <w:tcPr>
            <w:tcW w:w="1816" w:type="pct"/>
            <w:vMerge w:val="continue"/>
            <w:shd w:val="clear" w:color="auto" w:fill="auto"/>
            <w:noWrap/>
            <w:vAlign w:val="bottom"/>
          </w:tcPr>
          <w:p w14:paraId="1F5F6438">
            <w:pPr>
              <w:pStyle w:val="84"/>
            </w:pPr>
          </w:p>
        </w:tc>
        <w:tc>
          <w:tcPr>
            <w:tcW w:w="2188" w:type="pct"/>
            <w:shd w:val="clear" w:color="auto" w:fill="auto"/>
            <w:noWrap/>
            <w:vAlign w:val="bottom"/>
          </w:tcPr>
          <w:p w14:paraId="1F575EAB">
            <w:pPr>
              <w:pStyle w:val="84"/>
            </w:pPr>
            <w:r>
              <w:t>树蛙科Rhacophoridae</w:t>
            </w:r>
          </w:p>
        </w:tc>
        <w:tc>
          <w:tcPr>
            <w:tcW w:w="996" w:type="pct"/>
            <w:shd w:val="clear" w:color="auto" w:fill="auto"/>
            <w:noWrap/>
            <w:vAlign w:val="bottom"/>
          </w:tcPr>
          <w:p w14:paraId="1F5D1245">
            <w:pPr>
              <w:pStyle w:val="84"/>
            </w:pPr>
            <w:r>
              <w:t>2</w:t>
            </w:r>
          </w:p>
        </w:tc>
      </w:tr>
      <w:tr w14:paraId="40889046">
        <w:tblPrEx>
          <w:tblBorders>
            <w:top w:val="single" w:color="auto" w:sz="2"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8" w:hRule="atLeast"/>
        </w:trPr>
        <w:tc>
          <w:tcPr>
            <w:tcW w:w="1816" w:type="pct"/>
            <w:vMerge w:val="continue"/>
            <w:shd w:val="clear" w:color="auto" w:fill="auto"/>
            <w:noWrap/>
            <w:vAlign w:val="bottom"/>
          </w:tcPr>
          <w:p w14:paraId="2DEDC66B">
            <w:pPr>
              <w:pStyle w:val="84"/>
            </w:pPr>
          </w:p>
        </w:tc>
        <w:tc>
          <w:tcPr>
            <w:tcW w:w="2188" w:type="pct"/>
            <w:shd w:val="clear" w:color="auto" w:fill="auto"/>
            <w:noWrap/>
            <w:vAlign w:val="bottom"/>
          </w:tcPr>
          <w:p w14:paraId="627C2006">
            <w:pPr>
              <w:pStyle w:val="84"/>
            </w:pPr>
            <w:r>
              <w:t>蟾蜍科Bufonidae</w:t>
            </w:r>
          </w:p>
        </w:tc>
        <w:tc>
          <w:tcPr>
            <w:tcW w:w="996" w:type="pct"/>
            <w:shd w:val="clear" w:color="auto" w:fill="auto"/>
            <w:noWrap/>
            <w:vAlign w:val="bottom"/>
          </w:tcPr>
          <w:p w14:paraId="5474B8C8">
            <w:pPr>
              <w:pStyle w:val="84"/>
            </w:pPr>
            <w:r>
              <w:t>1</w:t>
            </w:r>
          </w:p>
        </w:tc>
      </w:tr>
    </w:tbl>
    <w:p w14:paraId="0A4AD5D8">
      <w:pPr>
        <w:spacing w:before="240"/>
        <w:ind w:firstLine="480"/>
        <w:rPr>
          <w:szCs w:val="24"/>
        </w:rPr>
      </w:pPr>
      <w:r>
        <w:rPr>
          <w:rFonts w:hint="eastAsia"/>
          <w:szCs w:val="24"/>
        </w:rPr>
        <w:t>评价区</w:t>
      </w:r>
      <w:r>
        <w:rPr>
          <w:szCs w:val="24"/>
        </w:rPr>
        <w:t>属低山丘陵浅切割区，地形起伏较小，</w:t>
      </w:r>
      <w:r>
        <w:rPr>
          <w:rFonts w:hint="eastAsia"/>
          <w:szCs w:val="24"/>
        </w:rPr>
        <w:t>海拔750m~950m，</w:t>
      </w:r>
      <w:r>
        <w:rPr>
          <w:szCs w:val="24"/>
        </w:rPr>
        <w:t>区属热带-亚热带季风气候</w:t>
      </w:r>
      <w:r>
        <w:rPr>
          <w:rFonts w:hint="eastAsia"/>
          <w:szCs w:val="24"/>
        </w:rPr>
        <w:t>。区域内两栖类的主要生境为</w:t>
      </w:r>
      <w:r>
        <w:rPr>
          <w:szCs w:val="24"/>
        </w:rPr>
        <w:t>灌丛、农田或溪流边</w:t>
      </w:r>
      <w:r>
        <w:rPr>
          <w:rFonts w:hint="eastAsia"/>
          <w:szCs w:val="24"/>
        </w:rPr>
        <w:t>，附近区域有居民点。由于评价区域狭小，人为活动频繁，区域内两栖类动物种类不多，数量也少。</w:t>
      </w:r>
      <w:r>
        <w:rPr>
          <w:szCs w:val="24"/>
        </w:rPr>
        <w:t>其中以泽蛙和无趾盘臭蛙为优势，其他常见种类还有</w:t>
      </w:r>
      <w:r>
        <w:rPr>
          <w:rFonts w:hint="eastAsia"/>
          <w:szCs w:val="24"/>
        </w:rPr>
        <w:t>牛</w:t>
      </w:r>
      <w:r>
        <w:rPr>
          <w:szCs w:val="24"/>
        </w:rPr>
        <w:t>蛙、饰纹姬蛙</w:t>
      </w:r>
      <w:r>
        <w:rPr>
          <w:rFonts w:hint="eastAsia"/>
          <w:szCs w:val="24"/>
        </w:rPr>
        <w:t>、花姬蛙、斑腿泛树蛙、黑眶蟾蜍</w:t>
      </w:r>
      <w:r>
        <w:rPr>
          <w:szCs w:val="24"/>
        </w:rPr>
        <w:t>等，均为当地常见种类。从生活类型来看，评价区两栖类动物以静水型和陆栖型为主，有少量溪流型和树栖型。评价区内</w:t>
      </w:r>
      <w:r>
        <w:rPr>
          <w:rFonts w:hint="eastAsia"/>
          <w:szCs w:val="24"/>
        </w:rPr>
        <w:t>未发现</w:t>
      </w:r>
      <w:r>
        <w:rPr>
          <w:szCs w:val="24"/>
        </w:rPr>
        <w:t>国家或云南省级重点保护两栖类动物种类分布。</w:t>
      </w:r>
    </w:p>
    <w:p w14:paraId="68610230">
      <w:pPr>
        <w:spacing w:before="240"/>
        <w:ind w:firstLine="480"/>
        <w:rPr>
          <w:szCs w:val="24"/>
        </w:rPr>
      </w:pPr>
    </w:p>
    <w:p w14:paraId="1FF23D1F">
      <w:pPr>
        <w:ind w:firstLine="482"/>
        <w:rPr>
          <w:b/>
          <w:szCs w:val="24"/>
        </w:rPr>
      </w:pPr>
      <w:r>
        <w:rPr>
          <w:rFonts w:hint="eastAsia"/>
          <w:b/>
          <w:szCs w:val="24"/>
        </w:rPr>
        <w:t>2、</w:t>
      </w:r>
      <w:r>
        <w:rPr>
          <w:b/>
          <w:szCs w:val="24"/>
        </w:rPr>
        <w:t>爬行类</w:t>
      </w:r>
    </w:p>
    <w:p w14:paraId="4370C7B3">
      <w:pPr>
        <w:ind w:firstLine="480"/>
        <w:rPr>
          <w:szCs w:val="24"/>
        </w:rPr>
      </w:pPr>
      <w:r>
        <w:rPr>
          <w:szCs w:val="24"/>
        </w:rPr>
        <w:t>评价区内共记录爬行类</w:t>
      </w:r>
      <w:r>
        <w:rPr>
          <w:rFonts w:hint="eastAsia"/>
          <w:szCs w:val="24"/>
        </w:rPr>
        <w:t>13</w:t>
      </w:r>
      <w:r>
        <w:rPr>
          <w:szCs w:val="24"/>
        </w:rPr>
        <w:t>种，隶属于2目</w:t>
      </w:r>
      <w:r>
        <w:rPr>
          <w:rFonts w:hint="eastAsia"/>
          <w:szCs w:val="24"/>
        </w:rPr>
        <w:t>6</w:t>
      </w:r>
      <w:r>
        <w:rPr>
          <w:szCs w:val="24"/>
        </w:rPr>
        <w:t>科</w:t>
      </w:r>
      <w:r>
        <w:rPr>
          <w:rFonts w:hint="eastAsia"/>
          <w:szCs w:val="24"/>
        </w:rPr>
        <w:t>，见下表：</w:t>
      </w:r>
    </w:p>
    <w:p w14:paraId="2614F5DF">
      <w:pPr>
        <w:pStyle w:val="82"/>
        <w:framePr w:hSpace="0" w:wrap="auto" w:vAnchor="margin" w:hAnchor="text" w:xAlign="left" w:yAlign="inline"/>
      </w:pPr>
      <w:r>
        <w:rPr>
          <w:rFonts w:hint="eastAsia"/>
        </w:rPr>
        <w:t>表5-1-5    评价区爬行类组成</w:t>
      </w:r>
    </w:p>
    <w:tbl>
      <w:tblPr>
        <w:tblStyle w:val="56"/>
        <w:tblW w:w="5088" w:type="pct"/>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150"/>
        <w:gridCol w:w="3795"/>
        <w:gridCol w:w="1727"/>
      </w:tblGrid>
      <w:tr w14:paraId="6A262C2B">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7" w:hRule="atLeast"/>
        </w:trPr>
        <w:tc>
          <w:tcPr>
            <w:tcW w:w="1816" w:type="pct"/>
            <w:shd w:val="clear" w:color="auto" w:fill="auto"/>
            <w:noWrap/>
            <w:vAlign w:val="center"/>
          </w:tcPr>
          <w:p w14:paraId="37B84C2A">
            <w:pPr>
              <w:pStyle w:val="84"/>
            </w:pPr>
            <w:r>
              <w:rPr>
                <w:rFonts w:hint="eastAsia"/>
              </w:rPr>
              <w:t>目</w:t>
            </w:r>
          </w:p>
        </w:tc>
        <w:tc>
          <w:tcPr>
            <w:tcW w:w="2188" w:type="pct"/>
            <w:shd w:val="clear" w:color="auto" w:fill="auto"/>
            <w:noWrap/>
            <w:vAlign w:val="center"/>
          </w:tcPr>
          <w:p w14:paraId="29D5DE53">
            <w:pPr>
              <w:pStyle w:val="84"/>
            </w:pPr>
            <w:r>
              <w:rPr>
                <w:rFonts w:hint="eastAsia"/>
              </w:rPr>
              <w:t>科</w:t>
            </w:r>
          </w:p>
        </w:tc>
        <w:tc>
          <w:tcPr>
            <w:tcW w:w="997" w:type="pct"/>
            <w:shd w:val="clear" w:color="auto" w:fill="auto"/>
            <w:noWrap/>
            <w:vAlign w:val="center"/>
          </w:tcPr>
          <w:p w14:paraId="573541FA">
            <w:pPr>
              <w:pStyle w:val="84"/>
            </w:pPr>
            <w:r>
              <w:rPr>
                <w:rFonts w:hint="eastAsia"/>
              </w:rPr>
              <w:t>种数</w:t>
            </w:r>
          </w:p>
        </w:tc>
      </w:tr>
      <w:tr w14:paraId="6B39680A">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7" w:hRule="atLeast"/>
        </w:trPr>
        <w:tc>
          <w:tcPr>
            <w:tcW w:w="1816" w:type="pct"/>
            <w:vMerge w:val="restart"/>
            <w:shd w:val="clear" w:color="auto" w:fill="auto"/>
            <w:noWrap/>
            <w:vAlign w:val="center"/>
          </w:tcPr>
          <w:p w14:paraId="18217116">
            <w:pPr>
              <w:pStyle w:val="84"/>
            </w:pPr>
            <w:r>
              <w:rPr>
                <w:rFonts w:hint="eastAsia"/>
              </w:rPr>
              <w:t>蜥蜴目</w:t>
            </w:r>
            <w:r>
              <w:t>LACERTIFORMES</w:t>
            </w:r>
          </w:p>
        </w:tc>
        <w:tc>
          <w:tcPr>
            <w:tcW w:w="2188" w:type="pct"/>
            <w:shd w:val="clear" w:color="auto" w:fill="auto"/>
            <w:noWrap/>
            <w:vAlign w:val="center"/>
          </w:tcPr>
          <w:p w14:paraId="6CE1CCA8">
            <w:pPr>
              <w:pStyle w:val="84"/>
            </w:pPr>
            <w:r>
              <w:rPr>
                <w:rFonts w:hint="eastAsia"/>
              </w:rPr>
              <w:t>壁虎科</w:t>
            </w:r>
            <w:r>
              <w:t>GEKKONIDAE</w:t>
            </w:r>
          </w:p>
        </w:tc>
        <w:tc>
          <w:tcPr>
            <w:tcW w:w="997" w:type="pct"/>
            <w:shd w:val="clear" w:color="auto" w:fill="auto"/>
            <w:noWrap/>
            <w:vAlign w:val="center"/>
          </w:tcPr>
          <w:p w14:paraId="7A33E12F">
            <w:pPr>
              <w:pStyle w:val="84"/>
            </w:pPr>
            <w:r>
              <w:t>1</w:t>
            </w:r>
          </w:p>
        </w:tc>
      </w:tr>
      <w:tr w14:paraId="7B3EC26B">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7" w:hRule="atLeast"/>
        </w:trPr>
        <w:tc>
          <w:tcPr>
            <w:tcW w:w="1816" w:type="pct"/>
            <w:vMerge w:val="continue"/>
            <w:vAlign w:val="center"/>
          </w:tcPr>
          <w:p w14:paraId="67349AED">
            <w:pPr>
              <w:pStyle w:val="84"/>
            </w:pPr>
          </w:p>
        </w:tc>
        <w:tc>
          <w:tcPr>
            <w:tcW w:w="2188" w:type="pct"/>
            <w:shd w:val="clear" w:color="auto" w:fill="auto"/>
            <w:noWrap/>
            <w:vAlign w:val="center"/>
          </w:tcPr>
          <w:p w14:paraId="7C28B2CA">
            <w:pPr>
              <w:pStyle w:val="84"/>
            </w:pPr>
            <w:r>
              <w:rPr>
                <w:rFonts w:hint="eastAsia"/>
              </w:rPr>
              <w:t>石龙子科</w:t>
            </w:r>
            <w:r>
              <w:t>SCINCIDAE</w:t>
            </w:r>
          </w:p>
        </w:tc>
        <w:tc>
          <w:tcPr>
            <w:tcW w:w="997" w:type="pct"/>
            <w:shd w:val="clear" w:color="auto" w:fill="auto"/>
            <w:noWrap/>
            <w:vAlign w:val="center"/>
          </w:tcPr>
          <w:p w14:paraId="3AED334F">
            <w:pPr>
              <w:pStyle w:val="84"/>
            </w:pPr>
            <w:r>
              <w:t>1</w:t>
            </w:r>
          </w:p>
        </w:tc>
      </w:tr>
      <w:tr w14:paraId="0179F323">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7" w:hRule="atLeast"/>
        </w:trPr>
        <w:tc>
          <w:tcPr>
            <w:tcW w:w="1816" w:type="pct"/>
            <w:vMerge w:val="continue"/>
            <w:vAlign w:val="center"/>
          </w:tcPr>
          <w:p w14:paraId="15830B3C">
            <w:pPr>
              <w:pStyle w:val="84"/>
            </w:pPr>
          </w:p>
        </w:tc>
        <w:tc>
          <w:tcPr>
            <w:tcW w:w="2188" w:type="pct"/>
            <w:shd w:val="clear" w:color="auto" w:fill="auto"/>
            <w:noWrap/>
            <w:vAlign w:val="center"/>
          </w:tcPr>
          <w:p w14:paraId="508C2492">
            <w:pPr>
              <w:pStyle w:val="84"/>
            </w:pPr>
            <w:r>
              <w:rPr>
                <w:rFonts w:hint="eastAsia"/>
              </w:rPr>
              <w:t>鬣蜥科</w:t>
            </w:r>
            <w:r>
              <w:t>AGAMIDAE</w:t>
            </w:r>
          </w:p>
        </w:tc>
        <w:tc>
          <w:tcPr>
            <w:tcW w:w="997" w:type="pct"/>
            <w:shd w:val="clear" w:color="auto" w:fill="auto"/>
            <w:noWrap/>
            <w:vAlign w:val="center"/>
          </w:tcPr>
          <w:p w14:paraId="5EE0B9F0">
            <w:pPr>
              <w:pStyle w:val="84"/>
            </w:pPr>
            <w:r>
              <w:t>2</w:t>
            </w:r>
          </w:p>
        </w:tc>
      </w:tr>
      <w:tr w14:paraId="03E74654">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7" w:hRule="atLeast"/>
        </w:trPr>
        <w:tc>
          <w:tcPr>
            <w:tcW w:w="1816" w:type="pct"/>
            <w:vMerge w:val="restart"/>
            <w:shd w:val="clear" w:color="auto" w:fill="auto"/>
            <w:noWrap/>
            <w:vAlign w:val="center"/>
          </w:tcPr>
          <w:p w14:paraId="0C664E59">
            <w:pPr>
              <w:pStyle w:val="84"/>
            </w:pPr>
            <w:r>
              <w:rPr>
                <w:rFonts w:hint="eastAsia"/>
              </w:rPr>
              <w:t>蛇目</w:t>
            </w:r>
            <w:r>
              <w:t>SERPENTIFORMES</w:t>
            </w:r>
          </w:p>
        </w:tc>
        <w:tc>
          <w:tcPr>
            <w:tcW w:w="2188" w:type="pct"/>
            <w:shd w:val="clear" w:color="auto" w:fill="auto"/>
            <w:noWrap/>
            <w:vAlign w:val="center"/>
          </w:tcPr>
          <w:p w14:paraId="7C1D6AB4">
            <w:pPr>
              <w:pStyle w:val="84"/>
            </w:pPr>
            <w:r>
              <w:rPr>
                <w:rFonts w:hint="eastAsia"/>
              </w:rPr>
              <w:t>游蛇科</w:t>
            </w:r>
            <w:r>
              <w:t>COLUBRIDAE</w:t>
            </w:r>
          </w:p>
        </w:tc>
        <w:tc>
          <w:tcPr>
            <w:tcW w:w="997" w:type="pct"/>
            <w:shd w:val="clear" w:color="auto" w:fill="auto"/>
            <w:noWrap/>
            <w:vAlign w:val="center"/>
          </w:tcPr>
          <w:p w14:paraId="45FB51C5">
            <w:pPr>
              <w:pStyle w:val="84"/>
            </w:pPr>
            <w:r>
              <w:rPr>
                <w:rFonts w:hint="eastAsia"/>
              </w:rPr>
              <w:t>7</w:t>
            </w:r>
          </w:p>
        </w:tc>
      </w:tr>
      <w:tr w14:paraId="250FB52D">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337" w:hRule="atLeast"/>
        </w:trPr>
        <w:tc>
          <w:tcPr>
            <w:tcW w:w="1816" w:type="pct"/>
            <w:vMerge w:val="continue"/>
            <w:vAlign w:val="center"/>
          </w:tcPr>
          <w:p w14:paraId="6E65BDB5">
            <w:pPr>
              <w:pStyle w:val="84"/>
            </w:pPr>
          </w:p>
        </w:tc>
        <w:tc>
          <w:tcPr>
            <w:tcW w:w="2188" w:type="pct"/>
            <w:shd w:val="clear" w:color="auto" w:fill="auto"/>
            <w:noWrap/>
            <w:vAlign w:val="center"/>
          </w:tcPr>
          <w:p w14:paraId="29EE7AC3">
            <w:pPr>
              <w:pStyle w:val="84"/>
            </w:pPr>
            <w:r>
              <w:rPr>
                <w:rFonts w:hint="eastAsia"/>
              </w:rPr>
              <w:t>蝰蛇科</w:t>
            </w:r>
            <w:r>
              <w:t>VIPERIDAE</w:t>
            </w:r>
          </w:p>
        </w:tc>
        <w:tc>
          <w:tcPr>
            <w:tcW w:w="997" w:type="pct"/>
            <w:shd w:val="clear" w:color="auto" w:fill="auto"/>
            <w:noWrap/>
            <w:vAlign w:val="center"/>
          </w:tcPr>
          <w:p w14:paraId="1691CABA">
            <w:pPr>
              <w:pStyle w:val="84"/>
            </w:pPr>
            <w:r>
              <w:t>1</w:t>
            </w:r>
          </w:p>
        </w:tc>
      </w:tr>
      <w:tr w14:paraId="1E743A12">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7" w:hRule="atLeast"/>
        </w:trPr>
        <w:tc>
          <w:tcPr>
            <w:tcW w:w="1816" w:type="pct"/>
            <w:vMerge w:val="continue"/>
            <w:vAlign w:val="center"/>
          </w:tcPr>
          <w:p w14:paraId="046D5C96">
            <w:pPr>
              <w:pStyle w:val="84"/>
            </w:pPr>
          </w:p>
        </w:tc>
        <w:tc>
          <w:tcPr>
            <w:tcW w:w="2188" w:type="pct"/>
            <w:shd w:val="clear" w:color="auto" w:fill="auto"/>
            <w:noWrap/>
            <w:vAlign w:val="center"/>
          </w:tcPr>
          <w:p w14:paraId="49368B80">
            <w:pPr>
              <w:pStyle w:val="84"/>
            </w:pPr>
            <w:r>
              <w:rPr>
                <w:rFonts w:hint="eastAsia"/>
              </w:rPr>
              <w:t>眼镜蛇科</w:t>
            </w:r>
            <w:r>
              <w:t>ELAPIDAE</w:t>
            </w:r>
          </w:p>
        </w:tc>
        <w:tc>
          <w:tcPr>
            <w:tcW w:w="997" w:type="pct"/>
            <w:shd w:val="clear" w:color="auto" w:fill="auto"/>
            <w:noWrap/>
            <w:vAlign w:val="center"/>
          </w:tcPr>
          <w:p w14:paraId="535BBB78">
            <w:pPr>
              <w:pStyle w:val="84"/>
            </w:pPr>
            <w:r>
              <w:t>1</w:t>
            </w:r>
          </w:p>
        </w:tc>
      </w:tr>
    </w:tbl>
    <w:p w14:paraId="54F8169D">
      <w:pPr>
        <w:spacing w:before="240"/>
        <w:ind w:firstLine="480"/>
        <w:rPr>
          <w:szCs w:val="24"/>
        </w:rPr>
      </w:pPr>
      <w:r>
        <w:rPr>
          <w:rFonts w:hint="eastAsia"/>
          <w:szCs w:val="24"/>
        </w:rPr>
        <w:t>评价区内爬行类的主要生境为</w:t>
      </w:r>
      <w:r>
        <w:rPr>
          <w:szCs w:val="24"/>
        </w:rPr>
        <w:t>灌丛、农田或溪流边</w:t>
      </w:r>
      <w:r>
        <w:rPr>
          <w:rFonts w:hint="eastAsia"/>
          <w:szCs w:val="24"/>
        </w:rPr>
        <w:t>，附近区域有居民点，由于评价区域狭小，人为活动频繁，爬行动物种类不多。13种爬行动物分别为：原尾蜥虎、斑蜓蜥、棕背树蜥、白唇树蜥、八线腹链蛇、滇西蛇、</w:t>
      </w:r>
      <w:r>
        <w:rPr>
          <w:rFonts w:hint="eastAsia"/>
          <w:sz w:val="22"/>
          <w:szCs w:val="24"/>
        </w:rPr>
        <w:t>紫灰锦蛇</w:t>
      </w:r>
      <w:r>
        <w:rPr>
          <w:rFonts w:hint="eastAsia"/>
          <w:szCs w:val="24"/>
        </w:rPr>
        <w:t>、绿锦蛇、灰</w:t>
      </w:r>
      <w:r>
        <w:rPr>
          <w:szCs w:val="24"/>
        </w:rPr>
        <w:t>鼠蛇</w:t>
      </w:r>
      <w:r>
        <w:rPr>
          <w:rFonts w:hint="eastAsia"/>
          <w:szCs w:val="24"/>
        </w:rPr>
        <w:t>、滑鼠蛇、红脖颈槽蛇、竹叶青蛇和孟加拉眼镜蛇。其中，绿锦蛇和灰鼠蛇被《中国濒危动物红皮书》列为易危动物，孟加拉眼镜蛇被列为云南省省级保护动物。</w:t>
      </w:r>
    </w:p>
    <w:p w14:paraId="68A6A78B">
      <w:pPr>
        <w:ind w:firstLine="482"/>
        <w:rPr>
          <w:szCs w:val="24"/>
        </w:rPr>
      </w:pPr>
      <w:r>
        <w:rPr>
          <w:rFonts w:hint="eastAsia"/>
          <w:b/>
          <w:szCs w:val="24"/>
        </w:rPr>
        <w:t>绿锦蛇</w:t>
      </w:r>
      <w:r>
        <w:rPr>
          <w:b/>
          <w:i/>
          <w:szCs w:val="24"/>
        </w:rPr>
        <w:t>Elaphe prasina</w:t>
      </w:r>
      <w:r>
        <w:rPr>
          <w:rFonts w:hint="eastAsia"/>
          <w:b/>
          <w:szCs w:val="24"/>
        </w:rPr>
        <w:t>：</w:t>
      </w:r>
      <w:r>
        <w:rPr>
          <w:rFonts w:hint="eastAsia"/>
          <w:szCs w:val="24"/>
        </w:rPr>
        <w:t>生活于山区、平原、丘陵地带，多见于土坡、田基和路边，有时也闯进居民点内，主要捕食鼠类、蛙类及鸟类，甚至取食蚯蚓。4月~10月活动，5月～6月产卵于灌木丛的落叶下，卵数6枚～12枚。绿锦蛇属蛇种主要以小型兽类为食，在人类居住区或耕作区活动的锦蛇则主要捕食啮齿动物如鼠类，对消灭有害动物起到重要作用；另一方面，锦蛇类大多色彩艳丽，适于观赏，加以部分种类个体较大，往往大量被捕杀，已被我国列入“中国濒危动物红皮书”。</w:t>
      </w:r>
    </w:p>
    <w:p w14:paraId="46E29012">
      <w:pPr>
        <w:ind w:firstLine="482"/>
        <w:rPr>
          <w:szCs w:val="24"/>
        </w:rPr>
      </w:pPr>
      <w:r>
        <w:rPr>
          <w:rFonts w:hint="eastAsia"/>
          <w:b/>
          <w:szCs w:val="24"/>
        </w:rPr>
        <w:t>灰鼠蛇</w:t>
      </w:r>
      <w:r>
        <w:rPr>
          <w:rFonts w:hint="eastAsia"/>
          <w:b/>
          <w:i/>
          <w:szCs w:val="24"/>
        </w:rPr>
        <w:t xml:space="preserve"> Ptyas korros</w:t>
      </w:r>
      <w:r>
        <w:rPr>
          <w:rFonts w:hint="eastAsia"/>
          <w:b/>
          <w:szCs w:val="24"/>
        </w:rPr>
        <w:t>：</w:t>
      </w:r>
      <w:r>
        <w:rPr>
          <w:rFonts w:hint="eastAsia"/>
          <w:szCs w:val="24"/>
        </w:rPr>
        <w:t>灰鼠蛇生活于丘陵地带，主要活动在田基、路边沟边的灌木林中，经常按树上活动故群众称为过树龙，有时也到地上寻找食物。昼夜活动，阵雨后太阳出来时，常遇见于路边、沟边的灌木顶上，等待太阳光的照射。主要捕食树蛙、雨蛙、蜥蜴，也食小鸟、其它蛙类及鼠类。5月～6月产卵，卵数10枚左右，卵产于灌木丛中的落叶下，有护卵现象。11月开始冬眠，在田基、墓地向南的鼠洞内越冬，冬眠期随每年气温变化而有异。由于人为因素，数量大量减少，已被我国列入“中国濒危动物红皮书”。</w:t>
      </w:r>
    </w:p>
    <w:p w14:paraId="105C5710">
      <w:pPr>
        <w:ind w:firstLine="480"/>
        <w:rPr>
          <w:szCs w:val="24"/>
        </w:rPr>
      </w:pPr>
    </w:p>
    <w:p w14:paraId="2479FD60">
      <w:pPr>
        <w:ind w:firstLine="482"/>
        <w:rPr>
          <w:b/>
          <w:szCs w:val="24"/>
        </w:rPr>
      </w:pPr>
      <w:r>
        <w:rPr>
          <w:rFonts w:hint="eastAsia"/>
          <w:b/>
          <w:szCs w:val="24"/>
        </w:rPr>
        <w:t>3、</w:t>
      </w:r>
      <w:r>
        <w:rPr>
          <w:b/>
          <w:szCs w:val="24"/>
        </w:rPr>
        <w:t>鸟类</w:t>
      </w:r>
    </w:p>
    <w:p w14:paraId="2EE5BF2E">
      <w:pPr>
        <w:ind w:firstLine="480"/>
      </w:pPr>
      <w:r>
        <w:t>评价区野生动物资源以鸟类较为丰富，共记录4</w:t>
      </w:r>
      <w:r>
        <w:rPr>
          <w:rFonts w:hint="eastAsia"/>
        </w:rPr>
        <w:t>6</w:t>
      </w:r>
      <w:r>
        <w:t>种，隶属于9目20科</w:t>
      </w:r>
      <w:r>
        <w:rPr>
          <w:rFonts w:hint="eastAsia"/>
        </w:rPr>
        <w:t>，见下表：</w:t>
      </w:r>
    </w:p>
    <w:p w14:paraId="47229951">
      <w:pPr>
        <w:pStyle w:val="82"/>
        <w:framePr w:hSpace="0" w:wrap="auto" w:vAnchor="margin" w:hAnchor="text" w:xAlign="left" w:yAlign="inline"/>
      </w:pPr>
      <w:r>
        <w:rPr>
          <w:rFonts w:hint="eastAsia"/>
        </w:rPr>
        <w:t xml:space="preserve">  表5-1-6    评价区鸟类组成</w:t>
      </w:r>
    </w:p>
    <w:tbl>
      <w:tblPr>
        <w:tblStyle w:val="56"/>
        <w:tblW w:w="5097" w:type="pct"/>
        <w:tblInd w:w="0" w:type="dxa"/>
        <w:tblLayout w:type="autofit"/>
        <w:tblCellMar>
          <w:top w:w="0" w:type="dxa"/>
          <w:left w:w="108" w:type="dxa"/>
          <w:bottom w:w="0" w:type="dxa"/>
          <w:right w:w="108" w:type="dxa"/>
        </w:tblCellMar>
      </w:tblPr>
      <w:tblGrid>
        <w:gridCol w:w="4583"/>
        <w:gridCol w:w="3153"/>
        <w:gridCol w:w="951"/>
      </w:tblGrid>
      <w:tr w14:paraId="4964FE2F">
        <w:tblPrEx>
          <w:tblCellMar>
            <w:top w:w="0" w:type="dxa"/>
            <w:left w:w="108" w:type="dxa"/>
            <w:bottom w:w="0" w:type="dxa"/>
            <w:right w:w="108" w:type="dxa"/>
          </w:tblCellMar>
        </w:tblPrEx>
        <w:trPr>
          <w:trHeight w:val="334" w:hRule="atLeast"/>
        </w:trPr>
        <w:tc>
          <w:tcPr>
            <w:tcW w:w="2638" w:type="pct"/>
            <w:tcBorders>
              <w:top w:val="single" w:color="auto" w:sz="2" w:space="0"/>
              <w:bottom w:val="single" w:color="auto" w:sz="2" w:space="0"/>
              <w:right w:val="single" w:color="auto" w:sz="2" w:space="0"/>
            </w:tcBorders>
            <w:shd w:val="clear" w:color="auto" w:fill="auto"/>
            <w:noWrap/>
            <w:vAlign w:val="center"/>
          </w:tcPr>
          <w:p w14:paraId="55DAC2A5">
            <w:pPr>
              <w:pStyle w:val="84"/>
            </w:pPr>
            <w:r>
              <w:t>目</w:t>
            </w:r>
          </w:p>
        </w:tc>
        <w:tc>
          <w:tcPr>
            <w:tcW w:w="1815" w:type="pct"/>
            <w:tcBorders>
              <w:top w:val="single" w:color="auto" w:sz="2" w:space="0"/>
              <w:left w:val="single" w:color="auto" w:sz="2" w:space="0"/>
              <w:bottom w:val="single" w:color="auto" w:sz="2" w:space="0"/>
              <w:right w:val="single" w:color="auto" w:sz="2" w:space="0"/>
            </w:tcBorders>
            <w:shd w:val="clear" w:color="auto" w:fill="auto"/>
            <w:noWrap/>
            <w:vAlign w:val="center"/>
          </w:tcPr>
          <w:p w14:paraId="11C3F06D">
            <w:pPr>
              <w:pStyle w:val="84"/>
            </w:pPr>
            <w:r>
              <w:t>科</w:t>
            </w:r>
          </w:p>
        </w:tc>
        <w:tc>
          <w:tcPr>
            <w:tcW w:w="547" w:type="pct"/>
            <w:tcBorders>
              <w:top w:val="single" w:color="auto" w:sz="2" w:space="0"/>
              <w:left w:val="single" w:color="auto" w:sz="2" w:space="0"/>
              <w:bottom w:val="single" w:color="auto" w:sz="2" w:space="0"/>
            </w:tcBorders>
            <w:shd w:val="clear" w:color="auto" w:fill="auto"/>
            <w:noWrap/>
            <w:vAlign w:val="center"/>
          </w:tcPr>
          <w:p w14:paraId="527C996D">
            <w:pPr>
              <w:pStyle w:val="84"/>
            </w:pPr>
            <w:r>
              <w:t>种数</w:t>
            </w:r>
          </w:p>
        </w:tc>
      </w:tr>
      <w:tr w14:paraId="76D45AC1">
        <w:tblPrEx>
          <w:tblCellMar>
            <w:top w:w="0" w:type="dxa"/>
            <w:left w:w="108" w:type="dxa"/>
            <w:bottom w:w="0" w:type="dxa"/>
            <w:right w:w="108" w:type="dxa"/>
          </w:tblCellMar>
        </w:tblPrEx>
        <w:trPr>
          <w:trHeight w:val="334" w:hRule="atLeast"/>
        </w:trPr>
        <w:tc>
          <w:tcPr>
            <w:tcW w:w="2638" w:type="pct"/>
            <w:tcBorders>
              <w:top w:val="single" w:color="auto" w:sz="2" w:space="0"/>
              <w:bottom w:val="single" w:color="auto" w:sz="2" w:space="0"/>
              <w:right w:val="single" w:color="auto" w:sz="2" w:space="0"/>
            </w:tcBorders>
            <w:shd w:val="clear" w:color="auto" w:fill="auto"/>
            <w:noWrap/>
            <w:vAlign w:val="center"/>
          </w:tcPr>
          <w:p w14:paraId="523A7F65">
            <w:pPr>
              <w:pStyle w:val="84"/>
            </w:pPr>
            <w:r>
              <w:t>鹳形目CICONIFORMES</w:t>
            </w:r>
          </w:p>
        </w:tc>
        <w:tc>
          <w:tcPr>
            <w:tcW w:w="1815" w:type="pct"/>
            <w:tcBorders>
              <w:top w:val="single" w:color="auto" w:sz="2" w:space="0"/>
              <w:left w:val="single" w:color="auto" w:sz="2" w:space="0"/>
              <w:bottom w:val="single" w:color="auto" w:sz="2" w:space="0"/>
              <w:right w:val="single" w:color="auto" w:sz="2" w:space="0"/>
            </w:tcBorders>
            <w:shd w:val="clear" w:color="auto" w:fill="auto"/>
            <w:noWrap/>
            <w:vAlign w:val="center"/>
          </w:tcPr>
          <w:p w14:paraId="6A2957E5">
            <w:pPr>
              <w:pStyle w:val="84"/>
            </w:pPr>
            <w:r>
              <w:t>鹭科Ardeidae</w:t>
            </w:r>
          </w:p>
        </w:tc>
        <w:tc>
          <w:tcPr>
            <w:tcW w:w="547" w:type="pct"/>
            <w:tcBorders>
              <w:top w:val="single" w:color="auto" w:sz="2" w:space="0"/>
              <w:left w:val="single" w:color="auto" w:sz="2" w:space="0"/>
              <w:bottom w:val="single" w:color="auto" w:sz="2" w:space="0"/>
            </w:tcBorders>
            <w:shd w:val="clear" w:color="auto" w:fill="auto"/>
            <w:noWrap/>
            <w:vAlign w:val="center"/>
          </w:tcPr>
          <w:p w14:paraId="116B6A62">
            <w:pPr>
              <w:pStyle w:val="84"/>
            </w:pPr>
            <w:r>
              <w:t>2</w:t>
            </w:r>
          </w:p>
        </w:tc>
      </w:tr>
      <w:tr w14:paraId="6271EA27">
        <w:tblPrEx>
          <w:tblCellMar>
            <w:top w:w="0" w:type="dxa"/>
            <w:left w:w="108" w:type="dxa"/>
            <w:bottom w:w="0" w:type="dxa"/>
            <w:right w:w="108" w:type="dxa"/>
          </w:tblCellMar>
        </w:tblPrEx>
        <w:trPr>
          <w:trHeight w:val="334" w:hRule="atLeast"/>
        </w:trPr>
        <w:tc>
          <w:tcPr>
            <w:tcW w:w="2638" w:type="pct"/>
            <w:vMerge w:val="restart"/>
            <w:tcBorders>
              <w:top w:val="single" w:color="auto" w:sz="2" w:space="0"/>
              <w:bottom w:val="single" w:color="auto" w:sz="2" w:space="0"/>
              <w:right w:val="single" w:color="auto" w:sz="2" w:space="0"/>
            </w:tcBorders>
            <w:shd w:val="clear" w:color="auto" w:fill="auto"/>
            <w:noWrap/>
            <w:vAlign w:val="center"/>
          </w:tcPr>
          <w:p w14:paraId="671C2410">
            <w:pPr>
              <w:pStyle w:val="84"/>
            </w:pPr>
            <w:r>
              <w:t>隼形目FALCONIFORMES</w:t>
            </w:r>
          </w:p>
        </w:tc>
        <w:tc>
          <w:tcPr>
            <w:tcW w:w="1815" w:type="pct"/>
            <w:tcBorders>
              <w:top w:val="single" w:color="auto" w:sz="2" w:space="0"/>
              <w:left w:val="single" w:color="auto" w:sz="2" w:space="0"/>
              <w:bottom w:val="single" w:color="auto" w:sz="2" w:space="0"/>
              <w:right w:val="single" w:color="auto" w:sz="2" w:space="0"/>
            </w:tcBorders>
            <w:shd w:val="clear" w:color="auto" w:fill="auto"/>
            <w:noWrap/>
            <w:vAlign w:val="center"/>
          </w:tcPr>
          <w:p w14:paraId="30B2C92F">
            <w:pPr>
              <w:pStyle w:val="84"/>
            </w:pPr>
            <w:r>
              <w:t>鹰科Accipitridae</w:t>
            </w:r>
          </w:p>
        </w:tc>
        <w:tc>
          <w:tcPr>
            <w:tcW w:w="547" w:type="pct"/>
            <w:tcBorders>
              <w:top w:val="single" w:color="auto" w:sz="2" w:space="0"/>
              <w:left w:val="single" w:color="auto" w:sz="2" w:space="0"/>
              <w:bottom w:val="single" w:color="auto" w:sz="2" w:space="0"/>
            </w:tcBorders>
            <w:shd w:val="clear" w:color="auto" w:fill="auto"/>
            <w:noWrap/>
            <w:vAlign w:val="center"/>
          </w:tcPr>
          <w:p w14:paraId="0D228653">
            <w:pPr>
              <w:pStyle w:val="84"/>
            </w:pPr>
            <w:r>
              <w:rPr>
                <w:rFonts w:hint="eastAsia"/>
              </w:rPr>
              <w:t>2</w:t>
            </w:r>
          </w:p>
        </w:tc>
      </w:tr>
      <w:tr w14:paraId="3AD5A389">
        <w:tblPrEx>
          <w:tblCellMar>
            <w:top w:w="0" w:type="dxa"/>
            <w:left w:w="108" w:type="dxa"/>
            <w:bottom w:w="0" w:type="dxa"/>
            <w:right w:w="108" w:type="dxa"/>
          </w:tblCellMar>
        </w:tblPrEx>
        <w:trPr>
          <w:trHeight w:val="334" w:hRule="atLeast"/>
        </w:trPr>
        <w:tc>
          <w:tcPr>
            <w:tcW w:w="2638" w:type="pct"/>
            <w:vMerge w:val="continue"/>
            <w:tcBorders>
              <w:top w:val="single" w:color="auto" w:sz="2" w:space="0"/>
              <w:bottom w:val="single" w:color="auto" w:sz="2" w:space="0"/>
              <w:right w:val="single" w:color="auto" w:sz="2" w:space="0"/>
            </w:tcBorders>
            <w:vAlign w:val="center"/>
          </w:tcPr>
          <w:p w14:paraId="36741566">
            <w:pPr>
              <w:pStyle w:val="84"/>
            </w:pPr>
          </w:p>
        </w:tc>
        <w:tc>
          <w:tcPr>
            <w:tcW w:w="1815" w:type="pct"/>
            <w:tcBorders>
              <w:top w:val="single" w:color="auto" w:sz="2" w:space="0"/>
              <w:left w:val="single" w:color="auto" w:sz="2" w:space="0"/>
              <w:bottom w:val="single" w:color="auto" w:sz="2" w:space="0"/>
              <w:right w:val="single" w:color="auto" w:sz="2" w:space="0"/>
            </w:tcBorders>
            <w:shd w:val="clear" w:color="auto" w:fill="auto"/>
            <w:noWrap/>
            <w:vAlign w:val="center"/>
          </w:tcPr>
          <w:p w14:paraId="762B6548">
            <w:pPr>
              <w:pStyle w:val="84"/>
            </w:pPr>
            <w:r>
              <w:t>隼科Falconidae</w:t>
            </w:r>
          </w:p>
        </w:tc>
        <w:tc>
          <w:tcPr>
            <w:tcW w:w="547" w:type="pct"/>
            <w:tcBorders>
              <w:top w:val="single" w:color="auto" w:sz="2" w:space="0"/>
              <w:left w:val="single" w:color="auto" w:sz="2" w:space="0"/>
              <w:bottom w:val="single" w:color="auto" w:sz="2" w:space="0"/>
            </w:tcBorders>
            <w:shd w:val="clear" w:color="auto" w:fill="auto"/>
            <w:noWrap/>
            <w:vAlign w:val="center"/>
          </w:tcPr>
          <w:p w14:paraId="4088A1A4">
            <w:pPr>
              <w:pStyle w:val="84"/>
            </w:pPr>
            <w:r>
              <w:t>1</w:t>
            </w:r>
          </w:p>
        </w:tc>
      </w:tr>
      <w:tr w14:paraId="4984B318">
        <w:tblPrEx>
          <w:tblCellMar>
            <w:top w:w="0" w:type="dxa"/>
            <w:left w:w="108" w:type="dxa"/>
            <w:bottom w:w="0" w:type="dxa"/>
            <w:right w:w="108" w:type="dxa"/>
          </w:tblCellMar>
        </w:tblPrEx>
        <w:trPr>
          <w:trHeight w:val="334" w:hRule="atLeast"/>
        </w:trPr>
        <w:tc>
          <w:tcPr>
            <w:tcW w:w="2638" w:type="pct"/>
            <w:tcBorders>
              <w:top w:val="single" w:color="auto" w:sz="2" w:space="0"/>
              <w:bottom w:val="single" w:color="auto" w:sz="2" w:space="0"/>
              <w:right w:val="single" w:color="auto" w:sz="2" w:space="0"/>
            </w:tcBorders>
            <w:shd w:val="clear" w:color="auto" w:fill="auto"/>
            <w:noWrap/>
            <w:vAlign w:val="center"/>
          </w:tcPr>
          <w:p w14:paraId="703D8591">
            <w:pPr>
              <w:pStyle w:val="84"/>
            </w:pPr>
            <w:r>
              <w:t>鸡形目GALLIFORMES</w:t>
            </w:r>
          </w:p>
        </w:tc>
        <w:tc>
          <w:tcPr>
            <w:tcW w:w="1815" w:type="pct"/>
            <w:tcBorders>
              <w:top w:val="single" w:color="auto" w:sz="2" w:space="0"/>
              <w:left w:val="single" w:color="auto" w:sz="2" w:space="0"/>
              <w:bottom w:val="single" w:color="auto" w:sz="2" w:space="0"/>
              <w:right w:val="single" w:color="auto" w:sz="2" w:space="0"/>
            </w:tcBorders>
            <w:shd w:val="clear" w:color="auto" w:fill="auto"/>
            <w:noWrap/>
            <w:vAlign w:val="center"/>
          </w:tcPr>
          <w:p w14:paraId="267927C9">
            <w:pPr>
              <w:pStyle w:val="84"/>
            </w:pPr>
            <w:r>
              <w:t>雉科Phasianidae</w:t>
            </w:r>
          </w:p>
        </w:tc>
        <w:tc>
          <w:tcPr>
            <w:tcW w:w="547" w:type="pct"/>
            <w:tcBorders>
              <w:top w:val="single" w:color="auto" w:sz="2" w:space="0"/>
              <w:left w:val="single" w:color="auto" w:sz="2" w:space="0"/>
              <w:bottom w:val="single" w:color="auto" w:sz="2" w:space="0"/>
            </w:tcBorders>
            <w:shd w:val="clear" w:color="auto" w:fill="auto"/>
            <w:noWrap/>
            <w:vAlign w:val="center"/>
          </w:tcPr>
          <w:p w14:paraId="252990A4">
            <w:pPr>
              <w:pStyle w:val="84"/>
            </w:pPr>
            <w:r>
              <w:rPr>
                <w:rFonts w:hint="eastAsia"/>
              </w:rPr>
              <w:t>2</w:t>
            </w:r>
          </w:p>
        </w:tc>
      </w:tr>
      <w:tr w14:paraId="31905065">
        <w:tblPrEx>
          <w:tblCellMar>
            <w:top w:w="0" w:type="dxa"/>
            <w:left w:w="108" w:type="dxa"/>
            <w:bottom w:w="0" w:type="dxa"/>
            <w:right w:w="108" w:type="dxa"/>
          </w:tblCellMar>
        </w:tblPrEx>
        <w:trPr>
          <w:trHeight w:val="334" w:hRule="atLeast"/>
        </w:trPr>
        <w:tc>
          <w:tcPr>
            <w:tcW w:w="2638" w:type="pct"/>
            <w:tcBorders>
              <w:top w:val="single" w:color="auto" w:sz="2" w:space="0"/>
              <w:bottom w:val="single" w:color="auto" w:sz="2" w:space="0"/>
              <w:right w:val="single" w:color="auto" w:sz="2" w:space="0"/>
            </w:tcBorders>
            <w:shd w:val="clear" w:color="auto" w:fill="auto"/>
            <w:noWrap/>
            <w:vAlign w:val="center"/>
          </w:tcPr>
          <w:p w14:paraId="3DF2F1FC">
            <w:pPr>
              <w:pStyle w:val="84"/>
            </w:pPr>
            <w:r>
              <w:t>鸽形目COLUMBIFORMES</w:t>
            </w:r>
          </w:p>
        </w:tc>
        <w:tc>
          <w:tcPr>
            <w:tcW w:w="1815" w:type="pct"/>
            <w:tcBorders>
              <w:top w:val="single" w:color="auto" w:sz="2" w:space="0"/>
              <w:left w:val="single" w:color="auto" w:sz="2" w:space="0"/>
              <w:bottom w:val="single" w:color="auto" w:sz="2" w:space="0"/>
              <w:right w:val="single" w:color="auto" w:sz="2" w:space="0"/>
            </w:tcBorders>
            <w:shd w:val="clear" w:color="auto" w:fill="auto"/>
            <w:noWrap/>
            <w:vAlign w:val="center"/>
          </w:tcPr>
          <w:p w14:paraId="2B1BB6C6">
            <w:pPr>
              <w:pStyle w:val="84"/>
            </w:pPr>
            <w:r>
              <w:t>鸠鸽科Columbidae</w:t>
            </w:r>
          </w:p>
        </w:tc>
        <w:tc>
          <w:tcPr>
            <w:tcW w:w="547" w:type="pct"/>
            <w:tcBorders>
              <w:top w:val="single" w:color="auto" w:sz="2" w:space="0"/>
              <w:left w:val="single" w:color="auto" w:sz="2" w:space="0"/>
              <w:bottom w:val="single" w:color="auto" w:sz="2" w:space="0"/>
            </w:tcBorders>
            <w:shd w:val="clear" w:color="auto" w:fill="auto"/>
            <w:noWrap/>
            <w:vAlign w:val="center"/>
          </w:tcPr>
          <w:p w14:paraId="7D18FC83">
            <w:pPr>
              <w:pStyle w:val="84"/>
            </w:pPr>
            <w:r>
              <w:rPr>
                <w:rFonts w:hint="eastAsia"/>
              </w:rPr>
              <w:t>2</w:t>
            </w:r>
          </w:p>
        </w:tc>
      </w:tr>
      <w:tr w14:paraId="3CCF87C4">
        <w:tblPrEx>
          <w:tblCellMar>
            <w:top w:w="0" w:type="dxa"/>
            <w:left w:w="108" w:type="dxa"/>
            <w:bottom w:w="0" w:type="dxa"/>
            <w:right w:w="108" w:type="dxa"/>
          </w:tblCellMar>
        </w:tblPrEx>
        <w:trPr>
          <w:trHeight w:val="334" w:hRule="atLeast"/>
        </w:trPr>
        <w:tc>
          <w:tcPr>
            <w:tcW w:w="2638" w:type="pct"/>
            <w:tcBorders>
              <w:top w:val="single" w:color="auto" w:sz="2" w:space="0"/>
              <w:bottom w:val="single" w:color="auto" w:sz="2" w:space="0"/>
              <w:right w:val="single" w:color="auto" w:sz="2" w:space="0"/>
            </w:tcBorders>
            <w:shd w:val="clear" w:color="auto" w:fill="auto"/>
            <w:noWrap/>
            <w:vAlign w:val="center"/>
          </w:tcPr>
          <w:p w14:paraId="5D97F010">
            <w:pPr>
              <w:pStyle w:val="84"/>
            </w:pPr>
            <w:r>
              <w:t>鹃形目CUCULIFORMES</w:t>
            </w:r>
          </w:p>
        </w:tc>
        <w:tc>
          <w:tcPr>
            <w:tcW w:w="1815" w:type="pct"/>
            <w:tcBorders>
              <w:top w:val="single" w:color="auto" w:sz="2" w:space="0"/>
              <w:left w:val="single" w:color="auto" w:sz="2" w:space="0"/>
              <w:bottom w:val="single" w:color="auto" w:sz="2" w:space="0"/>
              <w:right w:val="single" w:color="auto" w:sz="2" w:space="0"/>
            </w:tcBorders>
            <w:shd w:val="clear" w:color="auto" w:fill="auto"/>
            <w:noWrap/>
            <w:vAlign w:val="center"/>
          </w:tcPr>
          <w:p w14:paraId="198734FF">
            <w:pPr>
              <w:pStyle w:val="84"/>
            </w:pPr>
            <w:r>
              <w:t>杜鹃科Cculidae</w:t>
            </w:r>
          </w:p>
        </w:tc>
        <w:tc>
          <w:tcPr>
            <w:tcW w:w="547" w:type="pct"/>
            <w:tcBorders>
              <w:top w:val="single" w:color="auto" w:sz="2" w:space="0"/>
              <w:left w:val="single" w:color="auto" w:sz="2" w:space="0"/>
              <w:bottom w:val="single" w:color="auto" w:sz="2" w:space="0"/>
            </w:tcBorders>
            <w:shd w:val="clear" w:color="auto" w:fill="auto"/>
            <w:noWrap/>
            <w:vAlign w:val="center"/>
          </w:tcPr>
          <w:p w14:paraId="4D8ABD95">
            <w:pPr>
              <w:pStyle w:val="84"/>
            </w:pPr>
            <w:r>
              <w:t>3</w:t>
            </w:r>
          </w:p>
        </w:tc>
      </w:tr>
      <w:tr w14:paraId="26330661">
        <w:tblPrEx>
          <w:tblCellMar>
            <w:top w:w="0" w:type="dxa"/>
            <w:left w:w="108" w:type="dxa"/>
            <w:bottom w:w="0" w:type="dxa"/>
            <w:right w:w="108" w:type="dxa"/>
          </w:tblCellMar>
        </w:tblPrEx>
        <w:trPr>
          <w:trHeight w:val="334" w:hRule="atLeast"/>
        </w:trPr>
        <w:tc>
          <w:tcPr>
            <w:tcW w:w="2638" w:type="pct"/>
            <w:tcBorders>
              <w:top w:val="single" w:color="auto" w:sz="2" w:space="0"/>
              <w:bottom w:val="single" w:color="auto" w:sz="2" w:space="0"/>
              <w:right w:val="single" w:color="auto" w:sz="2" w:space="0"/>
            </w:tcBorders>
            <w:shd w:val="clear" w:color="auto" w:fill="auto"/>
            <w:noWrap/>
            <w:vAlign w:val="center"/>
          </w:tcPr>
          <w:p w14:paraId="608BEE43">
            <w:pPr>
              <w:pStyle w:val="84"/>
            </w:pPr>
            <w:r>
              <w:t>鸮形目STRIGIFORMES</w:t>
            </w:r>
          </w:p>
        </w:tc>
        <w:tc>
          <w:tcPr>
            <w:tcW w:w="1815" w:type="pct"/>
            <w:tcBorders>
              <w:top w:val="single" w:color="auto" w:sz="2" w:space="0"/>
              <w:left w:val="single" w:color="auto" w:sz="2" w:space="0"/>
              <w:bottom w:val="single" w:color="auto" w:sz="2" w:space="0"/>
              <w:right w:val="single" w:color="auto" w:sz="2" w:space="0"/>
            </w:tcBorders>
            <w:shd w:val="clear" w:color="auto" w:fill="auto"/>
            <w:noWrap/>
            <w:vAlign w:val="center"/>
          </w:tcPr>
          <w:p w14:paraId="52791510">
            <w:pPr>
              <w:pStyle w:val="84"/>
            </w:pPr>
            <w:r>
              <w:t>鸱鸮科Strigidae</w:t>
            </w:r>
          </w:p>
        </w:tc>
        <w:tc>
          <w:tcPr>
            <w:tcW w:w="547" w:type="pct"/>
            <w:tcBorders>
              <w:top w:val="single" w:color="auto" w:sz="2" w:space="0"/>
              <w:left w:val="single" w:color="auto" w:sz="2" w:space="0"/>
              <w:bottom w:val="single" w:color="auto" w:sz="2" w:space="0"/>
            </w:tcBorders>
            <w:shd w:val="clear" w:color="auto" w:fill="auto"/>
            <w:noWrap/>
            <w:vAlign w:val="center"/>
          </w:tcPr>
          <w:p w14:paraId="3521881C">
            <w:pPr>
              <w:pStyle w:val="84"/>
            </w:pPr>
            <w:r>
              <w:t>1</w:t>
            </w:r>
          </w:p>
        </w:tc>
      </w:tr>
      <w:tr w14:paraId="29A4310E">
        <w:tblPrEx>
          <w:tblCellMar>
            <w:top w:w="0" w:type="dxa"/>
            <w:left w:w="108" w:type="dxa"/>
            <w:bottom w:w="0" w:type="dxa"/>
            <w:right w:w="108" w:type="dxa"/>
          </w:tblCellMar>
        </w:tblPrEx>
        <w:trPr>
          <w:trHeight w:val="334" w:hRule="atLeast"/>
        </w:trPr>
        <w:tc>
          <w:tcPr>
            <w:tcW w:w="2638" w:type="pct"/>
            <w:vMerge w:val="restart"/>
            <w:tcBorders>
              <w:top w:val="single" w:color="auto" w:sz="2" w:space="0"/>
              <w:bottom w:val="single" w:color="auto" w:sz="2" w:space="0"/>
              <w:right w:val="single" w:color="auto" w:sz="2" w:space="0"/>
            </w:tcBorders>
            <w:shd w:val="clear" w:color="auto" w:fill="auto"/>
            <w:noWrap/>
            <w:vAlign w:val="center"/>
          </w:tcPr>
          <w:p w14:paraId="603D4A04">
            <w:pPr>
              <w:pStyle w:val="84"/>
            </w:pPr>
            <w:r>
              <w:t>佛法僧目CORACIIFORMES</w:t>
            </w:r>
          </w:p>
        </w:tc>
        <w:tc>
          <w:tcPr>
            <w:tcW w:w="1815" w:type="pct"/>
            <w:tcBorders>
              <w:top w:val="single" w:color="auto" w:sz="2" w:space="0"/>
              <w:left w:val="single" w:color="auto" w:sz="2" w:space="0"/>
              <w:bottom w:val="single" w:color="auto" w:sz="2" w:space="0"/>
              <w:right w:val="single" w:color="auto" w:sz="2" w:space="0"/>
            </w:tcBorders>
            <w:shd w:val="clear" w:color="auto" w:fill="auto"/>
            <w:noWrap/>
            <w:vAlign w:val="center"/>
          </w:tcPr>
          <w:p w14:paraId="032DEF7A">
            <w:pPr>
              <w:pStyle w:val="84"/>
            </w:pPr>
            <w:r>
              <w:t>翠鸟科Alcedinidae</w:t>
            </w:r>
          </w:p>
        </w:tc>
        <w:tc>
          <w:tcPr>
            <w:tcW w:w="547" w:type="pct"/>
            <w:tcBorders>
              <w:top w:val="single" w:color="auto" w:sz="2" w:space="0"/>
              <w:left w:val="single" w:color="auto" w:sz="2" w:space="0"/>
              <w:bottom w:val="single" w:color="auto" w:sz="2" w:space="0"/>
            </w:tcBorders>
            <w:shd w:val="clear" w:color="auto" w:fill="auto"/>
            <w:noWrap/>
            <w:vAlign w:val="center"/>
          </w:tcPr>
          <w:p w14:paraId="10F5F707">
            <w:pPr>
              <w:pStyle w:val="84"/>
            </w:pPr>
            <w:r>
              <w:t>2</w:t>
            </w:r>
          </w:p>
        </w:tc>
      </w:tr>
      <w:tr w14:paraId="0A548A99">
        <w:tblPrEx>
          <w:tblCellMar>
            <w:top w:w="0" w:type="dxa"/>
            <w:left w:w="108" w:type="dxa"/>
            <w:bottom w:w="0" w:type="dxa"/>
            <w:right w:w="108" w:type="dxa"/>
          </w:tblCellMar>
        </w:tblPrEx>
        <w:trPr>
          <w:trHeight w:val="334" w:hRule="atLeast"/>
        </w:trPr>
        <w:tc>
          <w:tcPr>
            <w:tcW w:w="2638" w:type="pct"/>
            <w:vMerge w:val="continue"/>
            <w:tcBorders>
              <w:top w:val="single" w:color="auto" w:sz="2" w:space="0"/>
              <w:bottom w:val="single" w:color="auto" w:sz="2" w:space="0"/>
              <w:right w:val="single" w:color="auto" w:sz="2" w:space="0"/>
            </w:tcBorders>
            <w:vAlign w:val="center"/>
          </w:tcPr>
          <w:p w14:paraId="73141E29">
            <w:pPr>
              <w:pStyle w:val="84"/>
            </w:pPr>
          </w:p>
        </w:tc>
        <w:tc>
          <w:tcPr>
            <w:tcW w:w="1815" w:type="pct"/>
            <w:tcBorders>
              <w:top w:val="single" w:color="auto" w:sz="2" w:space="0"/>
              <w:left w:val="single" w:color="auto" w:sz="2" w:space="0"/>
              <w:bottom w:val="single" w:color="auto" w:sz="2" w:space="0"/>
              <w:right w:val="single" w:color="auto" w:sz="2" w:space="0"/>
            </w:tcBorders>
            <w:shd w:val="clear" w:color="auto" w:fill="auto"/>
            <w:noWrap/>
            <w:vAlign w:val="center"/>
          </w:tcPr>
          <w:p w14:paraId="5A247D1A">
            <w:pPr>
              <w:pStyle w:val="84"/>
            </w:pPr>
            <w:r>
              <w:t>佛法僧科Coraciidae</w:t>
            </w:r>
          </w:p>
        </w:tc>
        <w:tc>
          <w:tcPr>
            <w:tcW w:w="547" w:type="pct"/>
            <w:tcBorders>
              <w:top w:val="single" w:color="auto" w:sz="2" w:space="0"/>
              <w:left w:val="single" w:color="auto" w:sz="2" w:space="0"/>
              <w:bottom w:val="single" w:color="auto" w:sz="2" w:space="0"/>
            </w:tcBorders>
            <w:shd w:val="clear" w:color="auto" w:fill="auto"/>
            <w:noWrap/>
            <w:vAlign w:val="center"/>
          </w:tcPr>
          <w:p w14:paraId="07C03733">
            <w:pPr>
              <w:pStyle w:val="84"/>
            </w:pPr>
            <w:r>
              <w:t>1</w:t>
            </w:r>
          </w:p>
        </w:tc>
      </w:tr>
      <w:tr w14:paraId="594456A5">
        <w:tblPrEx>
          <w:tblCellMar>
            <w:top w:w="0" w:type="dxa"/>
            <w:left w:w="108" w:type="dxa"/>
            <w:bottom w:w="0" w:type="dxa"/>
            <w:right w:w="108" w:type="dxa"/>
          </w:tblCellMar>
        </w:tblPrEx>
        <w:trPr>
          <w:trHeight w:val="334" w:hRule="atLeast"/>
        </w:trPr>
        <w:tc>
          <w:tcPr>
            <w:tcW w:w="2638" w:type="pct"/>
            <w:tcBorders>
              <w:top w:val="single" w:color="auto" w:sz="2" w:space="0"/>
              <w:bottom w:val="single" w:color="auto" w:sz="2" w:space="0"/>
              <w:right w:val="single" w:color="auto" w:sz="2" w:space="0"/>
            </w:tcBorders>
            <w:shd w:val="clear" w:color="auto" w:fill="auto"/>
            <w:noWrap/>
            <w:vAlign w:val="center"/>
          </w:tcPr>
          <w:p w14:paraId="39792BE7">
            <w:pPr>
              <w:pStyle w:val="84"/>
            </w:pPr>
            <w:r>
              <w:t>鴷形目PICIFORMES</w:t>
            </w:r>
          </w:p>
        </w:tc>
        <w:tc>
          <w:tcPr>
            <w:tcW w:w="1815" w:type="pct"/>
            <w:tcBorders>
              <w:top w:val="single" w:color="auto" w:sz="2" w:space="0"/>
              <w:left w:val="single" w:color="auto" w:sz="2" w:space="0"/>
              <w:bottom w:val="single" w:color="auto" w:sz="2" w:space="0"/>
              <w:right w:val="single" w:color="auto" w:sz="2" w:space="0"/>
            </w:tcBorders>
            <w:shd w:val="clear" w:color="auto" w:fill="auto"/>
            <w:noWrap/>
            <w:vAlign w:val="center"/>
          </w:tcPr>
          <w:p w14:paraId="1EFBA790">
            <w:pPr>
              <w:pStyle w:val="84"/>
            </w:pPr>
            <w:r>
              <w:t>须鴷科Capitonidae</w:t>
            </w:r>
          </w:p>
        </w:tc>
        <w:tc>
          <w:tcPr>
            <w:tcW w:w="547" w:type="pct"/>
            <w:tcBorders>
              <w:top w:val="single" w:color="auto" w:sz="2" w:space="0"/>
              <w:left w:val="single" w:color="auto" w:sz="2" w:space="0"/>
              <w:bottom w:val="single" w:color="auto" w:sz="2" w:space="0"/>
            </w:tcBorders>
            <w:shd w:val="clear" w:color="auto" w:fill="auto"/>
            <w:noWrap/>
            <w:vAlign w:val="center"/>
          </w:tcPr>
          <w:p w14:paraId="2FB7CDBF">
            <w:pPr>
              <w:pStyle w:val="84"/>
            </w:pPr>
            <w:r>
              <w:t>1</w:t>
            </w:r>
          </w:p>
        </w:tc>
      </w:tr>
      <w:tr w14:paraId="2107CECE">
        <w:tblPrEx>
          <w:tblCellMar>
            <w:top w:w="0" w:type="dxa"/>
            <w:left w:w="108" w:type="dxa"/>
            <w:bottom w:w="0" w:type="dxa"/>
            <w:right w:w="108" w:type="dxa"/>
          </w:tblCellMar>
        </w:tblPrEx>
        <w:trPr>
          <w:trHeight w:val="334" w:hRule="atLeast"/>
        </w:trPr>
        <w:tc>
          <w:tcPr>
            <w:tcW w:w="2638" w:type="pct"/>
            <w:vMerge w:val="restart"/>
            <w:tcBorders>
              <w:top w:val="single" w:color="auto" w:sz="2" w:space="0"/>
              <w:bottom w:val="single" w:color="auto" w:sz="2" w:space="0"/>
              <w:right w:val="single" w:color="auto" w:sz="2" w:space="0"/>
            </w:tcBorders>
            <w:shd w:val="clear" w:color="auto" w:fill="auto"/>
            <w:noWrap/>
            <w:vAlign w:val="center"/>
          </w:tcPr>
          <w:p w14:paraId="70479825">
            <w:pPr>
              <w:pStyle w:val="84"/>
            </w:pPr>
            <w:r>
              <w:t>雀形目PASSERIFORMES</w:t>
            </w:r>
          </w:p>
        </w:tc>
        <w:tc>
          <w:tcPr>
            <w:tcW w:w="1815" w:type="pct"/>
            <w:tcBorders>
              <w:top w:val="single" w:color="auto" w:sz="2" w:space="0"/>
              <w:left w:val="single" w:color="auto" w:sz="2" w:space="0"/>
              <w:bottom w:val="single" w:color="auto" w:sz="2" w:space="0"/>
              <w:right w:val="single" w:color="auto" w:sz="2" w:space="0"/>
            </w:tcBorders>
            <w:shd w:val="clear" w:color="auto" w:fill="auto"/>
            <w:noWrap/>
            <w:vAlign w:val="center"/>
          </w:tcPr>
          <w:p w14:paraId="2EA16E03">
            <w:pPr>
              <w:pStyle w:val="84"/>
            </w:pPr>
            <w:r>
              <w:t>鹡鸰科Motacillidae</w:t>
            </w:r>
          </w:p>
        </w:tc>
        <w:tc>
          <w:tcPr>
            <w:tcW w:w="547" w:type="pct"/>
            <w:tcBorders>
              <w:top w:val="single" w:color="auto" w:sz="2" w:space="0"/>
              <w:left w:val="single" w:color="auto" w:sz="2" w:space="0"/>
              <w:bottom w:val="single" w:color="auto" w:sz="2" w:space="0"/>
            </w:tcBorders>
            <w:shd w:val="clear" w:color="auto" w:fill="auto"/>
            <w:noWrap/>
            <w:vAlign w:val="center"/>
          </w:tcPr>
          <w:p w14:paraId="6674E4FF">
            <w:pPr>
              <w:pStyle w:val="84"/>
            </w:pPr>
            <w:r>
              <w:t>4</w:t>
            </w:r>
          </w:p>
        </w:tc>
      </w:tr>
      <w:tr w14:paraId="32B5A6FD">
        <w:tblPrEx>
          <w:tblCellMar>
            <w:top w:w="0" w:type="dxa"/>
            <w:left w:w="108" w:type="dxa"/>
            <w:bottom w:w="0" w:type="dxa"/>
            <w:right w:w="108" w:type="dxa"/>
          </w:tblCellMar>
        </w:tblPrEx>
        <w:trPr>
          <w:trHeight w:val="334" w:hRule="atLeast"/>
        </w:trPr>
        <w:tc>
          <w:tcPr>
            <w:tcW w:w="2638" w:type="pct"/>
            <w:vMerge w:val="continue"/>
            <w:tcBorders>
              <w:top w:val="single" w:color="auto" w:sz="2" w:space="0"/>
              <w:bottom w:val="single" w:color="auto" w:sz="2" w:space="0"/>
              <w:right w:val="single" w:color="auto" w:sz="2" w:space="0"/>
            </w:tcBorders>
            <w:vAlign w:val="center"/>
          </w:tcPr>
          <w:p w14:paraId="0D2E6F0A">
            <w:pPr>
              <w:pStyle w:val="84"/>
            </w:pPr>
          </w:p>
        </w:tc>
        <w:tc>
          <w:tcPr>
            <w:tcW w:w="1815" w:type="pct"/>
            <w:tcBorders>
              <w:top w:val="single" w:color="auto" w:sz="2" w:space="0"/>
              <w:left w:val="single" w:color="auto" w:sz="2" w:space="0"/>
              <w:bottom w:val="single" w:color="auto" w:sz="2" w:space="0"/>
              <w:right w:val="single" w:color="auto" w:sz="2" w:space="0"/>
            </w:tcBorders>
            <w:shd w:val="clear" w:color="auto" w:fill="auto"/>
            <w:noWrap/>
            <w:vAlign w:val="center"/>
          </w:tcPr>
          <w:p w14:paraId="0D55D0D6">
            <w:pPr>
              <w:pStyle w:val="84"/>
            </w:pPr>
            <w:r>
              <w:t>鹎科Pycnonotidae</w:t>
            </w:r>
          </w:p>
        </w:tc>
        <w:tc>
          <w:tcPr>
            <w:tcW w:w="547" w:type="pct"/>
            <w:tcBorders>
              <w:top w:val="single" w:color="auto" w:sz="2" w:space="0"/>
              <w:left w:val="single" w:color="auto" w:sz="2" w:space="0"/>
              <w:bottom w:val="single" w:color="auto" w:sz="2" w:space="0"/>
            </w:tcBorders>
            <w:shd w:val="clear" w:color="auto" w:fill="auto"/>
            <w:noWrap/>
            <w:vAlign w:val="center"/>
          </w:tcPr>
          <w:p w14:paraId="4CEB5138">
            <w:pPr>
              <w:pStyle w:val="84"/>
            </w:pPr>
            <w:r>
              <w:t>2</w:t>
            </w:r>
          </w:p>
        </w:tc>
      </w:tr>
      <w:tr w14:paraId="1C4DC989">
        <w:tblPrEx>
          <w:tblCellMar>
            <w:top w:w="0" w:type="dxa"/>
            <w:left w:w="108" w:type="dxa"/>
            <w:bottom w:w="0" w:type="dxa"/>
            <w:right w:w="108" w:type="dxa"/>
          </w:tblCellMar>
        </w:tblPrEx>
        <w:trPr>
          <w:trHeight w:val="334" w:hRule="atLeast"/>
        </w:trPr>
        <w:tc>
          <w:tcPr>
            <w:tcW w:w="2638" w:type="pct"/>
            <w:vMerge w:val="continue"/>
            <w:tcBorders>
              <w:top w:val="single" w:color="auto" w:sz="2" w:space="0"/>
              <w:bottom w:val="single" w:color="auto" w:sz="2" w:space="0"/>
              <w:right w:val="single" w:color="auto" w:sz="2" w:space="0"/>
            </w:tcBorders>
            <w:vAlign w:val="center"/>
          </w:tcPr>
          <w:p w14:paraId="20100C6D">
            <w:pPr>
              <w:pStyle w:val="84"/>
            </w:pPr>
          </w:p>
        </w:tc>
        <w:tc>
          <w:tcPr>
            <w:tcW w:w="1815" w:type="pct"/>
            <w:tcBorders>
              <w:top w:val="single" w:color="auto" w:sz="2" w:space="0"/>
              <w:left w:val="single" w:color="auto" w:sz="2" w:space="0"/>
              <w:bottom w:val="single" w:color="auto" w:sz="2" w:space="0"/>
              <w:right w:val="single" w:color="auto" w:sz="2" w:space="0"/>
            </w:tcBorders>
            <w:shd w:val="clear" w:color="auto" w:fill="auto"/>
            <w:noWrap/>
            <w:vAlign w:val="center"/>
          </w:tcPr>
          <w:p w14:paraId="07A870D2">
            <w:pPr>
              <w:pStyle w:val="84"/>
            </w:pPr>
            <w:r>
              <w:t>伯劳科Laniidae</w:t>
            </w:r>
          </w:p>
        </w:tc>
        <w:tc>
          <w:tcPr>
            <w:tcW w:w="547" w:type="pct"/>
            <w:tcBorders>
              <w:top w:val="single" w:color="auto" w:sz="2" w:space="0"/>
              <w:left w:val="single" w:color="auto" w:sz="2" w:space="0"/>
              <w:bottom w:val="single" w:color="auto" w:sz="2" w:space="0"/>
            </w:tcBorders>
            <w:shd w:val="clear" w:color="auto" w:fill="auto"/>
            <w:noWrap/>
            <w:vAlign w:val="center"/>
          </w:tcPr>
          <w:p w14:paraId="44C79EDA">
            <w:pPr>
              <w:pStyle w:val="84"/>
            </w:pPr>
            <w:r>
              <w:t>3</w:t>
            </w:r>
          </w:p>
        </w:tc>
      </w:tr>
      <w:tr w14:paraId="78831861">
        <w:tblPrEx>
          <w:tblCellMar>
            <w:top w:w="0" w:type="dxa"/>
            <w:left w:w="108" w:type="dxa"/>
            <w:bottom w:w="0" w:type="dxa"/>
            <w:right w:w="108" w:type="dxa"/>
          </w:tblCellMar>
        </w:tblPrEx>
        <w:trPr>
          <w:trHeight w:val="334" w:hRule="atLeast"/>
        </w:trPr>
        <w:tc>
          <w:tcPr>
            <w:tcW w:w="2638" w:type="pct"/>
            <w:vMerge w:val="continue"/>
            <w:tcBorders>
              <w:top w:val="single" w:color="auto" w:sz="2" w:space="0"/>
              <w:bottom w:val="single" w:color="auto" w:sz="2" w:space="0"/>
              <w:right w:val="single" w:color="auto" w:sz="2" w:space="0"/>
            </w:tcBorders>
            <w:vAlign w:val="center"/>
          </w:tcPr>
          <w:p w14:paraId="2DA8893D">
            <w:pPr>
              <w:pStyle w:val="84"/>
            </w:pPr>
          </w:p>
        </w:tc>
        <w:tc>
          <w:tcPr>
            <w:tcW w:w="1815" w:type="pct"/>
            <w:tcBorders>
              <w:top w:val="single" w:color="auto" w:sz="2" w:space="0"/>
              <w:left w:val="single" w:color="auto" w:sz="2" w:space="0"/>
              <w:bottom w:val="single" w:color="auto" w:sz="2" w:space="0"/>
              <w:right w:val="single" w:color="auto" w:sz="2" w:space="0"/>
            </w:tcBorders>
            <w:shd w:val="clear" w:color="auto" w:fill="auto"/>
            <w:noWrap/>
            <w:vAlign w:val="center"/>
          </w:tcPr>
          <w:p w14:paraId="45CE3150">
            <w:pPr>
              <w:pStyle w:val="84"/>
            </w:pPr>
            <w:r>
              <w:t>卷尾科Dicruridae</w:t>
            </w:r>
          </w:p>
        </w:tc>
        <w:tc>
          <w:tcPr>
            <w:tcW w:w="547" w:type="pct"/>
            <w:tcBorders>
              <w:top w:val="single" w:color="auto" w:sz="2" w:space="0"/>
              <w:left w:val="single" w:color="auto" w:sz="2" w:space="0"/>
              <w:bottom w:val="single" w:color="auto" w:sz="2" w:space="0"/>
            </w:tcBorders>
            <w:shd w:val="clear" w:color="auto" w:fill="auto"/>
            <w:noWrap/>
            <w:vAlign w:val="center"/>
          </w:tcPr>
          <w:p w14:paraId="3E769762">
            <w:pPr>
              <w:pStyle w:val="84"/>
            </w:pPr>
            <w:r>
              <w:t>2</w:t>
            </w:r>
          </w:p>
        </w:tc>
      </w:tr>
      <w:tr w14:paraId="2E8070AD">
        <w:tblPrEx>
          <w:tblCellMar>
            <w:top w:w="0" w:type="dxa"/>
            <w:left w:w="108" w:type="dxa"/>
            <w:bottom w:w="0" w:type="dxa"/>
            <w:right w:w="108" w:type="dxa"/>
          </w:tblCellMar>
        </w:tblPrEx>
        <w:trPr>
          <w:trHeight w:val="334" w:hRule="atLeast"/>
        </w:trPr>
        <w:tc>
          <w:tcPr>
            <w:tcW w:w="2638" w:type="pct"/>
            <w:vMerge w:val="continue"/>
            <w:tcBorders>
              <w:top w:val="single" w:color="auto" w:sz="2" w:space="0"/>
              <w:bottom w:val="single" w:color="auto" w:sz="2" w:space="0"/>
              <w:right w:val="single" w:color="auto" w:sz="2" w:space="0"/>
            </w:tcBorders>
            <w:vAlign w:val="center"/>
          </w:tcPr>
          <w:p w14:paraId="570E0E30">
            <w:pPr>
              <w:pStyle w:val="84"/>
            </w:pPr>
          </w:p>
        </w:tc>
        <w:tc>
          <w:tcPr>
            <w:tcW w:w="1815" w:type="pct"/>
            <w:tcBorders>
              <w:top w:val="single" w:color="auto" w:sz="2" w:space="0"/>
              <w:left w:val="single" w:color="auto" w:sz="2" w:space="0"/>
              <w:bottom w:val="single" w:color="auto" w:sz="2" w:space="0"/>
              <w:right w:val="single" w:color="auto" w:sz="2" w:space="0"/>
            </w:tcBorders>
            <w:shd w:val="clear" w:color="auto" w:fill="auto"/>
            <w:noWrap/>
            <w:vAlign w:val="center"/>
          </w:tcPr>
          <w:p w14:paraId="693AC8CE">
            <w:pPr>
              <w:pStyle w:val="84"/>
            </w:pPr>
            <w:r>
              <w:t xml:space="preserve"> 椋鸟科Sturnidae</w:t>
            </w:r>
          </w:p>
        </w:tc>
        <w:tc>
          <w:tcPr>
            <w:tcW w:w="547" w:type="pct"/>
            <w:tcBorders>
              <w:top w:val="single" w:color="auto" w:sz="2" w:space="0"/>
              <w:left w:val="single" w:color="auto" w:sz="2" w:space="0"/>
              <w:bottom w:val="single" w:color="auto" w:sz="2" w:space="0"/>
            </w:tcBorders>
            <w:shd w:val="clear" w:color="auto" w:fill="auto"/>
            <w:noWrap/>
            <w:vAlign w:val="center"/>
          </w:tcPr>
          <w:p w14:paraId="050D2A40">
            <w:pPr>
              <w:pStyle w:val="84"/>
            </w:pPr>
            <w:r>
              <w:t>2</w:t>
            </w:r>
          </w:p>
        </w:tc>
      </w:tr>
      <w:tr w14:paraId="0C1370BC">
        <w:tblPrEx>
          <w:tblCellMar>
            <w:top w:w="0" w:type="dxa"/>
            <w:left w:w="108" w:type="dxa"/>
            <w:bottom w:w="0" w:type="dxa"/>
            <w:right w:w="108" w:type="dxa"/>
          </w:tblCellMar>
        </w:tblPrEx>
        <w:trPr>
          <w:trHeight w:val="334" w:hRule="atLeast"/>
        </w:trPr>
        <w:tc>
          <w:tcPr>
            <w:tcW w:w="2638" w:type="pct"/>
            <w:vMerge w:val="continue"/>
            <w:tcBorders>
              <w:top w:val="single" w:color="auto" w:sz="2" w:space="0"/>
              <w:bottom w:val="single" w:color="auto" w:sz="2" w:space="0"/>
              <w:right w:val="single" w:color="auto" w:sz="2" w:space="0"/>
            </w:tcBorders>
            <w:vAlign w:val="center"/>
          </w:tcPr>
          <w:p w14:paraId="03A86D4F">
            <w:pPr>
              <w:pStyle w:val="84"/>
            </w:pPr>
          </w:p>
        </w:tc>
        <w:tc>
          <w:tcPr>
            <w:tcW w:w="1815" w:type="pct"/>
            <w:tcBorders>
              <w:top w:val="single" w:color="auto" w:sz="2" w:space="0"/>
              <w:left w:val="single" w:color="auto" w:sz="2" w:space="0"/>
              <w:bottom w:val="single" w:color="auto" w:sz="2" w:space="0"/>
              <w:right w:val="single" w:color="auto" w:sz="2" w:space="0"/>
            </w:tcBorders>
            <w:shd w:val="clear" w:color="auto" w:fill="auto"/>
            <w:noWrap/>
            <w:vAlign w:val="center"/>
          </w:tcPr>
          <w:p w14:paraId="7A41E277">
            <w:pPr>
              <w:pStyle w:val="84"/>
            </w:pPr>
            <w:r>
              <w:t>鸦科Corvidae</w:t>
            </w:r>
          </w:p>
        </w:tc>
        <w:tc>
          <w:tcPr>
            <w:tcW w:w="547" w:type="pct"/>
            <w:tcBorders>
              <w:top w:val="single" w:color="auto" w:sz="2" w:space="0"/>
              <w:left w:val="single" w:color="auto" w:sz="2" w:space="0"/>
              <w:bottom w:val="single" w:color="auto" w:sz="2" w:space="0"/>
            </w:tcBorders>
            <w:shd w:val="clear" w:color="auto" w:fill="auto"/>
            <w:noWrap/>
            <w:vAlign w:val="center"/>
          </w:tcPr>
          <w:p w14:paraId="632967E6">
            <w:pPr>
              <w:pStyle w:val="84"/>
            </w:pPr>
            <w:r>
              <w:t>3</w:t>
            </w:r>
          </w:p>
        </w:tc>
      </w:tr>
      <w:tr w14:paraId="6CFC6D08">
        <w:tblPrEx>
          <w:tblCellMar>
            <w:top w:w="0" w:type="dxa"/>
            <w:left w:w="108" w:type="dxa"/>
            <w:bottom w:w="0" w:type="dxa"/>
            <w:right w:w="108" w:type="dxa"/>
          </w:tblCellMar>
        </w:tblPrEx>
        <w:trPr>
          <w:trHeight w:val="334" w:hRule="atLeast"/>
        </w:trPr>
        <w:tc>
          <w:tcPr>
            <w:tcW w:w="2638" w:type="pct"/>
            <w:vMerge w:val="continue"/>
            <w:tcBorders>
              <w:top w:val="single" w:color="auto" w:sz="2" w:space="0"/>
              <w:bottom w:val="single" w:color="auto" w:sz="2" w:space="0"/>
              <w:right w:val="single" w:color="auto" w:sz="2" w:space="0"/>
            </w:tcBorders>
            <w:vAlign w:val="center"/>
          </w:tcPr>
          <w:p w14:paraId="75148FD9">
            <w:pPr>
              <w:pStyle w:val="84"/>
            </w:pPr>
          </w:p>
        </w:tc>
        <w:tc>
          <w:tcPr>
            <w:tcW w:w="1815" w:type="pct"/>
            <w:tcBorders>
              <w:top w:val="single" w:color="auto" w:sz="2" w:space="0"/>
              <w:left w:val="single" w:color="auto" w:sz="2" w:space="0"/>
              <w:bottom w:val="single" w:color="auto" w:sz="2" w:space="0"/>
              <w:right w:val="single" w:color="auto" w:sz="2" w:space="0"/>
            </w:tcBorders>
            <w:shd w:val="clear" w:color="auto" w:fill="auto"/>
            <w:noWrap/>
            <w:vAlign w:val="center"/>
          </w:tcPr>
          <w:p w14:paraId="7D09D5CE">
            <w:pPr>
              <w:pStyle w:val="84"/>
            </w:pPr>
            <w:r>
              <w:t>鹟科Muscicapidae</w:t>
            </w:r>
          </w:p>
        </w:tc>
        <w:tc>
          <w:tcPr>
            <w:tcW w:w="547" w:type="pct"/>
            <w:tcBorders>
              <w:top w:val="single" w:color="auto" w:sz="2" w:space="0"/>
              <w:left w:val="single" w:color="auto" w:sz="2" w:space="0"/>
              <w:bottom w:val="single" w:color="auto" w:sz="2" w:space="0"/>
            </w:tcBorders>
            <w:shd w:val="clear" w:color="auto" w:fill="auto"/>
            <w:noWrap/>
            <w:vAlign w:val="center"/>
          </w:tcPr>
          <w:p w14:paraId="0C15AB45">
            <w:pPr>
              <w:pStyle w:val="84"/>
            </w:pPr>
            <w:r>
              <w:rPr>
                <w:rFonts w:hint="eastAsia"/>
              </w:rPr>
              <w:t>7</w:t>
            </w:r>
          </w:p>
        </w:tc>
      </w:tr>
      <w:tr w14:paraId="0AD1CF0B">
        <w:tblPrEx>
          <w:tblCellMar>
            <w:top w:w="0" w:type="dxa"/>
            <w:left w:w="108" w:type="dxa"/>
            <w:bottom w:w="0" w:type="dxa"/>
            <w:right w:w="108" w:type="dxa"/>
          </w:tblCellMar>
        </w:tblPrEx>
        <w:trPr>
          <w:trHeight w:val="334" w:hRule="atLeast"/>
        </w:trPr>
        <w:tc>
          <w:tcPr>
            <w:tcW w:w="2638" w:type="pct"/>
            <w:vMerge w:val="continue"/>
            <w:tcBorders>
              <w:top w:val="single" w:color="auto" w:sz="2" w:space="0"/>
              <w:bottom w:val="single" w:color="auto" w:sz="2" w:space="0"/>
              <w:right w:val="single" w:color="auto" w:sz="2" w:space="0"/>
            </w:tcBorders>
            <w:vAlign w:val="center"/>
          </w:tcPr>
          <w:p w14:paraId="7CBCA045">
            <w:pPr>
              <w:pStyle w:val="84"/>
            </w:pPr>
          </w:p>
        </w:tc>
        <w:tc>
          <w:tcPr>
            <w:tcW w:w="1815" w:type="pct"/>
            <w:tcBorders>
              <w:top w:val="single" w:color="auto" w:sz="2" w:space="0"/>
              <w:left w:val="single" w:color="auto" w:sz="2" w:space="0"/>
              <w:bottom w:val="single" w:color="auto" w:sz="2" w:space="0"/>
              <w:right w:val="single" w:color="auto" w:sz="2" w:space="0"/>
            </w:tcBorders>
            <w:shd w:val="clear" w:color="auto" w:fill="auto"/>
            <w:noWrap/>
            <w:vAlign w:val="center"/>
          </w:tcPr>
          <w:p w14:paraId="7403F371">
            <w:pPr>
              <w:pStyle w:val="84"/>
            </w:pPr>
            <w:r>
              <w:t>山雀科Paridae</w:t>
            </w:r>
          </w:p>
        </w:tc>
        <w:tc>
          <w:tcPr>
            <w:tcW w:w="547" w:type="pct"/>
            <w:tcBorders>
              <w:top w:val="single" w:color="auto" w:sz="2" w:space="0"/>
              <w:left w:val="single" w:color="auto" w:sz="2" w:space="0"/>
              <w:bottom w:val="single" w:color="auto" w:sz="2" w:space="0"/>
            </w:tcBorders>
            <w:shd w:val="clear" w:color="auto" w:fill="auto"/>
            <w:noWrap/>
            <w:vAlign w:val="center"/>
          </w:tcPr>
          <w:p w14:paraId="24FF9EA2">
            <w:pPr>
              <w:pStyle w:val="84"/>
            </w:pPr>
            <w:r>
              <w:t>1</w:t>
            </w:r>
          </w:p>
        </w:tc>
      </w:tr>
      <w:tr w14:paraId="58C8E3F0">
        <w:tblPrEx>
          <w:tblCellMar>
            <w:top w:w="0" w:type="dxa"/>
            <w:left w:w="108" w:type="dxa"/>
            <w:bottom w:w="0" w:type="dxa"/>
            <w:right w:w="108" w:type="dxa"/>
          </w:tblCellMar>
        </w:tblPrEx>
        <w:trPr>
          <w:trHeight w:val="334" w:hRule="atLeast"/>
        </w:trPr>
        <w:tc>
          <w:tcPr>
            <w:tcW w:w="2638" w:type="pct"/>
            <w:vMerge w:val="continue"/>
            <w:tcBorders>
              <w:top w:val="single" w:color="auto" w:sz="2" w:space="0"/>
              <w:bottom w:val="single" w:color="auto" w:sz="2" w:space="0"/>
              <w:right w:val="single" w:color="auto" w:sz="2" w:space="0"/>
            </w:tcBorders>
            <w:vAlign w:val="center"/>
          </w:tcPr>
          <w:p w14:paraId="5DE10107">
            <w:pPr>
              <w:pStyle w:val="84"/>
            </w:pPr>
          </w:p>
        </w:tc>
        <w:tc>
          <w:tcPr>
            <w:tcW w:w="1815" w:type="pct"/>
            <w:tcBorders>
              <w:top w:val="single" w:color="auto" w:sz="2" w:space="0"/>
              <w:left w:val="single" w:color="auto" w:sz="2" w:space="0"/>
              <w:bottom w:val="single" w:color="auto" w:sz="2" w:space="0"/>
              <w:right w:val="single" w:color="auto" w:sz="2" w:space="0"/>
            </w:tcBorders>
            <w:shd w:val="clear" w:color="auto" w:fill="auto"/>
            <w:noWrap/>
            <w:vAlign w:val="center"/>
          </w:tcPr>
          <w:p w14:paraId="2E255B0B">
            <w:pPr>
              <w:pStyle w:val="84"/>
            </w:pPr>
            <w:r>
              <w:t>文鸟科Ploceidae</w:t>
            </w:r>
          </w:p>
        </w:tc>
        <w:tc>
          <w:tcPr>
            <w:tcW w:w="547" w:type="pct"/>
            <w:tcBorders>
              <w:top w:val="single" w:color="auto" w:sz="2" w:space="0"/>
              <w:left w:val="single" w:color="auto" w:sz="2" w:space="0"/>
              <w:bottom w:val="single" w:color="auto" w:sz="2" w:space="0"/>
            </w:tcBorders>
            <w:shd w:val="clear" w:color="auto" w:fill="auto"/>
            <w:noWrap/>
            <w:vAlign w:val="center"/>
          </w:tcPr>
          <w:p w14:paraId="7144DBC9">
            <w:pPr>
              <w:pStyle w:val="84"/>
            </w:pPr>
            <w:r>
              <w:t>4</w:t>
            </w:r>
          </w:p>
        </w:tc>
      </w:tr>
      <w:tr w14:paraId="0A175D3B">
        <w:tblPrEx>
          <w:tblCellMar>
            <w:top w:w="0" w:type="dxa"/>
            <w:left w:w="108" w:type="dxa"/>
            <w:bottom w:w="0" w:type="dxa"/>
            <w:right w:w="108" w:type="dxa"/>
          </w:tblCellMar>
        </w:tblPrEx>
        <w:trPr>
          <w:trHeight w:val="334" w:hRule="atLeast"/>
        </w:trPr>
        <w:tc>
          <w:tcPr>
            <w:tcW w:w="2638" w:type="pct"/>
            <w:vMerge w:val="continue"/>
            <w:tcBorders>
              <w:top w:val="single" w:color="auto" w:sz="2" w:space="0"/>
              <w:bottom w:val="single" w:color="auto" w:sz="2" w:space="0"/>
              <w:right w:val="single" w:color="auto" w:sz="2" w:space="0"/>
            </w:tcBorders>
            <w:vAlign w:val="center"/>
          </w:tcPr>
          <w:p w14:paraId="5392A962">
            <w:pPr>
              <w:pStyle w:val="84"/>
            </w:pPr>
          </w:p>
        </w:tc>
        <w:tc>
          <w:tcPr>
            <w:tcW w:w="1815" w:type="pct"/>
            <w:tcBorders>
              <w:top w:val="single" w:color="auto" w:sz="2" w:space="0"/>
              <w:left w:val="single" w:color="auto" w:sz="2" w:space="0"/>
              <w:bottom w:val="single" w:color="auto" w:sz="2" w:space="0"/>
              <w:right w:val="single" w:color="auto" w:sz="2" w:space="0"/>
            </w:tcBorders>
            <w:shd w:val="clear" w:color="auto" w:fill="auto"/>
            <w:noWrap/>
            <w:vAlign w:val="center"/>
          </w:tcPr>
          <w:p w14:paraId="7E367050">
            <w:pPr>
              <w:pStyle w:val="84"/>
            </w:pPr>
            <w:r>
              <w:t>雀科Fringillidae</w:t>
            </w:r>
          </w:p>
        </w:tc>
        <w:tc>
          <w:tcPr>
            <w:tcW w:w="547" w:type="pct"/>
            <w:tcBorders>
              <w:top w:val="single" w:color="auto" w:sz="2" w:space="0"/>
              <w:left w:val="single" w:color="auto" w:sz="2" w:space="0"/>
              <w:bottom w:val="single" w:color="auto" w:sz="2" w:space="0"/>
            </w:tcBorders>
            <w:shd w:val="clear" w:color="auto" w:fill="auto"/>
            <w:noWrap/>
            <w:vAlign w:val="center"/>
          </w:tcPr>
          <w:p w14:paraId="25D2FEED">
            <w:pPr>
              <w:pStyle w:val="84"/>
            </w:pPr>
            <w:r>
              <w:t>1</w:t>
            </w:r>
          </w:p>
        </w:tc>
      </w:tr>
    </w:tbl>
    <w:p w14:paraId="34ADBB1C">
      <w:pPr>
        <w:spacing w:before="240"/>
        <w:ind w:firstLine="480"/>
        <w:jc w:val="left"/>
        <w:rPr>
          <w:szCs w:val="24"/>
        </w:rPr>
      </w:pPr>
      <w:r>
        <w:rPr>
          <w:rFonts w:hint="eastAsia"/>
          <w:szCs w:val="24"/>
        </w:rPr>
        <w:t>评价区内鸟类的主要生境为荒坡灌草丛、林地、旱地及少部分水田，附近区域有居民点，人为干扰较大，鸟类种类、数量不多；区域</w:t>
      </w:r>
      <w:r>
        <w:rPr>
          <w:szCs w:val="24"/>
        </w:rPr>
        <w:t>鸟类以留鸟为主，旅鸟、冬候鸟和夏候鸟种类均不多。其中常见的有鹧鸪、山斑鸠、八声杜鹃、棕背伯劳、画眉、黑喉噪鹛、白颊噪鹛、山鹡鸰、白鹭、白腰文鸟、八哥、</w:t>
      </w:r>
      <w:r>
        <w:rPr>
          <w:rFonts w:hint="eastAsia"/>
          <w:szCs w:val="24"/>
        </w:rPr>
        <w:t>山麻雀</w:t>
      </w:r>
      <w:r>
        <w:rPr>
          <w:szCs w:val="24"/>
        </w:rPr>
        <w:t>、普通翠鸟等。其中分布有国家</w:t>
      </w:r>
      <w:r>
        <w:rPr>
          <w:rFonts w:hint="eastAsia" w:ascii="宋体" w:hAnsi="宋体" w:cs="宋体"/>
          <w:szCs w:val="24"/>
        </w:rPr>
        <w:t>Ⅱ</w:t>
      </w:r>
      <w:r>
        <w:rPr>
          <w:szCs w:val="24"/>
        </w:rPr>
        <w:t>级重点保护鸟类</w:t>
      </w:r>
      <w:r>
        <w:rPr>
          <w:rFonts w:hint="eastAsia"/>
          <w:szCs w:val="24"/>
        </w:rPr>
        <w:t>5</w:t>
      </w:r>
      <w:r>
        <w:rPr>
          <w:szCs w:val="24"/>
        </w:rPr>
        <w:t>种：普通鵟、红隼、</w:t>
      </w:r>
      <w:r>
        <w:rPr>
          <w:rFonts w:hint="eastAsia"/>
          <w:szCs w:val="24"/>
        </w:rPr>
        <w:t>白鹇、</w:t>
      </w:r>
      <w:r>
        <w:rPr>
          <w:szCs w:val="24"/>
        </w:rPr>
        <w:t>褐翅鸦鹃、领角鸮等。</w:t>
      </w:r>
    </w:p>
    <w:p w14:paraId="23A35F29">
      <w:pPr>
        <w:ind w:firstLine="480"/>
        <w:rPr>
          <w:szCs w:val="24"/>
        </w:rPr>
      </w:pPr>
      <w:r>
        <w:rPr>
          <w:rFonts w:hint="eastAsia"/>
          <w:szCs w:val="24"/>
        </w:rPr>
        <w:t>评价区内记述的46种鸟类中，有留鸟35种，占全部鸟类种数的76.09%；有冬候鸟2种，占全部鸟类种数的4.35%；有旅鸟3种，占全部鸟类种数的6.52%；有夏候鸟6种，占全部鸟类种数的13.04%。详见下表：</w:t>
      </w:r>
    </w:p>
    <w:p w14:paraId="6EBE7C85">
      <w:pPr>
        <w:ind w:firstLine="480"/>
        <w:rPr>
          <w:szCs w:val="24"/>
        </w:rPr>
      </w:pPr>
    </w:p>
    <w:p w14:paraId="1D77C146">
      <w:pPr>
        <w:pStyle w:val="82"/>
        <w:framePr w:hSpace="0" w:wrap="auto" w:vAnchor="margin" w:hAnchor="text" w:xAlign="left" w:yAlign="inline"/>
      </w:pPr>
      <w:r>
        <w:rPr>
          <w:rFonts w:hint="eastAsia"/>
        </w:rPr>
        <w:t>表5-1-7    评价区鸟类居留状况</w:t>
      </w:r>
    </w:p>
    <w:tbl>
      <w:tblPr>
        <w:tblStyle w:val="56"/>
        <w:tblW w:w="5035"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497"/>
        <w:gridCol w:w="1418"/>
        <w:gridCol w:w="1418"/>
        <w:gridCol w:w="1418"/>
        <w:gridCol w:w="1414"/>
      </w:tblGrid>
      <w:tr w14:paraId="4D94EB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26" w:type="pct"/>
            <w:shd w:val="clear" w:color="auto" w:fill="auto"/>
            <w:noWrap/>
            <w:vAlign w:val="center"/>
          </w:tcPr>
          <w:p w14:paraId="78DC0C48">
            <w:pPr>
              <w:pStyle w:val="84"/>
            </w:pPr>
            <w:r>
              <w:t>居留状态</w:t>
            </w:r>
          </w:p>
        </w:tc>
        <w:tc>
          <w:tcPr>
            <w:tcW w:w="872" w:type="pct"/>
            <w:shd w:val="clear" w:color="auto" w:fill="auto"/>
            <w:noWrap/>
            <w:vAlign w:val="center"/>
          </w:tcPr>
          <w:p w14:paraId="3BB97BBE">
            <w:pPr>
              <w:pStyle w:val="84"/>
            </w:pPr>
            <w:r>
              <w:t>留鸟</w:t>
            </w:r>
          </w:p>
        </w:tc>
        <w:tc>
          <w:tcPr>
            <w:tcW w:w="826" w:type="pct"/>
            <w:shd w:val="clear" w:color="auto" w:fill="auto"/>
            <w:noWrap/>
            <w:vAlign w:val="center"/>
          </w:tcPr>
          <w:p w14:paraId="5564AA0C">
            <w:pPr>
              <w:pStyle w:val="84"/>
            </w:pPr>
            <w:r>
              <w:t>冬候鸟</w:t>
            </w:r>
          </w:p>
        </w:tc>
        <w:tc>
          <w:tcPr>
            <w:tcW w:w="826" w:type="pct"/>
            <w:shd w:val="clear" w:color="auto" w:fill="auto"/>
            <w:noWrap/>
            <w:vAlign w:val="center"/>
          </w:tcPr>
          <w:p w14:paraId="620AE775">
            <w:pPr>
              <w:pStyle w:val="84"/>
            </w:pPr>
            <w:r>
              <w:t>旅鸟</w:t>
            </w:r>
          </w:p>
        </w:tc>
        <w:tc>
          <w:tcPr>
            <w:tcW w:w="826" w:type="pct"/>
            <w:shd w:val="clear" w:color="auto" w:fill="auto"/>
            <w:noWrap/>
            <w:vAlign w:val="center"/>
          </w:tcPr>
          <w:p w14:paraId="398957AC">
            <w:pPr>
              <w:pStyle w:val="84"/>
            </w:pPr>
            <w:r>
              <w:t>夏候鸟</w:t>
            </w:r>
          </w:p>
        </w:tc>
        <w:tc>
          <w:tcPr>
            <w:tcW w:w="824" w:type="pct"/>
            <w:shd w:val="clear" w:color="auto" w:fill="auto"/>
            <w:noWrap/>
            <w:vAlign w:val="center"/>
          </w:tcPr>
          <w:p w14:paraId="03E189D8">
            <w:pPr>
              <w:pStyle w:val="84"/>
            </w:pPr>
            <w:r>
              <w:t>合计</w:t>
            </w:r>
          </w:p>
        </w:tc>
      </w:tr>
      <w:tr w14:paraId="26C71E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26" w:type="pct"/>
            <w:shd w:val="clear" w:color="auto" w:fill="auto"/>
            <w:noWrap/>
            <w:vAlign w:val="center"/>
          </w:tcPr>
          <w:p w14:paraId="7A01759C">
            <w:pPr>
              <w:pStyle w:val="84"/>
            </w:pPr>
            <w:r>
              <w:t>种数</w:t>
            </w:r>
          </w:p>
        </w:tc>
        <w:tc>
          <w:tcPr>
            <w:tcW w:w="872" w:type="pct"/>
            <w:shd w:val="clear" w:color="auto" w:fill="auto"/>
            <w:noWrap/>
            <w:vAlign w:val="center"/>
          </w:tcPr>
          <w:p w14:paraId="78DAB994">
            <w:pPr>
              <w:pStyle w:val="84"/>
            </w:pPr>
            <w:r>
              <w:t>3</w:t>
            </w:r>
            <w:r>
              <w:rPr>
                <w:rFonts w:hint="eastAsia"/>
              </w:rPr>
              <w:t>5</w:t>
            </w:r>
          </w:p>
        </w:tc>
        <w:tc>
          <w:tcPr>
            <w:tcW w:w="826" w:type="pct"/>
            <w:shd w:val="clear" w:color="auto" w:fill="auto"/>
            <w:noWrap/>
            <w:vAlign w:val="center"/>
          </w:tcPr>
          <w:p w14:paraId="1A24931C">
            <w:pPr>
              <w:pStyle w:val="84"/>
            </w:pPr>
            <w:r>
              <w:t>2</w:t>
            </w:r>
          </w:p>
        </w:tc>
        <w:tc>
          <w:tcPr>
            <w:tcW w:w="826" w:type="pct"/>
            <w:shd w:val="clear" w:color="auto" w:fill="auto"/>
            <w:noWrap/>
            <w:vAlign w:val="center"/>
          </w:tcPr>
          <w:p w14:paraId="2D7327CD">
            <w:pPr>
              <w:pStyle w:val="84"/>
            </w:pPr>
            <w:r>
              <w:t>3</w:t>
            </w:r>
          </w:p>
        </w:tc>
        <w:tc>
          <w:tcPr>
            <w:tcW w:w="826" w:type="pct"/>
            <w:shd w:val="clear" w:color="auto" w:fill="auto"/>
            <w:noWrap/>
            <w:vAlign w:val="center"/>
          </w:tcPr>
          <w:p w14:paraId="52245CC0">
            <w:pPr>
              <w:pStyle w:val="84"/>
            </w:pPr>
            <w:r>
              <w:t>6</w:t>
            </w:r>
          </w:p>
        </w:tc>
        <w:tc>
          <w:tcPr>
            <w:tcW w:w="824" w:type="pct"/>
            <w:shd w:val="clear" w:color="auto" w:fill="auto"/>
            <w:noWrap/>
            <w:vAlign w:val="center"/>
          </w:tcPr>
          <w:p w14:paraId="21966B30">
            <w:pPr>
              <w:pStyle w:val="84"/>
            </w:pPr>
            <w:r>
              <w:t>4</w:t>
            </w:r>
            <w:r>
              <w:rPr>
                <w:rFonts w:hint="eastAsia"/>
              </w:rPr>
              <w:t>6</w:t>
            </w:r>
          </w:p>
        </w:tc>
      </w:tr>
      <w:tr w14:paraId="6D9BD2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26" w:type="pct"/>
            <w:shd w:val="clear" w:color="auto" w:fill="auto"/>
            <w:noWrap/>
            <w:vAlign w:val="center"/>
          </w:tcPr>
          <w:p w14:paraId="7E681178">
            <w:pPr>
              <w:pStyle w:val="84"/>
            </w:pPr>
            <w:r>
              <w:t>%</w:t>
            </w:r>
          </w:p>
        </w:tc>
        <w:tc>
          <w:tcPr>
            <w:tcW w:w="872" w:type="pct"/>
            <w:shd w:val="clear" w:color="auto" w:fill="auto"/>
            <w:noWrap/>
            <w:vAlign w:val="center"/>
          </w:tcPr>
          <w:p w14:paraId="61845A93">
            <w:pPr>
              <w:pStyle w:val="84"/>
            </w:pPr>
            <w:r>
              <w:rPr>
                <w:rFonts w:hint="eastAsia"/>
              </w:rPr>
              <w:t>76.09</w:t>
            </w:r>
          </w:p>
        </w:tc>
        <w:tc>
          <w:tcPr>
            <w:tcW w:w="826" w:type="pct"/>
            <w:shd w:val="clear" w:color="auto" w:fill="auto"/>
            <w:noWrap/>
            <w:vAlign w:val="center"/>
          </w:tcPr>
          <w:p w14:paraId="10621A74">
            <w:pPr>
              <w:pStyle w:val="84"/>
            </w:pPr>
            <w:r>
              <w:rPr>
                <w:rFonts w:hint="eastAsia"/>
              </w:rPr>
              <w:t>4.35</w:t>
            </w:r>
          </w:p>
        </w:tc>
        <w:tc>
          <w:tcPr>
            <w:tcW w:w="826" w:type="pct"/>
            <w:shd w:val="clear" w:color="auto" w:fill="auto"/>
            <w:noWrap/>
            <w:vAlign w:val="center"/>
          </w:tcPr>
          <w:p w14:paraId="0F612128">
            <w:pPr>
              <w:pStyle w:val="84"/>
            </w:pPr>
            <w:r>
              <w:rPr>
                <w:rFonts w:hint="eastAsia"/>
              </w:rPr>
              <w:t>6.52</w:t>
            </w:r>
          </w:p>
        </w:tc>
        <w:tc>
          <w:tcPr>
            <w:tcW w:w="826" w:type="pct"/>
            <w:shd w:val="clear" w:color="auto" w:fill="auto"/>
            <w:noWrap/>
            <w:vAlign w:val="center"/>
          </w:tcPr>
          <w:p w14:paraId="08970968">
            <w:pPr>
              <w:pStyle w:val="84"/>
            </w:pPr>
            <w:r>
              <w:rPr>
                <w:rFonts w:hint="eastAsia"/>
              </w:rPr>
              <w:t>13.04</w:t>
            </w:r>
          </w:p>
        </w:tc>
        <w:tc>
          <w:tcPr>
            <w:tcW w:w="824" w:type="pct"/>
            <w:shd w:val="clear" w:color="auto" w:fill="auto"/>
            <w:noWrap/>
            <w:vAlign w:val="center"/>
          </w:tcPr>
          <w:p w14:paraId="383142FB">
            <w:pPr>
              <w:pStyle w:val="84"/>
            </w:pPr>
            <w:r>
              <w:t xml:space="preserve">100.00 </w:t>
            </w:r>
          </w:p>
        </w:tc>
      </w:tr>
    </w:tbl>
    <w:p w14:paraId="70BB5AE3">
      <w:pPr>
        <w:spacing w:before="240"/>
        <w:ind w:firstLine="480"/>
        <w:rPr>
          <w:szCs w:val="24"/>
        </w:rPr>
      </w:pPr>
      <w:r>
        <w:rPr>
          <w:rFonts w:hint="eastAsia"/>
          <w:szCs w:val="24"/>
        </w:rPr>
        <w:t>在所记录的46种鸟类中，大部分为东洋界物种，共有29种，占全部鸟类的63.04%；东洋-古北两界广布种有14种，占全部鸟类的30.43%；其余3种为古北界种，占全部鸟类的6.52%。详见下表：</w:t>
      </w:r>
    </w:p>
    <w:p w14:paraId="466EE32C">
      <w:pPr>
        <w:pStyle w:val="82"/>
        <w:framePr w:hSpace="0" w:wrap="auto" w:vAnchor="margin" w:hAnchor="text" w:xAlign="left" w:yAlign="inline"/>
      </w:pPr>
      <w:r>
        <w:rPr>
          <w:rFonts w:hint="eastAsia"/>
        </w:rPr>
        <w:t>表5-1-8   评价区鸟类区系成分况</w:t>
      </w:r>
    </w:p>
    <w:tbl>
      <w:tblPr>
        <w:tblStyle w:val="5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1845"/>
        <w:gridCol w:w="1669"/>
        <w:gridCol w:w="1845"/>
        <w:gridCol w:w="1582"/>
      </w:tblGrid>
      <w:tr w14:paraId="777AA7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28" w:type="pct"/>
            <w:shd w:val="clear" w:color="auto" w:fill="auto"/>
            <w:noWrap/>
            <w:vAlign w:val="center"/>
          </w:tcPr>
          <w:p w14:paraId="7D423AA0">
            <w:pPr>
              <w:pStyle w:val="84"/>
            </w:pPr>
            <w:r>
              <w:t>区系从属</w:t>
            </w:r>
          </w:p>
        </w:tc>
        <w:tc>
          <w:tcPr>
            <w:tcW w:w="1082" w:type="pct"/>
            <w:shd w:val="clear" w:color="auto" w:fill="auto"/>
            <w:noWrap/>
            <w:vAlign w:val="center"/>
          </w:tcPr>
          <w:p w14:paraId="368D441A">
            <w:pPr>
              <w:pStyle w:val="84"/>
            </w:pPr>
            <w:r>
              <w:t>东洋界</w:t>
            </w:r>
          </w:p>
        </w:tc>
        <w:tc>
          <w:tcPr>
            <w:tcW w:w="979" w:type="pct"/>
            <w:shd w:val="clear" w:color="auto" w:fill="auto"/>
            <w:noWrap/>
            <w:vAlign w:val="center"/>
          </w:tcPr>
          <w:p w14:paraId="2D25580D">
            <w:pPr>
              <w:pStyle w:val="84"/>
            </w:pPr>
            <w:r>
              <w:t>古北界</w:t>
            </w:r>
          </w:p>
        </w:tc>
        <w:tc>
          <w:tcPr>
            <w:tcW w:w="1082" w:type="pct"/>
            <w:shd w:val="clear" w:color="auto" w:fill="auto"/>
            <w:noWrap/>
            <w:vAlign w:val="center"/>
          </w:tcPr>
          <w:p w14:paraId="1ABC17E8">
            <w:pPr>
              <w:pStyle w:val="84"/>
            </w:pPr>
            <w:r>
              <w:t>广布种</w:t>
            </w:r>
          </w:p>
        </w:tc>
        <w:tc>
          <w:tcPr>
            <w:tcW w:w="928" w:type="pct"/>
            <w:shd w:val="clear" w:color="auto" w:fill="auto"/>
            <w:noWrap/>
            <w:vAlign w:val="center"/>
          </w:tcPr>
          <w:p w14:paraId="4A98CD94">
            <w:pPr>
              <w:pStyle w:val="84"/>
            </w:pPr>
            <w:r>
              <w:t>合计</w:t>
            </w:r>
          </w:p>
        </w:tc>
      </w:tr>
      <w:tr w14:paraId="147BE1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28" w:type="pct"/>
            <w:shd w:val="clear" w:color="auto" w:fill="auto"/>
            <w:noWrap/>
            <w:vAlign w:val="center"/>
          </w:tcPr>
          <w:p w14:paraId="237EDAA6">
            <w:pPr>
              <w:pStyle w:val="84"/>
            </w:pPr>
            <w:r>
              <w:t>种数</w:t>
            </w:r>
          </w:p>
        </w:tc>
        <w:tc>
          <w:tcPr>
            <w:tcW w:w="1082" w:type="pct"/>
            <w:shd w:val="clear" w:color="auto" w:fill="auto"/>
            <w:noWrap/>
            <w:vAlign w:val="center"/>
          </w:tcPr>
          <w:p w14:paraId="36BFF9E0">
            <w:pPr>
              <w:pStyle w:val="84"/>
            </w:pPr>
            <w:r>
              <w:t>29</w:t>
            </w:r>
          </w:p>
        </w:tc>
        <w:tc>
          <w:tcPr>
            <w:tcW w:w="979" w:type="pct"/>
            <w:shd w:val="clear" w:color="auto" w:fill="auto"/>
            <w:noWrap/>
            <w:vAlign w:val="center"/>
          </w:tcPr>
          <w:p w14:paraId="313CB36B">
            <w:pPr>
              <w:pStyle w:val="84"/>
            </w:pPr>
            <w:r>
              <w:rPr>
                <w:rFonts w:hint="eastAsia"/>
              </w:rPr>
              <w:t>3</w:t>
            </w:r>
          </w:p>
        </w:tc>
        <w:tc>
          <w:tcPr>
            <w:tcW w:w="1082" w:type="pct"/>
            <w:shd w:val="clear" w:color="auto" w:fill="auto"/>
            <w:noWrap/>
            <w:vAlign w:val="center"/>
          </w:tcPr>
          <w:p w14:paraId="7A4C6D18">
            <w:pPr>
              <w:pStyle w:val="84"/>
            </w:pPr>
            <w:r>
              <w:t>14</w:t>
            </w:r>
          </w:p>
        </w:tc>
        <w:tc>
          <w:tcPr>
            <w:tcW w:w="928" w:type="pct"/>
            <w:shd w:val="clear" w:color="auto" w:fill="auto"/>
            <w:noWrap/>
            <w:vAlign w:val="center"/>
          </w:tcPr>
          <w:p w14:paraId="2CD0A61A">
            <w:pPr>
              <w:pStyle w:val="84"/>
            </w:pPr>
            <w:r>
              <w:t>4</w:t>
            </w:r>
            <w:r>
              <w:rPr>
                <w:rFonts w:hint="eastAsia"/>
              </w:rPr>
              <w:t>6</w:t>
            </w:r>
          </w:p>
        </w:tc>
      </w:tr>
      <w:tr w14:paraId="203DA0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28" w:type="pct"/>
            <w:shd w:val="clear" w:color="auto" w:fill="auto"/>
            <w:noWrap/>
            <w:vAlign w:val="center"/>
          </w:tcPr>
          <w:p w14:paraId="5FDE0EDB">
            <w:pPr>
              <w:pStyle w:val="84"/>
            </w:pPr>
            <w:r>
              <w:t>%</w:t>
            </w:r>
          </w:p>
        </w:tc>
        <w:tc>
          <w:tcPr>
            <w:tcW w:w="1082" w:type="pct"/>
            <w:shd w:val="clear" w:color="auto" w:fill="auto"/>
            <w:noWrap/>
            <w:vAlign w:val="center"/>
          </w:tcPr>
          <w:p w14:paraId="1CCAAAC9">
            <w:pPr>
              <w:pStyle w:val="84"/>
            </w:pPr>
            <w:r>
              <w:t>6</w:t>
            </w:r>
            <w:r>
              <w:rPr>
                <w:rFonts w:hint="eastAsia"/>
              </w:rPr>
              <w:t>3.04</w:t>
            </w:r>
          </w:p>
        </w:tc>
        <w:tc>
          <w:tcPr>
            <w:tcW w:w="979" w:type="pct"/>
            <w:shd w:val="clear" w:color="auto" w:fill="auto"/>
            <w:noWrap/>
            <w:vAlign w:val="center"/>
          </w:tcPr>
          <w:p w14:paraId="77D78834">
            <w:pPr>
              <w:pStyle w:val="84"/>
            </w:pPr>
            <w:r>
              <w:rPr>
                <w:rFonts w:hint="eastAsia"/>
              </w:rPr>
              <w:t>6.52</w:t>
            </w:r>
          </w:p>
        </w:tc>
        <w:tc>
          <w:tcPr>
            <w:tcW w:w="1082" w:type="pct"/>
            <w:shd w:val="clear" w:color="auto" w:fill="auto"/>
            <w:noWrap/>
            <w:vAlign w:val="center"/>
          </w:tcPr>
          <w:p w14:paraId="20DD1752">
            <w:pPr>
              <w:pStyle w:val="84"/>
            </w:pPr>
            <w:r>
              <w:rPr>
                <w:rFonts w:hint="eastAsia"/>
              </w:rPr>
              <w:t>30.43</w:t>
            </w:r>
          </w:p>
        </w:tc>
        <w:tc>
          <w:tcPr>
            <w:tcW w:w="928" w:type="pct"/>
            <w:shd w:val="clear" w:color="auto" w:fill="auto"/>
            <w:noWrap/>
            <w:vAlign w:val="center"/>
          </w:tcPr>
          <w:p w14:paraId="04FDEB20">
            <w:pPr>
              <w:pStyle w:val="84"/>
            </w:pPr>
            <w:r>
              <w:t>100</w:t>
            </w:r>
          </w:p>
        </w:tc>
      </w:tr>
    </w:tbl>
    <w:p w14:paraId="751E9B11">
      <w:pPr>
        <w:spacing w:before="240"/>
        <w:ind w:firstLine="480"/>
        <w:rPr>
          <w:szCs w:val="24"/>
        </w:rPr>
      </w:pPr>
      <w:r>
        <w:rPr>
          <w:rFonts w:hint="eastAsia"/>
          <w:szCs w:val="24"/>
        </w:rPr>
        <w:t>评价区所处区域在中国动物区划种属于东洋界华南区，靠近西南区与华南区的分界线，从记述的评价区内分布的鸟类区系特点上，分界特征上与当地在中国地理区划中的位置大致相符。</w:t>
      </w:r>
    </w:p>
    <w:p w14:paraId="324716C5">
      <w:pPr>
        <w:ind w:firstLine="482"/>
        <w:rPr>
          <w:b/>
          <w:szCs w:val="24"/>
        </w:rPr>
      </w:pPr>
      <w:r>
        <w:rPr>
          <w:rFonts w:hint="eastAsia"/>
          <w:b/>
          <w:szCs w:val="24"/>
        </w:rPr>
        <w:t>4、</w:t>
      </w:r>
      <w:r>
        <w:rPr>
          <w:b/>
          <w:szCs w:val="24"/>
        </w:rPr>
        <w:t>哺乳类</w:t>
      </w:r>
    </w:p>
    <w:p w14:paraId="1B42A3B7">
      <w:pPr>
        <w:ind w:firstLine="480"/>
        <w:rPr>
          <w:szCs w:val="24"/>
        </w:rPr>
      </w:pPr>
      <w:r>
        <w:rPr>
          <w:szCs w:val="24"/>
        </w:rPr>
        <w:t>评价区内共记录哺乳类野生动物10种，隶属于5目7科</w:t>
      </w:r>
      <w:r>
        <w:rPr>
          <w:rFonts w:hint="eastAsia"/>
          <w:szCs w:val="24"/>
        </w:rPr>
        <w:t>，见下表：</w:t>
      </w:r>
    </w:p>
    <w:p w14:paraId="4C761FD0">
      <w:pPr>
        <w:pStyle w:val="82"/>
        <w:framePr w:hSpace="0" w:wrap="auto" w:vAnchor="margin" w:hAnchor="text" w:xAlign="left" w:yAlign="inline"/>
      </w:pPr>
      <w:r>
        <w:rPr>
          <w:rFonts w:hint="eastAsia"/>
        </w:rPr>
        <w:t>表5-1-9   评价区哺乳动物组成</w:t>
      </w:r>
    </w:p>
    <w:tbl>
      <w:tblPr>
        <w:tblStyle w:val="56"/>
        <w:tblW w:w="5062" w:type="pct"/>
        <w:tblInd w:w="0" w:type="dxa"/>
        <w:tblLayout w:type="autofit"/>
        <w:tblCellMar>
          <w:top w:w="0" w:type="dxa"/>
          <w:left w:w="108" w:type="dxa"/>
          <w:bottom w:w="0" w:type="dxa"/>
          <w:right w:w="108" w:type="dxa"/>
        </w:tblCellMar>
      </w:tblPr>
      <w:tblGrid>
        <w:gridCol w:w="3132"/>
        <w:gridCol w:w="3776"/>
        <w:gridCol w:w="1720"/>
      </w:tblGrid>
      <w:tr w14:paraId="1E6035CE">
        <w:tblPrEx>
          <w:tblCellMar>
            <w:top w:w="0" w:type="dxa"/>
            <w:left w:w="108" w:type="dxa"/>
            <w:bottom w:w="0" w:type="dxa"/>
            <w:right w:w="108" w:type="dxa"/>
          </w:tblCellMar>
        </w:tblPrEx>
        <w:trPr>
          <w:trHeight w:val="394" w:hRule="atLeast"/>
        </w:trPr>
        <w:tc>
          <w:tcPr>
            <w:tcW w:w="1815" w:type="pct"/>
            <w:tcBorders>
              <w:top w:val="single" w:color="auto" w:sz="4" w:space="0"/>
              <w:bottom w:val="single" w:color="auto" w:sz="4" w:space="0"/>
              <w:right w:val="single" w:color="auto" w:sz="4" w:space="0"/>
            </w:tcBorders>
            <w:shd w:val="clear" w:color="auto" w:fill="auto"/>
            <w:noWrap/>
            <w:vAlign w:val="center"/>
          </w:tcPr>
          <w:p w14:paraId="172F4BBB">
            <w:pPr>
              <w:pStyle w:val="84"/>
            </w:pPr>
            <w:r>
              <w:t>目</w:t>
            </w:r>
          </w:p>
        </w:tc>
        <w:tc>
          <w:tcPr>
            <w:tcW w:w="2188" w:type="pct"/>
            <w:tcBorders>
              <w:top w:val="single" w:color="auto" w:sz="4" w:space="0"/>
              <w:left w:val="nil"/>
              <w:bottom w:val="single" w:color="auto" w:sz="4" w:space="0"/>
              <w:right w:val="single" w:color="auto" w:sz="4" w:space="0"/>
            </w:tcBorders>
            <w:shd w:val="clear" w:color="auto" w:fill="auto"/>
            <w:noWrap/>
            <w:vAlign w:val="center"/>
          </w:tcPr>
          <w:p w14:paraId="30F0A284">
            <w:pPr>
              <w:pStyle w:val="84"/>
            </w:pPr>
            <w:r>
              <w:t>科</w:t>
            </w:r>
          </w:p>
        </w:tc>
        <w:tc>
          <w:tcPr>
            <w:tcW w:w="997" w:type="pct"/>
            <w:tcBorders>
              <w:top w:val="single" w:color="auto" w:sz="4" w:space="0"/>
              <w:left w:val="nil"/>
              <w:bottom w:val="single" w:color="auto" w:sz="4" w:space="0"/>
            </w:tcBorders>
            <w:shd w:val="clear" w:color="auto" w:fill="auto"/>
            <w:noWrap/>
            <w:vAlign w:val="center"/>
          </w:tcPr>
          <w:p w14:paraId="575049D8">
            <w:pPr>
              <w:pStyle w:val="84"/>
            </w:pPr>
            <w:r>
              <w:t>种数</w:t>
            </w:r>
          </w:p>
        </w:tc>
      </w:tr>
      <w:tr w14:paraId="0C547DC0">
        <w:tblPrEx>
          <w:tblCellMar>
            <w:top w:w="0" w:type="dxa"/>
            <w:left w:w="108" w:type="dxa"/>
            <w:bottom w:w="0" w:type="dxa"/>
            <w:right w:w="108" w:type="dxa"/>
          </w:tblCellMar>
        </w:tblPrEx>
        <w:trPr>
          <w:trHeight w:val="394" w:hRule="atLeast"/>
        </w:trPr>
        <w:tc>
          <w:tcPr>
            <w:tcW w:w="1815" w:type="pct"/>
            <w:tcBorders>
              <w:top w:val="nil"/>
              <w:bottom w:val="single" w:color="auto" w:sz="4" w:space="0"/>
              <w:right w:val="single" w:color="auto" w:sz="4" w:space="0"/>
            </w:tcBorders>
            <w:shd w:val="clear" w:color="auto" w:fill="auto"/>
            <w:noWrap/>
            <w:vAlign w:val="center"/>
          </w:tcPr>
          <w:p w14:paraId="055F3DD7">
            <w:pPr>
              <w:pStyle w:val="84"/>
            </w:pPr>
            <w:r>
              <w:t>食虫目INSECTIVORA</w:t>
            </w:r>
          </w:p>
        </w:tc>
        <w:tc>
          <w:tcPr>
            <w:tcW w:w="2188" w:type="pct"/>
            <w:tcBorders>
              <w:top w:val="nil"/>
              <w:left w:val="nil"/>
              <w:bottom w:val="single" w:color="auto" w:sz="4" w:space="0"/>
              <w:right w:val="single" w:color="auto" w:sz="4" w:space="0"/>
            </w:tcBorders>
            <w:shd w:val="clear" w:color="auto" w:fill="auto"/>
            <w:noWrap/>
            <w:vAlign w:val="center"/>
          </w:tcPr>
          <w:p w14:paraId="57C3993C">
            <w:pPr>
              <w:pStyle w:val="84"/>
            </w:pPr>
            <w:r>
              <w:t>鼩鼱科Soricidae</w:t>
            </w:r>
          </w:p>
        </w:tc>
        <w:tc>
          <w:tcPr>
            <w:tcW w:w="997" w:type="pct"/>
            <w:tcBorders>
              <w:top w:val="nil"/>
              <w:left w:val="nil"/>
              <w:bottom w:val="single" w:color="auto" w:sz="4" w:space="0"/>
            </w:tcBorders>
            <w:shd w:val="clear" w:color="auto" w:fill="auto"/>
            <w:noWrap/>
            <w:vAlign w:val="center"/>
          </w:tcPr>
          <w:p w14:paraId="28CEF4FB">
            <w:pPr>
              <w:pStyle w:val="84"/>
            </w:pPr>
            <w:r>
              <w:t>1</w:t>
            </w:r>
          </w:p>
        </w:tc>
      </w:tr>
      <w:tr w14:paraId="4E114757">
        <w:tblPrEx>
          <w:tblCellMar>
            <w:top w:w="0" w:type="dxa"/>
            <w:left w:w="108" w:type="dxa"/>
            <w:bottom w:w="0" w:type="dxa"/>
            <w:right w:w="108" w:type="dxa"/>
          </w:tblCellMar>
        </w:tblPrEx>
        <w:trPr>
          <w:trHeight w:val="394" w:hRule="atLeast"/>
        </w:trPr>
        <w:tc>
          <w:tcPr>
            <w:tcW w:w="1815" w:type="pct"/>
            <w:tcBorders>
              <w:top w:val="nil"/>
              <w:bottom w:val="single" w:color="auto" w:sz="4" w:space="0"/>
              <w:right w:val="single" w:color="auto" w:sz="4" w:space="0"/>
            </w:tcBorders>
            <w:shd w:val="clear" w:color="auto" w:fill="auto"/>
            <w:noWrap/>
            <w:vAlign w:val="center"/>
          </w:tcPr>
          <w:p w14:paraId="41F2CE04">
            <w:pPr>
              <w:pStyle w:val="84"/>
            </w:pPr>
            <w:r>
              <w:t>攀鼩目SCANDENTLA</w:t>
            </w:r>
          </w:p>
        </w:tc>
        <w:tc>
          <w:tcPr>
            <w:tcW w:w="2188" w:type="pct"/>
            <w:tcBorders>
              <w:top w:val="nil"/>
              <w:left w:val="nil"/>
              <w:bottom w:val="single" w:color="auto" w:sz="4" w:space="0"/>
              <w:right w:val="single" w:color="auto" w:sz="4" w:space="0"/>
            </w:tcBorders>
            <w:shd w:val="clear" w:color="auto" w:fill="auto"/>
            <w:noWrap/>
            <w:vAlign w:val="center"/>
          </w:tcPr>
          <w:p w14:paraId="18E0BA14">
            <w:pPr>
              <w:pStyle w:val="84"/>
            </w:pPr>
            <w:r>
              <w:t>树鼩科Tupaiidae</w:t>
            </w:r>
          </w:p>
        </w:tc>
        <w:tc>
          <w:tcPr>
            <w:tcW w:w="997" w:type="pct"/>
            <w:tcBorders>
              <w:top w:val="nil"/>
              <w:left w:val="nil"/>
              <w:bottom w:val="single" w:color="auto" w:sz="4" w:space="0"/>
            </w:tcBorders>
            <w:shd w:val="clear" w:color="auto" w:fill="auto"/>
            <w:noWrap/>
            <w:vAlign w:val="center"/>
          </w:tcPr>
          <w:p w14:paraId="1B7A6B8B">
            <w:pPr>
              <w:pStyle w:val="84"/>
            </w:pPr>
            <w:r>
              <w:t>1</w:t>
            </w:r>
          </w:p>
        </w:tc>
      </w:tr>
      <w:tr w14:paraId="6AA69DDA">
        <w:tblPrEx>
          <w:tblCellMar>
            <w:top w:w="0" w:type="dxa"/>
            <w:left w:w="108" w:type="dxa"/>
            <w:bottom w:w="0" w:type="dxa"/>
            <w:right w:w="108" w:type="dxa"/>
          </w:tblCellMar>
        </w:tblPrEx>
        <w:trPr>
          <w:trHeight w:val="394" w:hRule="atLeast"/>
        </w:trPr>
        <w:tc>
          <w:tcPr>
            <w:tcW w:w="1815" w:type="pct"/>
            <w:tcBorders>
              <w:top w:val="nil"/>
              <w:bottom w:val="single" w:color="auto" w:sz="4" w:space="0"/>
              <w:right w:val="single" w:color="auto" w:sz="4" w:space="0"/>
            </w:tcBorders>
            <w:shd w:val="clear" w:color="auto" w:fill="auto"/>
            <w:noWrap/>
            <w:vAlign w:val="center"/>
          </w:tcPr>
          <w:p w14:paraId="2AEB58C8">
            <w:pPr>
              <w:pStyle w:val="84"/>
            </w:pPr>
            <w:r>
              <w:t>翼手目CHIROPTERA</w:t>
            </w:r>
          </w:p>
        </w:tc>
        <w:tc>
          <w:tcPr>
            <w:tcW w:w="2188" w:type="pct"/>
            <w:tcBorders>
              <w:top w:val="nil"/>
              <w:left w:val="nil"/>
              <w:bottom w:val="single" w:color="auto" w:sz="4" w:space="0"/>
              <w:right w:val="single" w:color="auto" w:sz="4" w:space="0"/>
            </w:tcBorders>
            <w:shd w:val="clear" w:color="auto" w:fill="auto"/>
            <w:noWrap/>
            <w:vAlign w:val="center"/>
          </w:tcPr>
          <w:p w14:paraId="1203981F">
            <w:pPr>
              <w:pStyle w:val="84"/>
            </w:pPr>
            <w:r>
              <w:t>蝙蝠科Verspertilionidae</w:t>
            </w:r>
          </w:p>
        </w:tc>
        <w:tc>
          <w:tcPr>
            <w:tcW w:w="997" w:type="pct"/>
            <w:tcBorders>
              <w:top w:val="nil"/>
              <w:left w:val="nil"/>
              <w:bottom w:val="single" w:color="auto" w:sz="4" w:space="0"/>
            </w:tcBorders>
            <w:shd w:val="clear" w:color="auto" w:fill="auto"/>
            <w:noWrap/>
            <w:vAlign w:val="center"/>
          </w:tcPr>
          <w:p w14:paraId="425BC989">
            <w:pPr>
              <w:pStyle w:val="84"/>
            </w:pPr>
            <w:r>
              <w:t>1</w:t>
            </w:r>
          </w:p>
        </w:tc>
      </w:tr>
      <w:tr w14:paraId="0BC49BA3">
        <w:tblPrEx>
          <w:tblCellMar>
            <w:top w:w="0" w:type="dxa"/>
            <w:left w:w="108" w:type="dxa"/>
            <w:bottom w:w="0" w:type="dxa"/>
            <w:right w:w="108" w:type="dxa"/>
          </w:tblCellMar>
        </w:tblPrEx>
        <w:trPr>
          <w:trHeight w:val="394" w:hRule="atLeast"/>
        </w:trPr>
        <w:tc>
          <w:tcPr>
            <w:tcW w:w="1815" w:type="pct"/>
            <w:tcBorders>
              <w:top w:val="nil"/>
              <w:bottom w:val="single" w:color="auto" w:sz="4" w:space="0"/>
              <w:right w:val="single" w:color="auto" w:sz="4" w:space="0"/>
            </w:tcBorders>
            <w:shd w:val="clear" w:color="auto" w:fill="auto"/>
            <w:noWrap/>
            <w:vAlign w:val="center"/>
          </w:tcPr>
          <w:p w14:paraId="409436D8">
            <w:pPr>
              <w:pStyle w:val="84"/>
            </w:pPr>
            <w:r>
              <w:t>食肉目CARNIVORA</w:t>
            </w:r>
          </w:p>
        </w:tc>
        <w:tc>
          <w:tcPr>
            <w:tcW w:w="2188" w:type="pct"/>
            <w:tcBorders>
              <w:top w:val="nil"/>
              <w:left w:val="nil"/>
              <w:bottom w:val="single" w:color="auto" w:sz="4" w:space="0"/>
              <w:right w:val="single" w:color="auto" w:sz="4" w:space="0"/>
            </w:tcBorders>
            <w:shd w:val="clear" w:color="auto" w:fill="auto"/>
            <w:noWrap/>
            <w:vAlign w:val="center"/>
          </w:tcPr>
          <w:p w14:paraId="168FE3AD">
            <w:pPr>
              <w:pStyle w:val="84"/>
            </w:pPr>
            <w:r>
              <w:t>鼬科Musteidae</w:t>
            </w:r>
          </w:p>
        </w:tc>
        <w:tc>
          <w:tcPr>
            <w:tcW w:w="997" w:type="pct"/>
            <w:tcBorders>
              <w:top w:val="nil"/>
              <w:left w:val="nil"/>
              <w:bottom w:val="single" w:color="auto" w:sz="4" w:space="0"/>
            </w:tcBorders>
            <w:shd w:val="clear" w:color="auto" w:fill="auto"/>
            <w:noWrap/>
            <w:vAlign w:val="center"/>
          </w:tcPr>
          <w:p w14:paraId="04B6C303">
            <w:pPr>
              <w:pStyle w:val="84"/>
            </w:pPr>
            <w:r>
              <w:t>1</w:t>
            </w:r>
          </w:p>
        </w:tc>
      </w:tr>
      <w:tr w14:paraId="7225BAF3">
        <w:tblPrEx>
          <w:tblCellMar>
            <w:top w:w="0" w:type="dxa"/>
            <w:left w:w="108" w:type="dxa"/>
            <w:bottom w:w="0" w:type="dxa"/>
            <w:right w:w="108" w:type="dxa"/>
          </w:tblCellMar>
        </w:tblPrEx>
        <w:trPr>
          <w:trHeight w:val="394" w:hRule="atLeast"/>
        </w:trPr>
        <w:tc>
          <w:tcPr>
            <w:tcW w:w="1815" w:type="pct"/>
            <w:vMerge w:val="restart"/>
            <w:tcBorders>
              <w:top w:val="nil"/>
              <w:bottom w:val="single" w:color="000000" w:sz="4" w:space="0"/>
              <w:right w:val="single" w:color="auto" w:sz="4" w:space="0"/>
            </w:tcBorders>
            <w:shd w:val="clear" w:color="auto" w:fill="auto"/>
            <w:noWrap/>
            <w:vAlign w:val="center"/>
          </w:tcPr>
          <w:p w14:paraId="315FDF24">
            <w:pPr>
              <w:pStyle w:val="84"/>
            </w:pPr>
            <w:r>
              <w:t>啮齿目RODENTIA</w:t>
            </w:r>
          </w:p>
        </w:tc>
        <w:tc>
          <w:tcPr>
            <w:tcW w:w="2188" w:type="pct"/>
            <w:tcBorders>
              <w:top w:val="nil"/>
              <w:left w:val="nil"/>
              <w:bottom w:val="single" w:color="auto" w:sz="4" w:space="0"/>
              <w:right w:val="single" w:color="auto" w:sz="4" w:space="0"/>
            </w:tcBorders>
            <w:shd w:val="clear" w:color="auto" w:fill="auto"/>
            <w:noWrap/>
            <w:vAlign w:val="center"/>
          </w:tcPr>
          <w:p w14:paraId="6CB681C2">
            <w:pPr>
              <w:pStyle w:val="84"/>
            </w:pPr>
            <w:r>
              <w:t>松鼠科Sciuridae</w:t>
            </w:r>
          </w:p>
        </w:tc>
        <w:tc>
          <w:tcPr>
            <w:tcW w:w="997" w:type="pct"/>
            <w:tcBorders>
              <w:top w:val="nil"/>
              <w:left w:val="nil"/>
              <w:bottom w:val="single" w:color="auto" w:sz="4" w:space="0"/>
            </w:tcBorders>
            <w:shd w:val="clear" w:color="auto" w:fill="auto"/>
            <w:noWrap/>
            <w:vAlign w:val="center"/>
          </w:tcPr>
          <w:p w14:paraId="7460AF02">
            <w:pPr>
              <w:pStyle w:val="84"/>
            </w:pPr>
            <w:r>
              <w:t>1</w:t>
            </w:r>
          </w:p>
        </w:tc>
      </w:tr>
      <w:tr w14:paraId="15FFEDFA">
        <w:tblPrEx>
          <w:tblCellMar>
            <w:top w:w="0" w:type="dxa"/>
            <w:left w:w="108" w:type="dxa"/>
            <w:bottom w:w="0" w:type="dxa"/>
            <w:right w:w="108" w:type="dxa"/>
          </w:tblCellMar>
        </w:tblPrEx>
        <w:trPr>
          <w:trHeight w:val="394" w:hRule="atLeast"/>
        </w:trPr>
        <w:tc>
          <w:tcPr>
            <w:tcW w:w="1815" w:type="pct"/>
            <w:vMerge w:val="continue"/>
            <w:tcBorders>
              <w:top w:val="nil"/>
              <w:bottom w:val="single" w:color="000000" w:sz="4" w:space="0"/>
              <w:right w:val="single" w:color="auto" w:sz="4" w:space="0"/>
            </w:tcBorders>
            <w:vAlign w:val="center"/>
          </w:tcPr>
          <w:p w14:paraId="393A5FB4">
            <w:pPr>
              <w:pStyle w:val="84"/>
            </w:pPr>
          </w:p>
        </w:tc>
        <w:tc>
          <w:tcPr>
            <w:tcW w:w="2188" w:type="pct"/>
            <w:tcBorders>
              <w:top w:val="nil"/>
              <w:left w:val="nil"/>
              <w:bottom w:val="single" w:color="auto" w:sz="4" w:space="0"/>
              <w:right w:val="single" w:color="auto" w:sz="4" w:space="0"/>
            </w:tcBorders>
            <w:shd w:val="clear" w:color="auto" w:fill="auto"/>
            <w:noWrap/>
            <w:vAlign w:val="center"/>
          </w:tcPr>
          <w:p w14:paraId="6E4EC9CB">
            <w:pPr>
              <w:pStyle w:val="84"/>
            </w:pPr>
            <w:r>
              <w:t>竹鼠科Rhizomyidae</w:t>
            </w:r>
          </w:p>
        </w:tc>
        <w:tc>
          <w:tcPr>
            <w:tcW w:w="997" w:type="pct"/>
            <w:tcBorders>
              <w:top w:val="nil"/>
              <w:left w:val="nil"/>
              <w:bottom w:val="single" w:color="auto" w:sz="4" w:space="0"/>
            </w:tcBorders>
            <w:shd w:val="clear" w:color="auto" w:fill="auto"/>
            <w:noWrap/>
            <w:vAlign w:val="center"/>
          </w:tcPr>
          <w:p w14:paraId="282C9017">
            <w:pPr>
              <w:pStyle w:val="84"/>
            </w:pPr>
            <w:r>
              <w:t>1</w:t>
            </w:r>
          </w:p>
        </w:tc>
      </w:tr>
      <w:tr w14:paraId="6ABA91E0">
        <w:tblPrEx>
          <w:tblCellMar>
            <w:top w:w="0" w:type="dxa"/>
            <w:left w:w="108" w:type="dxa"/>
            <w:bottom w:w="0" w:type="dxa"/>
            <w:right w:w="108" w:type="dxa"/>
          </w:tblCellMar>
        </w:tblPrEx>
        <w:trPr>
          <w:trHeight w:val="394" w:hRule="atLeast"/>
        </w:trPr>
        <w:tc>
          <w:tcPr>
            <w:tcW w:w="1815" w:type="pct"/>
            <w:vMerge w:val="continue"/>
            <w:tcBorders>
              <w:top w:val="nil"/>
              <w:bottom w:val="single" w:color="000000" w:sz="4" w:space="0"/>
              <w:right w:val="single" w:color="auto" w:sz="4" w:space="0"/>
            </w:tcBorders>
            <w:vAlign w:val="center"/>
          </w:tcPr>
          <w:p w14:paraId="32CF8487">
            <w:pPr>
              <w:pStyle w:val="84"/>
            </w:pPr>
          </w:p>
        </w:tc>
        <w:tc>
          <w:tcPr>
            <w:tcW w:w="2188" w:type="pct"/>
            <w:tcBorders>
              <w:top w:val="nil"/>
              <w:left w:val="nil"/>
              <w:bottom w:val="single" w:color="auto" w:sz="4" w:space="0"/>
              <w:right w:val="single" w:color="auto" w:sz="4" w:space="0"/>
            </w:tcBorders>
            <w:shd w:val="clear" w:color="auto" w:fill="auto"/>
            <w:noWrap/>
            <w:vAlign w:val="center"/>
          </w:tcPr>
          <w:p w14:paraId="466B23C2">
            <w:pPr>
              <w:pStyle w:val="84"/>
            </w:pPr>
            <w:r>
              <w:t>鼠科Muridae</w:t>
            </w:r>
          </w:p>
        </w:tc>
        <w:tc>
          <w:tcPr>
            <w:tcW w:w="997" w:type="pct"/>
            <w:tcBorders>
              <w:top w:val="nil"/>
              <w:left w:val="nil"/>
              <w:bottom w:val="single" w:color="auto" w:sz="4" w:space="0"/>
            </w:tcBorders>
            <w:shd w:val="clear" w:color="auto" w:fill="auto"/>
            <w:noWrap/>
            <w:vAlign w:val="center"/>
          </w:tcPr>
          <w:p w14:paraId="7CF54A31">
            <w:pPr>
              <w:pStyle w:val="84"/>
            </w:pPr>
            <w:r>
              <w:t>4</w:t>
            </w:r>
          </w:p>
        </w:tc>
      </w:tr>
    </w:tbl>
    <w:p w14:paraId="358E6B05">
      <w:pPr>
        <w:spacing w:before="240"/>
        <w:ind w:firstLine="480"/>
        <w:rPr>
          <w:szCs w:val="24"/>
        </w:rPr>
      </w:pPr>
      <w:r>
        <w:rPr>
          <w:rFonts w:hint="eastAsia"/>
          <w:szCs w:val="24"/>
        </w:rPr>
        <w:t>评价区内兽类主要分布于山林和田野间、荒坡灌草丛中。由于评价区域狭小，加之人为干扰较大，评价区内活动的哺乳动物种类、数量不多。区域内常见的哺乳动物主要为小型</w:t>
      </w:r>
      <w:r>
        <w:rPr>
          <w:szCs w:val="24"/>
        </w:rPr>
        <w:t>啮齿类</w:t>
      </w:r>
      <w:r>
        <w:rPr>
          <w:rFonts w:hint="eastAsia"/>
          <w:szCs w:val="24"/>
        </w:rPr>
        <w:t>，如</w:t>
      </w:r>
      <w:r>
        <w:rPr>
          <w:szCs w:val="24"/>
        </w:rPr>
        <w:t>赤腹松鼠</w:t>
      </w:r>
      <w:r>
        <w:rPr>
          <w:rFonts w:hint="eastAsia"/>
          <w:szCs w:val="24"/>
        </w:rPr>
        <w:t>、</w:t>
      </w:r>
      <w:r>
        <w:rPr>
          <w:szCs w:val="24"/>
        </w:rPr>
        <w:t>社鼠、小家鼠</w:t>
      </w:r>
      <w:r>
        <w:rPr>
          <w:rFonts w:hint="eastAsia"/>
          <w:szCs w:val="24"/>
        </w:rPr>
        <w:t>、小竹鼠、大足鼠和屋顶鼠。黄鼬为评价区内常见的肉食目哺乳动物，树鼩主要活动于灌丛附近。</w:t>
      </w:r>
    </w:p>
    <w:p w14:paraId="7EEBD0E7">
      <w:pPr>
        <w:ind w:firstLine="480"/>
        <w:rPr>
          <w:szCs w:val="24"/>
        </w:rPr>
      </w:pPr>
      <w:r>
        <w:rPr>
          <w:rFonts w:hint="eastAsia"/>
          <w:szCs w:val="24"/>
        </w:rPr>
        <w:t>评价区内记述的10种哺乳动物大部分为东洋界种类，古北-东洋广布种类有1种，占全部东洋界哺乳动物种数的10%，无古北界成分分布。在东洋界种类中，华南区种类为2种，占全部东洋界哺乳动物种数的22.22%；东洋界广布种类有7种，全部东洋界哺乳动物种数的77.78%；评价区在中国动物区划中属于东洋界华南区，靠近西南区与华南区的分界线。从记述的评价区内分布的兽类区系特点上看，分界特征与当地在中国动物地理区划中的位置大致相符，主要为东洋界物种。在东洋界分区的成分分析上，所分布的物种其分区特征也与其区位大致相符，由于评价范围狭小，记述兽类种类较少，难以准确反映当地的动物的分区特征。</w:t>
      </w:r>
    </w:p>
    <w:p w14:paraId="46BC3380">
      <w:pPr>
        <w:ind w:firstLine="482"/>
        <w:rPr>
          <w:b/>
          <w:color w:val="FF0000"/>
          <w:szCs w:val="24"/>
        </w:rPr>
      </w:pPr>
      <w:bookmarkStart w:id="597" w:name="_Toc471738024"/>
      <w:bookmarkStart w:id="598" w:name="_Toc454046542"/>
      <w:r>
        <w:rPr>
          <w:rFonts w:hint="eastAsia"/>
          <w:b/>
          <w:color w:val="FF0000"/>
          <w:szCs w:val="24"/>
        </w:rPr>
        <w:t>5、鱼类现状调查与评价</w:t>
      </w:r>
      <w:bookmarkEnd w:id="597"/>
      <w:bookmarkEnd w:id="598"/>
    </w:p>
    <w:p w14:paraId="1107190E">
      <w:pPr>
        <w:ind w:firstLine="480"/>
        <w:rPr>
          <w:color w:val="FF0000"/>
        </w:rPr>
      </w:pPr>
      <w:r>
        <w:rPr>
          <w:color w:val="FF0000"/>
        </w:rPr>
        <w:t>由于调查时间有限，在实地调查过程中，由于河水较大，捕捞不易进行，故采用查看河边积水潭的方式搜寻鱼类的幼鱼及成体，在</w:t>
      </w:r>
      <w:r>
        <w:rPr>
          <w:rFonts w:hint="eastAsia"/>
          <w:color w:val="FF0000"/>
        </w:rPr>
        <w:t>坝址处</w:t>
      </w:r>
      <w:r>
        <w:rPr>
          <w:color w:val="FF0000"/>
        </w:rPr>
        <w:t>布置了</w:t>
      </w:r>
      <w:r>
        <w:rPr>
          <w:rFonts w:hint="eastAsia"/>
          <w:color w:val="FF0000"/>
        </w:rPr>
        <w:t>1</w:t>
      </w:r>
      <w:r>
        <w:rPr>
          <w:color w:val="FF0000"/>
        </w:rPr>
        <w:t>个搜寻点，在搜寻过程中，未发现鱼类的幼体和成体。通过走访当地居民，</w:t>
      </w:r>
      <w:r>
        <w:rPr>
          <w:rFonts w:hint="eastAsia"/>
          <w:color w:val="FF0000"/>
        </w:rPr>
        <w:t>结合资料收集、整理和分析等手段，调查出评价河段共记录有鱼类33种，分别属于4目5科17属。</w:t>
      </w:r>
    </w:p>
    <w:p w14:paraId="600F9720">
      <w:pPr>
        <w:ind w:firstLine="480"/>
        <w:rPr>
          <w:color w:val="FF0000"/>
        </w:rPr>
      </w:pPr>
      <w:r>
        <w:rPr>
          <w:rFonts w:hint="eastAsia"/>
          <w:color w:val="FF0000"/>
        </w:rPr>
        <w:t>33种鱼类中，鲤形目有22种，占鱼类种数的66.7%，鲇形目的</w:t>
      </w:r>
      <w:r>
        <w:rPr>
          <w:color w:val="FF0000"/>
        </w:rPr>
        <w:t>鮡科</w:t>
      </w:r>
      <w:r>
        <w:rPr>
          <w:rFonts w:hint="eastAsia"/>
          <w:color w:val="FF0000"/>
        </w:rPr>
        <w:t>有6种，占鱼类种数的18.2%，胡子鲇科、</w:t>
      </w:r>
      <w:r>
        <w:rPr>
          <w:rFonts w:hint="eastAsia"/>
          <w:color w:val="FF0000"/>
          <w:szCs w:val="21"/>
        </w:rPr>
        <w:t>长臀</w:t>
      </w:r>
      <w:r>
        <w:rPr>
          <w:color w:val="FF0000"/>
          <w:szCs w:val="21"/>
        </w:rPr>
        <w:t>鮠</w:t>
      </w:r>
      <w:r>
        <w:rPr>
          <w:rFonts w:hint="eastAsia"/>
          <w:color w:val="FF0000"/>
          <w:szCs w:val="21"/>
        </w:rPr>
        <w:t>科、</w:t>
      </w:r>
      <w:r>
        <w:rPr>
          <w:color w:val="FF0000"/>
          <w:szCs w:val="21"/>
        </w:rPr>
        <w:t>鲿</w:t>
      </w:r>
      <w:r>
        <w:rPr>
          <w:rFonts w:hint="eastAsia"/>
          <w:color w:val="FF0000"/>
          <w:szCs w:val="21"/>
        </w:rPr>
        <w:t>科各</w:t>
      </w:r>
      <w:r>
        <w:rPr>
          <w:rFonts w:hint="eastAsia"/>
          <w:color w:val="FF0000"/>
        </w:rPr>
        <w:t>有1种；鲈形目、合鳃鱼目各有1种，可见鲤形目在评价河段的鱼类区系中为主要类型。</w:t>
      </w:r>
    </w:p>
    <w:p w14:paraId="3685AAF4">
      <w:pPr>
        <w:ind w:firstLine="480"/>
        <w:rPr>
          <w:color w:val="FF0000"/>
          <w:szCs w:val="24"/>
        </w:rPr>
      </w:pPr>
      <w:r>
        <w:rPr>
          <w:rFonts w:hint="eastAsia"/>
          <w:color w:val="FF0000"/>
        </w:rPr>
        <w:t>经实地调查并查阅相关资料，芒市河记录的33种鱼类</w:t>
      </w:r>
      <w:r>
        <w:rPr>
          <w:color w:val="FF0000"/>
        </w:rPr>
        <w:t>，均不属于</w:t>
      </w:r>
      <w:r>
        <w:rPr>
          <w:rFonts w:hint="eastAsia"/>
          <w:color w:val="FF0000"/>
        </w:rPr>
        <w:t>国家级和云南省级重点保护鱼类</w:t>
      </w:r>
      <w:r>
        <w:rPr>
          <w:color w:val="FF0000"/>
        </w:rPr>
        <w:t>；</w:t>
      </w:r>
      <w:r>
        <w:rPr>
          <w:rFonts w:hint="eastAsia"/>
          <w:color w:val="FF0000"/>
        </w:rPr>
        <w:t>也未发现有大型洄游性鱼类和被</w:t>
      </w:r>
      <w:r>
        <w:rPr>
          <w:color w:val="FF0000"/>
        </w:rPr>
        <w:t>列入《中国濒危动物红皮书》的鱼类分布</w:t>
      </w:r>
      <w:r>
        <w:rPr>
          <w:rFonts w:hint="eastAsia"/>
          <w:color w:val="FF0000"/>
        </w:rPr>
        <w:t>。芒市河记录的33种鱼类</w:t>
      </w:r>
      <w:r>
        <w:rPr>
          <w:color w:val="FF0000"/>
        </w:rPr>
        <w:t>中，多数产的为粘性卵，附着在砾石上、沿岸植物的根系上或江面漂浮物上，有短距离产卵洄游习性，其生殖洄游常常为沿</w:t>
      </w:r>
      <w:r>
        <w:rPr>
          <w:rFonts w:hint="eastAsia"/>
          <w:color w:val="FF0000"/>
        </w:rPr>
        <w:t>河流</w:t>
      </w:r>
      <w:r>
        <w:rPr>
          <w:color w:val="FF0000"/>
        </w:rPr>
        <w:t>短距离向上游迁移、或溯游至有砾石底质的支流进行繁殖。</w:t>
      </w:r>
      <w:r>
        <w:rPr>
          <w:rFonts w:hint="eastAsia"/>
          <w:color w:val="FF0000"/>
        </w:rPr>
        <w:t>本次调查河段</w:t>
      </w:r>
      <w:r>
        <w:rPr>
          <w:color w:val="FF0000"/>
        </w:rPr>
        <w:t>未发现有长距离洄游的鱼类</w:t>
      </w:r>
      <w:r>
        <w:rPr>
          <w:rFonts w:hint="eastAsia"/>
          <w:color w:val="FF0000"/>
        </w:rPr>
        <w:t>，也未发现有鱼类集中的“三场”分布。</w:t>
      </w:r>
    </w:p>
    <w:p w14:paraId="7296BE37">
      <w:pPr>
        <w:ind w:firstLine="480"/>
        <w:rPr>
          <w:color w:val="FF0000"/>
          <w:szCs w:val="24"/>
        </w:rPr>
      </w:pPr>
      <w:r>
        <w:rPr>
          <w:rFonts w:hint="eastAsia"/>
          <w:color w:val="FF0000"/>
        </w:rPr>
        <w:t>由于芒市河在下游遮放坝子尾的戛中处汇入龙川江，是龙川江的一级支流，芒市河在评价区及评价区上游还有很多支流，鱼类都生活在这些河段中。调查发现，芒市河干流中的鱼类近年来受到化肥、农药、城镇及工业污水的影响，种类和数量有所下降。评价区上下游均已修建了水电站及一些引水工程，芒市河的鱼类已经被分隔成几个小种群，经过一段时间的适应，鱼类已经能够在被分割的水域中生存。</w:t>
      </w:r>
    </w:p>
    <w:p w14:paraId="2639C2B2">
      <w:pPr>
        <w:ind w:firstLine="482"/>
        <w:rPr>
          <w:b/>
          <w:szCs w:val="24"/>
        </w:rPr>
      </w:pPr>
      <w:r>
        <w:rPr>
          <w:rFonts w:hint="eastAsia"/>
          <w:b/>
          <w:szCs w:val="24"/>
        </w:rPr>
        <w:t>6、评价区重点保护动物生态习性及分布</w:t>
      </w:r>
    </w:p>
    <w:p w14:paraId="10427171">
      <w:pPr>
        <w:ind w:firstLine="480"/>
        <w:rPr>
          <w:szCs w:val="24"/>
        </w:rPr>
      </w:pPr>
      <w:r>
        <w:rPr>
          <w:rFonts w:hint="eastAsia"/>
          <w:szCs w:val="24"/>
        </w:rPr>
        <w:t>评价范围的野生动物中，省级保护野生动物有1种：孟加拉眼镜蛇；易危动物有2种：绿锦蛇和灰鼠蛇；国家Ⅱ级重点保护野生动物有5种，均为鸟类：</w:t>
      </w:r>
      <w:r>
        <w:rPr>
          <w:rFonts w:hint="eastAsia"/>
        </w:rPr>
        <w:t>白鹇、</w:t>
      </w:r>
      <w:r>
        <w:rPr>
          <w:rFonts w:hint="eastAsia"/>
          <w:szCs w:val="24"/>
        </w:rPr>
        <w:t>普通鵟、红隼、褐翅鸦鹃、领角鸮，见下表：</w:t>
      </w:r>
    </w:p>
    <w:p w14:paraId="5430D32E">
      <w:pPr>
        <w:pStyle w:val="82"/>
        <w:framePr w:hSpace="0" w:wrap="auto" w:vAnchor="margin" w:hAnchor="text" w:xAlign="left" w:yAlign="inline"/>
      </w:pPr>
      <w:r>
        <w:rPr>
          <w:rFonts w:hint="eastAsia"/>
        </w:rPr>
        <w:t>表5-1-10  评价范围内陆生重点保护动物种类及分布表</w:t>
      </w:r>
    </w:p>
    <w:tbl>
      <w:tblPr>
        <w:tblStyle w:val="5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4"/>
        <w:gridCol w:w="3828"/>
        <w:gridCol w:w="2460"/>
      </w:tblGrid>
      <w:tr w14:paraId="3AA389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11" w:type="pct"/>
            <w:shd w:val="clear" w:color="auto" w:fill="auto"/>
            <w:vAlign w:val="center"/>
          </w:tcPr>
          <w:p w14:paraId="79BE437A">
            <w:pPr>
              <w:pStyle w:val="84"/>
            </w:pPr>
            <w:r>
              <w:t>种名</w:t>
            </w:r>
          </w:p>
        </w:tc>
        <w:tc>
          <w:tcPr>
            <w:tcW w:w="2246" w:type="pct"/>
            <w:shd w:val="clear" w:color="auto" w:fill="auto"/>
            <w:vAlign w:val="center"/>
          </w:tcPr>
          <w:p w14:paraId="702633F6">
            <w:pPr>
              <w:pStyle w:val="84"/>
            </w:pPr>
            <w:r>
              <w:rPr>
                <w:rFonts w:hint="eastAsia"/>
              </w:rPr>
              <w:t>拉丁名</w:t>
            </w:r>
          </w:p>
        </w:tc>
        <w:tc>
          <w:tcPr>
            <w:tcW w:w="1443" w:type="pct"/>
            <w:shd w:val="clear" w:color="auto" w:fill="auto"/>
            <w:vAlign w:val="center"/>
          </w:tcPr>
          <w:p w14:paraId="51179432">
            <w:pPr>
              <w:pStyle w:val="84"/>
            </w:pPr>
            <w:r>
              <w:t>保护级别</w:t>
            </w:r>
          </w:p>
        </w:tc>
      </w:tr>
      <w:tr w14:paraId="30BE8C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11" w:type="pct"/>
            <w:shd w:val="clear" w:color="auto" w:fill="auto"/>
            <w:vAlign w:val="center"/>
          </w:tcPr>
          <w:p w14:paraId="7FCE6DC4">
            <w:pPr>
              <w:pStyle w:val="84"/>
            </w:pPr>
            <w:r>
              <w:rPr>
                <w:rFonts w:hint="eastAsia"/>
              </w:rPr>
              <w:t>白鹇</w:t>
            </w:r>
          </w:p>
        </w:tc>
        <w:tc>
          <w:tcPr>
            <w:tcW w:w="2246" w:type="pct"/>
            <w:shd w:val="clear" w:color="auto" w:fill="auto"/>
            <w:vAlign w:val="center"/>
          </w:tcPr>
          <w:p w14:paraId="31EA92B1">
            <w:pPr>
              <w:pStyle w:val="84"/>
              <w:rPr>
                <w:i/>
              </w:rPr>
            </w:pPr>
            <w:r>
              <w:rPr>
                <w:i/>
              </w:rPr>
              <w:t>Lophura nycthemera</w:t>
            </w:r>
          </w:p>
        </w:tc>
        <w:tc>
          <w:tcPr>
            <w:tcW w:w="1443" w:type="pct"/>
            <w:shd w:val="clear" w:color="auto" w:fill="auto"/>
            <w:vAlign w:val="center"/>
          </w:tcPr>
          <w:p w14:paraId="4291EA39">
            <w:pPr>
              <w:pStyle w:val="84"/>
            </w:pPr>
            <w:r>
              <w:t>国家</w:t>
            </w:r>
            <w:r>
              <w:rPr>
                <w:rFonts w:hint="eastAsia" w:ascii="宋体" w:hAnsi="宋体" w:cs="宋体"/>
              </w:rPr>
              <w:t>Ⅱ</w:t>
            </w:r>
            <w:r>
              <w:t>级</w:t>
            </w:r>
          </w:p>
        </w:tc>
      </w:tr>
      <w:tr w14:paraId="28BDF1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11" w:type="pct"/>
            <w:shd w:val="clear" w:color="auto" w:fill="auto"/>
            <w:vAlign w:val="center"/>
          </w:tcPr>
          <w:p w14:paraId="56A89C47">
            <w:pPr>
              <w:pStyle w:val="84"/>
            </w:pPr>
            <w:r>
              <w:t>普通鵟</w:t>
            </w:r>
          </w:p>
        </w:tc>
        <w:tc>
          <w:tcPr>
            <w:tcW w:w="2246" w:type="pct"/>
            <w:shd w:val="clear" w:color="auto" w:fill="auto"/>
            <w:vAlign w:val="center"/>
          </w:tcPr>
          <w:p w14:paraId="62947496">
            <w:pPr>
              <w:pStyle w:val="84"/>
            </w:pPr>
            <w:r>
              <w:rPr>
                <w:i/>
              </w:rPr>
              <w:t>Buteo</w:t>
            </w:r>
            <w:r>
              <w:t xml:space="preserve"> </w:t>
            </w:r>
            <w:r>
              <w:rPr>
                <w:i/>
              </w:rPr>
              <w:t>buteo</w:t>
            </w:r>
          </w:p>
        </w:tc>
        <w:tc>
          <w:tcPr>
            <w:tcW w:w="1443" w:type="pct"/>
            <w:shd w:val="clear" w:color="auto" w:fill="auto"/>
            <w:vAlign w:val="center"/>
          </w:tcPr>
          <w:p w14:paraId="32C0CF5F">
            <w:pPr>
              <w:pStyle w:val="84"/>
            </w:pPr>
            <w:r>
              <w:t>国家</w:t>
            </w:r>
            <w:r>
              <w:rPr>
                <w:rFonts w:hint="eastAsia" w:ascii="宋体" w:hAnsi="宋体" w:cs="宋体"/>
              </w:rPr>
              <w:t>Ⅱ</w:t>
            </w:r>
            <w:r>
              <w:t>级</w:t>
            </w:r>
          </w:p>
        </w:tc>
      </w:tr>
      <w:tr w14:paraId="5E7C0B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11" w:type="pct"/>
            <w:shd w:val="clear" w:color="auto" w:fill="auto"/>
            <w:vAlign w:val="center"/>
          </w:tcPr>
          <w:p w14:paraId="3770D7EF">
            <w:pPr>
              <w:pStyle w:val="84"/>
            </w:pPr>
            <w:r>
              <w:t>红隼</w:t>
            </w:r>
          </w:p>
        </w:tc>
        <w:tc>
          <w:tcPr>
            <w:tcW w:w="2246" w:type="pct"/>
            <w:shd w:val="clear" w:color="auto" w:fill="auto"/>
            <w:vAlign w:val="center"/>
          </w:tcPr>
          <w:p w14:paraId="7F8B8D1E">
            <w:pPr>
              <w:pStyle w:val="84"/>
            </w:pPr>
            <w:r>
              <w:rPr>
                <w:i/>
              </w:rPr>
              <w:t>Falco</w:t>
            </w:r>
            <w:r>
              <w:t xml:space="preserve"> </w:t>
            </w:r>
            <w:r>
              <w:rPr>
                <w:i/>
              </w:rPr>
              <w:t>tinnunculus</w:t>
            </w:r>
          </w:p>
        </w:tc>
        <w:tc>
          <w:tcPr>
            <w:tcW w:w="1443" w:type="pct"/>
            <w:shd w:val="clear" w:color="auto" w:fill="auto"/>
            <w:vAlign w:val="center"/>
          </w:tcPr>
          <w:p w14:paraId="050B0A2D">
            <w:pPr>
              <w:pStyle w:val="84"/>
            </w:pPr>
            <w:r>
              <w:t>国家</w:t>
            </w:r>
            <w:r>
              <w:rPr>
                <w:rFonts w:hint="eastAsia" w:ascii="宋体" w:hAnsi="宋体" w:cs="宋体"/>
              </w:rPr>
              <w:t>Ⅱ</w:t>
            </w:r>
            <w:r>
              <w:t>级</w:t>
            </w:r>
          </w:p>
        </w:tc>
      </w:tr>
      <w:tr w14:paraId="410EC8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11" w:type="pct"/>
            <w:shd w:val="clear" w:color="auto" w:fill="auto"/>
            <w:vAlign w:val="center"/>
          </w:tcPr>
          <w:p w14:paraId="55A4D2AD">
            <w:pPr>
              <w:pStyle w:val="84"/>
            </w:pPr>
            <w:r>
              <w:t>褐翅鸦鹃</w:t>
            </w:r>
          </w:p>
        </w:tc>
        <w:tc>
          <w:tcPr>
            <w:tcW w:w="2246" w:type="pct"/>
            <w:shd w:val="clear" w:color="auto" w:fill="auto"/>
            <w:vAlign w:val="center"/>
          </w:tcPr>
          <w:p w14:paraId="4057C910">
            <w:pPr>
              <w:pStyle w:val="84"/>
            </w:pPr>
            <w:r>
              <w:rPr>
                <w:rFonts w:hint="eastAsia"/>
                <w:i/>
              </w:rPr>
              <w:t>Centropus sinensis intermedius</w:t>
            </w:r>
          </w:p>
        </w:tc>
        <w:tc>
          <w:tcPr>
            <w:tcW w:w="1443" w:type="pct"/>
            <w:shd w:val="clear" w:color="auto" w:fill="auto"/>
            <w:vAlign w:val="center"/>
          </w:tcPr>
          <w:p w14:paraId="7CA97326">
            <w:pPr>
              <w:pStyle w:val="84"/>
            </w:pPr>
            <w:r>
              <w:t>国家</w:t>
            </w:r>
            <w:r>
              <w:rPr>
                <w:rFonts w:hint="eastAsia" w:ascii="宋体" w:hAnsi="宋体" w:cs="宋体"/>
              </w:rPr>
              <w:t>Ⅱ</w:t>
            </w:r>
            <w:r>
              <w:t>级</w:t>
            </w:r>
          </w:p>
        </w:tc>
      </w:tr>
      <w:tr w14:paraId="5724B5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11" w:type="pct"/>
            <w:shd w:val="clear" w:color="auto" w:fill="auto"/>
            <w:vAlign w:val="center"/>
          </w:tcPr>
          <w:p w14:paraId="312A0796">
            <w:pPr>
              <w:pStyle w:val="84"/>
            </w:pPr>
            <w:r>
              <w:t>领角鸮</w:t>
            </w:r>
          </w:p>
        </w:tc>
        <w:tc>
          <w:tcPr>
            <w:tcW w:w="2246" w:type="pct"/>
            <w:shd w:val="clear" w:color="auto" w:fill="auto"/>
            <w:vAlign w:val="center"/>
          </w:tcPr>
          <w:p w14:paraId="766DC05C">
            <w:pPr>
              <w:pStyle w:val="84"/>
            </w:pPr>
            <w:r>
              <w:rPr>
                <w:rFonts w:hint="eastAsia"/>
                <w:i/>
              </w:rPr>
              <w:t>Otus bakkamoena erythrocampe</w:t>
            </w:r>
          </w:p>
        </w:tc>
        <w:tc>
          <w:tcPr>
            <w:tcW w:w="1443" w:type="pct"/>
            <w:shd w:val="clear" w:color="auto" w:fill="auto"/>
            <w:vAlign w:val="center"/>
          </w:tcPr>
          <w:p w14:paraId="0AA677AA">
            <w:pPr>
              <w:pStyle w:val="84"/>
            </w:pPr>
            <w:r>
              <w:t>国家</w:t>
            </w:r>
            <w:r>
              <w:rPr>
                <w:rFonts w:hint="eastAsia" w:ascii="宋体" w:hAnsi="宋体" w:cs="宋体"/>
              </w:rPr>
              <w:t>Ⅱ</w:t>
            </w:r>
            <w:r>
              <w:t>级</w:t>
            </w:r>
          </w:p>
        </w:tc>
      </w:tr>
      <w:tr w14:paraId="0B0562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11" w:type="pct"/>
            <w:shd w:val="clear" w:color="auto" w:fill="auto"/>
            <w:vAlign w:val="center"/>
          </w:tcPr>
          <w:p w14:paraId="6D6B8422">
            <w:pPr>
              <w:pStyle w:val="84"/>
            </w:pPr>
            <w:r>
              <w:t>孟加拉眼镜蛇</w:t>
            </w:r>
          </w:p>
        </w:tc>
        <w:tc>
          <w:tcPr>
            <w:tcW w:w="2246" w:type="pct"/>
            <w:shd w:val="clear" w:color="auto" w:fill="auto"/>
            <w:vAlign w:val="center"/>
          </w:tcPr>
          <w:p w14:paraId="5E993FAC">
            <w:pPr>
              <w:pStyle w:val="84"/>
              <w:rPr>
                <w:lang w:val="zh-CN"/>
              </w:rPr>
            </w:pPr>
            <w:r>
              <w:rPr>
                <w:i/>
              </w:rPr>
              <w:t>Naja kaouthia</w:t>
            </w:r>
          </w:p>
        </w:tc>
        <w:tc>
          <w:tcPr>
            <w:tcW w:w="1443" w:type="pct"/>
            <w:shd w:val="clear" w:color="auto" w:fill="auto"/>
            <w:vAlign w:val="center"/>
          </w:tcPr>
          <w:p w14:paraId="73CF5222">
            <w:pPr>
              <w:pStyle w:val="84"/>
            </w:pPr>
            <w:r>
              <w:t>省级</w:t>
            </w:r>
          </w:p>
        </w:tc>
      </w:tr>
      <w:tr w14:paraId="7377F8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11" w:type="pct"/>
            <w:shd w:val="clear" w:color="auto" w:fill="auto"/>
            <w:vAlign w:val="center"/>
          </w:tcPr>
          <w:p w14:paraId="679B210C">
            <w:pPr>
              <w:pStyle w:val="84"/>
            </w:pPr>
            <w:r>
              <w:rPr>
                <w:rFonts w:hint="eastAsia"/>
              </w:rPr>
              <w:t>绿锦蛇</w:t>
            </w:r>
          </w:p>
        </w:tc>
        <w:tc>
          <w:tcPr>
            <w:tcW w:w="2246" w:type="pct"/>
            <w:shd w:val="clear" w:color="auto" w:fill="auto"/>
            <w:vAlign w:val="center"/>
          </w:tcPr>
          <w:p w14:paraId="4F39FDAD">
            <w:pPr>
              <w:pStyle w:val="84"/>
              <w:rPr>
                <w:i/>
              </w:rPr>
            </w:pPr>
            <w:r>
              <w:rPr>
                <w:i/>
              </w:rPr>
              <w:t>Elaphe prasina</w:t>
            </w:r>
          </w:p>
        </w:tc>
        <w:tc>
          <w:tcPr>
            <w:tcW w:w="1443" w:type="pct"/>
            <w:shd w:val="clear" w:color="auto" w:fill="auto"/>
            <w:vAlign w:val="center"/>
          </w:tcPr>
          <w:p w14:paraId="60EF840C">
            <w:pPr>
              <w:pStyle w:val="84"/>
            </w:pPr>
            <w:r>
              <w:rPr>
                <w:rFonts w:hint="eastAsia"/>
              </w:rPr>
              <w:t>易危</w:t>
            </w:r>
          </w:p>
        </w:tc>
      </w:tr>
      <w:tr w14:paraId="71C83C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11" w:type="pct"/>
            <w:shd w:val="clear" w:color="auto" w:fill="auto"/>
            <w:vAlign w:val="center"/>
          </w:tcPr>
          <w:p w14:paraId="16E5F830">
            <w:pPr>
              <w:pStyle w:val="84"/>
            </w:pPr>
            <w:r>
              <w:rPr>
                <w:rFonts w:hint="eastAsia"/>
              </w:rPr>
              <w:t>灰鼠蛇</w:t>
            </w:r>
          </w:p>
        </w:tc>
        <w:tc>
          <w:tcPr>
            <w:tcW w:w="2246" w:type="pct"/>
            <w:shd w:val="clear" w:color="auto" w:fill="auto"/>
            <w:vAlign w:val="center"/>
          </w:tcPr>
          <w:p w14:paraId="25F07253">
            <w:pPr>
              <w:pStyle w:val="84"/>
              <w:rPr>
                <w:i/>
              </w:rPr>
            </w:pPr>
            <w:r>
              <w:rPr>
                <w:rFonts w:hint="eastAsia"/>
                <w:i/>
              </w:rPr>
              <w:t>Ptyas korros</w:t>
            </w:r>
          </w:p>
        </w:tc>
        <w:tc>
          <w:tcPr>
            <w:tcW w:w="1443" w:type="pct"/>
            <w:shd w:val="clear" w:color="auto" w:fill="auto"/>
            <w:vAlign w:val="center"/>
          </w:tcPr>
          <w:p w14:paraId="4AE6DAC1">
            <w:pPr>
              <w:pStyle w:val="84"/>
            </w:pPr>
            <w:r>
              <w:rPr>
                <w:rFonts w:hint="eastAsia"/>
              </w:rPr>
              <w:t>易危</w:t>
            </w:r>
          </w:p>
        </w:tc>
      </w:tr>
    </w:tbl>
    <w:p w14:paraId="46F38A06">
      <w:pPr>
        <w:spacing w:before="240"/>
        <w:ind w:firstLine="480"/>
        <w:rPr>
          <w:szCs w:val="24"/>
        </w:rPr>
      </w:pPr>
      <w:r>
        <w:rPr>
          <w:rFonts w:hint="eastAsia"/>
        </w:rPr>
        <w:t>1）白鹇</w:t>
      </w:r>
      <w:r>
        <w:rPr>
          <w:i/>
          <w:kern w:val="0"/>
          <w:szCs w:val="24"/>
        </w:rPr>
        <w:t>Lophura nycthemera</w:t>
      </w:r>
    </w:p>
    <w:p w14:paraId="6788F13E">
      <w:pPr>
        <w:ind w:firstLine="480"/>
      </w:pPr>
      <w:r>
        <w:drawing>
          <wp:anchor distT="0" distB="0" distL="114300" distR="114300" simplePos="0" relativeHeight="251660288" behindDoc="1" locked="0" layoutInCell="1" allowOverlap="1">
            <wp:simplePos x="0" y="0"/>
            <wp:positionH relativeFrom="column">
              <wp:posOffset>3543300</wp:posOffset>
            </wp:positionH>
            <wp:positionV relativeFrom="paragraph">
              <wp:posOffset>3523615</wp:posOffset>
            </wp:positionV>
            <wp:extent cx="1828800" cy="1895475"/>
            <wp:effectExtent l="0" t="0" r="0" b="9525"/>
            <wp:wrapTight wrapText="bothSides">
              <wp:wrapPolygon>
                <wp:start x="0" y="0"/>
                <wp:lineTo x="0" y="21491"/>
                <wp:lineTo x="21375" y="21491"/>
                <wp:lineTo x="21375" y="0"/>
                <wp:lineTo x="0" y="0"/>
              </wp:wrapPolygon>
            </wp:wrapTight>
            <wp:docPr id="17" name="图片 17" descr="普通鵟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普通鵟图片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828800" cy="1895475"/>
                    </a:xfrm>
                    <a:prstGeom prst="rect">
                      <a:avLst/>
                    </a:prstGeom>
                    <a:noFill/>
                    <a:ln>
                      <a:noFill/>
                    </a:ln>
                    <a:effectLst/>
                  </pic:spPr>
                </pic:pic>
              </a:graphicData>
            </a:graphic>
          </wp:anchor>
        </w:drawing>
      </w:r>
      <w:r>
        <w:rPr>
          <w:rFonts w:hint="eastAsia"/>
        </w:rPr>
        <w:t>嘴粗短而强壮，上嘴先端微向下曲，但不具钩；鼻孔不为羽毛所掩盖；翅稍短圆；尾长；跗蹠裸出，雄性具距，但有时雌雄均有；趾完全裸出，后趾位置较</w:t>
      </w:r>
      <w:r>
        <w:drawing>
          <wp:anchor distT="0" distB="0" distL="114300" distR="114300" simplePos="0" relativeHeight="251664384" behindDoc="1" locked="0" layoutInCell="1" allowOverlap="1">
            <wp:simplePos x="0" y="0"/>
            <wp:positionH relativeFrom="column">
              <wp:posOffset>3020695</wp:posOffset>
            </wp:positionH>
            <wp:positionV relativeFrom="paragraph">
              <wp:posOffset>120650</wp:posOffset>
            </wp:positionV>
            <wp:extent cx="2298700" cy="1583055"/>
            <wp:effectExtent l="0" t="0" r="6350" b="0"/>
            <wp:wrapTight wrapText="bothSides">
              <wp:wrapPolygon>
                <wp:start x="0" y="0"/>
                <wp:lineTo x="0" y="21314"/>
                <wp:lineTo x="21481" y="21314"/>
                <wp:lineTo x="21481"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98700" cy="1583055"/>
                    </a:xfrm>
                    <a:prstGeom prst="rect">
                      <a:avLst/>
                    </a:prstGeom>
                  </pic:spPr>
                </pic:pic>
              </a:graphicData>
            </a:graphic>
          </wp:anchor>
        </w:drawing>
      </w:r>
      <w:r>
        <w:rPr>
          <w:rFonts w:hint="eastAsia"/>
        </w:rPr>
        <w:t>高于他趾；雌雄异色；雄鸟上体白色而密布以黑纹，头上具长而厚密、状如发丝的蓝黑色羽冠披于头后；脸裸露，赤红色；尾长、白色，两翅亦为白色；下体蓝黑色，脚红色；雌鸟通体橄榄褐色，羽冠近黑色。栖息于森林茂密，林下植物稀疏的常绿阔叶林和沟谷雨林中。食昆虫、植物茎叶、果实和种子等。通常成对或成3只-6只的小群活动，性机警，很少起飞，紧急时亦急飞上树。繁殖期筑巢于灌木丛间的地面凹处，每窝产卵4枚-6枚，雏鸟早成性，孵出的当日即可离巢随亲鸟活动。主要分布于中国、缅甸、泰国和中南半岛。</w:t>
      </w:r>
    </w:p>
    <w:p w14:paraId="1E59CB13">
      <w:pPr>
        <w:adjustRightInd w:val="0"/>
        <w:snapToGrid w:val="0"/>
        <w:ind w:firstLine="480"/>
        <w:rPr>
          <w:kern w:val="0"/>
        </w:rPr>
      </w:pPr>
      <w:r>
        <w:rPr>
          <w:rFonts w:hint="eastAsia"/>
        </w:rPr>
        <w:t>2</w:t>
      </w:r>
      <w:r>
        <w:t>）普通鵟</w:t>
      </w:r>
      <w:r>
        <w:rPr>
          <w:kern w:val="0"/>
        </w:rPr>
        <w:t xml:space="preserve"> </w:t>
      </w:r>
      <w:r>
        <w:rPr>
          <w:i/>
          <w:kern w:val="0"/>
        </w:rPr>
        <w:t>Buteo</w:t>
      </w:r>
      <w:r>
        <w:rPr>
          <w:kern w:val="0"/>
        </w:rPr>
        <w:t xml:space="preserve"> </w:t>
      </w:r>
      <w:r>
        <w:rPr>
          <w:i/>
          <w:kern w:val="0"/>
        </w:rPr>
        <w:t>buteo</w:t>
      </w:r>
    </w:p>
    <w:p w14:paraId="56D53F1F">
      <w:pPr>
        <w:adjustRightInd w:val="0"/>
        <w:snapToGrid w:val="0"/>
        <w:ind w:firstLine="480"/>
      </w:pPr>
      <w:r>
        <w:t>隼形目鹰科鵟属</w:t>
      </w:r>
      <w:r>
        <w:rPr>
          <w:rFonts w:hint="eastAsia"/>
        </w:rPr>
        <w:t>，</w:t>
      </w:r>
      <w:r>
        <w:t>体长50cm左右。上体深红褐色，脸侧皮黄，下体偏白上具棕色纵纹，两胁及大腿沾棕色</w:t>
      </w:r>
      <w:r>
        <w:rPr>
          <w:rFonts w:hint="eastAsia"/>
        </w:rPr>
        <w:t>，</w:t>
      </w:r>
      <w:r>
        <w:t>嘴灰色，脚黄色</w:t>
      </w:r>
      <w:r>
        <w:rPr>
          <w:rFonts w:hint="eastAsia"/>
        </w:rPr>
        <w:t>，</w:t>
      </w:r>
      <w:r>
        <w:t>在高空翱翔时两翼略呈</w:t>
      </w:r>
      <w:r>
        <w:rPr>
          <w:rFonts w:hint="eastAsia"/>
        </w:rPr>
        <w:t>“</w:t>
      </w:r>
      <w:r>
        <w:rPr>
          <w:i/>
        </w:rPr>
        <w:t>V</w:t>
      </w:r>
      <w:r>
        <w:rPr>
          <w:rFonts w:hint="eastAsia"/>
        </w:rPr>
        <w:t>”</w:t>
      </w:r>
      <w:r>
        <w:t>形。在云南最早见于秋季（9月底或10月初），最晚见于春末（3月底），越冬期约为180天。栖息于山区、田坝区和乡村的高大乔木上，建筑物的突出部位，多见单个活动。在空中飞翔，伺机捕食野兔、鼠类、小鸟、蛇、蜥蜴和蛙类，也常见盗食家禽。</w:t>
      </w:r>
    </w:p>
    <w:p w14:paraId="4482EDA0">
      <w:pPr>
        <w:adjustRightInd w:val="0"/>
        <w:snapToGrid w:val="0"/>
        <w:ind w:firstLine="480"/>
      </w:pPr>
      <w:r>
        <w:t>在评价区分布较广，但是数量不多，为稀有种。</w:t>
      </w:r>
    </w:p>
    <w:p w14:paraId="22FF6FB9">
      <w:pPr>
        <w:adjustRightInd w:val="0"/>
        <w:snapToGrid w:val="0"/>
        <w:ind w:firstLine="480"/>
        <w:rPr>
          <w:kern w:val="0"/>
        </w:rPr>
      </w:pPr>
      <w:r>
        <w:t>3）红隼</w:t>
      </w:r>
      <w:r>
        <w:rPr>
          <w:kern w:val="0"/>
        </w:rPr>
        <w:t xml:space="preserve"> </w:t>
      </w:r>
      <w:r>
        <w:rPr>
          <w:i/>
          <w:kern w:val="0"/>
        </w:rPr>
        <w:t>Falco</w:t>
      </w:r>
      <w:r>
        <w:rPr>
          <w:kern w:val="0"/>
        </w:rPr>
        <w:t xml:space="preserve"> </w:t>
      </w:r>
      <w:r>
        <w:rPr>
          <w:i/>
          <w:kern w:val="0"/>
        </w:rPr>
        <w:t>tinnunculus</w:t>
      </w:r>
    </w:p>
    <w:p w14:paraId="771942BD">
      <w:pPr>
        <w:adjustRightInd w:val="0"/>
        <w:snapToGrid w:val="0"/>
        <w:ind w:firstLine="480"/>
        <w:rPr>
          <w:kern w:val="0"/>
        </w:rPr>
      </w:pPr>
      <w:r>
        <w:drawing>
          <wp:anchor distT="0" distB="0" distL="114300" distR="114300" simplePos="0" relativeHeight="251659264" behindDoc="1" locked="0" layoutInCell="1" allowOverlap="1">
            <wp:simplePos x="0" y="0"/>
            <wp:positionH relativeFrom="column">
              <wp:posOffset>-3810</wp:posOffset>
            </wp:positionH>
            <wp:positionV relativeFrom="paragraph">
              <wp:posOffset>199390</wp:posOffset>
            </wp:positionV>
            <wp:extent cx="2243455" cy="1398270"/>
            <wp:effectExtent l="0" t="0" r="4445" b="0"/>
            <wp:wrapTight wrapText="bothSides">
              <wp:wrapPolygon>
                <wp:start x="0" y="0"/>
                <wp:lineTo x="0" y="21188"/>
                <wp:lineTo x="21459" y="21188"/>
                <wp:lineTo x="21459" y="0"/>
                <wp:lineTo x="0" y="0"/>
              </wp:wrapPolygon>
            </wp:wrapTight>
            <wp:docPr id="18" name="图片 18" descr="红隼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红隼图片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43455" cy="1398270"/>
                    </a:xfrm>
                    <a:prstGeom prst="rect">
                      <a:avLst/>
                    </a:prstGeom>
                    <a:noFill/>
                    <a:ln>
                      <a:noFill/>
                    </a:ln>
                    <a:effectLst/>
                  </pic:spPr>
                </pic:pic>
              </a:graphicData>
            </a:graphic>
          </wp:anchor>
        </w:drawing>
      </w:r>
      <w:r>
        <w:t>隼形目隼科隼属，小型猛禽</w:t>
      </w:r>
      <w:r>
        <w:rPr>
          <w:rFonts w:hint="eastAsia"/>
        </w:rPr>
        <w:t>，</w:t>
      </w:r>
      <w:r>
        <w:t>全长35cm左右。雄鸟上体红砖色，背及翅上具黑色三角形斑，头顶、后颈和颈侧蓝灰色，飞羽近黑色，羽端灰白，尾羽蓝灰色，下体乳黄色带淡棕色，嘴蓝黄色，脚深黄色。雌鸟上体深棕色，杂以黑褐色横斑，头顶和后颈淡棕色，尾羽深棕色。栖息于农田、疏林、灌木丛等旷野地带</w:t>
      </w:r>
      <w:r>
        <w:rPr>
          <w:rFonts w:hint="eastAsia"/>
        </w:rPr>
        <w:t>，</w:t>
      </w:r>
      <w:r>
        <w:t>主要以鼠类及小鸟为食。在乔木或岩壁洞中筑巢，常喜抢占乌鸦和喜鹊巢，或利用它们的旧巢。</w:t>
      </w:r>
    </w:p>
    <w:p w14:paraId="21B293C2">
      <w:pPr>
        <w:adjustRightInd w:val="0"/>
        <w:snapToGrid w:val="0"/>
        <w:ind w:firstLine="480"/>
      </w:pPr>
      <w:r>
        <w:t>在评价区</w:t>
      </w:r>
      <w:r>
        <w:rPr>
          <w:rFonts w:hint="eastAsia"/>
        </w:rPr>
        <w:t>上空可见</w:t>
      </w:r>
      <w:r>
        <w:t>，但是数量较少，为稀有种</w:t>
      </w:r>
      <w:r>
        <w:rPr>
          <w:rFonts w:hint="eastAsia"/>
        </w:rPr>
        <w:t>。</w:t>
      </w:r>
    </w:p>
    <w:p w14:paraId="323E2E6F">
      <w:pPr>
        <w:ind w:firstLine="480"/>
      </w:pPr>
      <w:r>
        <w:rPr>
          <w:rFonts w:hint="eastAsia"/>
        </w:rPr>
        <w:t>4）褐翅鸦鹃</w:t>
      </w:r>
      <w:r>
        <w:rPr>
          <w:rFonts w:hint="eastAsia"/>
          <w:i/>
        </w:rPr>
        <w:t>Centropus sinensis intermedius</w:t>
      </w:r>
    </w:p>
    <w:p w14:paraId="58724414">
      <w:pPr>
        <w:ind w:firstLine="480"/>
      </w:pPr>
      <w:r>
        <w:drawing>
          <wp:anchor distT="0" distB="0" distL="114300" distR="114300" simplePos="0" relativeHeight="251661312" behindDoc="1" locked="0" layoutInCell="1" allowOverlap="1">
            <wp:simplePos x="0" y="0"/>
            <wp:positionH relativeFrom="column">
              <wp:posOffset>3159125</wp:posOffset>
            </wp:positionH>
            <wp:positionV relativeFrom="paragraph">
              <wp:posOffset>50165</wp:posOffset>
            </wp:positionV>
            <wp:extent cx="2042795" cy="1534795"/>
            <wp:effectExtent l="0" t="0" r="0" b="8255"/>
            <wp:wrapTight wrapText="bothSides">
              <wp:wrapPolygon>
                <wp:start x="0" y="0"/>
                <wp:lineTo x="0" y="21448"/>
                <wp:lineTo x="21352" y="21448"/>
                <wp:lineTo x="21352"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042795" cy="1534795"/>
                    </a:xfrm>
                    <a:prstGeom prst="rect">
                      <a:avLst/>
                    </a:prstGeom>
                    <a:noFill/>
                    <a:ln>
                      <a:noFill/>
                    </a:ln>
                  </pic:spPr>
                </pic:pic>
              </a:graphicData>
            </a:graphic>
          </wp:anchor>
        </w:drawing>
      </w:r>
      <w:r>
        <w:rPr>
          <w:rFonts w:hint="eastAsia"/>
        </w:rPr>
        <w:t>褐翅鸦鹃主要栖息于海拔1000m以下的低山丘陵和平原地区的林缘灌丛、稀树草坡、河谷灌丛、草丛和芦苇丛中，也出现于靠近水源的村边灌丛和竹丛等地方。喜欢单个或成对活动。平时多在地面活动，休息时也栖息于小树枝桠。褐翅鸦鹃的食性较杂，主要以昆虫为食。</w:t>
      </w:r>
    </w:p>
    <w:p w14:paraId="1C7CED61">
      <w:pPr>
        <w:ind w:firstLine="480"/>
      </w:pPr>
      <w:r>
        <w:rPr>
          <w:rFonts w:hint="eastAsia"/>
        </w:rPr>
        <w:t>5）领角鸮</w:t>
      </w:r>
      <w:r>
        <w:rPr>
          <w:rFonts w:hint="eastAsia"/>
          <w:i/>
        </w:rPr>
        <w:t>Otus bakkamoena erythrocampe</w:t>
      </w:r>
    </w:p>
    <w:p w14:paraId="454764DD">
      <w:pPr>
        <w:ind w:firstLine="480"/>
      </w:pPr>
      <w:r>
        <w:drawing>
          <wp:anchor distT="0" distB="0" distL="114300" distR="114300" simplePos="0" relativeHeight="251662336" behindDoc="1" locked="0" layoutInCell="1" allowOverlap="1">
            <wp:simplePos x="0" y="0"/>
            <wp:positionH relativeFrom="column">
              <wp:posOffset>-3810</wp:posOffset>
            </wp:positionH>
            <wp:positionV relativeFrom="paragraph">
              <wp:posOffset>208280</wp:posOffset>
            </wp:positionV>
            <wp:extent cx="1998980" cy="1703705"/>
            <wp:effectExtent l="0" t="0" r="1270" b="0"/>
            <wp:wrapTight wrapText="bothSides">
              <wp:wrapPolygon>
                <wp:start x="0" y="0"/>
                <wp:lineTo x="0" y="21254"/>
                <wp:lineTo x="21408" y="21254"/>
                <wp:lineTo x="21408" y="0"/>
                <wp:lineTo x="0" y="0"/>
              </wp:wrapPolygon>
            </wp:wrapTight>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998980" cy="1703705"/>
                    </a:xfrm>
                    <a:prstGeom prst="rect">
                      <a:avLst/>
                    </a:prstGeom>
                    <a:noFill/>
                    <a:ln>
                      <a:noFill/>
                    </a:ln>
                  </pic:spPr>
                </pic:pic>
              </a:graphicData>
            </a:graphic>
          </wp:anchor>
        </w:drawing>
      </w:r>
      <w:r>
        <w:rPr>
          <w:rFonts w:hint="eastAsia"/>
        </w:rPr>
        <w:t>领角鸮栖息于山地阔叶林和混交林中，也出现于山麓林缘和村寨附近树林内，除繁殖期成对活动外，通常单独活动。白天多躲藏在树上浓密的枝叶丛间，晚上才开始活动和鸣叫。主要以鼠类、甲虫、蝗虫和鞘翅目昆虫等为食，繁殖期为3月～6月。通常营巢于天然树洞内，或利用啄木鸟废弃的旧树洞，偶尔也利用喜鹊的旧巢。</w:t>
      </w:r>
    </w:p>
    <w:p w14:paraId="65D0FE8E">
      <w:pPr>
        <w:ind w:firstLine="480"/>
      </w:pPr>
    </w:p>
    <w:p w14:paraId="6C0A3E21">
      <w:pPr>
        <w:ind w:firstLine="480"/>
      </w:pPr>
      <w:r>
        <w:rPr>
          <w:rFonts w:hint="eastAsia"/>
        </w:rPr>
        <w:t>6）孟加拉眼镜蛇</w:t>
      </w:r>
      <w:r>
        <w:rPr>
          <w:i/>
        </w:rPr>
        <w:t>Naja kaouthia</w:t>
      </w:r>
    </w:p>
    <w:p w14:paraId="19BEFB4B">
      <w:pPr>
        <w:ind w:firstLine="480"/>
      </w:pPr>
      <w:r>
        <w:drawing>
          <wp:anchor distT="0" distB="0" distL="114300" distR="114300" simplePos="0" relativeHeight="251663360" behindDoc="1" locked="0" layoutInCell="1" allowOverlap="1">
            <wp:simplePos x="0" y="0"/>
            <wp:positionH relativeFrom="column">
              <wp:posOffset>2907030</wp:posOffset>
            </wp:positionH>
            <wp:positionV relativeFrom="paragraph">
              <wp:posOffset>325120</wp:posOffset>
            </wp:positionV>
            <wp:extent cx="2392045" cy="1662430"/>
            <wp:effectExtent l="0" t="0" r="8255" b="0"/>
            <wp:wrapTight wrapText="bothSides">
              <wp:wrapPolygon>
                <wp:start x="0" y="0"/>
                <wp:lineTo x="0" y="21286"/>
                <wp:lineTo x="21503" y="21286"/>
                <wp:lineTo x="21503" y="0"/>
                <wp:lineTo x="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392045" cy="1662430"/>
                    </a:xfrm>
                    <a:prstGeom prst="rect">
                      <a:avLst/>
                    </a:prstGeom>
                    <a:noFill/>
                    <a:ln>
                      <a:noFill/>
                    </a:ln>
                  </pic:spPr>
                </pic:pic>
              </a:graphicData>
            </a:graphic>
          </wp:anchor>
        </w:drawing>
      </w:r>
      <w:r>
        <w:rPr>
          <w:rFonts w:hint="eastAsia"/>
        </w:rPr>
        <w:t>云南省省级保护动物，属蛇目，眼镜蛇科。常分布于干旱河谷的平坝及低山农耕地附近灌丛中，以鼠、蛙、鸟、蜥蜴等脊椎动物为食物。孟加拉眼镜蛇外形上与舟山眼镜蛇很相似，颈部膨扁时，项背的“眼镜”状斑仅有单个圆圈，或在此基础上的饰变，曾被作为印度眼镜蛇(</w:t>
      </w:r>
      <w:r>
        <w:rPr>
          <w:rFonts w:hint="eastAsia"/>
          <w:i/>
        </w:rPr>
        <w:t>Naja naja</w:t>
      </w:r>
      <w:r>
        <w:rPr>
          <w:rFonts w:hint="eastAsia"/>
        </w:rPr>
        <w:t>)的一个亚种，1997年被上升为种，种下无亚种。孟加拉眼镜蛇的毒素含有强烈的神经毒素及细胞毒素，被咬后会出现痛楚及肿胀，严重的也会死亡。</w:t>
      </w:r>
    </w:p>
    <w:p w14:paraId="32D232F5">
      <w:pPr>
        <w:pStyle w:val="113"/>
      </w:pPr>
      <w:bookmarkStart w:id="599" w:name="_Toc508642472"/>
      <w:r>
        <w:rPr>
          <w:rFonts w:hint="eastAsia"/>
        </w:rPr>
        <w:t>5.1.4生态环境问题</w:t>
      </w:r>
      <w:bookmarkEnd w:id="599"/>
    </w:p>
    <w:p w14:paraId="29156425">
      <w:pPr>
        <w:ind w:firstLine="480"/>
      </w:pPr>
      <w:r>
        <w:rPr>
          <w:rFonts w:hint="eastAsia"/>
        </w:rPr>
        <w:t>流域内农业生产活动较为频繁，天然植被资源处于逐年减少的趋势。由于受当地村民的生产生活影响，流域内大片自然植被已经遭到破坏，被当地居民开垦用于种植玉米、橡胶等作物，流域内人为活动影响显著，植被次生化严重，生态环境遭人类活动影响较大。</w:t>
      </w:r>
    </w:p>
    <w:p w14:paraId="348F930D">
      <w:pPr>
        <w:pStyle w:val="4"/>
      </w:pPr>
      <w:bookmarkStart w:id="600" w:name="_Toc508642473"/>
      <w:bookmarkStart w:id="601" w:name="_Toc443655442"/>
      <w:bookmarkStart w:id="602" w:name="_Toc454046543"/>
      <w:bookmarkStart w:id="603" w:name="_Toc471738025"/>
      <w:r>
        <w:rPr>
          <w:rFonts w:hint="eastAsia"/>
        </w:rPr>
        <w:t>5.2地表水环境现状</w:t>
      </w:r>
      <w:bookmarkEnd w:id="600"/>
      <w:bookmarkEnd w:id="601"/>
      <w:bookmarkEnd w:id="602"/>
      <w:bookmarkEnd w:id="603"/>
    </w:p>
    <w:p w14:paraId="3360B88E">
      <w:pPr>
        <w:ind w:firstLine="480"/>
        <w:rPr>
          <w:szCs w:val="24"/>
        </w:rPr>
      </w:pPr>
      <w:r>
        <w:rPr>
          <w:rFonts w:hint="eastAsia"/>
          <w:szCs w:val="24"/>
        </w:rPr>
        <w:t>为了解工程所涉河段水质现状情况，建设单位委托</w:t>
      </w:r>
      <w:r>
        <w:t>云南环绿环境检测技术有限公司于201</w:t>
      </w:r>
      <w:r>
        <w:rPr>
          <w:rFonts w:hint="eastAsia"/>
        </w:rPr>
        <w:t>6</w:t>
      </w:r>
      <w:r>
        <w:t>年</w:t>
      </w:r>
      <w:r>
        <w:rPr>
          <w:rFonts w:hint="eastAsia"/>
        </w:rPr>
        <w:t>1</w:t>
      </w:r>
      <w:r>
        <w:t>月</w:t>
      </w:r>
      <w:r>
        <w:rPr>
          <w:rFonts w:hint="eastAsia"/>
        </w:rPr>
        <w:t>29日~1月31</w:t>
      </w:r>
      <w:r>
        <w:t>日</w:t>
      </w:r>
      <w:r>
        <w:rPr>
          <w:rFonts w:hint="eastAsia"/>
        </w:rPr>
        <w:t>对电站坝址上游100m和厂房尾水口下游100m处2个断面进行了为期3天的水质检测，并于2016年2月18日出具了检测报告，</w:t>
      </w:r>
    </w:p>
    <w:p w14:paraId="7A0DD71A">
      <w:pPr>
        <w:ind w:firstLine="480"/>
      </w:pPr>
      <w:r>
        <w:rPr>
          <w:rFonts w:hint="eastAsia"/>
          <w:szCs w:val="24"/>
        </w:rPr>
        <w:t>团结水电站回水末端位于坝址上游1062m处，据调查，在此河段内除芒里大沟外，并无其它取水设施，也无生产、生活废水排放，水质情况基本一致，因此在坝址上游100m处设置监测断面完全可反映该河段的水质情况。团结水电站为小型河床式无调节电站，电站发电后尾水回归芒市河，本次监测于</w:t>
      </w:r>
      <w:r>
        <w:rPr>
          <w:rFonts w:hint="eastAsia"/>
        </w:rPr>
        <w:t>厂房尾水口下游100m处设置监测断面所得监测结果可代表电站建设前（无尾水汇入之前）芒市河的水质情况。</w:t>
      </w:r>
    </w:p>
    <w:p w14:paraId="4248262A">
      <w:pPr>
        <w:ind w:firstLine="480"/>
      </w:pPr>
    </w:p>
    <w:p w14:paraId="232D3ACC">
      <w:pPr>
        <w:ind w:firstLine="480"/>
      </w:pPr>
    </w:p>
    <w:p w14:paraId="4A7650C7">
      <w:pPr>
        <w:ind w:firstLine="480"/>
      </w:pPr>
    </w:p>
    <w:p w14:paraId="1A771C1C">
      <w:pPr>
        <w:ind w:firstLine="480"/>
        <w:rPr>
          <w:szCs w:val="24"/>
        </w:rPr>
      </w:pPr>
    </w:p>
    <w:p w14:paraId="1D03F5FF">
      <w:pPr>
        <w:ind w:firstLine="480"/>
        <w:rPr>
          <w:szCs w:val="24"/>
        </w:rPr>
      </w:pPr>
      <w:r>
        <w:rPr>
          <w:rFonts w:hint="eastAsia"/>
          <w:szCs w:val="24"/>
        </w:rPr>
        <w:t>监测结果见下表：</w:t>
      </w:r>
    </w:p>
    <w:p w14:paraId="38035415">
      <w:pPr>
        <w:pStyle w:val="82"/>
        <w:framePr w:hSpace="0" w:wrap="auto" w:vAnchor="margin" w:hAnchor="text" w:xAlign="left" w:yAlign="inline"/>
      </w:pPr>
      <w:r>
        <w:t>表</w:t>
      </w:r>
      <w:r>
        <w:rPr>
          <w:rFonts w:hint="eastAsia"/>
        </w:rPr>
        <w:t>5-2-1</w:t>
      </w:r>
      <w:r>
        <w:t xml:space="preserve">  </w:t>
      </w:r>
      <w:r>
        <w:rPr>
          <w:rFonts w:hint="eastAsia"/>
        </w:rPr>
        <w:t xml:space="preserve"> 芒市河</w:t>
      </w:r>
      <w:r>
        <w:t>水质现状监测成果表</w:t>
      </w:r>
      <w:r>
        <w:rPr>
          <w:rFonts w:hint="eastAsia"/>
        </w:rPr>
        <w:t xml:space="preserve">  单位：</w:t>
      </w:r>
      <w:r>
        <w:t>mg/L</w:t>
      </w:r>
    </w:p>
    <w:tbl>
      <w:tblPr>
        <w:tblStyle w:val="56"/>
        <w:tblW w:w="9385"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61"/>
        <w:gridCol w:w="992"/>
        <w:gridCol w:w="992"/>
        <w:gridCol w:w="992"/>
        <w:gridCol w:w="993"/>
        <w:gridCol w:w="1022"/>
        <w:gridCol w:w="992"/>
        <w:gridCol w:w="1246"/>
        <w:gridCol w:w="795"/>
      </w:tblGrid>
      <w:tr w14:paraId="0A41981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3" w:hRule="atLeast"/>
          <w:tblHeader/>
          <w:jc w:val="center"/>
        </w:trPr>
        <w:tc>
          <w:tcPr>
            <w:tcW w:w="1361" w:type="dxa"/>
            <w:vMerge w:val="restart"/>
            <w:vAlign w:val="center"/>
          </w:tcPr>
          <w:p w14:paraId="03AB7D24">
            <w:pPr>
              <w:pStyle w:val="84"/>
              <w:spacing w:line="216" w:lineRule="auto"/>
            </w:pPr>
            <w:r>
              <w:t>监测项目</w:t>
            </w:r>
          </w:p>
        </w:tc>
        <w:tc>
          <w:tcPr>
            <w:tcW w:w="5983" w:type="dxa"/>
            <w:gridSpan w:val="6"/>
            <w:vAlign w:val="center"/>
          </w:tcPr>
          <w:p w14:paraId="759F8982">
            <w:pPr>
              <w:pStyle w:val="84"/>
              <w:spacing w:line="216" w:lineRule="auto"/>
            </w:pPr>
            <w:r>
              <w:t>监测断面</w:t>
            </w:r>
          </w:p>
        </w:tc>
        <w:tc>
          <w:tcPr>
            <w:tcW w:w="1246" w:type="dxa"/>
            <w:vMerge w:val="restart"/>
            <w:vAlign w:val="center"/>
          </w:tcPr>
          <w:p w14:paraId="2FD44FAC">
            <w:pPr>
              <w:pStyle w:val="84"/>
              <w:spacing w:line="216" w:lineRule="auto"/>
              <w:rPr>
                <w:spacing w:val="-18"/>
                <w:kern w:val="0"/>
              </w:rPr>
            </w:pPr>
            <w:r>
              <w:rPr>
                <w:spacing w:val="-18"/>
                <w:kern w:val="0"/>
              </w:rPr>
              <w:t>GB3838-2002</w:t>
            </w:r>
          </w:p>
          <w:p w14:paraId="64845920">
            <w:pPr>
              <w:pStyle w:val="84"/>
              <w:spacing w:line="216" w:lineRule="auto"/>
              <w:rPr>
                <w:spacing w:val="-18"/>
                <w:kern w:val="0"/>
              </w:rPr>
            </w:pPr>
            <w:r>
              <w:rPr>
                <w:spacing w:val="-18"/>
                <w:kern w:val="0"/>
              </w:rPr>
              <w:t>III类标准</w:t>
            </w:r>
          </w:p>
        </w:tc>
        <w:tc>
          <w:tcPr>
            <w:tcW w:w="795" w:type="dxa"/>
            <w:vMerge w:val="restart"/>
            <w:vAlign w:val="center"/>
          </w:tcPr>
          <w:p w14:paraId="1447B7A3">
            <w:pPr>
              <w:pStyle w:val="84"/>
              <w:spacing w:line="216" w:lineRule="auto"/>
            </w:pPr>
            <w:r>
              <w:rPr>
                <w:rFonts w:hint="eastAsia"/>
              </w:rPr>
              <w:t>达标情况</w:t>
            </w:r>
          </w:p>
        </w:tc>
      </w:tr>
      <w:tr w14:paraId="2FAE143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6" w:hRule="atLeast"/>
          <w:tblHeader/>
          <w:jc w:val="center"/>
        </w:trPr>
        <w:tc>
          <w:tcPr>
            <w:tcW w:w="1361" w:type="dxa"/>
            <w:vMerge w:val="continue"/>
            <w:vAlign w:val="center"/>
          </w:tcPr>
          <w:p w14:paraId="5DAA4DDD">
            <w:pPr>
              <w:pStyle w:val="84"/>
              <w:spacing w:line="216" w:lineRule="auto"/>
            </w:pPr>
          </w:p>
        </w:tc>
        <w:tc>
          <w:tcPr>
            <w:tcW w:w="2976" w:type="dxa"/>
            <w:gridSpan w:val="3"/>
            <w:vAlign w:val="center"/>
          </w:tcPr>
          <w:p w14:paraId="35D35CAB">
            <w:pPr>
              <w:pStyle w:val="84"/>
              <w:spacing w:line="216" w:lineRule="auto"/>
            </w:pPr>
            <w:r>
              <w:rPr>
                <w:rFonts w:hint="eastAsia"/>
              </w:rPr>
              <w:t>坝址上游100m</w:t>
            </w:r>
          </w:p>
        </w:tc>
        <w:tc>
          <w:tcPr>
            <w:tcW w:w="3007" w:type="dxa"/>
            <w:gridSpan w:val="3"/>
            <w:vAlign w:val="center"/>
          </w:tcPr>
          <w:p w14:paraId="524FDF98">
            <w:pPr>
              <w:pStyle w:val="84"/>
              <w:spacing w:line="216" w:lineRule="auto"/>
            </w:pPr>
            <w:r>
              <w:rPr>
                <w:rFonts w:hint="eastAsia"/>
              </w:rPr>
              <w:t>厂房尾水口下游100m</w:t>
            </w:r>
          </w:p>
        </w:tc>
        <w:tc>
          <w:tcPr>
            <w:tcW w:w="1246" w:type="dxa"/>
            <w:vMerge w:val="continue"/>
            <w:vAlign w:val="center"/>
          </w:tcPr>
          <w:p w14:paraId="142D98FE">
            <w:pPr>
              <w:pStyle w:val="84"/>
              <w:spacing w:line="216" w:lineRule="auto"/>
            </w:pPr>
          </w:p>
        </w:tc>
        <w:tc>
          <w:tcPr>
            <w:tcW w:w="795" w:type="dxa"/>
            <w:vMerge w:val="continue"/>
            <w:vAlign w:val="center"/>
          </w:tcPr>
          <w:p w14:paraId="0F51A0F0">
            <w:pPr>
              <w:pStyle w:val="84"/>
              <w:spacing w:line="216" w:lineRule="auto"/>
            </w:pPr>
          </w:p>
        </w:tc>
      </w:tr>
      <w:tr w14:paraId="0DAE70C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trHeight w:val="412" w:hRule="atLeast"/>
          <w:tblHeader/>
          <w:jc w:val="center"/>
        </w:trPr>
        <w:tc>
          <w:tcPr>
            <w:tcW w:w="1361" w:type="dxa"/>
            <w:vMerge w:val="continue"/>
            <w:vAlign w:val="center"/>
          </w:tcPr>
          <w:p w14:paraId="384CE0C6">
            <w:pPr>
              <w:pStyle w:val="84"/>
              <w:spacing w:line="216" w:lineRule="auto"/>
              <w:rPr>
                <w:kern w:val="0"/>
              </w:rPr>
            </w:pPr>
          </w:p>
        </w:tc>
        <w:tc>
          <w:tcPr>
            <w:tcW w:w="992" w:type="dxa"/>
            <w:vAlign w:val="center"/>
          </w:tcPr>
          <w:p w14:paraId="039D434A">
            <w:pPr>
              <w:pStyle w:val="84"/>
              <w:spacing w:line="216" w:lineRule="auto"/>
              <w:rPr>
                <w:spacing w:val="-18"/>
                <w:kern w:val="0"/>
              </w:rPr>
            </w:pPr>
            <w:r>
              <w:rPr>
                <w:rFonts w:hint="eastAsia"/>
                <w:spacing w:val="-18"/>
                <w:kern w:val="0"/>
              </w:rPr>
              <w:t>2016.1.29</w:t>
            </w:r>
          </w:p>
        </w:tc>
        <w:tc>
          <w:tcPr>
            <w:tcW w:w="992" w:type="dxa"/>
            <w:vAlign w:val="center"/>
          </w:tcPr>
          <w:p w14:paraId="1028BF49">
            <w:pPr>
              <w:pStyle w:val="84"/>
              <w:spacing w:line="216" w:lineRule="auto"/>
              <w:rPr>
                <w:spacing w:val="-18"/>
                <w:kern w:val="0"/>
              </w:rPr>
            </w:pPr>
            <w:r>
              <w:rPr>
                <w:rFonts w:hint="eastAsia"/>
                <w:spacing w:val="-18"/>
                <w:kern w:val="0"/>
              </w:rPr>
              <w:t>2016.1.30</w:t>
            </w:r>
          </w:p>
        </w:tc>
        <w:tc>
          <w:tcPr>
            <w:tcW w:w="992" w:type="dxa"/>
            <w:vAlign w:val="center"/>
          </w:tcPr>
          <w:p w14:paraId="23F44E94">
            <w:pPr>
              <w:pStyle w:val="84"/>
              <w:spacing w:line="216" w:lineRule="auto"/>
              <w:rPr>
                <w:spacing w:val="-18"/>
                <w:kern w:val="0"/>
              </w:rPr>
            </w:pPr>
            <w:r>
              <w:rPr>
                <w:rFonts w:hint="eastAsia"/>
                <w:spacing w:val="-18"/>
                <w:kern w:val="0"/>
              </w:rPr>
              <w:t>2016.1.31</w:t>
            </w:r>
          </w:p>
        </w:tc>
        <w:tc>
          <w:tcPr>
            <w:tcW w:w="993" w:type="dxa"/>
            <w:vAlign w:val="center"/>
          </w:tcPr>
          <w:p w14:paraId="69E18230">
            <w:pPr>
              <w:pStyle w:val="84"/>
              <w:spacing w:line="216" w:lineRule="auto"/>
              <w:rPr>
                <w:spacing w:val="-18"/>
                <w:kern w:val="0"/>
              </w:rPr>
            </w:pPr>
            <w:r>
              <w:rPr>
                <w:rFonts w:hint="eastAsia"/>
                <w:spacing w:val="-18"/>
                <w:kern w:val="0"/>
              </w:rPr>
              <w:t>2016.1.29</w:t>
            </w:r>
          </w:p>
        </w:tc>
        <w:tc>
          <w:tcPr>
            <w:tcW w:w="1022" w:type="dxa"/>
            <w:vAlign w:val="center"/>
          </w:tcPr>
          <w:p w14:paraId="10E40131">
            <w:pPr>
              <w:pStyle w:val="84"/>
              <w:spacing w:line="216" w:lineRule="auto"/>
              <w:rPr>
                <w:spacing w:val="-18"/>
                <w:kern w:val="0"/>
              </w:rPr>
            </w:pPr>
            <w:r>
              <w:rPr>
                <w:rFonts w:hint="eastAsia"/>
                <w:spacing w:val="-18"/>
                <w:kern w:val="0"/>
              </w:rPr>
              <w:t>2016.1.30</w:t>
            </w:r>
          </w:p>
        </w:tc>
        <w:tc>
          <w:tcPr>
            <w:tcW w:w="992" w:type="dxa"/>
            <w:vAlign w:val="center"/>
          </w:tcPr>
          <w:p w14:paraId="7864D4D7">
            <w:pPr>
              <w:pStyle w:val="84"/>
              <w:spacing w:line="216" w:lineRule="auto"/>
              <w:rPr>
                <w:spacing w:val="-18"/>
                <w:kern w:val="0"/>
              </w:rPr>
            </w:pPr>
            <w:r>
              <w:rPr>
                <w:rFonts w:hint="eastAsia"/>
                <w:spacing w:val="-18"/>
                <w:kern w:val="0"/>
              </w:rPr>
              <w:t>2016.1.31</w:t>
            </w:r>
          </w:p>
        </w:tc>
        <w:tc>
          <w:tcPr>
            <w:tcW w:w="1246" w:type="dxa"/>
            <w:vMerge w:val="continue"/>
            <w:vAlign w:val="center"/>
          </w:tcPr>
          <w:p w14:paraId="557089A1">
            <w:pPr>
              <w:pStyle w:val="84"/>
              <w:spacing w:line="216" w:lineRule="auto"/>
            </w:pPr>
          </w:p>
        </w:tc>
        <w:tc>
          <w:tcPr>
            <w:tcW w:w="795" w:type="dxa"/>
            <w:vMerge w:val="continue"/>
            <w:vAlign w:val="center"/>
          </w:tcPr>
          <w:p w14:paraId="74D4CD4B">
            <w:pPr>
              <w:pStyle w:val="84"/>
              <w:spacing w:line="216" w:lineRule="auto"/>
            </w:pPr>
          </w:p>
        </w:tc>
      </w:tr>
      <w:tr w14:paraId="1177D7B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1361" w:type="dxa"/>
            <w:vAlign w:val="center"/>
          </w:tcPr>
          <w:p w14:paraId="7B61119F">
            <w:pPr>
              <w:pStyle w:val="84"/>
              <w:spacing w:line="216" w:lineRule="auto"/>
              <w:rPr>
                <w:kern w:val="0"/>
              </w:rPr>
            </w:pPr>
            <w:r>
              <w:rPr>
                <w:kern w:val="0"/>
              </w:rPr>
              <w:t>pH</w:t>
            </w:r>
          </w:p>
        </w:tc>
        <w:tc>
          <w:tcPr>
            <w:tcW w:w="992" w:type="dxa"/>
            <w:vAlign w:val="center"/>
          </w:tcPr>
          <w:p w14:paraId="67838DD4">
            <w:pPr>
              <w:pStyle w:val="84"/>
              <w:spacing w:line="216" w:lineRule="auto"/>
              <w:rPr>
                <w:kern w:val="0"/>
              </w:rPr>
            </w:pPr>
            <w:r>
              <w:rPr>
                <w:rFonts w:hint="eastAsia"/>
                <w:kern w:val="0"/>
              </w:rPr>
              <w:t>6.82</w:t>
            </w:r>
          </w:p>
        </w:tc>
        <w:tc>
          <w:tcPr>
            <w:tcW w:w="992" w:type="dxa"/>
            <w:vAlign w:val="center"/>
          </w:tcPr>
          <w:p w14:paraId="493B5421">
            <w:pPr>
              <w:pStyle w:val="84"/>
              <w:spacing w:line="216" w:lineRule="auto"/>
              <w:rPr>
                <w:kern w:val="0"/>
              </w:rPr>
            </w:pPr>
            <w:r>
              <w:rPr>
                <w:rFonts w:hint="eastAsia"/>
                <w:kern w:val="0"/>
              </w:rPr>
              <w:t>6.71</w:t>
            </w:r>
          </w:p>
        </w:tc>
        <w:tc>
          <w:tcPr>
            <w:tcW w:w="992" w:type="dxa"/>
            <w:vAlign w:val="center"/>
          </w:tcPr>
          <w:p w14:paraId="4CAC906C">
            <w:pPr>
              <w:pStyle w:val="84"/>
              <w:spacing w:line="216" w:lineRule="auto"/>
              <w:rPr>
                <w:kern w:val="0"/>
              </w:rPr>
            </w:pPr>
            <w:r>
              <w:rPr>
                <w:rFonts w:hint="eastAsia"/>
                <w:kern w:val="0"/>
              </w:rPr>
              <w:t>6.94</w:t>
            </w:r>
          </w:p>
        </w:tc>
        <w:tc>
          <w:tcPr>
            <w:tcW w:w="993" w:type="dxa"/>
            <w:vAlign w:val="center"/>
          </w:tcPr>
          <w:p w14:paraId="5FB0E658">
            <w:pPr>
              <w:pStyle w:val="84"/>
              <w:spacing w:line="216" w:lineRule="auto"/>
              <w:rPr>
                <w:kern w:val="0"/>
              </w:rPr>
            </w:pPr>
            <w:r>
              <w:rPr>
                <w:rFonts w:hint="eastAsia"/>
                <w:kern w:val="0"/>
              </w:rPr>
              <w:t>6.75</w:t>
            </w:r>
          </w:p>
        </w:tc>
        <w:tc>
          <w:tcPr>
            <w:tcW w:w="1022" w:type="dxa"/>
            <w:vAlign w:val="center"/>
          </w:tcPr>
          <w:p w14:paraId="2C2D0D5E">
            <w:pPr>
              <w:pStyle w:val="84"/>
              <w:spacing w:line="216" w:lineRule="auto"/>
              <w:rPr>
                <w:kern w:val="0"/>
              </w:rPr>
            </w:pPr>
            <w:r>
              <w:rPr>
                <w:rFonts w:hint="eastAsia"/>
                <w:kern w:val="0"/>
              </w:rPr>
              <w:t>6.87</w:t>
            </w:r>
          </w:p>
        </w:tc>
        <w:tc>
          <w:tcPr>
            <w:tcW w:w="992" w:type="dxa"/>
            <w:vAlign w:val="center"/>
          </w:tcPr>
          <w:p w14:paraId="20B8AFE0">
            <w:pPr>
              <w:pStyle w:val="84"/>
              <w:spacing w:line="216" w:lineRule="auto"/>
              <w:rPr>
                <w:kern w:val="0"/>
              </w:rPr>
            </w:pPr>
            <w:r>
              <w:rPr>
                <w:rFonts w:hint="eastAsia"/>
                <w:kern w:val="0"/>
              </w:rPr>
              <w:t>6.66</w:t>
            </w:r>
          </w:p>
        </w:tc>
        <w:tc>
          <w:tcPr>
            <w:tcW w:w="1246" w:type="dxa"/>
            <w:vAlign w:val="center"/>
          </w:tcPr>
          <w:p w14:paraId="7FEB3FFC">
            <w:pPr>
              <w:pStyle w:val="84"/>
              <w:spacing w:line="216" w:lineRule="auto"/>
            </w:pPr>
            <w:r>
              <w:t>6~9</w:t>
            </w:r>
          </w:p>
        </w:tc>
        <w:tc>
          <w:tcPr>
            <w:tcW w:w="795" w:type="dxa"/>
            <w:vAlign w:val="center"/>
          </w:tcPr>
          <w:p w14:paraId="60BE42E9">
            <w:pPr>
              <w:pStyle w:val="84"/>
              <w:spacing w:line="216" w:lineRule="auto"/>
            </w:pPr>
            <w:r>
              <w:t>达标</w:t>
            </w:r>
          </w:p>
        </w:tc>
      </w:tr>
      <w:tr w14:paraId="3EBEAAD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1361" w:type="dxa"/>
            <w:vAlign w:val="center"/>
          </w:tcPr>
          <w:p w14:paraId="0E4B6102">
            <w:pPr>
              <w:pStyle w:val="84"/>
              <w:spacing w:line="216" w:lineRule="auto"/>
              <w:rPr>
                <w:kern w:val="0"/>
              </w:rPr>
            </w:pPr>
            <w:r>
              <w:rPr>
                <w:kern w:val="0"/>
              </w:rPr>
              <w:t>DO</w:t>
            </w:r>
          </w:p>
        </w:tc>
        <w:tc>
          <w:tcPr>
            <w:tcW w:w="992" w:type="dxa"/>
            <w:vAlign w:val="center"/>
          </w:tcPr>
          <w:p w14:paraId="3CFF146F">
            <w:pPr>
              <w:pStyle w:val="84"/>
              <w:spacing w:line="216" w:lineRule="auto"/>
              <w:rPr>
                <w:kern w:val="0"/>
              </w:rPr>
            </w:pPr>
            <w:r>
              <w:rPr>
                <w:rFonts w:hint="eastAsia"/>
                <w:kern w:val="0"/>
              </w:rPr>
              <w:t>7.4</w:t>
            </w:r>
          </w:p>
        </w:tc>
        <w:tc>
          <w:tcPr>
            <w:tcW w:w="992" w:type="dxa"/>
            <w:vAlign w:val="center"/>
          </w:tcPr>
          <w:p w14:paraId="7FD4758B">
            <w:pPr>
              <w:pStyle w:val="84"/>
              <w:spacing w:line="216" w:lineRule="auto"/>
              <w:rPr>
                <w:kern w:val="0"/>
              </w:rPr>
            </w:pPr>
            <w:r>
              <w:rPr>
                <w:rFonts w:hint="eastAsia"/>
                <w:kern w:val="0"/>
              </w:rPr>
              <w:t>7.3</w:t>
            </w:r>
          </w:p>
        </w:tc>
        <w:tc>
          <w:tcPr>
            <w:tcW w:w="992" w:type="dxa"/>
            <w:vAlign w:val="center"/>
          </w:tcPr>
          <w:p w14:paraId="14527B34">
            <w:pPr>
              <w:pStyle w:val="84"/>
              <w:spacing w:line="216" w:lineRule="auto"/>
              <w:rPr>
                <w:kern w:val="0"/>
              </w:rPr>
            </w:pPr>
            <w:r>
              <w:rPr>
                <w:rFonts w:hint="eastAsia"/>
                <w:kern w:val="0"/>
              </w:rPr>
              <w:t>7.4</w:t>
            </w:r>
          </w:p>
        </w:tc>
        <w:tc>
          <w:tcPr>
            <w:tcW w:w="993" w:type="dxa"/>
            <w:vAlign w:val="center"/>
          </w:tcPr>
          <w:p w14:paraId="503836A9">
            <w:pPr>
              <w:pStyle w:val="84"/>
              <w:spacing w:line="216" w:lineRule="auto"/>
              <w:rPr>
                <w:kern w:val="0"/>
              </w:rPr>
            </w:pPr>
            <w:r>
              <w:rPr>
                <w:rFonts w:hint="eastAsia"/>
                <w:kern w:val="0"/>
              </w:rPr>
              <w:t>7.2</w:t>
            </w:r>
          </w:p>
        </w:tc>
        <w:tc>
          <w:tcPr>
            <w:tcW w:w="1022" w:type="dxa"/>
            <w:vAlign w:val="center"/>
          </w:tcPr>
          <w:p w14:paraId="567A2067">
            <w:pPr>
              <w:pStyle w:val="84"/>
              <w:spacing w:line="216" w:lineRule="auto"/>
              <w:rPr>
                <w:kern w:val="0"/>
              </w:rPr>
            </w:pPr>
            <w:r>
              <w:rPr>
                <w:rFonts w:hint="eastAsia"/>
                <w:kern w:val="0"/>
              </w:rPr>
              <w:t>7.4</w:t>
            </w:r>
          </w:p>
        </w:tc>
        <w:tc>
          <w:tcPr>
            <w:tcW w:w="992" w:type="dxa"/>
            <w:vAlign w:val="center"/>
          </w:tcPr>
          <w:p w14:paraId="35ACD3AD">
            <w:pPr>
              <w:pStyle w:val="84"/>
              <w:spacing w:line="216" w:lineRule="auto"/>
              <w:rPr>
                <w:kern w:val="0"/>
              </w:rPr>
            </w:pPr>
            <w:r>
              <w:rPr>
                <w:rFonts w:hint="eastAsia"/>
                <w:kern w:val="0"/>
              </w:rPr>
              <w:t>7.3</w:t>
            </w:r>
          </w:p>
        </w:tc>
        <w:tc>
          <w:tcPr>
            <w:tcW w:w="1246" w:type="dxa"/>
            <w:vAlign w:val="center"/>
          </w:tcPr>
          <w:p w14:paraId="5240DD4F">
            <w:pPr>
              <w:pStyle w:val="84"/>
              <w:spacing w:line="216" w:lineRule="auto"/>
            </w:pPr>
            <w:r>
              <w:t>≥</w:t>
            </w:r>
            <w:r>
              <w:rPr>
                <w:rFonts w:hint="eastAsia"/>
              </w:rPr>
              <w:t>5</w:t>
            </w:r>
          </w:p>
        </w:tc>
        <w:tc>
          <w:tcPr>
            <w:tcW w:w="795" w:type="dxa"/>
            <w:vAlign w:val="center"/>
          </w:tcPr>
          <w:p w14:paraId="321635D1">
            <w:pPr>
              <w:pStyle w:val="84"/>
              <w:spacing w:line="216" w:lineRule="auto"/>
            </w:pPr>
            <w:r>
              <w:t>达标</w:t>
            </w:r>
          </w:p>
        </w:tc>
      </w:tr>
      <w:tr w14:paraId="0FAF8B5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6" w:hRule="atLeast"/>
          <w:jc w:val="center"/>
        </w:trPr>
        <w:tc>
          <w:tcPr>
            <w:tcW w:w="1361" w:type="dxa"/>
            <w:vAlign w:val="center"/>
          </w:tcPr>
          <w:p w14:paraId="779032FD">
            <w:pPr>
              <w:pStyle w:val="84"/>
              <w:spacing w:line="216" w:lineRule="auto"/>
              <w:rPr>
                <w:kern w:val="0"/>
              </w:rPr>
            </w:pPr>
            <w:r>
              <w:rPr>
                <w:kern w:val="0"/>
              </w:rPr>
              <w:t xml:space="preserve">COD </w:t>
            </w:r>
          </w:p>
        </w:tc>
        <w:tc>
          <w:tcPr>
            <w:tcW w:w="992" w:type="dxa"/>
            <w:vAlign w:val="center"/>
          </w:tcPr>
          <w:p w14:paraId="69984F4A">
            <w:pPr>
              <w:pStyle w:val="84"/>
              <w:spacing w:line="216" w:lineRule="auto"/>
              <w:rPr>
                <w:kern w:val="0"/>
              </w:rPr>
            </w:pPr>
            <w:r>
              <w:rPr>
                <w:rFonts w:hint="eastAsia"/>
                <w:kern w:val="0"/>
              </w:rPr>
              <w:t>12</w:t>
            </w:r>
          </w:p>
        </w:tc>
        <w:tc>
          <w:tcPr>
            <w:tcW w:w="992" w:type="dxa"/>
            <w:vAlign w:val="center"/>
          </w:tcPr>
          <w:p w14:paraId="368F1E39">
            <w:pPr>
              <w:pStyle w:val="84"/>
              <w:spacing w:line="216" w:lineRule="auto"/>
              <w:rPr>
                <w:kern w:val="0"/>
              </w:rPr>
            </w:pPr>
            <w:r>
              <w:rPr>
                <w:rFonts w:hint="eastAsia"/>
                <w:kern w:val="0"/>
              </w:rPr>
              <w:t>15</w:t>
            </w:r>
          </w:p>
        </w:tc>
        <w:tc>
          <w:tcPr>
            <w:tcW w:w="992" w:type="dxa"/>
            <w:vAlign w:val="center"/>
          </w:tcPr>
          <w:p w14:paraId="22CF38DC">
            <w:pPr>
              <w:pStyle w:val="84"/>
              <w:spacing w:line="216" w:lineRule="auto"/>
              <w:rPr>
                <w:kern w:val="0"/>
              </w:rPr>
            </w:pPr>
            <w:r>
              <w:rPr>
                <w:rFonts w:hint="eastAsia"/>
                <w:kern w:val="0"/>
              </w:rPr>
              <w:t>17</w:t>
            </w:r>
          </w:p>
        </w:tc>
        <w:tc>
          <w:tcPr>
            <w:tcW w:w="993" w:type="dxa"/>
            <w:vAlign w:val="center"/>
          </w:tcPr>
          <w:p w14:paraId="0A1FB09C">
            <w:pPr>
              <w:pStyle w:val="84"/>
              <w:spacing w:line="216" w:lineRule="auto"/>
              <w:rPr>
                <w:kern w:val="0"/>
              </w:rPr>
            </w:pPr>
            <w:r>
              <w:rPr>
                <w:rFonts w:hint="eastAsia"/>
                <w:kern w:val="0"/>
              </w:rPr>
              <w:t>11</w:t>
            </w:r>
          </w:p>
        </w:tc>
        <w:tc>
          <w:tcPr>
            <w:tcW w:w="1022" w:type="dxa"/>
            <w:vAlign w:val="center"/>
          </w:tcPr>
          <w:p w14:paraId="483C2765">
            <w:pPr>
              <w:pStyle w:val="84"/>
              <w:spacing w:line="216" w:lineRule="auto"/>
              <w:rPr>
                <w:kern w:val="0"/>
              </w:rPr>
            </w:pPr>
            <w:r>
              <w:rPr>
                <w:rFonts w:hint="eastAsia"/>
                <w:kern w:val="0"/>
              </w:rPr>
              <w:t>14</w:t>
            </w:r>
          </w:p>
        </w:tc>
        <w:tc>
          <w:tcPr>
            <w:tcW w:w="992" w:type="dxa"/>
            <w:vAlign w:val="center"/>
          </w:tcPr>
          <w:p w14:paraId="6EC7DF2D">
            <w:pPr>
              <w:pStyle w:val="84"/>
              <w:spacing w:line="216" w:lineRule="auto"/>
              <w:rPr>
                <w:kern w:val="0"/>
              </w:rPr>
            </w:pPr>
            <w:r>
              <w:rPr>
                <w:rFonts w:hint="eastAsia"/>
                <w:kern w:val="0"/>
              </w:rPr>
              <w:t>15</w:t>
            </w:r>
          </w:p>
        </w:tc>
        <w:tc>
          <w:tcPr>
            <w:tcW w:w="1246" w:type="dxa"/>
            <w:vAlign w:val="center"/>
          </w:tcPr>
          <w:p w14:paraId="22A76250">
            <w:pPr>
              <w:pStyle w:val="84"/>
              <w:spacing w:line="216" w:lineRule="auto"/>
            </w:pPr>
            <w:r>
              <w:t>≤</w:t>
            </w:r>
            <w:r>
              <w:rPr>
                <w:rFonts w:hint="eastAsia"/>
              </w:rPr>
              <w:t>20</w:t>
            </w:r>
          </w:p>
        </w:tc>
        <w:tc>
          <w:tcPr>
            <w:tcW w:w="795" w:type="dxa"/>
            <w:vAlign w:val="center"/>
          </w:tcPr>
          <w:p w14:paraId="6F94BA61">
            <w:pPr>
              <w:pStyle w:val="84"/>
              <w:spacing w:line="216" w:lineRule="auto"/>
            </w:pPr>
            <w:r>
              <w:t>达标</w:t>
            </w:r>
          </w:p>
        </w:tc>
      </w:tr>
      <w:tr w14:paraId="7235CE4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1361" w:type="dxa"/>
            <w:vAlign w:val="center"/>
          </w:tcPr>
          <w:p w14:paraId="0237A9AC">
            <w:pPr>
              <w:pStyle w:val="84"/>
              <w:spacing w:line="216" w:lineRule="auto"/>
              <w:rPr>
                <w:kern w:val="0"/>
              </w:rPr>
            </w:pPr>
            <w:r>
              <w:rPr>
                <w:kern w:val="0"/>
              </w:rPr>
              <w:t>BOD</w:t>
            </w:r>
            <w:r>
              <w:rPr>
                <w:kern w:val="0"/>
                <w:vertAlign w:val="subscript"/>
              </w:rPr>
              <w:t>5</w:t>
            </w:r>
          </w:p>
        </w:tc>
        <w:tc>
          <w:tcPr>
            <w:tcW w:w="992" w:type="dxa"/>
            <w:vAlign w:val="center"/>
          </w:tcPr>
          <w:p w14:paraId="107ED262">
            <w:pPr>
              <w:pStyle w:val="84"/>
              <w:spacing w:line="216" w:lineRule="auto"/>
              <w:rPr>
                <w:kern w:val="0"/>
              </w:rPr>
            </w:pPr>
            <w:r>
              <w:rPr>
                <w:rFonts w:hint="eastAsia"/>
                <w:kern w:val="0"/>
              </w:rPr>
              <w:t>2.1</w:t>
            </w:r>
          </w:p>
        </w:tc>
        <w:tc>
          <w:tcPr>
            <w:tcW w:w="992" w:type="dxa"/>
            <w:vAlign w:val="center"/>
          </w:tcPr>
          <w:p w14:paraId="2733CBA9">
            <w:pPr>
              <w:pStyle w:val="84"/>
              <w:spacing w:line="216" w:lineRule="auto"/>
              <w:rPr>
                <w:kern w:val="0"/>
              </w:rPr>
            </w:pPr>
            <w:r>
              <w:rPr>
                <w:rFonts w:hint="eastAsia"/>
                <w:kern w:val="0"/>
              </w:rPr>
              <w:t>2.4</w:t>
            </w:r>
          </w:p>
        </w:tc>
        <w:tc>
          <w:tcPr>
            <w:tcW w:w="992" w:type="dxa"/>
            <w:vAlign w:val="center"/>
          </w:tcPr>
          <w:p w14:paraId="6BA6300A">
            <w:pPr>
              <w:pStyle w:val="84"/>
              <w:spacing w:line="216" w:lineRule="auto"/>
              <w:rPr>
                <w:kern w:val="0"/>
              </w:rPr>
            </w:pPr>
            <w:r>
              <w:rPr>
                <w:rFonts w:hint="eastAsia"/>
                <w:kern w:val="0"/>
              </w:rPr>
              <w:t>2.5</w:t>
            </w:r>
          </w:p>
        </w:tc>
        <w:tc>
          <w:tcPr>
            <w:tcW w:w="993" w:type="dxa"/>
            <w:vAlign w:val="center"/>
          </w:tcPr>
          <w:p w14:paraId="45A78EC2">
            <w:pPr>
              <w:pStyle w:val="84"/>
              <w:spacing w:line="216" w:lineRule="auto"/>
              <w:rPr>
                <w:kern w:val="0"/>
              </w:rPr>
            </w:pPr>
            <w:r>
              <w:rPr>
                <w:rFonts w:hint="eastAsia"/>
                <w:kern w:val="0"/>
              </w:rPr>
              <w:t>2.0</w:t>
            </w:r>
          </w:p>
        </w:tc>
        <w:tc>
          <w:tcPr>
            <w:tcW w:w="1022" w:type="dxa"/>
            <w:vAlign w:val="center"/>
          </w:tcPr>
          <w:p w14:paraId="582687A3">
            <w:pPr>
              <w:pStyle w:val="84"/>
              <w:spacing w:line="216" w:lineRule="auto"/>
              <w:rPr>
                <w:kern w:val="0"/>
              </w:rPr>
            </w:pPr>
            <w:r>
              <w:rPr>
                <w:rFonts w:hint="eastAsia"/>
                <w:kern w:val="0"/>
              </w:rPr>
              <w:t>2.2</w:t>
            </w:r>
          </w:p>
        </w:tc>
        <w:tc>
          <w:tcPr>
            <w:tcW w:w="992" w:type="dxa"/>
            <w:vAlign w:val="center"/>
          </w:tcPr>
          <w:p w14:paraId="4D2B330B">
            <w:pPr>
              <w:pStyle w:val="84"/>
              <w:spacing w:line="216" w:lineRule="auto"/>
              <w:rPr>
                <w:kern w:val="0"/>
              </w:rPr>
            </w:pPr>
            <w:r>
              <w:rPr>
                <w:rFonts w:hint="eastAsia"/>
                <w:kern w:val="0"/>
              </w:rPr>
              <w:t>2.3</w:t>
            </w:r>
          </w:p>
        </w:tc>
        <w:tc>
          <w:tcPr>
            <w:tcW w:w="1246" w:type="dxa"/>
            <w:vAlign w:val="center"/>
          </w:tcPr>
          <w:p w14:paraId="47973A8C">
            <w:pPr>
              <w:pStyle w:val="84"/>
              <w:spacing w:line="216" w:lineRule="auto"/>
            </w:pPr>
            <w:r>
              <w:t>≤</w:t>
            </w:r>
            <w:r>
              <w:rPr>
                <w:rFonts w:hint="eastAsia"/>
              </w:rPr>
              <w:t>4</w:t>
            </w:r>
          </w:p>
        </w:tc>
        <w:tc>
          <w:tcPr>
            <w:tcW w:w="795" w:type="dxa"/>
            <w:vAlign w:val="center"/>
          </w:tcPr>
          <w:p w14:paraId="3056162E">
            <w:pPr>
              <w:pStyle w:val="84"/>
              <w:spacing w:line="216" w:lineRule="auto"/>
            </w:pPr>
            <w:r>
              <w:t>达标</w:t>
            </w:r>
          </w:p>
        </w:tc>
      </w:tr>
      <w:tr w14:paraId="305B4C9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361" w:type="dxa"/>
            <w:vAlign w:val="center"/>
          </w:tcPr>
          <w:p w14:paraId="2316BFB3">
            <w:pPr>
              <w:pStyle w:val="84"/>
              <w:spacing w:line="216" w:lineRule="auto"/>
              <w:rPr>
                <w:kern w:val="0"/>
              </w:rPr>
            </w:pPr>
            <w:r>
              <w:rPr>
                <w:kern w:val="0"/>
              </w:rPr>
              <w:t>NH</w:t>
            </w:r>
            <w:r>
              <w:rPr>
                <w:kern w:val="0"/>
                <w:vertAlign w:val="subscript"/>
              </w:rPr>
              <w:t>3</w:t>
            </w:r>
            <w:r>
              <w:rPr>
                <w:kern w:val="0"/>
              </w:rPr>
              <w:t>-N</w:t>
            </w:r>
          </w:p>
        </w:tc>
        <w:tc>
          <w:tcPr>
            <w:tcW w:w="992" w:type="dxa"/>
            <w:vAlign w:val="center"/>
          </w:tcPr>
          <w:p w14:paraId="421AAAD5">
            <w:pPr>
              <w:pStyle w:val="84"/>
              <w:spacing w:line="216" w:lineRule="auto"/>
              <w:rPr>
                <w:kern w:val="0"/>
              </w:rPr>
            </w:pPr>
            <w:r>
              <w:rPr>
                <w:rFonts w:hint="eastAsia"/>
                <w:kern w:val="0"/>
              </w:rPr>
              <w:t>0.19</w:t>
            </w:r>
          </w:p>
        </w:tc>
        <w:tc>
          <w:tcPr>
            <w:tcW w:w="992" w:type="dxa"/>
            <w:vAlign w:val="center"/>
          </w:tcPr>
          <w:p w14:paraId="7DE91E1F">
            <w:pPr>
              <w:pStyle w:val="84"/>
              <w:spacing w:line="216" w:lineRule="auto"/>
              <w:rPr>
                <w:kern w:val="0"/>
              </w:rPr>
            </w:pPr>
            <w:r>
              <w:rPr>
                <w:rFonts w:hint="eastAsia"/>
                <w:kern w:val="0"/>
              </w:rPr>
              <w:t>0.16</w:t>
            </w:r>
          </w:p>
        </w:tc>
        <w:tc>
          <w:tcPr>
            <w:tcW w:w="992" w:type="dxa"/>
            <w:vAlign w:val="center"/>
          </w:tcPr>
          <w:p w14:paraId="3BF23D13">
            <w:pPr>
              <w:pStyle w:val="84"/>
              <w:spacing w:line="216" w:lineRule="auto"/>
              <w:rPr>
                <w:kern w:val="0"/>
              </w:rPr>
            </w:pPr>
            <w:r>
              <w:rPr>
                <w:rFonts w:hint="eastAsia"/>
                <w:kern w:val="0"/>
              </w:rPr>
              <w:t>0.21</w:t>
            </w:r>
          </w:p>
        </w:tc>
        <w:tc>
          <w:tcPr>
            <w:tcW w:w="993" w:type="dxa"/>
            <w:vAlign w:val="center"/>
          </w:tcPr>
          <w:p w14:paraId="6C4B739F">
            <w:pPr>
              <w:pStyle w:val="84"/>
              <w:spacing w:line="216" w:lineRule="auto"/>
              <w:rPr>
                <w:kern w:val="0"/>
              </w:rPr>
            </w:pPr>
            <w:r>
              <w:rPr>
                <w:rFonts w:hint="eastAsia"/>
                <w:kern w:val="0"/>
              </w:rPr>
              <w:t>0.14</w:t>
            </w:r>
          </w:p>
        </w:tc>
        <w:tc>
          <w:tcPr>
            <w:tcW w:w="1022" w:type="dxa"/>
            <w:vAlign w:val="center"/>
          </w:tcPr>
          <w:p w14:paraId="391BEC1E">
            <w:pPr>
              <w:pStyle w:val="84"/>
              <w:spacing w:line="216" w:lineRule="auto"/>
              <w:rPr>
                <w:kern w:val="0"/>
              </w:rPr>
            </w:pPr>
            <w:r>
              <w:rPr>
                <w:rFonts w:hint="eastAsia"/>
                <w:kern w:val="0"/>
              </w:rPr>
              <w:t>0.16</w:t>
            </w:r>
          </w:p>
        </w:tc>
        <w:tc>
          <w:tcPr>
            <w:tcW w:w="992" w:type="dxa"/>
            <w:vAlign w:val="center"/>
          </w:tcPr>
          <w:p w14:paraId="284DAF40">
            <w:pPr>
              <w:pStyle w:val="84"/>
              <w:spacing w:line="216" w:lineRule="auto"/>
              <w:rPr>
                <w:kern w:val="0"/>
              </w:rPr>
            </w:pPr>
            <w:r>
              <w:rPr>
                <w:rFonts w:hint="eastAsia"/>
                <w:kern w:val="0"/>
              </w:rPr>
              <w:t>0.12</w:t>
            </w:r>
          </w:p>
        </w:tc>
        <w:tc>
          <w:tcPr>
            <w:tcW w:w="1246" w:type="dxa"/>
            <w:vAlign w:val="center"/>
          </w:tcPr>
          <w:p w14:paraId="372A4EEE">
            <w:pPr>
              <w:pStyle w:val="84"/>
              <w:spacing w:line="216" w:lineRule="auto"/>
            </w:pPr>
            <w:r>
              <w:t>≤</w:t>
            </w:r>
            <w:r>
              <w:rPr>
                <w:rFonts w:hint="eastAsia"/>
              </w:rPr>
              <w:t>1.0</w:t>
            </w:r>
          </w:p>
        </w:tc>
        <w:tc>
          <w:tcPr>
            <w:tcW w:w="795" w:type="dxa"/>
            <w:vAlign w:val="center"/>
          </w:tcPr>
          <w:p w14:paraId="5FC5D0B7">
            <w:pPr>
              <w:pStyle w:val="84"/>
              <w:spacing w:line="216" w:lineRule="auto"/>
            </w:pPr>
            <w:r>
              <w:t>达标</w:t>
            </w:r>
          </w:p>
        </w:tc>
      </w:tr>
      <w:tr w14:paraId="703E3C0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1361" w:type="dxa"/>
            <w:vAlign w:val="center"/>
          </w:tcPr>
          <w:p w14:paraId="291DCD06">
            <w:pPr>
              <w:pStyle w:val="84"/>
              <w:spacing w:line="216" w:lineRule="auto"/>
              <w:rPr>
                <w:kern w:val="0"/>
              </w:rPr>
            </w:pPr>
            <w:r>
              <w:rPr>
                <w:kern w:val="0"/>
              </w:rPr>
              <w:t>SS</w:t>
            </w:r>
          </w:p>
        </w:tc>
        <w:tc>
          <w:tcPr>
            <w:tcW w:w="992" w:type="dxa"/>
            <w:vAlign w:val="center"/>
          </w:tcPr>
          <w:p w14:paraId="4B1B30D5">
            <w:pPr>
              <w:pStyle w:val="84"/>
              <w:spacing w:line="216" w:lineRule="auto"/>
              <w:rPr>
                <w:kern w:val="0"/>
              </w:rPr>
            </w:pPr>
            <w:r>
              <w:rPr>
                <w:rFonts w:hint="eastAsia"/>
                <w:kern w:val="0"/>
              </w:rPr>
              <w:t>5</w:t>
            </w:r>
          </w:p>
        </w:tc>
        <w:tc>
          <w:tcPr>
            <w:tcW w:w="992" w:type="dxa"/>
            <w:vAlign w:val="center"/>
          </w:tcPr>
          <w:p w14:paraId="09B6951E">
            <w:pPr>
              <w:pStyle w:val="84"/>
              <w:spacing w:line="216" w:lineRule="auto"/>
              <w:rPr>
                <w:kern w:val="0"/>
              </w:rPr>
            </w:pPr>
            <w:r>
              <w:rPr>
                <w:rFonts w:hint="eastAsia"/>
                <w:kern w:val="0"/>
              </w:rPr>
              <w:t>7</w:t>
            </w:r>
          </w:p>
        </w:tc>
        <w:tc>
          <w:tcPr>
            <w:tcW w:w="992" w:type="dxa"/>
            <w:vAlign w:val="center"/>
          </w:tcPr>
          <w:p w14:paraId="278BAEFE">
            <w:pPr>
              <w:pStyle w:val="84"/>
              <w:spacing w:line="216" w:lineRule="auto"/>
              <w:rPr>
                <w:kern w:val="0"/>
              </w:rPr>
            </w:pPr>
            <w:r>
              <w:rPr>
                <w:rFonts w:hint="eastAsia"/>
                <w:kern w:val="0"/>
              </w:rPr>
              <w:t>6</w:t>
            </w:r>
          </w:p>
        </w:tc>
        <w:tc>
          <w:tcPr>
            <w:tcW w:w="993" w:type="dxa"/>
            <w:vAlign w:val="center"/>
          </w:tcPr>
          <w:p w14:paraId="46E05E28">
            <w:pPr>
              <w:pStyle w:val="84"/>
              <w:spacing w:line="216" w:lineRule="auto"/>
              <w:rPr>
                <w:kern w:val="0"/>
              </w:rPr>
            </w:pPr>
            <w:r>
              <w:rPr>
                <w:rFonts w:hint="eastAsia"/>
                <w:kern w:val="0"/>
              </w:rPr>
              <w:t>14</w:t>
            </w:r>
          </w:p>
        </w:tc>
        <w:tc>
          <w:tcPr>
            <w:tcW w:w="1022" w:type="dxa"/>
            <w:vAlign w:val="center"/>
          </w:tcPr>
          <w:p w14:paraId="6B96AC55">
            <w:pPr>
              <w:pStyle w:val="84"/>
              <w:spacing w:line="216" w:lineRule="auto"/>
              <w:rPr>
                <w:kern w:val="0"/>
              </w:rPr>
            </w:pPr>
            <w:r>
              <w:rPr>
                <w:rFonts w:hint="eastAsia"/>
                <w:kern w:val="0"/>
              </w:rPr>
              <w:t>20</w:t>
            </w:r>
          </w:p>
        </w:tc>
        <w:tc>
          <w:tcPr>
            <w:tcW w:w="992" w:type="dxa"/>
            <w:vAlign w:val="center"/>
          </w:tcPr>
          <w:p w14:paraId="6904ADF6">
            <w:pPr>
              <w:pStyle w:val="84"/>
              <w:spacing w:line="216" w:lineRule="auto"/>
              <w:rPr>
                <w:kern w:val="0"/>
              </w:rPr>
            </w:pPr>
            <w:r>
              <w:rPr>
                <w:rFonts w:hint="eastAsia"/>
                <w:kern w:val="0"/>
              </w:rPr>
              <w:t>17</w:t>
            </w:r>
          </w:p>
        </w:tc>
        <w:tc>
          <w:tcPr>
            <w:tcW w:w="1246" w:type="dxa"/>
            <w:vAlign w:val="center"/>
          </w:tcPr>
          <w:p w14:paraId="7D90C97A">
            <w:pPr>
              <w:pStyle w:val="84"/>
              <w:spacing w:line="216" w:lineRule="auto"/>
            </w:pPr>
            <w:r>
              <w:t>≤</w:t>
            </w:r>
            <w:r>
              <w:rPr>
                <w:rFonts w:hint="eastAsia"/>
              </w:rPr>
              <w:t>30</w:t>
            </w:r>
          </w:p>
        </w:tc>
        <w:tc>
          <w:tcPr>
            <w:tcW w:w="795" w:type="dxa"/>
            <w:vAlign w:val="center"/>
          </w:tcPr>
          <w:p w14:paraId="19967968">
            <w:pPr>
              <w:pStyle w:val="84"/>
              <w:spacing w:line="216" w:lineRule="auto"/>
            </w:pPr>
            <w:r>
              <w:t>达标</w:t>
            </w:r>
          </w:p>
        </w:tc>
      </w:tr>
      <w:tr w14:paraId="05A75F6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8" w:hRule="atLeast"/>
          <w:jc w:val="center"/>
        </w:trPr>
        <w:tc>
          <w:tcPr>
            <w:tcW w:w="1361" w:type="dxa"/>
            <w:vAlign w:val="center"/>
          </w:tcPr>
          <w:p w14:paraId="63B275F1">
            <w:pPr>
              <w:pStyle w:val="84"/>
              <w:spacing w:line="216" w:lineRule="auto"/>
              <w:rPr>
                <w:kern w:val="0"/>
              </w:rPr>
            </w:pPr>
            <w:r>
              <w:rPr>
                <w:kern w:val="0"/>
              </w:rPr>
              <w:t>石油类</w:t>
            </w:r>
          </w:p>
        </w:tc>
        <w:tc>
          <w:tcPr>
            <w:tcW w:w="992" w:type="dxa"/>
            <w:vAlign w:val="center"/>
          </w:tcPr>
          <w:p w14:paraId="2CC12F8C">
            <w:pPr>
              <w:pStyle w:val="84"/>
              <w:spacing w:line="216" w:lineRule="auto"/>
              <w:rPr>
                <w:kern w:val="0"/>
              </w:rPr>
            </w:pPr>
            <w:r>
              <w:rPr>
                <w:rFonts w:hint="eastAsia"/>
                <w:kern w:val="0"/>
              </w:rPr>
              <w:t>0.01L</w:t>
            </w:r>
          </w:p>
        </w:tc>
        <w:tc>
          <w:tcPr>
            <w:tcW w:w="992" w:type="dxa"/>
            <w:vAlign w:val="center"/>
          </w:tcPr>
          <w:p w14:paraId="2566E5AB">
            <w:pPr>
              <w:pStyle w:val="84"/>
              <w:spacing w:line="216" w:lineRule="auto"/>
              <w:rPr>
                <w:kern w:val="0"/>
              </w:rPr>
            </w:pPr>
            <w:r>
              <w:rPr>
                <w:rFonts w:hint="eastAsia"/>
                <w:kern w:val="0"/>
              </w:rPr>
              <w:t>0.01L</w:t>
            </w:r>
          </w:p>
        </w:tc>
        <w:tc>
          <w:tcPr>
            <w:tcW w:w="992" w:type="dxa"/>
            <w:vAlign w:val="center"/>
          </w:tcPr>
          <w:p w14:paraId="3DDAF160">
            <w:pPr>
              <w:pStyle w:val="84"/>
              <w:spacing w:line="216" w:lineRule="auto"/>
              <w:rPr>
                <w:kern w:val="0"/>
              </w:rPr>
            </w:pPr>
            <w:r>
              <w:rPr>
                <w:rFonts w:hint="eastAsia"/>
                <w:kern w:val="0"/>
              </w:rPr>
              <w:t>0.01</w:t>
            </w:r>
          </w:p>
        </w:tc>
        <w:tc>
          <w:tcPr>
            <w:tcW w:w="993" w:type="dxa"/>
            <w:vAlign w:val="center"/>
          </w:tcPr>
          <w:p w14:paraId="30ACF8C9">
            <w:pPr>
              <w:pStyle w:val="84"/>
              <w:spacing w:line="216" w:lineRule="auto"/>
              <w:rPr>
                <w:kern w:val="0"/>
              </w:rPr>
            </w:pPr>
            <w:r>
              <w:rPr>
                <w:rFonts w:hint="eastAsia"/>
                <w:kern w:val="0"/>
              </w:rPr>
              <w:t>0.01L</w:t>
            </w:r>
          </w:p>
        </w:tc>
        <w:tc>
          <w:tcPr>
            <w:tcW w:w="1022" w:type="dxa"/>
            <w:vAlign w:val="center"/>
          </w:tcPr>
          <w:p w14:paraId="5D47DB00">
            <w:pPr>
              <w:pStyle w:val="84"/>
              <w:spacing w:line="216" w:lineRule="auto"/>
              <w:rPr>
                <w:kern w:val="0"/>
              </w:rPr>
            </w:pPr>
            <w:r>
              <w:rPr>
                <w:rFonts w:hint="eastAsia"/>
                <w:kern w:val="0"/>
              </w:rPr>
              <w:t>0.01L</w:t>
            </w:r>
          </w:p>
        </w:tc>
        <w:tc>
          <w:tcPr>
            <w:tcW w:w="992" w:type="dxa"/>
            <w:vAlign w:val="center"/>
          </w:tcPr>
          <w:p w14:paraId="3024D2F3">
            <w:pPr>
              <w:pStyle w:val="84"/>
              <w:spacing w:line="216" w:lineRule="auto"/>
              <w:rPr>
                <w:kern w:val="0"/>
              </w:rPr>
            </w:pPr>
            <w:r>
              <w:rPr>
                <w:rFonts w:hint="eastAsia"/>
                <w:kern w:val="0"/>
              </w:rPr>
              <w:t>0.01</w:t>
            </w:r>
          </w:p>
        </w:tc>
        <w:tc>
          <w:tcPr>
            <w:tcW w:w="1246" w:type="dxa"/>
            <w:vAlign w:val="center"/>
          </w:tcPr>
          <w:p w14:paraId="2F8B9844">
            <w:pPr>
              <w:pStyle w:val="84"/>
              <w:spacing w:line="216" w:lineRule="auto"/>
            </w:pPr>
            <w:r>
              <w:t>≤0.</w:t>
            </w:r>
            <w:r>
              <w:rPr>
                <w:rFonts w:hint="eastAsia"/>
              </w:rPr>
              <w:t>05</w:t>
            </w:r>
          </w:p>
        </w:tc>
        <w:tc>
          <w:tcPr>
            <w:tcW w:w="795" w:type="dxa"/>
            <w:vAlign w:val="center"/>
          </w:tcPr>
          <w:p w14:paraId="4270A93F">
            <w:pPr>
              <w:pStyle w:val="84"/>
              <w:spacing w:line="216" w:lineRule="auto"/>
            </w:pPr>
            <w:r>
              <w:t>达标</w:t>
            </w:r>
          </w:p>
        </w:tc>
      </w:tr>
      <w:tr w14:paraId="5692B3D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6" w:hRule="atLeast"/>
          <w:jc w:val="center"/>
        </w:trPr>
        <w:tc>
          <w:tcPr>
            <w:tcW w:w="1361" w:type="dxa"/>
            <w:vAlign w:val="center"/>
          </w:tcPr>
          <w:p w14:paraId="03310958">
            <w:pPr>
              <w:pStyle w:val="84"/>
              <w:spacing w:line="216" w:lineRule="auto"/>
              <w:rPr>
                <w:kern w:val="0"/>
              </w:rPr>
            </w:pPr>
            <w:r>
              <w:rPr>
                <w:kern w:val="0"/>
              </w:rPr>
              <w:t>TP</w:t>
            </w:r>
          </w:p>
        </w:tc>
        <w:tc>
          <w:tcPr>
            <w:tcW w:w="992" w:type="dxa"/>
            <w:vAlign w:val="center"/>
          </w:tcPr>
          <w:p w14:paraId="677AD9AA">
            <w:pPr>
              <w:pStyle w:val="84"/>
              <w:spacing w:line="216" w:lineRule="auto"/>
              <w:rPr>
                <w:kern w:val="0"/>
              </w:rPr>
            </w:pPr>
            <w:r>
              <w:rPr>
                <w:rFonts w:hint="eastAsia"/>
                <w:kern w:val="0"/>
              </w:rPr>
              <w:t>0.07</w:t>
            </w:r>
          </w:p>
        </w:tc>
        <w:tc>
          <w:tcPr>
            <w:tcW w:w="992" w:type="dxa"/>
            <w:vAlign w:val="center"/>
          </w:tcPr>
          <w:p w14:paraId="6B566604">
            <w:pPr>
              <w:pStyle w:val="84"/>
              <w:spacing w:line="216" w:lineRule="auto"/>
              <w:rPr>
                <w:kern w:val="0"/>
              </w:rPr>
            </w:pPr>
            <w:r>
              <w:rPr>
                <w:rFonts w:hint="eastAsia"/>
                <w:kern w:val="0"/>
              </w:rPr>
              <w:t>0.06</w:t>
            </w:r>
          </w:p>
        </w:tc>
        <w:tc>
          <w:tcPr>
            <w:tcW w:w="992" w:type="dxa"/>
            <w:vAlign w:val="center"/>
          </w:tcPr>
          <w:p w14:paraId="44FF16C9">
            <w:pPr>
              <w:pStyle w:val="84"/>
              <w:spacing w:line="216" w:lineRule="auto"/>
              <w:rPr>
                <w:kern w:val="0"/>
              </w:rPr>
            </w:pPr>
            <w:r>
              <w:rPr>
                <w:rFonts w:hint="eastAsia"/>
                <w:kern w:val="0"/>
              </w:rPr>
              <w:t>0.06</w:t>
            </w:r>
          </w:p>
        </w:tc>
        <w:tc>
          <w:tcPr>
            <w:tcW w:w="993" w:type="dxa"/>
            <w:vAlign w:val="center"/>
          </w:tcPr>
          <w:p w14:paraId="517786A6">
            <w:pPr>
              <w:pStyle w:val="84"/>
              <w:spacing w:line="216" w:lineRule="auto"/>
              <w:rPr>
                <w:kern w:val="0"/>
              </w:rPr>
            </w:pPr>
            <w:r>
              <w:rPr>
                <w:rFonts w:hint="eastAsia"/>
                <w:kern w:val="0"/>
              </w:rPr>
              <w:t>0.05</w:t>
            </w:r>
          </w:p>
        </w:tc>
        <w:tc>
          <w:tcPr>
            <w:tcW w:w="1022" w:type="dxa"/>
            <w:vAlign w:val="center"/>
          </w:tcPr>
          <w:p w14:paraId="415CCF79">
            <w:pPr>
              <w:pStyle w:val="84"/>
              <w:spacing w:line="216" w:lineRule="auto"/>
              <w:rPr>
                <w:kern w:val="0"/>
              </w:rPr>
            </w:pPr>
            <w:r>
              <w:rPr>
                <w:rFonts w:hint="eastAsia"/>
                <w:kern w:val="0"/>
              </w:rPr>
              <w:t>0.05</w:t>
            </w:r>
          </w:p>
        </w:tc>
        <w:tc>
          <w:tcPr>
            <w:tcW w:w="992" w:type="dxa"/>
            <w:vAlign w:val="center"/>
          </w:tcPr>
          <w:p w14:paraId="07852309">
            <w:pPr>
              <w:pStyle w:val="84"/>
              <w:spacing w:line="216" w:lineRule="auto"/>
              <w:rPr>
                <w:kern w:val="0"/>
              </w:rPr>
            </w:pPr>
            <w:r>
              <w:rPr>
                <w:rFonts w:hint="eastAsia"/>
                <w:kern w:val="0"/>
              </w:rPr>
              <w:t>0.04</w:t>
            </w:r>
          </w:p>
        </w:tc>
        <w:tc>
          <w:tcPr>
            <w:tcW w:w="1246" w:type="dxa"/>
            <w:vAlign w:val="center"/>
          </w:tcPr>
          <w:p w14:paraId="63531077">
            <w:pPr>
              <w:pStyle w:val="84"/>
              <w:spacing w:line="216" w:lineRule="auto"/>
            </w:pPr>
            <w:r>
              <w:t>≤</w:t>
            </w:r>
            <w:r>
              <w:rPr>
                <w:rFonts w:hint="eastAsia"/>
              </w:rPr>
              <w:t>0.2</w:t>
            </w:r>
          </w:p>
        </w:tc>
        <w:tc>
          <w:tcPr>
            <w:tcW w:w="795" w:type="dxa"/>
            <w:vAlign w:val="center"/>
          </w:tcPr>
          <w:p w14:paraId="5B4AE6F8">
            <w:pPr>
              <w:pStyle w:val="84"/>
              <w:spacing w:line="216" w:lineRule="auto"/>
            </w:pPr>
            <w:r>
              <w:t>达标</w:t>
            </w:r>
          </w:p>
        </w:tc>
      </w:tr>
      <w:tr w14:paraId="5801631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1361" w:type="dxa"/>
            <w:vAlign w:val="center"/>
          </w:tcPr>
          <w:p w14:paraId="43761D35">
            <w:pPr>
              <w:pStyle w:val="84"/>
              <w:spacing w:line="216" w:lineRule="auto"/>
              <w:rPr>
                <w:kern w:val="0"/>
              </w:rPr>
            </w:pPr>
            <w:r>
              <w:rPr>
                <w:rFonts w:hint="eastAsia"/>
                <w:kern w:val="0"/>
              </w:rPr>
              <w:t>TN</w:t>
            </w:r>
          </w:p>
        </w:tc>
        <w:tc>
          <w:tcPr>
            <w:tcW w:w="992" w:type="dxa"/>
            <w:vAlign w:val="center"/>
          </w:tcPr>
          <w:p w14:paraId="56C59560">
            <w:pPr>
              <w:pStyle w:val="84"/>
              <w:spacing w:line="216" w:lineRule="auto"/>
              <w:rPr>
                <w:kern w:val="0"/>
              </w:rPr>
            </w:pPr>
            <w:r>
              <w:rPr>
                <w:rFonts w:hint="eastAsia"/>
                <w:kern w:val="0"/>
              </w:rPr>
              <w:t>0.66</w:t>
            </w:r>
          </w:p>
        </w:tc>
        <w:tc>
          <w:tcPr>
            <w:tcW w:w="992" w:type="dxa"/>
            <w:vAlign w:val="center"/>
          </w:tcPr>
          <w:p w14:paraId="08758187">
            <w:pPr>
              <w:pStyle w:val="84"/>
              <w:spacing w:line="216" w:lineRule="auto"/>
              <w:rPr>
                <w:kern w:val="0"/>
              </w:rPr>
            </w:pPr>
            <w:r>
              <w:rPr>
                <w:rFonts w:hint="eastAsia"/>
                <w:kern w:val="0"/>
              </w:rPr>
              <w:t>0.73</w:t>
            </w:r>
          </w:p>
        </w:tc>
        <w:tc>
          <w:tcPr>
            <w:tcW w:w="992" w:type="dxa"/>
            <w:vAlign w:val="center"/>
          </w:tcPr>
          <w:p w14:paraId="7C7B818C">
            <w:pPr>
              <w:pStyle w:val="84"/>
              <w:spacing w:line="216" w:lineRule="auto"/>
              <w:rPr>
                <w:kern w:val="0"/>
              </w:rPr>
            </w:pPr>
            <w:r>
              <w:rPr>
                <w:rFonts w:hint="eastAsia"/>
                <w:kern w:val="0"/>
              </w:rPr>
              <w:t>0.69</w:t>
            </w:r>
          </w:p>
        </w:tc>
        <w:tc>
          <w:tcPr>
            <w:tcW w:w="993" w:type="dxa"/>
            <w:vAlign w:val="center"/>
          </w:tcPr>
          <w:p w14:paraId="5C294332">
            <w:pPr>
              <w:pStyle w:val="84"/>
              <w:spacing w:line="216" w:lineRule="auto"/>
              <w:rPr>
                <w:kern w:val="0"/>
              </w:rPr>
            </w:pPr>
            <w:r>
              <w:rPr>
                <w:rFonts w:hint="eastAsia"/>
                <w:kern w:val="0"/>
              </w:rPr>
              <w:t>0.81</w:t>
            </w:r>
          </w:p>
        </w:tc>
        <w:tc>
          <w:tcPr>
            <w:tcW w:w="1022" w:type="dxa"/>
            <w:vAlign w:val="center"/>
          </w:tcPr>
          <w:p w14:paraId="38ECF13B">
            <w:pPr>
              <w:pStyle w:val="84"/>
              <w:spacing w:line="216" w:lineRule="auto"/>
              <w:rPr>
                <w:kern w:val="0"/>
              </w:rPr>
            </w:pPr>
            <w:r>
              <w:rPr>
                <w:rFonts w:hint="eastAsia"/>
                <w:kern w:val="0"/>
              </w:rPr>
              <w:t>0.85</w:t>
            </w:r>
          </w:p>
        </w:tc>
        <w:tc>
          <w:tcPr>
            <w:tcW w:w="992" w:type="dxa"/>
            <w:vAlign w:val="center"/>
          </w:tcPr>
          <w:p w14:paraId="6D5288F0">
            <w:pPr>
              <w:pStyle w:val="84"/>
              <w:spacing w:line="216" w:lineRule="auto"/>
              <w:rPr>
                <w:kern w:val="0"/>
              </w:rPr>
            </w:pPr>
            <w:r>
              <w:rPr>
                <w:rFonts w:hint="eastAsia"/>
                <w:kern w:val="0"/>
              </w:rPr>
              <w:t>0.79</w:t>
            </w:r>
          </w:p>
        </w:tc>
        <w:tc>
          <w:tcPr>
            <w:tcW w:w="1246" w:type="dxa"/>
            <w:vAlign w:val="center"/>
          </w:tcPr>
          <w:p w14:paraId="21F9C638">
            <w:pPr>
              <w:pStyle w:val="84"/>
              <w:spacing w:line="216" w:lineRule="auto"/>
            </w:pPr>
            <w:r>
              <w:t>≤</w:t>
            </w:r>
            <w:r>
              <w:rPr>
                <w:rFonts w:hint="eastAsia"/>
              </w:rPr>
              <w:t>1.0</w:t>
            </w:r>
          </w:p>
        </w:tc>
        <w:tc>
          <w:tcPr>
            <w:tcW w:w="795" w:type="dxa"/>
            <w:vAlign w:val="center"/>
          </w:tcPr>
          <w:p w14:paraId="1B487180">
            <w:pPr>
              <w:pStyle w:val="84"/>
              <w:spacing w:line="216" w:lineRule="auto"/>
            </w:pPr>
            <w:r>
              <w:rPr>
                <w:rFonts w:hint="eastAsia"/>
              </w:rPr>
              <w:t>达</w:t>
            </w:r>
            <w:r>
              <w:t>标</w:t>
            </w:r>
          </w:p>
        </w:tc>
      </w:tr>
      <w:tr w14:paraId="3B2F258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4" w:hRule="atLeast"/>
          <w:jc w:val="center"/>
        </w:trPr>
        <w:tc>
          <w:tcPr>
            <w:tcW w:w="1361" w:type="dxa"/>
            <w:vAlign w:val="center"/>
          </w:tcPr>
          <w:p w14:paraId="5C5227FC">
            <w:pPr>
              <w:pStyle w:val="84"/>
              <w:spacing w:line="216" w:lineRule="auto"/>
            </w:pPr>
            <w:r>
              <w:t>粪大肠杆菌</w:t>
            </w:r>
          </w:p>
          <w:p w14:paraId="73E998B8">
            <w:pPr>
              <w:pStyle w:val="84"/>
              <w:spacing w:line="216" w:lineRule="auto"/>
              <w:rPr>
                <w:kern w:val="0"/>
              </w:rPr>
            </w:pPr>
            <w:r>
              <w:rPr>
                <w:kern w:val="0"/>
              </w:rPr>
              <w:t>（</w:t>
            </w:r>
            <w:r>
              <w:t>个/L）</w:t>
            </w:r>
          </w:p>
        </w:tc>
        <w:tc>
          <w:tcPr>
            <w:tcW w:w="992" w:type="dxa"/>
            <w:vAlign w:val="center"/>
          </w:tcPr>
          <w:p w14:paraId="0A4BFEE0">
            <w:pPr>
              <w:pStyle w:val="84"/>
              <w:spacing w:line="216" w:lineRule="auto"/>
              <w:rPr>
                <w:kern w:val="0"/>
              </w:rPr>
            </w:pPr>
            <w:r>
              <w:rPr>
                <w:rFonts w:hint="eastAsia"/>
                <w:kern w:val="0"/>
              </w:rPr>
              <w:t>2200</w:t>
            </w:r>
          </w:p>
        </w:tc>
        <w:tc>
          <w:tcPr>
            <w:tcW w:w="992" w:type="dxa"/>
            <w:vAlign w:val="center"/>
          </w:tcPr>
          <w:p w14:paraId="0856C1DB">
            <w:pPr>
              <w:pStyle w:val="84"/>
              <w:spacing w:line="216" w:lineRule="auto"/>
              <w:rPr>
                <w:kern w:val="0"/>
              </w:rPr>
            </w:pPr>
            <w:r>
              <w:rPr>
                <w:rFonts w:hint="eastAsia"/>
                <w:kern w:val="0"/>
              </w:rPr>
              <w:t>2100</w:t>
            </w:r>
          </w:p>
        </w:tc>
        <w:tc>
          <w:tcPr>
            <w:tcW w:w="992" w:type="dxa"/>
            <w:vAlign w:val="center"/>
          </w:tcPr>
          <w:p w14:paraId="40DC899B">
            <w:pPr>
              <w:pStyle w:val="84"/>
              <w:spacing w:line="216" w:lineRule="auto"/>
              <w:rPr>
                <w:kern w:val="0"/>
              </w:rPr>
            </w:pPr>
            <w:r>
              <w:rPr>
                <w:rFonts w:hint="eastAsia"/>
                <w:kern w:val="0"/>
              </w:rPr>
              <w:t>2300</w:t>
            </w:r>
          </w:p>
        </w:tc>
        <w:tc>
          <w:tcPr>
            <w:tcW w:w="993" w:type="dxa"/>
            <w:vAlign w:val="center"/>
          </w:tcPr>
          <w:p w14:paraId="24E1BA59">
            <w:pPr>
              <w:pStyle w:val="84"/>
              <w:spacing w:line="216" w:lineRule="auto"/>
              <w:rPr>
                <w:kern w:val="0"/>
              </w:rPr>
            </w:pPr>
            <w:r>
              <w:rPr>
                <w:rFonts w:hint="eastAsia"/>
                <w:kern w:val="0"/>
              </w:rPr>
              <w:t>1800</w:t>
            </w:r>
          </w:p>
        </w:tc>
        <w:tc>
          <w:tcPr>
            <w:tcW w:w="1022" w:type="dxa"/>
            <w:vAlign w:val="center"/>
          </w:tcPr>
          <w:p w14:paraId="2DBFD1D5">
            <w:pPr>
              <w:pStyle w:val="84"/>
              <w:spacing w:line="216" w:lineRule="auto"/>
              <w:rPr>
                <w:kern w:val="0"/>
              </w:rPr>
            </w:pPr>
            <w:r>
              <w:rPr>
                <w:rFonts w:hint="eastAsia"/>
                <w:kern w:val="0"/>
              </w:rPr>
              <w:t>1700</w:t>
            </w:r>
          </w:p>
        </w:tc>
        <w:tc>
          <w:tcPr>
            <w:tcW w:w="992" w:type="dxa"/>
            <w:vAlign w:val="center"/>
          </w:tcPr>
          <w:p w14:paraId="3F3019BB">
            <w:pPr>
              <w:pStyle w:val="84"/>
              <w:spacing w:line="216" w:lineRule="auto"/>
              <w:rPr>
                <w:kern w:val="0"/>
              </w:rPr>
            </w:pPr>
            <w:r>
              <w:rPr>
                <w:rFonts w:hint="eastAsia"/>
                <w:kern w:val="0"/>
              </w:rPr>
              <w:t>1700</w:t>
            </w:r>
          </w:p>
        </w:tc>
        <w:tc>
          <w:tcPr>
            <w:tcW w:w="1246" w:type="dxa"/>
            <w:vAlign w:val="center"/>
          </w:tcPr>
          <w:p w14:paraId="1DD2F06B">
            <w:pPr>
              <w:pStyle w:val="84"/>
              <w:spacing w:line="216" w:lineRule="auto"/>
            </w:pPr>
            <w:r>
              <w:t>≤10000</w:t>
            </w:r>
          </w:p>
        </w:tc>
        <w:tc>
          <w:tcPr>
            <w:tcW w:w="795" w:type="dxa"/>
            <w:vAlign w:val="center"/>
          </w:tcPr>
          <w:p w14:paraId="062B4C33">
            <w:pPr>
              <w:pStyle w:val="84"/>
              <w:spacing w:line="216" w:lineRule="auto"/>
            </w:pPr>
            <w:r>
              <w:t>达标</w:t>
            </w:r>
          </w:p>
        </w:tc>
      </w:tr>
    </w:tbl>
    <w:p w14:paraId="3CAC2B09">
      <w:pPr>
        <w:spacing w:before="240"/>
        <w:ind w:firstLine="480"/>
        <w:rPr>
          <w:szCs w:val="24"/>
        </w:rPr>
      </w:pPr>
      <w:r>
        <w:rPr>
          <w:rFonts w:hint="eastAsia"/>
          <w:szCs w:val="24"/>
        </w:rPr>
        <w:t>以上</w:t>
      </w:r>
      <w:r>
        <w:rPr>
          <w:szCs w:val="24"/>
        </w:rPr>
        <w:t>监测结果表明：</w:t>
      </w:r>
      <w:r>
        <w:rPr>
          <w:rFonts w:hint="eastAsia"/>
          <w:szCs w:val="24"/>
        </w:rPr>
        <w:t>团结水电站</w:t>
      </w:r>
      <w:r>
        <w:rPr>
          <w:szCs w:val="24"/>
        </w:rPr>
        <w:t>坝址</w:t>
      </w:r>
      <w:r>
        <w:rPr>
          <w:rFonts w:hint="eastAsia"/>
          <w:szCs w:val="24"/>
        </w:rPr>
        <w:t>上游100m和</w:t>
      </w:r>
      <w:r>
        <w:rPr>
          <w:szCs w:val="24"/>
        </w:rPr>
        <w:t>厂房尾水口</w:t>
      </w:r>
      <w:r>
        <w:rPr>
          <w:rFonts w:hint="eastAsia"/>
          <w:szCs w:val="24"/>
        </w:rPr>
        <w:t>下游100m</w:t>
      </w:r>
      <w:r>
        <w:rPr>
          <w:szCs w:val="24"/>
        </w:rPr>
        <w:t>处水</w:t>
      </w:r>
      <w:r>
        <w:rPr>
          <w:rFonts w:hint="eastAsia"/>
          <w:szCs w:val="24"/>
        </w:rPr>
        <w:t>体中各项检测指标</w:t>
      </w:r>
      <w:r>
        <w:rPr>
          <w:szCs w:val="24"/>
        </w:rPr>
        <w:t>均能达到《地表水环境质量标准》（GB3838-2002）III类水水质标准要求</w:t>
      </w:r>
      <w:r>
        <w:rPr>
          <w:rFonts w:hint="eastAsia"/>
          <w:szCs w:val="24"/>
        </w:rPr>
        <w:t>，水质现状较好。</w:t>
      </w:r>
    </w:p>
    <w:p w14:paraId="21DA6FBA">
      <w:pPr>
        <w:pStyle w:val="4"/>
      </w:pPr>
      <w:bookmarkStart w:id="604" w:name="_Toc436297615"/>
      <w:bookmarkStart w:id="605" w:name="_Toc508642474"/>
      <w:bookmarkStart w:id="606" w:name="_Toc471738026"/>
      <w:bookmarkStart w:id="607" w:name="_Toc443655445"/>
      <w:bookmarkStart w:id="608" w:name="_Toc454046546"/>
      <w:r>
        <w:rPr>
          <w:rFonts w:hint="eastAsia"/>
        </w:rPr>
        <w:t>5.3</w:t>
      </w:r>
      <w:bookmarkEnd w:id="604"/>
      <w:r>
        <w:rPr>
          <w:rFonts w:hint="eastAsia"/>
        </w:rPr>
        <w:t>大气环境现状</w:t>
      </w:r>
      <w:bookmarkEnd w:id="605"/>
      <w:bookmarkEnd w:id="606"/>
      <w:bookmarkEnd w:id="607"/>
      <w:bookmarkEnd w:id="608"/>
    </w:p>
    <w:p w14:paraId="527F3792">
      <w:pPr>
        <w:ind w:firstLine="480"/>
      </w:pPr>
      <w:r>
        <w:rPr>
          <w:rFonts w:hint="eastAsia"/>
        </w:rPr>
        <w:t>团结水</w:t>
      </w:r>
      <w:r>
        <w:t>电站工程区无工矿企业分布，大气污染物主要来源于当地居民的生活燃料。</w:t>
      </w:r>
      <w:r>
        <w:rPr>
          <w:rFonts w:hint="eastAsia"/>
        </w:rPr>
        <w:t>根据现场踏勘，</w:t>
      </w:r>
      <w:r>
        <w:t>工程区域环境空气基本保持自然状况，环境自净效应较高，工程区环境空气质量现状良好。</w:t>
      </w:r>
    </w:p>
    <w:p w14:paraId="0C3A4C4D">
      <w:pPr>
        <w:pStyle w:val="4"/>
      </w:pPr>
      <w:bookmarkStart w:id="609" w:name="_Toc436297616"/>
      <w:bookmarkStart w:id="610" w:name="_Toc471738027"/>
      <w:bookmarkStart w:id="611" w:name="_Toc443655446"/>
      <w:bookmarkStart w:id="612" w:name="_Toc454046547"/>
      <w:bookmarkStart w:id="613" w:name="_Toc508642475"/>
      <w:r>
        <w:rPr>
          <w:rFonts w:hint="eastAsia"/>
        </w:rPr>
        <w:t>5.4</w:t>
      </w:r>
      <w:bookmarkEnd w:id="609"/>
      <w:r>
        <w:rPr>
          <w:rFonts w:hint="eastAsia"/>
        </w:rPr>
        <w:t>声环境现状</w:t>
      </w:r>
      <w:bookmarkEnd w:id="610"/>
      <w:bookmarkEnd w:id="611"/>
      <w:bookmarkEnd w:id="612"/>
      <w:bookmarkEnd w:id="613"/>
    </w:p>
    <w:p w14:paraId="0B901D7D">
      <w:pPr>
        <w:ind w:firstLine="480"/>
        <w:rPr>
          <w:snapToGrid w:val="0"/>
          <w:kern w:val="0"/>
          <w:szCs w:val="20"/>
        </w:rPr>
      </w:pPr>
      <w:r>
        <w:rPr>
          <w:snapToGrid w:val="0"/>
          <w:kern w:val="0"/>
          <w:szCs w:val="20"/>
        </w:rPr>
        <w:t>评价区</w:t>
      </w:r>
      <w:r>
        <w:rPr>
          <w:rFonts w:hint="eastAsia"/>
          <w:snapToGrid w:val="0"/>
          <w:kern w:val="0"/>
          <w:szCs w:val="20"/>
        </w:rPr>
        <w:t>域</w:t>
      </w:r>
      <w:r>
        <w:rPr>
          <w:snapToGrid w:val="0"/>
          <w:kern w:val="0"/>
          <w:szCs w:val="20"/>
        </w:rPr>
        <w:t>声环境</w:t>
      </w:r>
      <w:r>
        <w:rPr>
          <w:rFonts w:hint="eastAsia"/>
          <w:snapToGrid w:val="0"/>
          <w:kern w:val="0"/>
          <w:szCs w:val="20"/>
        </w:rPr>
        <w:t>质量</w:t>
      </w:r>
      <w:r>
        <w:rPr>
          <w:snapToGrid w:val="0"/>
          <w:kern w:val="0"/>
          <w:szCs w:val="20"/>
        </w:rPr>
        <w:t>执行《声环境质量标准》（GB3096-2008）中</w:t>
      </w:r>
      <w:r>
        <w:rPr>
          <w:rFonts w:hint="eastAsia"/>
          <w:snapToGrid w:val="0"/>
          <w:kern w:val="0"/>
          <w:szCs w:val="20"/>
        </w:rPr>
        <w:t>2</w:t>
      </w:r>
      <w:r>
        <w:rPr>
          <w:snapToGrid w:val="0"/>
          <w:kern w:val="0"/>
          <w:szCs w:val="20"/>
        </w:rPr>
        <w:t>类</w:t>
      </w:r>
      <w:r>
        <w:rPr>
          <w:rFonts w:hint="eastAsia"/>
          <w:snapToGrid w:val="0"/>
          <w:kern w:val="0"/>
          <w:szCs w:val="20"/>
        </w:rPr>
        <w:t>、4a类</w:t>
      </w:r>
      <w:r>
        <w:rPr>
          <w:snapToGrid w:val="0"/>
          <w:kern w:val="0"/>
          <w:szCs w:val="20"/>
        </w:rPr>
        <w:t>标准。</w:t>
      </w:r>
      <w:r>
        <w:t>建设单位委托云南环绿环境检测技术有限公司于201</w:t>
      </w:r>
      <w:r>
        <w:rPr>
          <w:rFonts w:hint="eastAsia"/>
        </w:rPr>
        <w:t>6</w:t>
      </w:r>
      <w:r>
        <w:t>年</w:t>
      </w:r>
      <w:r>
        <w:rPr>
          <w:rFonts w:hint="eastAsia"/>
        </w:rPr>
        <w:t>1</w:t>
      </w:r>
      <w:r>
        <w:t>月</w:t>
      </w:r>
      <w:r>
        <w:rPr>
          <w:rFonts w:hint="eastAsia"/>
        </w:rPr>
        <w:t>29日~1月30</w:t>
      </w:r>
      <w:r>
        <w:t>日对</w:t>
      </w:r>
      <w:r>
        <w:rPr>
          <w:rFonts w:hint="eastAsia"/>
        </w:rPr>
        <w:t>厂房厂址、芒里村东北侧（靠近龙瑞高速）现状噪声</w:t>
      </w:r>
      <w:r>
        <w:t>进行监测</w:t>
      </w:r>
      <w:r>
        <w:rPr>
          <w:rFonts w:hint="eastAsia"/>
        </w:rPr>
        <w:t>，</w:t>
      </w:r>
      <w:r>
        <w:rPr>
          <w:snapToGrid w:val="0"/>
          <w:kern w:val="0"/>
          <w:szCs w:val="20"/>
        </w:rPr>
        <w:t>监测结果见下表</w:t>
      </w:r>
      <w:r>
        <w:rPr>
          <w:rFonts w:hint="eastAsia"/>
          <w:snapToGrid w:val="0"/>
          <w:kern w:val="0"/>
          <w:szCs w:val="20"/>
        </w:rPr>
        <w:t>：</w:t>
      </w:r>
    </w:p>
    <w:p w14:paraId="4A8404DE">
      <w:pPr>
        <w:pStyle w:val="82"/>
        <w:framePr w:hSpace="0" w:wrap="auto" w:vAnchor="margin" w:hAnchor="text" w:xAlign="left" w:yAlign="inline"/>
        <w:spacing w:line="240" w:lineRule="auto"/>
      </w:pPr>
      <w:r>
        <w:t>表</w:t>
      </w:r>
      <w:r>
        <w:rPr>
          <w:rFonts w:hint="eastAsia"/>
        </w:rPr>
        <w:t>5</w:t>
      </w:r>
      <w:r>
        <w:t>-</w:t>
      </w:r>
      <w:r>
        <w:rPr>
          <w:rFonts w:hint="eastAsia"/>
        </w:rPr>
        <w:t>4-1</w:t>
      </w:r>
      <w:r>
        <w:t xml:space="preserve">   噪声监测结果    单位</w:t>
      </w:r>
      <w:r>
        <w:rPr>
          <w:rFonts w:hint="eastAsia"/>
        </w:rPr>
        <w:t>：</w:t>
      </w:r>
      <w:r>
        <w:t>dB(A)</w:t>
      </w:r>
    </w:p>
    <w:tbl>
      <w:tblPr>
        <w:tblStyle w:val="56"/>
        <w:tblW w:w="9039"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51"/>
        <w:gridCol w:w="874"/>
        <w:gridCol w:w="709"/>
        <w:gridCol w:w="709"/>
        <w:gridCol w:w="709"/>
        <w:gridCol w:w="709"/>
        <w:gridCol w:w="850"/>
        <w:gridCol w:w="851"/>
        <w:gridCol w:w="826"/>
        <w:gridCol w:w="733"/>
        <w:gridCol w:w="709"/>
        <w:gridCol w:w="709"/>
      </w:tblGrid>
      <w:tr w14:paraId="2C1C860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651" w:type="dxa"/>
            <w:vAlign w:val="center"/>
          </w:tcPr>
          <w:p w14:paraId="55A5295F">
            <w:pPr>
              <w:pStyle w:val="84"/>
              <w:spacing w:line="216" w:lineRule="auto"/>
            </w:pPr>
            <w:r>
              <w:t>检测</w:t>
            </w:r>
          </w:p>
          <w:p w14:paraId="334EEF73">
            <w:pPr>
              <w:pStyle w:val="84"/>
              <w:spacing w:line="216" w:lineRule="auto"/>
            </w:pPr>
            <w:r>
              <w:t>点位</w:t>
            </w:r>
          </w:p>
        </w:tc>
        <w:tc>
          <w:tcPr>
            <w:tcW w:w="874" w:type="dxa"/>
            <w:vAlign w:val="center"/>
          </w:tcPr>
          <w:p w14:paraId="166A87FD">
            <w:pPr>
              <w:pStyle w:val="84"/>
              <w:spacing w:line="216" w:lineRule="auto"/>
            </w:pPr>
            <w:r>
              <w:t>检测</w:t>
            </w:r>
          </w:p>
          <w:p w14:paraId="0651E3E2">
            <w:pPr>
              <w:pStyle w:val="84"/>
              <w:spacing w:line="216" w:lineRule="auto"/>
            </w:pPr>
            <w:r>
              <w:t>日期</w:t>
            </w:r>
          </w:p>
        </w:tc>
        <w:tc>
          <w:tcPr>
            <w:tcW w:w="709" w:type="dxa"/>
            <w:vAlign w:val="center"/>
          </w:tcPr>
          <w:p w14:paraId="7403B5A6">
            <w:pPr>
              <w:pStyle w:val="84"/>
              <w:spacing w:line="216" w:lineRule="auto"/>
            </w:pPr>
            <w:r>
              <w:t>检测</w:t>
            </w:r>
          </w:p>
          <w:p w14:paraId="171BACE9">
            <w:pPr>
              <w:pStyle w:val="84"/>
              <w:spacing w:line="216" w:lineRule="auto"/>
            </w:pPr>
            <w:r>
              <w:t>时段</w:t>
            </w:r>
          </w:p>
        </w:tc>
        <w:tc>
          <w:tcPr>
            <w:tcW w:w="709" w:type="dxa"/>
            <w:vAlign w:val="center"/>
          </w:tcPr>
          <w:p w14:paraId="6D436DC3">
            <w:pPr>
              <w:pStyle w:val="84"/>
              <w:spacing w:line="216" w:lineRule="auto"/>
            </w:pPr>
            <w:r>
              <w:t>检测结果</w:t>
            </w:r>
          </w:p>
        </w:tc>
        <w:tc>
          <w:tcPr>
            <w:tcW w:w="709" w:type="dxa"/>
            <w:vAlign w:val="center"/>
          </w:tcPr>
          <w:p w14:paraId="54D1DC22">
            <w:pPr>
              <w:pStyle w:val="84"/>
              <w:spacing w:line="216" w:lineRule="auto"/>
            </w:pPr>
            <w:r>
              <w:t>标准值</w:t>
            </w:r>
          </w:p>
        </w:tc>
        <w:tc>
          <w:tcPr>
            <w:tcW w:w="709" w:type="dxa"/>
            <w:vAlign w:val="center"/>
          </w:tcPr>
          <w:p w14:paraId="78BFFE9B">
            <w:pPr>
              <w:pStyle w:val="84"/>
              <w:spacing w:line="216" w:lineRule="auto"/>
            </w:pPr>
            <w:r>
              <w:rPr>
                <w:rFonts w:hint="eastAsia"/>
              </w:rPr>
              <w:t>达标情况</w:t>
            </w:r>
          </w:p>
        </w:tc>
        <w:tc>
          <w:tcPr>
            <w:tcW w:w="850" w:type="dxa"/>
            <w:vAlign w:val="center"/>
          </w:tcPr>
          <w:p w14:paraId="0147AF92">
            <w:pPr>
              <w:pStyle w:val="84"/>
              <w:spacing w:line="216" w:lineRule="auto"/>
            </w:pPr>
            <w:r>
              <w:t>检测</w:t>
            </w:r>
          </w:p>
          <w:p w14:paraId="0B5B6145">
            <w:pPr>
              <w:pStyle w:val="84"/>
              <w:spacing w:line="216" w:lineRule="auto"/>
            </w:pPr>
            <w:r>
              <w:t>点位</w:t>
            </w:r>
          </w:p>
        </w:tc>
        <w:tc>
          <w:tcPr>
            <w:tcW w:w="851" w:type="dxa"/>
            <w:vAlign w:val="center"/>
          </w:tcPr>
          <w:p w14:paraId="66999CB1">
            <w:pPr>
              <w:pStyle w:val="84"/>
              <w:spacing w:line="216" w:lineRule="auto"/>
            </w:pPr>
            <w:r>
              <w:t>检测</w:t>
            </w:r>
          </w:p>
          <w:p w14:paraId="6A8B4E08">
            <w:pPr>
              <w:pStyle w:val="84"/>
              <w:spacing w:line="216" w:lineRule="auto"/>
            </w:pPr>
            <w:r>
              <w:t>日期</w:t>
            </w:r>
          </w:p>
        </w:tc>
        <w:tc>
          <w:tcPr>
            <w:tcW w:w="826" w:type="dxa"/>
            <w:vAlign w:val="center"/>
          </w:tcPr>
          <w:p w14:paraId="2AE1EA0D">
            <w:pPr>
              <w:pStyle w:val="84"/>
              <w:spacing w:line="216" w:lineRule="auto"/>
            </w:pPr>
            <w:r>
              <w:t>检测</w:t>
            </w:r>
          </w:p>
          <w:p w14:paraId="2544DBD3">
            <w:pPr>
              <w:pStyle w:val="84"/>
              <w:spacing w:line="216" w:lineRule="auto"/>
            </w:pPr>
            <w:r>
              <w:t>时段</w:t>
            </w:r>
          </w:p>
        </w:tc>
        <w:tc>
          <w:tcPr>
            <w:tcW w:w="733" w:type="dxa"/>
            <w:vAlign w:val="center"/>
          </w:tcPr>
          <w:p w14:paraId="25A57135">
            <w:pPr>
              <w:pStyle w:val="84"/>
              <w:spacing w:line="216" w:lineRule="auto"/>
            </w:pPr>
            <w:r>
              <w:t>检测结果</w:t>
            </w:r>
          </w:p>
        </w:tc>
        <w:tc>
          <w:tcPr>
            <w:tcW w:w="709" w:type="dxa"/>
            <w:vAlign w:val="center"/>
          </w:tcPr>
          <w:p w14:paraId="6C86CDE9">
            <w:pPr>
              <w:pStyle w:val="84"/>
              <w:spacing w:line="216" w:lineRule="auto"/>
            </w:pPr>
            <w:r>
              <w:t>标准值</w:t>
            </w:r>
          </w:p>
        </w:tc>
        <w:tc>
          <w:tcPr>
            <w:tcW w:w="709" w:type="dxa"/>
            <w:vAlign w:val="center"/>
          </w:tcPr>
          <w:p w14:paraId="5507E783">
            <w:pPr>
              <w:pStyle w:val="84"/>
              <w:spacing w:line="216" w:lineRule="auto"/>
            </w:pPr>
            <w:r>
              <w:rPr>
                <w:rFonts w:hint="eastAsia"/>
              </w:rPr>
              <w:t>达标情况</w:t>
            </w:r>
          </w:p>
        </w:tc>
      </w:tr>
      <w:tr w14:paraId="24977C1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51" w:type="dxa"/>
            <w:vMerge w:val="restart"/>
            <w:vAlign w:val="center"/>
          </w:tcPr>
          <w:p w14:paraId="568A3300">
            <w:pPr>
              <w:pStyle w:val="84"/>
              <w:spacing w:line="216" w:lineRule="auto"/>
            </w:pPr>
            <w:r>
              <w:t>厂房</w:t>
            </w:r>
          </w:p>
        </w:tc>
        <w:tc>
          <w:tcPr>
            <w:tcW w:w="874" w:type="dxa"/>
            <w:vMerge w:val="restart"/>
            <w:vAlign w:val="center"/>
          </w:tcPr>
          <w:p w14:paraId="7463A65A">
            <w:pPr>
              <w:pStyle w:val="84"/>
              <w:spacing w:line="216" w:lineRule="auto"/>
              <w:ind w:left="-120" w:leftChars="-50" w:right="-120" w:rightChars="-50"/>
            </w:pPr>
            <w:r>
              <w:rPr>
                <w:rFonts w:hint="eastAsia"/>
                <w:sz w:val="20"/>
              </w:rPr>
              <w:t>2016.1.29</w:t>
            </w:r>
          </w:p>
        </w:tc>
        <w:tc>
          <w:tcPr>
            <w:tcW w:w="709" w:type="dxa"/>
            <w:vAlign w:val="center"/>
          </w:tcPr>
          <w:p w14:paraId="5A2EACC0">
            <w:pPr>
              <w:pStyle w:val="84"/>
              <w:spacing w:line="216" w:lineRule="auto"/>
            </w:pPr>
            <w:r>
              <w:t>昼间</w:t>
            </w:r>
          </w:p>
        </w:tc>
        <w:tc>
          <w:tcPr>
            <w:tcW w:w="709" w:type="dxa"/>
            <w:vAlign w:val="center"/>
          </w:tcPr>
          <w:p w14:paraId="0759C746">
            <w:pPr>
              <w:pStyle w:val="84"/>
              <w:spacing w:line="216" w:lineRule="auto"/>
            </w:pPr>
            <w:r>
              <w:rPr>
                <w:rFonts w:hint="eastAsia"/>
              </w:rPr>
              <w:t>58.4</w:t>
            </w:r>
          </w:p>
        </w:tc>
        <w:tc>
          <w:tcPr>
            <w:tcW w:w="709" w:type="dxa"/>
            <w:vAlign w:val="center"/>
          </w:tcPr>
          <w:p w14:paraId="1A3143C9">
            <w:pPr>
              <w:pStyle w:val="84"/>
              <w:spacing w:line="216" w:lineRule="auto"/>
            </w:pPr>
            <w:r>
              <w:rPr>
                <w:rFonts w:hint="eastAsia"/>
              </w:rPr>
              <w:t>60</w:t>
            </w:r>
          </w:p>
        </w:tc>
        <w:tc>
          <w:tcPr>
            <w:tcW w:w="709" w:type="dxa"/>
            <w:vAlign w:val="center"/>
          </w:tcPr>
          <w:p w14:paraId="7460D0F2">
            <w:pPr>
              <w:pStyle w:val="84"/>
              <w:spacing w:line="216" w:lineRule="auto"/>
            </w:pPr>
            <w:r>
              <w:t>达标</w:t>
            </w:r>
          </w:p>
        </w:tc>
        <w:tc>
          <w:tcPr>
            <w:tcW w:w="850" w:type="dxa"/>
            <w:vMerge w:val="restart"/>
            <w:vAlign w:val="center"/>
          </w:tcPr>
          <w:p w14:paraId="60237B3D">
            <w:pPr>
              <w:pStyle w:val="84"/>
              <w:spacing w:line="216" w:lineRule="auto"/>
            </w:pPr>
            <w:r>
              <w:rPr>
                <w:rFonts w:hint="eastAsia"/>
              </w:rPr>
              <w:t>芒里村东北侧</w:t>
            </w:r>
          </w:p>
        </w:tc>
        <w:tc>
          <w:tcPr>
            <w:tcW w:w="851" w:type="dxa"/>
            <w:vMerge w:val="restart"/>
            <w:vAlign w:val="center"/>
          </w:tcPr>
          <w:p w14:paraId="7824B326">
            <w:pPr>
              <w:pStyle w:val="84"/>
              <w:ind w:left="-120" w:leftChars="-50" w:right="-120" w:rightChars="-50"/>
            </w:pPr>
            <w:r>
              <w:rPr>
                <w:rFonts w:hint="eastAsia"/>
                <w:sz w:val="20"/>
              </w:rPr>
              <w:t>2016.1.29</w:t>
            </w:r>
          </w:p>
        </w:tc>
        <w:tc>
          <w:tcPr>
            <w:tcW w:w="826" w:type="dxa"/>
            <w:vAlign w:val="center"/>
          </w:tcPr>
          <w:p w14:paraId="62447EDB">
            <w:pPr>
              <w:pStyle w:val="84"/>
              <w:spacing w:line="216" w:lineRule="auto"/>
            </w:pPr>
            <w:r>
              <w:t>昼间</w:t>
            </w:r>
          </w:p>
        </w:tc>
        <w:tc>
          <w:tcPr>
            <w:tcW w:w="733" w:type="dxa"/>
            <w:vAlign w:val="center"/>
          </w:tcPr>
          <w:p w14:paraId="3CAAE0CF">
            <w:pPr>
              <w:pStyle w:val="84"/>
              <w:spacing w:line="216" w:lineRule="auto"/>
            </w:pPr>
            <w:r>
              <w:rPr>
                <w:rFonts w:hint="eastAsia"/>
              </w:rPr>
              <w:t>56.8</w:t>
            </w:r>
          </w:p>
        </w:tc>
        <w:tc>
          <w:tcPr>
            <w:tcW w:w="709" w:type="dxa"/>
            <w:vAlign w:val="center"/>
          </w:tcPr>
          <w:p w14:paraId="04DB8E5B">
            <w:pPr>
              <w:pStyle w:val="84"/>
              <w:spacing w:line="216" w:lineRule="auto"/>
            </w:pPr>
            <w:r>
              <w:rPr>
                <w:rFonts w:hint="eastAsia"/>
              </w:rPr>
              <w:t>70</w:t>
            </w:r>
          </w:p>
        </w:tc>
        <w:tc>
          <w:tcPr>
            <w:tcW w:w="709" w:type="dxa"/>
            <w:vAlign w:val="center"/>
          </w:tcPr>
          <w:p w14:paraId="1C38341C">
            <w:pPr>
              <w:pStyle w:val="84"/>
              <w:spacing w:line="216" w:lineRule="auto"/>
            </w:pPr>
            <w:r>
              <w:t>达标</w:t>
            </w:r>
          </w:p>
        </w:tc>
      </w:tr>
      <w:tr w14:paraId="7E740E2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51" w:type="dxa"/>
            <w:vMerge w:val="continue"/>
            <w:vAlign w:val="center"/>
          </w:tcPr>
          <w:p w14:paraId="411AEB18">
            <w:pPr>
              <w:pStyle w:val="84"/>
              <w:spacing w:line="216" w:lineRule="auto"/>
            </w:pPr>
          </w:p>
        </w:tc>
        <w:tc>
          <w:tcPr>
            <w:tcW w:w="874" w:type="dxa"/>
            <w:vMerge w:val="continue"/>
            <w:vAlign w:val="center"/>
          </w:tcPr>
          <w:p w14:paraId="178CEB5B">
            <w:pPr>
              <w:pStyle w:val="84"/>
              <w:spacing w:line="216" w:lineRule="auto"/>
              <w:ind w:left="-120" w:leftChars="-50" w:right="-120" w:rightChars="-50"/>
            </w:pPr>
          </w:p>
        </w:tc>
        <w:tc>
          <w:tcPr>
            <w:tcW w:w="709" w:type="dxa"/>
            <w:vAlign w:val="center"/>
          </w:tcPr>
          <w:p w14:paraId="0BF679CE">
            <w:pPr>
              <w:pStyle w:val="84"/>
              <w:spacing w:line="216" w:lineRule="auto"/>
            </w:pPr>
            <w:r>
              <w:t>夜间</w:t>
            </w:r>
          </w:p>
        </w:tc>
        <w:tc>
          <w:tcPr>
            <w:tcW w:w="709" w:type="dxa"/>
            <w:vAlign w:val="center"/>
          </w:tcPr>
          <w:p w14:paraId="79E58CEC">
            <w:pPr>
              <w:pStyle w:val="84"/>
              <w:spacing w:line="216" w:lineRule="auto"/>
            </w:pPr>
            <w:r>
              <w:rPr>
                <w:rFonts w:hint="eastAsia"/>
              </w:rPr>
              <w:t>49.6</w:t>
            </w:r>
          </w:p>
        </w:tc>
        <w:tc>
          <w:tcPr>
            <w:tcW w:w="709" w:type="dxa"/>
            <w:vAlign w:val="center"/>
          </w:tcPr>
          <w:p w14:paraId="6FEAA2F4">
            <w:pPr>
              <w:pStyle w:val="84"/>
              <w:spacing w:line="216" w:lineRule="auto"/>
            </w:pPr>
            <w:r>
              <w:rPr>
                <w:rFonts w:hint="eastAsia"/>
              </w:rPr>
              <w:t>50</w:t>
            </w:r>
          </w:p>
        </w:tc>
        <w:tc>
          <w:tcPr>
            <w:tcW w:w="709" w:type="dxa"/>
            <w:vAlign w:val="center"/>
          </w:tcPr>
          <w:p w14:paraId="0CB1165E">
            <w:pPr>
              <w:pStyle w:val="84"/>
              <w:spacing w:line="216" w:lineRule="auto"/>
            </w:pPr>
            <w:r>
              <w:t>达标</w:t>
            </w:r>
          </w:p>
        </w:tc>
        <w:tc>
          <w:tcPr>
            <w:tcW w:w="850" w:type="dxa"/>
            <w:vMerge w:val="continue"/>
            <w:vAlign w:val="center"/>
          </w:tcPr>
          <w:p w14:paraId="2B222052">
            <w:pPr>
              <w:pStyle w:val="84"/>
              <w:spacing w:line="216" w:lineRule="auto"/>
            </w:pPr>
          </w:p>
        </w:tc>
        <w:tc>
          <w:tcPr>
            <w:tcW w:w="851" w:type="dxa"/>
            <w:vMerge w:val="continue"/>
            <w:vAlign w:val="center"/>
          </w:tcPr>
          <w:p w14:paraId="4327F205">
            <w:pPr>
              <w:pStyle w:val="84"/>
              <w:spacing w:line="216" w:lineRule="auto"/>
            </w:pPr>
          </w:p>
        </w:tc>
        <w:tc>
          <w:tcPr>
            <w:tcW w:w="826" w:type="dxa"/>
            <w:vAlign w:val="center"/>
          </w:tcPr>
          <w:p w14:paraId="2B8520FD">
            <w:pPr>
              <w:pStyle w:val="84"/>
              <w:spacing w:line="216" w:lineRule="auto"/>
            </w:pPr>
            <w:r>
              <w:t>夜间</w:t>
            </w:r>
          </w:p>
        </w:tc>
        <w:tc>
          <w:tcPr>
            <w:tcW w:w="733" w:type="dxa"/>
            <w:vAlign w:val="center"/>
          </w:tcPr>
          <w:p w14:paraId="6FD44BBF">
            <w:pPr>
              <w:pStyle w:val="84"/>
              <w:spacing w:line="216" w:lineRule="auto"/>
            </w:pPr>
            <w:r>
              <w:rPr>
                <w:rFonts w:hint="eastAsia"/>
              </w:rPr>
              <w:t>48.8</w:t>
            </w:r>
          </w:p>
        </w:tc>
        <w:tc>
          <w:tcPr>
            <w:tcW w:w="709" w:type="dxa"/>
            <w:vAlign w:val="center"/>
          </w:tcPr>
          <w:p w14:paraId="0A2CF83F">
            <w:pPr>
              <w:pStyle w:val="84"/>
              <w:spacing w:line="216" w:lineRule="auto"/>
            </w:pPr>
            <w:r>
              <w:rPr>
                <w:rFonts w:hint="eastAsia"/>
              </w:rPr>
              <w:t>55</w:t>
            </w:r>
          </w:p>
        </w:tc>
        <w:tc>
          <w:tcPr>
            <w:tcW w:w="709" w:type="dxa"/>
            <w:vAlign w:val="center"/>
          </w:tcPr>
          <w:p w14:paraId="508116B4">
            <w:pPr>
              <w:pStyle w:val="84"/>
              <w:spacing w:line="216" w:lineRule="auto"/>
            </w:pPr>
            <w:r>
              <w:t>达标</w:t>
            </w:r>
          </w:p>
        </w:tc>
      </w:tr>
      <w:tr w14:paraId="2F5546F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51" w:type="dxa"/>
            <w:vMerge w:val="continue"/>
            <w:vAlign w:val="center"/>
          </w:tcPr>
          <w:p w14:paraId="1750A483">
            <w:pPr>
              <w:pStyle w:val="84"/>
              <w:spacing w:line="216" w:lineRule="auto"/>
            </w:pPr>
          </w:p>
        </w:tc>
        <w:tc>
          <w:tcPr>
            <w:tcW w:w="874" w:type="dxa"/>
            <w:vMerge w:val="restart"/>
            <w:vAlign w:val="center"/>
          </w:tcPr>
          <w:p w14:paraId="22BE01CD">
            <w:pPr>
              <w:pStyle w:val="84"/>
              <w:spacing w:line="216" w:lineRule="auto"/>
              <w:ind w:left="-120" w:leftChars="-50" w:right="-120" w:rightChars="-50"/>
            </w:pPr>
            <w:r>
              <w:rPr>
                <w:rFonts w:hint="eastAsia"/>
                <w:sz w:val="20"/>
              </w:rPr>
              <w:t>2016.1.30</w:t>
            </w:r>
          </w:p>
        </w:tc>
        <w:tc>
          <w:tcPr>
            <w:tcW w:w="709" w:type="dxa"/>
            <w:vAlign w:val="center"/>
          </w:tcPr>
          <w:p w14:paraId="3DC7E62E">
            <w:pPr>
              <w:pStyle w:val="84"/>
              <w:spacing w:line="216" w:lineRule="auto"/>
            </w:pPr>
            <w:r>
              <w:t>昼间</w:t>
            </w:r>
          </w:p>
        </w:tc>
        <w:tc>
          <w:tcPr>
            <w:tcW w:w="709" w:type="dxa"/>
            <w:vAlign w:val="center"/>
          </w:tcPr>
          <w:p w14:paraId="23AA3D2C">
            <w:pPr>
              <w:pStyle w:val="84"/>
              <w:spacing w:line="216" w:lineRule="auto"/>
            </w:pPr>
            <w:r>
              <w:rPr>
                <w:rFonts w:hint="eastAsia"/>
              </w:rPr>
              <w:t>58.8</w:t>
            </w:r>
          </w:p>
        </w:tc>
        <w:tc>
          <w:tcPr>
            <w:tcW w:w="709" w:type="dxa"/>
            <w:vAlign w:val="center"/>
          </w:tcPr>
          <w:p w14:paraId="21E52D1F">
            <w:pPr>
              <w:pStyle w:val="84"/>
              <w:spacing w:line="216" w:lineRule="auto"/>
            </w:pPr>
            <w:r>
              <w:rPr>
                <w:rFonts w:hint="eastAsia"/>
              </w:rPr>
              <w:t>60</w:t>
            </w:r>
          </w:p>
        </w:tc>
        <w:tc>
          <w:tcPr>
            <w:tcW w:w="709" w:type="dxa"/>
            <w:vAlign w:val="center"/>
          </w:tcPr>
          <w:p w14:paraId="45B46633">
            <w:pPr>
              <w:pStyle w:val="84"/>
              <w:spacing w:line="216" w:lineRule="auto"/>
            </w:pPr>
            <w:r>
              <w:t>达标</w:t>
            </w:r>
          </w:p>
        </w:tc>
        <w:tc>
          <w:tcPr>
            <w:tcW w:w="850" w:type="dxa"/>
            <w:vMerge w:val="continue"/>
            <w:vAlign w:val="center"/>
          </w:tcPr>
          <w:p w14:paraId="18143F1D">
            <w:pPr>
              <w:pStyle w:val="84"/>
              <w:spacing w:line="216" w:lineRule="auto"/>
            </w:pPr>
          </w:p>
        </w:tc>
        <w:tc>
          <w:tcPr>
            <w:tcW w:w="851" w:type="dxa"/>
            <w:vMerge w:val="restart"/>
            <w:vAlign w:val="center"/>
          </w:tcPr>
          <w:p w14:paraId="76558E49">
            <w:pPr>
              <w:pStyle w:val="84"/>
              <w:spacing w:line="216" w:lineRule="auto"/>
              <w:ind w:left="-120" w:leftChars="-50" w:right="-120" w:rightChars="-50"/>
            </w:pPr>
            <w:r>
              <w:rPr>
                <w:rFonts w:hint="eastAsia"/>
                <w:sz w:val="20"/>
              </w:rPr>
              <w:t>2016.1.30</w:t>
            </w:r>
          </w:p>
        </w:tc>
        <w:tc>
          <w:tcPr>
            <w:tcW w:w="826" w:type="dxa"/>
            <w:vAlign w:val="center"/>
          </w:tcPr>
          <w:p w14:paraId="1B60873F">
            <w:pPr>
              <w:pStyle w:val="84"/>
              <w:spacing w:line="216" w:lineRule="auto"/>
            </w:pPr>
            <w:r>
              <w:t>昼间</w:t>
            </w:r>
          </w:p>
        </w:tc>
        <w:tc>
          <w:tcPr>
            <w:tcW w:w="733" w:type="dxa"/>
            <w:vAlign w:val="center"/>
          </w:tcPr>
          <w:p w14:paraId="27D95344">
            <w:pPr>
              <w:pStyle w:val="84"/>
              <w:spacing w:line="216" w:lineRule="auto"/>
            </w:pPr>
            <w:r>
              <w:rPr>
                <w:rFonts w:hint="eastAsia"/>
              </w:rPr>
              <w:t>57.2</w:t>
            </w:r>
          </w:p>
        </w:tc>
        <w:tc>
          <w:tcPr>
            <w:tcW w:w="709" w:type="dxa"/>
            <w:vAlign w:val="center"/>
          </w:tcPr>
          <w:p w14:paraId="575746B2">
            <w:pPr>
              <w:pStyle w:val="84"/>
              <w:spacing w:line="216" w:lineRule="auto"/>
            </w:pPr>
            <w:r>
              <w:rPr>
                <w:rFonts w:hint="eastAsia"/>
              </w:rPr>
              <w:t>70</w:t>
            </w:r>
          </w:p>
        </w:tc>
        <w:tc>
          <w:tcPr>
            <w:tcW w:w="709" w:type="dxa"/>
            <w:vAlign w:val="center"/>
          </w:tcPr>
          <w:p w14:paraId="320B768E">
            <w:pPr>
              <w:pStyle w:val="84"/>
              <w:spacing w:line="216" w:lineRule="auto"/>
            </w:pPr>
            <w:r>
              <w:t>达标</w:t>
            </w:r>
          </w:p>
        </w:tc>
      </w:tr>
      <w:tr w14:paraId="1104C7F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51" w:type="dxa"/>
            <w:vMerge w:val="continue"/>
            <w:vAlign w:val="center"/>
          </w:tcPr>
          <w:p w14:paraId="629B4BC9">
            <w:pPr>
              <w:pStyle w:val="84"/>
              <w:spacing w:line="216" w:lineRule="auto"/>
            </w:pPr>
          </w:p>
        </w:tc>
        <w:tc>
          <w:tcPr>
            <w:tcW w:w="874" w:type="dxa"/>
            <w:vMerge w:val="continue"/>
            <w:vAlign w:val="center"/>
          </w:tcPr>
          <w:p w14:paraId="5A65A8E9">
            <w:pPr>
              <w:pStyle w:val="84"/>
              <w:spacing w:line="216" w:lineRule="auto"/>
            </w:pPr>
          </w:p>
        </w:tc>
        <w:tc>
          <w:tcPr>
            <w:tcW w:w="709" w:type="dxa"/>
            <w:vAlign w:val="center"/>
          </w:tcPr>
          <w:p w14:paraId="0B8CC3F5">
            <w:pPr>
              <w:pStyle w:val="84"/>
              <w:spacing w:line="216" w:lineRule="auto"/>
            </w:pPr>
            <w:r>
              <w:t>夜间</w:t>
            </w:r>
          </w:p>
        </w:tc>
        <w:tc>
          <w:tcPr>
            <w:tcW w:w="709" w:type="dxa"/>
            <w:vAlign w:val="center"/>
          </w:tcPr>
          <w:p w14:paraId="06B6A5B4">
            <w:pPr>
              <w:pStyle w:val="84"/>
              <w:spacing w:line="216" w:lineRule="auto"/>
            </w:pPr>
            <w:r>
              <w:rPr>
                <w:rFonts w:hint="eastAsia"/>
              </w:rPr>
              <w:t>49.8</w:t>
            </w:r>
          </w:p>
        </w:tc>
        <w:tc>
          <w:tcPr>
            <w:tcW w:w="709" w:type="dxa"/>
            <w:vAlign w:val="center"/>
          </w:tcPr>
          <w:p w14:paraId="6A204726">
            <w:pPr>
              <w:pStyle w:val="84"/>
              <w:spacing w:line="216" w:lineRule="auto"/>
            </w:pPr>
            <w:r>
              <w:rPr>
                <w:rFonts w:hint="eastAsia"/>
              </w:rPr>
              <w:t>50</w:t>
            </w:r>
          </w:p>
        </w:tc>
        <w:tc>
          <w:tcPr>
            <w:tcW w:w="709" w:type="dxa"/>
            <w:vAlign w:val="center"/>
          </w:tcPr>
          <w:p w14:paraId="6C84A788">
            <w:pPr>
              <w:pStyle w:val="84"/>
              <w:spacing w:line="216" w:lineRule="auto"/>
            </w:pPr>
            <w:r>
              <w:t>达标</w:t>
            </w:r>
          </w:p>
        </w:tc>
        <w:tc>
          <w:tcPr>
            <w:tcW w:w="850" w:type="dxa"/>
            <w:vMerge w:val="continue"/>
            <w:vAlign w:val="center"/>
          </w:tcPr>
          <w:p w14:paraId="05BD0DFA">
            <w:pPr>
              <w:pStyle w:val="84"/>
              <w:spacing w:line="216" w:lineRule="auto"/>
            </w:pPr>
          </w:p>
        </w:tc>
        <w:tc>
          <w:tcPr>
            <w:tcW w:w="851" w:type="dxa"/>
            <w:vMerge w:val="continue"/>
            <w:vAlign w:val="center"/>
          </w:tcPr>
          <w:p w14:paraId="6E86DCDA">
            <w:pPr>
              <w:pStyle w:val="84"/>
              <w:spacing w:line="216" w:lineRule="auto"/>
            </w:pPr>
          </w:p>
        </w:tc>
        <w:tc>
          <w:tcPr>
            <w:tcW w:w="826" w:type="dxa"/>
            <w:vAlign w:val="center"/>
          </w:tcPr>
          <w:p w14:paraId="500E0E04">
            <w:pPr>
              <w:pStyle w:val="84"/>
              <w:spacing w:line="216" w:lineRule="auto"/>
            </w:pPr>
            <w:r>
              <w:t>夜间</w:t>
            </w:r>
          </w:p>
        </w:tc>
        <w:tc>
          <w:tcPr>
            <w:tcW w:w="733" w:type="dxa"/>
            <w:vAlign w:val="center"/>
          </w:tcPr>
          <w:p w14:paraId="0841E006">
            <w:pPr>
              <w:pStyle w:val="84"/>
              <w:spacing w:line="216" w:lineRule="auto"/>
            </w:pPr>
            <w:r>
              <w:rPr>
                <w:rFonts w:hint="eastAsia"/>
              </w:rPr>
              <w:t>48.7</w:t>
            </w:r>
          </w:p>
        </w:tc>
        <w:tc>
          <w:tcPr>
            <w:tcW w:w="709" w:type="dxa"/>
            <w:vAlign w:val="center"/>
          </w:tcPr>
          <w:p w14:paraId="076E1BCB">
            <w:pPr>
              <w:pStyle w:val="84"/>
              <w:spacing w:line="216" w:lineRule="auto"/>
            </w:pPr>
            <w:r>
              <w:rPr>
                <w:rFonts w:hint="eastAsia"/>
              </w:rPr>
              <w:t>55</w:t>
            </w:r>
          </w:p>
        </w:tc>
        <w:tc>
          <w:tcPr>
            <w:tcW w:w="709" w:type="dxa"/>
            <w:vAlign w:val="center"/>
          </w:tcPr>
          <w:p w14:paraId="0E7F1922">
            <w:pPr>
              <w:pStyle w:val="84"/>
              <w:spacing w:line="216" w:lineRule="auto"/>
            </w:pPr>
            <w:r>
              <w:t>达标</w:t>
            </w:r>
          </w:p>
        </w:tc>
      </w:tr>
    </w:tbl>
    <w:p w14:paraId="3FB37FDE">
      <w:pPr>
        <w:spacing w:before="240"/>
        <w:ind w:firstLine="480"/>
        <w:rPr>
          <w:snapToGrid w:val="0"/>
          <w:kern w:val="0"/>
          <w:szCs w:val="20"/>
        </w:rPr>
      </w:pPr>
      <w:r>
        <w:rPr>
          <w:snapToGrid w:val="0"/>
          <w:kern w:val="0"/>
          <w:szCs w:val="20"/>
        </w:rPr>
        <w:t>从监测结果统计表中可知：</w:t>
      </w:r>
      <w:r>
        <w:rPr>
          <w:rFonts w:hint="eastAsia"/>
          <w:snapToGrid w:val="0"/>
          <w:kern w:val="0"/>
          <w:szCs w:val="20"/>
        </w:rPr>
        <w:t>团结水电站厂址处声环境质量可达到</w:t>
      </w:r>
      <w:r>
        <w:rPr>
          <w:snapToGrid w:val="0"/>
          <w:kern w:val="0"/>
          <w:szCs w:val="20"/>
        </w:rPr>
        <w:t>《声环境质量标准》（GB3096-2008）</w:t>
      </w:r>
      <w:r>
        <w:rPr>
          <w:rFonts w:hint="eastAsia"/>
          <w:snapToGrid w:val="0"/>
          <w:kern w:val="0"/>
          <w:szCs w:val="20"/>
        </w:rPr>
        <w:t>2</w:t>
      </w:r>
      <w:r>
        <w:rPr>
          <w:snapToGrid w:val="0"/>
          <w:kern w:val="0"/>
          <w:szCs w:val="20"/>
        </w:rPr>
        <w:t>类标准</w:t>
      </w:r>
      <w:r>
        <w:rPr>
          <w:rFonts w:hint="eastAsia"/>
          <w:snapToGrid w:val="0"/>
          <w:kern w:val="0"/>
          <w:szCs w:val="20"/>
        </w:rPr>
        <w:t>；芒里村东北侧声环境质量可达到</w:t>
      </w:r>
      <w:r>
        <w:rPr>
          <w:snapToGrid w:val="0"/>
          <w:kern w:val="0"/>
          <w:szCs w:val="20"/>
        </w:rPr>
        <w:t>《声环境质量标准》（GB3096-2008）</w:t>
      </w:r>
      <w:r>
        <w:rPr>
          <w:rFonts w:hint="eastAsia"/>
          <w:snapToGrid w:val="0"/>
          <w:kern w:val="0"/>
          <w:szCs w:val="20"/>
        </w:rPr>
        <w:t>4a</w:t>
      </w:r>
      <w:r>
        <w:rPr>
          <w:snapToGrid w:val="0"/>
          <w:kern w:val="0"/>
          <w:szCs w:val="20"/>
        </w:rPr>
        <w:t>类标准</w:t>
      </w:r>
      <w:r>
        <w:rPr>
          <w:rFonts w:hint="eastAsia"/>
          <w:snapToGrid w:val="0"/>
          <w:kern w:val="0"/>
          <w:szCs w:val="20"/>
        </w:rPr>
        <w:t>。</w:t>
      </w:r>
    </w:p>
    <w:p w14:paraId="4C201F2A">
      <w:pPr>
        <w:spacing w:before="240"/>
        <w:ind w:firstLine="480"/>
      </w:pPr>
      <w:r>
        <w:br w:type="page"/>
      </w:r>
    </w:p>
    <w:p w14:paraId="1786322C">
      <w:pPr>
        <w:pStyle w:val="180"/>
      </w:pPr>
      <w:bookmarkStart w:id="614" w:name="_Toc443655447"/>
      <w:bookmarkStart w:id="615" w:name="_Toc454046548"/>
      <w:bookmarkStart w:id="616" w:name="_Toc471738028"/>
      <w:bookmarkStart w:id="617" w:name="_Toc508642476"/>
      <w:r>
        <w:rPr>
          <w:rFonts w:hint="eastAsia"/>
        </w:rPr>
        <w:t>6</w:t>
      </w:r>
      <w:r>
        <w:t>环境影响</w:t>
      </w:r>
      <w:r>
        <w:rPr>
          <w:rFonts w:hint="eastAsia"/>
        </w:rPr>
        <w:t>预测分析与评价</w:t>
      </w:r>
      <w:bookmarkEnd w:id="614"/>
      <w:bookmarkEnd w:id="615"/>
      <w:bookmarkEnd w:id="616"/>
      <w:bookmarkEnd w:id="617"/>
    </w:p>
    <w:p w14:paraId="700F4539">
      <w:pPr>
        <w:pStyle w:val="4"/>
      </w:pPr>
      <w:bookmarkStart w:id="618" w:name="_Toc443655448"/>
      <w:bookmarkStart w:id="619" w:name="_Toc454046549"/>
      <w:bookmarkStart w:id="620" w:name="_Toc397428372"/>
      <w:bookmarkStart w:id="621" w:name="_Toc508642477"/>
      <w:bookmarkStart w:id="622" w:name="_Toc471738029"/>
      <w:r>
        <w:rPr>
          <w:rFonts w:hint="eastAsia"/>
        </w:rPr>
        <w:t>6.1生态环境</w:t>
      </w:r>
      <w:bookmarkEnd w:id="618"/>
      <w:bookmarkEnd w:id="619"/>
      <w:bookmarkEnd w:id="620"/>
      <w:bookmarkEnd w:id="621"/>
      <w:bookmarkEnd w:id="622"/>
    </w:p>
    <w:p w14:paraId="4B0B6F07">
      <w:pPr>
        <w:pStyle w:val="113"/>
      </w:pPr>
      <w:bookmarkStart w:id="623" w:name="_Toc454046550"/>
      <w:bookmarkStart w:id="624" w:name="_Toc508642478"/>
      <w:bookmarkStart w:id="625" w:name="_Toc397428373"/>
      <w:bookmarkStart w:id="626" w:name="_Toc471738030"/>
      <w:bookmarkStart w:id="627" w:name="_Toc443655449"/>
      <w:r>
        <w:rPr>
          <w:rFonts w:hint="eastAsia"/>
        </w:rPr>
        <w:t>6.1.1对土地利用的影响分析</w:t>
      </w:r>
      <w:bookmarkEnd w:id="623"/>
      <w:bookmarkEnd w:id="624"/>
      <w:bookmarkEnd w:id="625"/>
      <w:bookmarkEnd w:id="626"/>
      <w:bookmarkEnd w:id="627"/>
    </w:p>
    <w:p w14:paraId="36602946">
      <w:pPr>
        <w:ind w:firstLine="480"/>
      </w:pPr>
      <w:r>
        <w:rPr>
          <w:rFonts w:hint="eastAsia"/>
        </w:rPr>
        <w:t>1、永久占地</w:t>
      </w:r>
    </w:p>
    <w:p w14:paraId="12A4CC48">
      <w:pPr>
        <w:ind w:firstLine="480"/>
      </w:pPr>
      <w:r>
        <w:rPr>
          <w:rFonts w:hint="eastAsia"/>
        </w:rPr>
        <w:t>根据工程水保方案，工程建设永久性占地</w:t>
      </w:r>
      <w:r>
        <w:t>3.03</w:t>
      </w:r>
      <w:r>
        <w:rPr>
          <w:szCs w:val="20"/>
        </w:rPr>
        <w:t>hm²</w:t>
      </w:r>
      <w:r>
        <w:rPr>
          <w:rFonts w:hint="eastAsia"/>
        </w:rPr>
        <w:t>，其中：水域及水利设施</w:t>
      </w:r>
      <w:r>
        <w:t>用地</w:t>
      </w:r>
      <w:r>
        <w:rPr>
          <w:rFonts w:hint="eastAsia"/>
        </w:rPr>
        <w:t>2.26</w:t>
      </w:r>
      <w:r>
        <w:rPr>
          <w:szCs w:val="20"/>
        </w:rPr>
        <w:t>hm²</w:t>
      </w:r>
      <w:r>
        <w:rPr>
          <w:rFonts w:hint="eastAsia"/>
        </w:rPr>
        <w:t>、坡耕地0.77</w:t>
      </w:r>
      <w:r>
        <w:rPr>
          <w:szCs w:val="20"/>
        </w:rPr>
        <w:t>hm²</w:t>
      </w:r>
      <w:r>
        <w:rPr>
          <w:rFonts w:hint="eastAsia"/>
          <w:szCs w:val="20"/>
        </w:rPr>
        <w:t>。</w:t>
      </w:r>
    </w:p>
    <w:p w14:paraId="2F1031C5">
      <w:pPr>
        <w:ind w:firstLine="480"/>
      </w:pPr>
      <w:r>
        <w:rPr>
          <w:rFonts w:hint="eastAsia"/>
        </w:rPr>
        <w:t>永</w:t>
      </w:r>
      <w:r>
        <w:t>久占地将造成</w:t>
      </w:r>
      <w:r>
        <w:rPr>
          <w:rFonts w:hint="eastAsia"/>
        </w:rPr>
        <w:t>原有土地类型</w:t>
      </w:r>
      <w:r>
        <w:t>永久性的改变，是无法恢复的</w:t>
      </w:r>
      <w:r>
        <w:rPr>
          <w:rFonts w:hint="eastAsia"/>
        </w:rPr>
        <w:t>。拟建项目永久占地未占用基本农田和林地，只占用坡耕地和水域，其中坡耕地占用面积较小，而水域主要体现在坝址及淹没区上（淹没引起水面上升，造成水域面积扩大）。因此，工程永久占地对土地利用类型的影响较小。</w:t>
      </w:r>
    </w:p>
    <w:p w14:paraId="3D8DFC7A">
      <w:pPr>
        <w:pStyle w:val="82"/>
        <w:framePr w:hSpace="0" w:wrap="auto" w:vAnchor="margin" w:hAnchor="text" w:xAlign="left" w:yAlign="inline"/>
      </w:pPr>
      <w:r>
        <w:rPr>
          <w:rFonts w:hint="eastAsia"/>
        </w:rPr>
        <w:t>表6-1-1  工程永久占地面积统计表  单位：hm</w:t>
      </w:r>
      <w:r>
        <w:rPr>
          <w:rFonts w:hint="eastAsia"/>
          <w:vertAlign w:val="superscript"/>
        </w:rPr>
        <w:t>2</w:t>
      </w:r>
    </w:p>
    <w:tbl>
      <w:tblPr>
        <w:tblStyle w:val="57"/>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06"/>
        <w:gridCol w:w="2119"/>
        <w:gridCol w:w="2041"/>
        <w:gridCol w:w="1786"/>
      </w:tblGrid>
      <w:tr w14:paraId="31DC00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06" w:type="dxa"/>
            <w:vAlign w:val="center"/>
          </w:tcPr>
          <w:p w14:paraId="23388FA0">
            <w:pPr>
              <w:pStyle w:val="84"/>
            </w:pPr>
            <w:r>
              <w:t>区域</w:t>
            </w:r>
          </w:p>
        </w:tc>
        <w:tc>
          <w:tcPr>
            <w:tcW w:w="2119" w:type="dxa"/>
            <w:vAlign w:val="center"/>
          </w:tcPr>
          <w:p w14:paraId="365F0AD5">
            <w:pPr>
              <w:pStyle w:val="84"/>
            </w:pPr>
            <w:r>
              <w:rPr>
                <w:rFonts w:hint="eastAsia"/>
              </w:rPr>
              <w:t>水域及水利设施</w:t>
            </w:r>
            <w:r>
              <w:t>用地</w:t>
            </w:r>
          </w:p>
        </w:tc>
        <w:tc>
          <w:tcPr>
            <w:tcW w:w="2041" w:type="dxa"/>
            <w:vAlign w:val="center"/>
          </w:tcPr>
          <w:p w14:paraId="198C5CEA">
            <w:pPr>
              <w:pStyle w:val="84"/>
            </w:pPr>
            <w:r>
              <w:rPr>
                <w:rFonts w:hint="eastAsia"/>
              </w:rPr>
              <w:t>坡耕地</w:t>
            </w:r>
          </w:p>
        </w:tc>
        <w:tc>
          <w:tcPr>
            <w:tcW w:w="1786" w:type="dxa"/>
            <w:vAlign w:val="center"/>
          </w:tcPr>
          <w:p w14:paraId="0ED275A2">
            <w:pPr>
              <w:pStyle w:val="84"/>
            </w:pPr>
            <w:r>
              <w:rPr>
                <w:rFonts w:hint="eastAsia"/>
              </w:rPr>
              <w:t>合计</w:t>
            </w:r>
          </w:p>
        </w:tc>
      </w:tr>
      <w:tr w14:paraId="7C9161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06" w:type="dxa"/>
            <w:vAlign w:val="center"/>
          </w:tcPr>
          <w:p w14:paraId="32D266FC">
            <w:pPr>
              <w:pStyle w:val="84"/>
            </w:pPr>
            <w:r>
              <w:rPr>
                <w:rFonts w:hint="eastAsia"/>
              </w:rPr>
              <w:t>大坝及厂区枢纽区</w:t>
            </w:r>
          </w:p>
        </w:tc>
        <w:tc>
          <w:tcPr>
            <w:tcW w:w="2119" w:type="dxa"/>
            <w:vAlign w:val="center"/>
          </w:tcPr>
          <w:p w14:paraId="148E9885">
            <w:pPr>
              <w:pStyle w:val="84"/>
            </w:pPr>
            <w:r>
              <w:rPr>
                <w:rFonts w:hint="eastAsia"/>
              </w:rPr>
              <w:t>0.</w:t>
            </w:r>
            <w:r>
              <w:t>32</w:t>
            </w:r>
          </w:p>
        </w:tc>
        <w:tc>
          <w:tcPr>
            <w:tcW w:w="2041" w:type="dxa"/>
            <w:vAlign w:val="center"/>
          </w:tcPr>
          <w:p w14:paraId="532C45D2">
            <w:pPr>
              <w:pStyle w:val="84"/>
            </w:pPr>
            <w:r>
              <w:rPr>
                <w:rFonts w:hint="eastAsia"/>
              </w:rPr>
              <w:t>0.</w:t>
            </w:r>
            <w:r>
              <w:t>59</w:t>
            </w:r>
          </w:p>
        </w:tc>
        <w:tc>
          <w:tcPr>
            <w:tcW w:w="1786" w:type="dxa"/>
            <w:vAlign w:val="center"/>
          </w:tcPr>
          <w:p w14:paraId="5735E93E">
            <w:pPr>
              <w:pStyle w:val="84"/>
            </w:pPr>
            <w:r>
              <w:rPr>
                <w:rFonts w:hint="eastAsia"/>
              </w:rPr>
              <w:t>0.91</w:t>
            </w:r>
          </w:p>
        </w:tc>
      </w:tr>
      <w:tr w14:paraId="5BA84F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06" w:type="dxa"/>
            <w:vAlign w:val="center"/>
          </w:tcPr>
          <w:p w14:paraId="522E9F35">
            <w:pPr>
              <w:pStyle w:val="84"/>
            </w:pPr>
            <w:r>
              <w:rPr>
                <w:rFonts w:hint="eastAsia"/>
              </w:rPr>
              <w:t>大坝淹没</w:t>
            </w:r>
            <w:r>
              <w:t>区</w:t>
            </w:r>
          </w:p>
        </w:tc>
        <w:tc>
          <w:tcPr>
            <w:tcW w:w="2119" w:type="dxa"/>
            <w:vAlign w:val="center"/>
          </w:tcPr>
          <w:p w14:paraId="3B21B0A8">
            <w:pPr>
              <w:pStyle w:val="84"/>
            </w:pPr>
            <w:r>
              <w:rPr>
                <w:rFonts w:hint="eastAsia"/>
              </w:rPr>
              <w:t>1.94</w:t>
            </w:r>
          </w:p>
        </w:tc>
        <w:tc>
          <w:tcPr>
            <w:tcW w:w="2041" w:type="dxa"/>
            <w:vAlign w:val="center"/>
          </w:tcPr>
          <w:p w14:paraId="2E1BC635">
            <w:pPr>
              <w:pStyle w:val="84"/>
            </w:pPr>
            <w:r>
              <w:rPr>
                <w:rFonts w:hint="eastAsia"/>
              </w:rPr>
              <w:t>0</w:t>
            </w:r>
            <w:r>
              <w:t>.18</w:t>
            </w:r>
          </w:p>
        </w:tc>
        <w:tc>
          <w:tcPr>
            <w:tcW w:w="1786" w:type="dxa"/>
            <w:vAlign w:val="center"/>
          </w:tcPr>
          <w:p w14:paraId="37AC1C63">
            <w:pPr>
              <w:pStyle w:val="84"/>
            </w:pPr>
            <w:r>
              <w:rPr>
                <w:rFonts w:hint="eastAsia"/>
              </w:rPr>
              <w:t>2.12</w:t>
            </w:r>
          </w:p>
        </w:tc>
      </w:tr>
      <w:tr w14:paraId="3FB378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06" w:type="dxa"/>
            <w:vAlign w:val="center"/>
          </w:tcPr>
          <w:p w14:paraId="67469568">
            <w:pPr>
              <w:pStyle w:val="84"/>
            </w:pPr>
            <w:r>
              <w:t>合计</w:t>
            </w:r>
          </w:p>
        </w:tc>
        <w:tc>
          <w:tcPr>
            <w:tcW w:w="2119" w:type="dxa"/>
            <w:vAlign w:val="center"/>
          </w:tcPr>
          <w:p w14:paraId="1E3BCB25">
            <w:pPr>
              <w:pStyle w:val="84"/>
            </w:pPr>
            <w:r>
              <w:rPr>
                <w:rFonts w:hint="eastAsia"/>
              </w:rPr>
              <w:t>2.26</w:t>
            </w:r>
          </w:p>
        </w:tc>
        <w:tc>
          <w:tcPr>
            <w:tcW w:w="2041" w:type="dxa"/>
            <w:vAlign w:val="center"/>
          </w:tcPr>
          <w:p w14:paraId="23582709">
            <w:pPr>
              <w:pStyle w:val="84"/>
            </w:pPr>
            <w:r>
              <w:rPr>
                <w:rFonts w:hint="eastAsia"/>
              </w:rPr>
              <w:t>0.77</w:t>
            </w:r>
          </w:p>
        </w:tc>
        <w:tc>
          <w:tcPr>
            <w:tcW w:w="1786" w:type="dxa"/>
            <w:vAlign w:val="center"/>
          </w:tcPr>
          <w:p w14:paraId="08AF8176">
            <w:pPr>
              <w:pStyle w:val="84"/>
            </w:pPr>
            <w:r>
              <w:rPr>
                <w:rFonts w:hint="eastAsia"/>
              </w:rPr>
              <w:t>3.03</w:t>
            </w:r>
          </w:p>
        </w:tc>
      </w:tr>
    </w:tbl>
    <w:p w14:paraId="68429075">
      <w:pPr>
        <w:spacing w:before="240"/>
        <w:ind w:firstLine="480"/>
        <w:rPr>
          <w:color w:val="FF0000"/>
        </w:rPr>
      </w:pPr>
      <w:r>
        <w:rPr>
          <w:rFonts w:hint="eastAsia"/>
          <w:color w:val="FF0000"/>
        </w:rPr>
        <w:t>2、临时占地</w:t>
      </w:r>
    </w:p>
    <w:p w14:paraId="493F21FC">
      <w:pPr>
        <w:ind w:firstLine="480"/>
        <w:rPr>
          <w:color w:val="FF0000"/>
        </w:rPr>
      </w:pPr>
      <w:r>
        <w:rPr>
          <w:rFonts w:hint="eastAsia"/>
          <w:color w:val="FF0000"/>
        </w:rPr>
        <w:t>工程</w:t>
      </w:r>
      <w:r>
        <w:rPr>
          <w:rFonts w:hint="eastAsia"/>
          <w:color w:val="FF0000"/>
          <w:szCs w:val="20"/>
        </w:rPr>
        <w:t>临</w:t>
      </w:r>
      <w:r>
        <w:rPr>
          <w:rFonts w:hint="eastAsia"/>
          <w:color w:val="FF0000"/>
        </w:rPr>
        <w:t>时用地主要为砂石料场、混凝土拌合站及施工生活区等，临时工程用地0.99</w:t>
      </w:r>
      <w:r>
        <w:rPr>
          <w:color w:val="FF0000"/>
          <w:szCs w:val="20"/>
        </w:rPr>
        <w:t>hm²</w:t>
      </w:r>
      <w:r>
        <w:rPr>
          <w:rFonts w:hint="eastAsia"/>
          <w:color w:val="FF0000"/>
          <w:szCs w:val="20"/>
        </w:rPr>
        <w:t>，</w:t>
      </w:r>
      <w:r>
        <w:rPr>
          <w:rFonts w:hint="eastAsia"/>
          <w:color w:val="FF0000"/>
        </w:rPr>
        <w:t>其中：水域及水利设施</w:t>
      </w:r>
      <w:r>
        <w:rPr>
          <w:color w:val="FF0000"/>
        </w:rPr>
        <w:t>用地</w:t>
      </w:r>
      <w:r>
        <w:rPr>
          <w:rFonts w:hint="eastAsia"/>
          <w:color w:val="FF0000"/>
        </w:rPr>
        <w:t>0.61</w:t>
      </w:r>
      <w:r>
        <w:rPr>
          <w:color w:val="FF0000"/>
          <w:szCs w:val="20"/>
        </w:rPr>
        <w:t>hm²</w:t>
      </w:r>
      <w:r>
        <w:rPr>
          <w:rFonts w:hint="eastAsia"/>
          <w:color w:val="FF0000"/>
        </w:rPr>
        <w:t>、坡耕地0.38</w:t>
      </w:r>
      <w:r>
        <w:rPr>
          <w:color w:val="FF0000"/>
          <w:szCs w:val="20"/>
        </w:rPr>
        <w:t>hm²</w:t>
      </w:r>
      <w:r>
        <w:rPr>
          <w:rFonts w:hint="eastAsia"/>
          <w:color w:val="FF0000"/>
        </w:rPr>
        <w:t>。具体情况见下表：</w:t>
      </w:r>
    </w:p>
    <w:p w14:paraId="3FD66A25">
      <w:pPr>
        <w:pStyle w:val="82"/>
        <w:framePr w:hSpace="0" w:wrap="auto" w:vAnchor="margin" w:hAnchor="text" w:xAlign="left" w:yAlign="inline"/>
        <w:rPr>
          <w:color w:val="FF0000"/>
        </w:rPr>
      </w:pPr>
      <w:r>
        <w:rPr>
          <w:rFonts w:hint="eastAsia"/>
          <w:color w:val="FF0000"/>
        </w:rPr>
        <w:t>表6-1-2  工程临时占地情况表  单位：hm</w:t>
      </w:r>
      <w:r>
        <w:rPr>
          <w:rFonts w:hint="eastAsia"/>
          <w:color w:val="FF0000"/>
          <w:vertAlign w:val="superscript"/>
        </w:rPr>
        <w:t>2</w:t>
      </w:r>
    </w:p>
    <w:tbl>
      <w:tblPr>
        <w:tblStyle w:val="57"/>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96"/>
        <w:gridCol w:w="2126"/>
        <w:gridCol w:w="1843"/>
        <w:gridCol w:w="1545"/>
      </w:tblGrid>
      <w:tr w14:paraId="43C837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96" w:type="dxa"/>
            <w:vAlign w:val="center"/>
          </w:tcPr>
          <w:p w14:paraId="71FFC448">
            <w:pPr>
              <w:pStyle w:val="84"/>
              <w:rPr>
                <w:color w:val="FF0000"/>
              </w:rPr>
            </w:pPr>
            <w:r>
              <w:rPr>
                <w:color w:val="FF0000"/>
              </w:rPr>
              <w:t>区域</w:t>
            </w:r>
          </w:p>
        </w:tc>
        <w:tc>
          <w:tcPr>
            <w:tcW w:w="2126" w:type="dxa"/>
            <w:vAlign w:val="center"/>
          </w:tcPr>
          <w:p w14:paraId="78D52A47">
            <w:pPr>
              <w:pStyle w:val="84"/>
              <w:rPr>
                <w:color w:val="FF0000"/>
              </w:rPr>
            </w:pPr>
            <w:r>
              <w:rPr>
                <w:rFonts w:hint="eastAsia"/>
                <w:color w:val="FF0000"/>
              </w:rPr>
              <w:t>水域及水利设施</w:t>
            </w:r>
            <w:r>
              <w:rPr>
                <w:color w:val="FF0000"/>
              </w:rPr>
              <w:t>用地</w:t>
            </w:r>
          </w:p>
        </w:tc>
        <w:tc>
          <w:tcPr>
            <w:tcW w:w="1843" w:type="dxa"/>
            <w:vAlign w:val="center"/>
          </w:tcPr>
          <w:p w14:paraId="734470FF">
            <w:pPr>
              <w:pStyle w:val="84"/>
              <w:rPr>
                <w:color w:val="FF0000"/>
              </w:rPr>
            </w:pPr>
            <w:r>
              <w:rPr>
                <w:rFonts w:hint="eastAsia"/>
                <w:color w:val="FF0000"/>
              </w:rPr>
              <w:t>坡耕地</w:t>
            </w:r>
          </w:p>
        </w:tc>
        <w:tc>
          <w:tcPr>
            <w:tcW w:w="1545" w:type="dxa"/>
            <w:vAlign w:val="center"/>
          </w:tcPr>
          <w:p w14:paraId="3F30FBEC">
            <w:pPr>
              <w:pStyle w:val="84"/>
              <w:rPr>
                <w:color w:val="FF0000"/>
              </w:rPr>
            </w:pPr>
            <w:r>
              <w:rPr>
                <w:rFonts w:hint="eastAsia"/>
                <w:color w:val="FF0000"/>
              </w:rPr>
              <w:t>合计</w:t>
            </w:r>
          </w:p>
        </w:tc>
      </w:tr>
      <w:tr w14:paraId="7F5B41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96" w:type="dxa"/>
            <w:vAlign w:val="center"/>
          </w:tcPr>
          <w:p w14:paraId="1C72BD05">
            <w:pPr>
              <w:pStyle w:val="84"/>
              <w:rPr>
                <w:color w:val="FF0000"/>
              </w:rPr>
            </w:pPr>
            <w:r>
              <w:rPr>
                <w:color w:val="FF0000"/>
              </w:rPr>
              <w:t>施工生产生活区</w:t>
            </w:r>
          </w:p>
        </w:tc>
        <w:tc>
          <w:tcPr>
            <w:tcW w:w="2126" w:type="dxa"/>
            <w:vAlign w:val="center"/>
          </w:tcPr>
          <w:p w14:paraId="0B3D2F01">
            <w:pPr>
              <w:pStyle w:val="84"/>
              <w:rPr>
                <w:color w:val="FF0000"/>
              </w:rPr>
            </w:pPr>
            <w:r>
              <w:rPr>
                <w:rFonts w:hint="eastAsia"/>
                <w:color w:val="FF0000"/>
              </w:rPr>
              <w:t>0</w:t>
            </w:r>
          </w:p>
        </w:tc>
        <w:tc>
          <w:tcPr>
            <w:tcW w:w="1843" w:type="dxa"/>
            <w:vAlign w:val="center"/>
          </w:tcPr>
          <w:p w14:paraId="74EE32B6">
            <w:pPr>
              <w:pStyle w:val="84"/>
              <w:rPr>
                <w:color w:val="FF0000"/>
              </w:rPr>
            </w:pPr>
            <w:r>
              <w:rPr>
                <w:rFonts w:hint="eastAsia"/>
                <w:color w:val="FF0000"/>
              </w:rPr>
              <w:t>0.38</w:t>
            </w:r>
          </w:p>
        </w:tc>
        <w:tc>
          <w:tcPr>
            <w:tcW w:w="1545" w:type="dxa"/>
            <w:vAlign w:val="center"/>
          </w:tcPr>
          <w:p w14:paraId="39EBD77C">
            <w:pPr>
              <w:pStyle w:val="84"/>
              <w:rPr>
                <w:color w:val="FF0000"/>
              </w:rPr>
            </w:pPr>
            <w:r>
              <w:rPr>
                <w:rFonts w:hint="eastAsia"/>
                <w:color w:val="FF0000"/>
              </w:rPr>
              <w:t>0.38</w:t>
            </w:r>
          </w:p>
        </w:tc>
      </w:tr>
      <w:tr w14:paraId="3C84B6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96" w:type="dxa"/>
            <w:vAlign w:val="center"/>
          </w:tcPr>
          <w:p w14:paraId="1DA1EE33">
            <w:pPr>
              <w:pStyle w:val="84"/>
              <w:rPr>
                <w:color w:val="FF0000"/>
              </w:rPr>
            </w:pPr>
            <w:r>
              <w:rPr>
                <w:rFonts w:hint="eastAsia"/>
                <w:color w:val="FF0000"/>
              </w:rPr>
              <w:t>下游1.8km处</w:t>
            </w:r>
            <w:r>
              <w:rPr>
                <w:color w:val="FF0000"/>
              </w:rPr>
              <w:t>砂砾料场区</w:t>
            </w:r>
          </w:p>
        </w:tc>
        <w:tc>
          <w:tcPr>
            <w:tcW w:w="2126" w:type="dxa"/>
            <w:vAlign w:val="center"/>
          </w:tcPr>
          <w:p w14:paraId="36EBA629">
            <w:pPr>
              <w:pStyle w:val="84"/>
              <w:rPr>
                <w:color w:val="FF0000"/>
              </w:rPr>
            </w:pPr>
            <w:r>
              <w:rPr>
                <w:rFonts w:hint="eastAsia"/>
                <w:color w:val="FF0000"/>
              </w:rPr>
              <w:t>0.61</w:t>
            </w:r>
          </w:p>
        </w:tc>
        <w:tc>
          <w:tcPr>
            <w:tcW w:w="1843" w:type="dxa"/>
            <w:vAlign w:val="center"/>
          </w:tcPr>
          <w:p w14:paraId="62469958">
            <w:pPr>
              <w:pStyle w:val="84"/>
              <w:rPr>
                <w:color w:val="FF0000"/>
              </w:rPr>
            </w:pPr>
            <w:r>
              <w:rPr>
                <w:rFonts w:hint="eastAsia"/>
                <w:color w:val="FF0000"/>
              </w:rPr>
              <w:t>0</w:t>
            </w:r>
          </w:p>
        </w:tc>
        <w:tc>
          <w:tcPr>
            <w:tcW w:w="1545" w:type="dxa"/>
            <w:vAlign w:val="center"/>
          </w:tcPr>
          <w:p w14:paraId="40D83C6E">
            <w:pPr>
              <w:pStyle w:val="84"/>
              <w:rPr>
                <w:color w:val="FF0000"/>
              </w:rPr>
            </w:pPr>
            <w:r>
              <w:rPr>
                <w:rFonts w:hint="eastAsia"/>
                <w:color w:val="FF0000"/>
              </w:rPr>
              <w:t>0.61</w:t>
            </w:r>
          </w:p>
        </w:tc>
      </w:tr>
      <w:tr w14:paraId="6E3661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96" w:type="dxa"/>
            <w:vAlign w:val="center"/>
          </w:tcPr>
          <w:p w14:paraId="50B237EF">
            <w:pPr>
              <w:pStyle w:val="84"/>
              <w:rPr>
                <w:color w:val="FF0000"/>
              </w:rPr>
            </w:pPr>
            <w:r>
              <w:rPr>
                <w:color w:val="FF0000"/>
              </w:rPr>
              <w:t>合计</w:t>
            </w:r>
          </w:p>
        </w:tc>
        <w:tc>
          <w:tcPr>
            <w:tcW w:w="2126" w:type="dxa"/>
            <w:vAlign w:val="center"/>
          </w:tcPr>
          <w:p w14:paraId="057ADFB3">
            <w:pPr>
              <w:pStyle w:val="84"/>
              <w:rPr>
                <w:color w:val="FF0000"/>
              </w:rPr>
            </w:pPr>
            <w:r>
              <w:rPr>
                <w:rFonts w:hint="eastAsia"/>
                <w:color w:val="FF0000"/>
              </w:rPr>
              <w:t>0.61</w:t>
            </w:r>
          </w:p>
        </w:tc>
        <w:tc>
          <w:tcPr>
            <w:tcW w:w="1843" w:type="dxa"/>
            <w:vAlign w:val="center"/>
          </w:tcPr>
          <w:p w14:paraId="3621A4D8">
            <w:pPr>
              <w:pStyle w:val="84"/>
              <w:rPr>
                <w:color w:val="FF0000"/>
              </w:rPr>
            </w:pPr>
            <w:r>
              <w:rPr>
                <w:rFonts w:hint="eastAsia"/>
                <w:color w:val="FF0000"/>
              </w:rPr>
              <w:t>0.38</w:t>
            </w:r>
          </w:p>
        </w:tc>
        <w:tc>
          <w:tcPr>
            <w:tcW w:w="1545" w:type="dxa"/>
            <w:vAlign w:val="center"/>
          </w:tcPr>
          <w:p w14:paraId="43150C46">
            <w:pPr>
              <w:pStyle w:val="84"/>
              <w:rPr>
                <w:color w:val="FF0000"/>
              </w:rPr>
            </w:pPr>
            <w:r>
              <w:rPr>
                <w:rFonts w:hint="eastAsia"/>
                <w:color w:val="FF0000"/>
              </w:rPr>
              <w:t>0.99</w:t>
            </w:r>
          </w:p>
        </w:tc>
      </w:tr>
    </w:tbl>
    <w:p w14:paraId="042E67FE">
      <w:pPr>
        <w:spacing w:before="240"/>
        <w:ind w:firstLine="480"/>
      </w:pPr>
      <w:r>
        <w:t>根据</w:t>
      </w:r>
      <w:r>
        <w:rPr>
          <w:rFonts w:hint="eastAsia"/>
        </w:rPr>
        <w:t>拟建</w:t>
      </w:r>
      <w:r>
        <w:t>工程施工进度安排，临时占用土地使用年限按</w:t>
      </w:r>
      <w:r>
        <w:rPr>
          <w:rFonts w:hint="eastAsia"/>
        </w:rPr>
        <w:t>1</w:t>
      </w:r>
      <w:r>
        <w:t>年计，临时占用结束后，</w:t>
      </w:r>
      <w:r>
        <w:rPr>
          <w:rFonts w:hint="eastAsia"/>
        </w:rPr>
        <w:t>将</w:t>
      </w:r>
      <w:r>
        <w:t>通过植被恢复措施使其原来土地的性质和功能得到一定程度的恢复</w:t>
      </w:r>
      <w:r>
        <w:rPr>
          <w:rFonts w:hint="eastAsia"/>
        </w:rPr>
        <w:t>，因此项目临时占地对原有土地分布格局不会造成太大影响。</w:t>
      </w:r>
    </w:p>
    <w:p w14:paraId="06DA9F42">
      <w:pPr>
        <w:spacing w:before="120"/>
        <w:ind w:firstLine="480"/>
      </w:pPr>
      <w:r>
        <w:rPr>
          <w:rFonts w:hint="eastAsia"/>
        </w:rPr>
        <w:t>综上，工程占地不涉及基本农田和林地，所占用的耕地面积较小，也不涉及移民迁移安置，拟建项目对评价区内的土地利用状况影响很小，不会对区域土地利用状况产生大的影响。</w:t>
      </w:r>
    </w:p>
    <w:p w14:paraId="61746C52">
      <w:pPr>
        <w:pStyle w:val="113"/>
      </w:pPr>
      <w:bookmarkStart w:id="628" w:name="_Toc443655453"/>
      <w:bookmarkStart w:id="629" w:name="_Toc471738034"/>
      <w:bookmarkStart w:id="630" w:name="_Toc454046554"/>
      <w:bookmarkStart w:id="631" w:name="_Toc508642479"/>
      <w:r>
        <w:t>6.1.</w:t>
      </w:r>
      <w:r>
        <w:rPr>
          <w:rFonts w:hint="eastAsia"/>
        </w:rPr>
        <w:t>2对景观生态体系</w:t>
      </w:r>
      <w:bookmarkEnd w:id="628"/>
      <w:r>
        <w:rPr>
          <w:rFonts w:hint="eastAsia"/>
        </w:rPr>
        <w:t>的影响分析</w:t>
      </w:r>
      <w:bookmarkEnd w:id="629"/>
      <w:bookmarkEnd w:id="630"/>
      <w:bookmarkEnd w:id="631"/>
    </w:p>
    <w:p w14:paraId="19AB3695">
      <w:pPr>
        <w:pStyle w:val="141"/>
      </w:pPr>
      <w:r>
        <w:t>6.1.</w:t>
      </w:r>
      <w:r>
        <w:rPr>
          <w:rFonts w:hint="eastAsia"/>
        </w:rPr>
        <w:t>2</w:t>
      </w:r>
      <w:r>
        <w:t>.1景观生态体系质量</w:t>
      </w:r>
      <w:r>
        <w:rPr>
          <w:rFonts w:hint="eastAsia"/>
        </w:rPr>
        <w:t>影响</w:t>
      </w:r>
    </w:p>
    <w:p w14:paraId="5E78882B">
      <w:pPr>
        <w:adjustRightInd w:val="0"/>
        <w:snapToGrid w:val="0"/>
        <w:ind w:firstLine="480"/>
        <w:rPr>
          <w:szCs w:val="24"/>
        </w:rPr>
      </w:pPr>
      <w:r>
        <w:rPr>
          <w:szCs w:val="24"/>
        </w:rPr>
        <w:t>景观生态系统的质量现状由生态评价范围域内的自然环境、各种生物以及人类社会之间复杂的相互作用来决定。从景观生态学结构与功能相匹配的理论来说，结构是否合理决定了景观功能的优劣，在组成景观生态系统的各类组分中，模地是景观的背景区域，它在很大程度上决定了景观的性质，对景观的动态起着主导作用。本</w:t>
      </w:r>
      <w:r>
        <w:rPr>
          <w:rFonts w:hint="eastAsia"/>
          <w:szCs w:val="24"/>
        </w:rPr>
        <w:t>次</w:t>
      </w:r>
      <w:r>
        <w:rPr>
          <w:szCs w:val="24"/>
        </w:rPr>
        <w:t>评价模地主要采用传统的生态学方法来确定，即计算组成景观的各类拼块的优势度值（Do），优势度值大的就是模地。优势度值通过计算评价范围内各拼块的重要值的方法判定某拼块在景观中的优势，由以下3种参数计算出：密度（Rd）、频度（Rf）和景观比例（Lp）。（样方标准是以0.5 km×0.5 km为一个样方，对景观全覆盖取样，并用Merrington Maxint-分布点的面分比表进行检验）。</w:t>
      </w:r>
    </w:p>
    <w:p w14:paraId="29116975">
      <w:pPr>
        <w:ind w:firstLine="480"/>
      </w:pPr>
      <w:r>
        <w:t>密度Rd ＝ 嵌块I的数目/嵌块总数 ×100%</w:t>
      </w:r>
    </w:p>
    <w:p w14:paraId="1876D66B">
      <w:pPr>
        <w:ind w:firstLine="480"/>
      </w:pPr>
      <w:r>
        <w:t>频度Rf ＝ 嵌块I出现的样方数/总样方数 ×100%</w:t>
      </w:r>
    </w:p>
    <w:p w14:paraId="22E62C80">
      <w:pPr>
        <w:ind w:firstLine="480"/>
      </w:pPr>
      <w:r>
        <w:t>景观比例（Lp）=嵌块I的面积/样地总面积 ×100%</w:t>
      </w:r>
    </w:p>
    <w:p w14:paraId="6B2F6870">
      <w:pPr>
        <w:ind w:firstLine="480"/>
      </w:pPr>
      <w:r>
        <w:t>通过以上三个参数计算出优势度值（Do）</w:t>
      </w:r>
      <w:r>
        <w:rPr>
          <w:rFonts w:hint="eastAsia"/>
        </w:rPr>
        <w:t>：</w:t>
      </w:r>
    </w:p>
    <w:p w14:paraId="78047416">
      <w:pPr>
        <w:ind w:firstLine="480"/>
      </w:pPr>
      <w:r>
        <w:t>优势度值（Do）= {（Rd+Rf）/2 + Lp}/2 ×100%</w:t>
      </w:r>
    </w:p>
    <w:p w14:paraId="3892F0A2">
      <w:pPr>
        <w:adjustRightInd w:val="0"/>
        <w:snapToGrid w:val="0"/>
        <w:ind w:firstLine="480"/>
        <w:rPr>
          <w:szCs w:val="24"/>
        </w:rPr>
      </w:pPr>
      <w:r>
        <w:rPr>
          <w:szCs w:val="24"/>
        </w:rPr>
        <w:t>运用上述参数计算</w:t>
      </w:r>
      <w:r>
        <w:rPr>
          <w:rFonts w:hint="eastAsia"/>
          <w:szCs w:val="24"/>
        </w:rPr>
        <w:t>拟建</w:t>
      </w:r>
      <w:r>
        <w:rPr>
          <w:szCs w:val="24"/>
        </w:rPr>
        <w:t>项目</w:t>
      </w:r>
      <w:r>
        <w:rPr>
          <w:rFonts w:hint="eastAsia"/>
          <w:szCs w:val="24"/>
        </w:rPr>
        <w:t>建设前</w:t>
      </w:r>
      <w:r>
        <w:rPr>
          <w:szCs w:val="24"/>
        </w:rPr>
        <w:t>生态评价范围各类拼块优势度值，其结果见</w:t>
      </w:r>
      <w:r>
        <w:rPr>
          <w:rFonts w:hint="eastAsia"/>
          <w:szCs w:val="24"/>
        </w:rPr>
        <w:t>下表：</w:t>
      </w:r>
    </w:p>
    <w:p w14:paraId="567396AE">
      <w:pPr>
        <w:pStyle w:val="82"/>
        <w:framePr w:hSpace="0" w:wrap="auto" w:vAnchor="margin" w:hAnchor="text" w:xAlign="left" w:yAlign="inline"/>
      </w:pPr>
      <w:r>
        <w:t>表</w:t>
      </w:r>
      <w:r>
        <w:rPr>
          <w:rFonts w:hint="eastAsia"/>
        </w:rPr>
        <w:t xml:space="preserve">6-1-3  </w:t>
      </w:r>
      <w:r>
        <w:t>评价区内各类缀块优势度值现状统计表</w:t>
      </w:r>
    </w:p>
    <w:tbl>
      <w:tblPr>
        <w:tblStyle w:val="56"/>
        <w:tblW w:w="8994"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236"/>
        <w:gridCol w:w="1689"/>
        <w:gridCol w:w="1690"/>
        <w:gridCol w:w="1689"/>
        <w:gridCol w:w="1690"/>
      </w:tblGrid>
      <w:tr w14:paraId="2A6F8D2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236" w:type="dxa"/>
            <w:vAlign w:val="center"/>
          </w:tcPr>
          <w:p w14:paraId="127BC92A">
            <w:pPr>
              <w:pStyle w:val="84"/>
            </w:pPr>
            <w:r>
              <w:t>景观类型</w:t>
            </w:r>
          </w:p>
        </w:tc>
        <w:tc>
          <w:tcPr>
            <w:tcW w:w="1689" w:type="dxa"/>
            <w:vAlign w:val="center"/>
          </w:tcPr>
          <w:p w14:paraId="5AD26D62">
            <w:pPr>
              <w:pStyle w:val="84"/>
            </w:pPr>
            <w:r>
              <w:t>密度(Rd/%)</w:t>
            </w:r>
          </w:p>
        </w:tc>
        <w:tc>
          <w:tcPr>
            <w:tcW w:w="1690" w:type="dxa"/>
            <w:vAlign w:val="center"/>
          </w:tcPr>
          <w:p w14:paraId="62B04F01">
            <w:pPr>
              <w:pStyle w:val="84"/>
            </w:pPr>
            <w:r>
              <w:t>频率(Rf%)</w:t>
            </w:r>
          </w:p>
        </w:tc>
        <w:tc>
          <w:tcPr>
            <w:tcW w:w="1689" w:type="dxa"/>
            <w:vAlign w:val="center"/>
          </w:tcPr>
          <w:p w14:paraId="32F9033A">
            <w:pPr>
              <w:pStyle w:val="84"/>
            </w:pPr>
            <w:r>
              <w:t>景观比例(Lp%)</w:t>
            </w:r>
          </w:p>
        </w:tc>
        <w:tc>
          <w:tcPr>
            <w:tcW w:w="1690" w:type="dxa"/>
            <w:vAlign w:val="center"/>
          </w:tcPr>
          <w:p w14:paraId="523B6E92">
            <w:pPr>
              <w:pStyle w:val="84"/>
            </w:pPr>
            <w:r>
              <w:t>优势度(Do%)</w:t>
            </w:r>
          </w:p>
        </w:tc>
      </w:tr>
      <w:tr w14:paraId="0D32743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236" w:type="dxa"/>
            <w:shd w:val="clear" w:color="auto" w:fill="auto"/>
            <w:vAlign w:val="center"/>
          </w:tcPr>
          <w:p w14:paraId="1DA76C41">
            <w:pPr>
              <w:pStyle w:val="84"/>
            </w:pPr>
            <w:r>
              <w:t>林  地</w:t>
            </w:r>
          </w:p>
        </w:tc>
        <w:tc>
          <w:tcPr>
            <w:tcW w:w="1689" w:type="dxa"/>
            <w:shd w:val="clear" w:color="auto" w:fill="auto"/>
            <w:vAlign w:val="center"/>
          </w:tcPr>
          <w:p w14:paraId="489105E4">
            <w:pPr>
              <w:pStyle w:val="84"/>
            </w:pPr>
            <w:r>
              <w:rPr>
                <w:rFonts w:hint="eastAsia"/>
              </w:rPr>
              <w:t>59.14</w:t>
            </w:r>
          </w:p>
        </w:tc>
        <w:tc>
          <w:tcPr>
            <w:tcW w:w="1690" w:type="dxa"/>
            <w:vAlign w:val="center"/>
          </w:tcPr>
          <w:p w14:paraId="0CE173D4">
            <w:pPr>
              <w:pStyle w:val="84"/>
            </w:pPr>
            <w:r>
              <w:rPr>
                <w:rFonts w:hint="eastAsia"/>
              </w:rPr>
              <w:t>56.43</w:t>
            </w:r>
          </w:p>
        </w:tc>
        <w:tc>
          <w:tcPr>
            <w:tcW w:w="1689" w:type="dxa"/>
            <w:vAlign w:val="center"/>
          </w:tcPr>
          <w:p w14:paraId="7D632832">
            <w:pPr>
              <w:pStyle w:val="84"/>
            </w:pPr>
            <w:r>
              <w:rPr>
                <w:rFonts w:hint="eastAsia"/>
              </w:rPr>
              <w:t>69.42</w:t>
            </w:r>
          </w:p>
        </w:tc>
        <w:tc>
          <w:tcPr>
            <w:tcW w:w="1690" w:type="dxa"/>
            <w:vAlign w:val="center"/>
          </w:tcPr>
          <w:p w14:paraId="4FDDA1E9">
            <w:pPr>
              <w:pStyle w:val="84"/>
            </w:pPr>
            <w:r>
              <w:rPr>
                <w:rFonts w:hint="eastAsia"/>
              </w:rPr>
              <w:t>63.6</w:t>
            </w:r>
          </w:p>
        </w:tc>
      </w:tr>
      <w:tr w14:paraId="3FAA1D5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236" w:type="dxa"/>
            <w:shd w:val="clear" w:color="auto" w:fill="auto"/>
            <w:vAlign w:val="center"/>
          </w:tcPr>
          <w:p w14:paraId="5B3BAC86">
            <w:pPr>
              <w:pStyle w:val="84"/>
            </w:pPr>
            <w:r>
              <w:t>草地</w:t>
            </w:r>
          </w:p>
        </w:tc>
        <w:tc>
          <w:tcPr>
            <w:tcW w:w="1689" w:type="dxa"/>
            <w:shd w:val="clear" w:color="auto" w:fill="auto"/>
            <w:vAlign w:val="center"/>
          </w:tcPr>
          <w:p w14:paraId="7FBD30BE">
            <w:pPr>
              <w:pStyle w:val="84"/>
            </w:pPr>
            <w:r>
              <w:rPr>
                <w:rFonts w:hint="eastAsia"/>
              </w:rPr>
              <w:t>16.14</w:t>
            </w:r>
          </w:p>
        </w:tc>
        <w:tc>
          <w:tcPr>
            <w:tcW w:w="1690" w:type="dxa"/>
            <w:vAlign w:val="center"/>
          </w:tcPr>
          <w:p w14:paraId="49974BCC">
            <w:pPr>
              <w:pStyle w:val="84"/>
            </w:pPr>
            <w:r>
              <w:rPr>
                <w:rFonts w:hint="eastAsia"/>
              </w:rPr>
              <w:t>19.21</w:t>
            </w:r>
          </w:p>
        </w:tc>
        <w:tc>
          <w:tcPr>
            <w:tcW w:w="1689" w:type="dxa"/>
            <w:vAlign w:val="center"/>
          </w:tcPr>
          <w:p w14:paraId="63F7F0DE">
            <w:pPr>
              <w:pStyle w:val="84"/>
            </w:pPr>
            <w:r>
              <w:rPr>
                <w:rFonts w:hint="eastAsia"/>
              </w:rPr>
              <w:t>14.42</w:t>
            </w:r>
          </w:p>
        </w:tc>
        <w:tc>
          <w:tcPr>
            <w:tcW w:w="1690" w:type="dxa"/>
            <w:vAlign w:val="center"/>
          </w:tcPr>
          <w:p w14:paraId="61E6602E">
            <w:pPr>
              <w:pStyle w:val="84"/>
            </w:pPr>
            <w:r>
              <w:rPr>
                <w:rFonts w:hint="eastAsia"/>
              </w:rPr>
              <w:t>16.05</w:t>
            </w:r>
          </w:p>
        </w:tc>
      </w:tr>
    </w:tbl>
    <w:p w14:paraId="5F949D09">
      <w:pPr>
        <w:adjustRightInd w:val="0"/>
        <w:snapToGrid w:val="0"/>
        <w:spacing w:before="240" w:beforeLines="100"/>
        <w:ind w:firstLine="480"/>
        <w:rPr>
          <w:szCs w:val="24"/>
        </w:rPr>
      </w:pPr>
      <w:r>
        <w:rPr>
          <w:szCs w:val="24"/>
        </w:rPr>
        <w:t>对上表的分析表明：评价区</w:t>
      </w:r>
      <w:r>
        <w:rPr>
          <w:rFonts w:hint="eastAsia"/>
          <w:szCs w:val="24"/>
        </w:rPr>
        <w:t>林</w:t>
      </w:r>
      <w:r>
        <w:rPr>
          <w:szCs w:val="24"/>
        </w:rPr>
        <w:t>地的优势度值Do（</w:t>
      </w:r>
      <w:r>
        <w:rPr>
          <w:rFonts w:hint="eastAsia"/>
          <w:szCs w:val="24"/>
        </w:rPr>
        <w:t>63.6</w:t>
      </w:r>
      <w:r>
        <w:rPr>
          <w:szCs w:val="24"/>
        </w:rPr>
        <w:t>%）、密度Rd（</w:t>
      </w:r>
      <w:r>
        <w:rPr>
          <w:rFonts w:hint="eastAsia"/>
          <w:szCs w:val="24"/>
        </w:rPr>
        <w:t>59.14</w:t>
      </w:r>
      <w:r>
        <w:rPr>
          <w:szCs w:val="24"/>
        </w:rPr>
        <w:t>%）、频度Rf（</w:t>
      </w:r>
      <w:r>
        <w:rPr>
          <w:rFonts w:hint="eastAsia"/>
          <w:szCs w:val="24"/>
        </w:rPr>
        <w:t>56.43</w:t>
      </w:r>
      <w:r>
        <w:rPr>
          <w:szCs w:val="24"/>
        </w:rPr>
        <w:t>%）和景观比例Lp（</w:t>
      </w:r>
      <w:r>
        <w:rPr>
          <w:rFonts w:hint="eastAsia"/>
          <w:szCs w:val="24"/>
        </w:rPr>
        <w:t>69.42</w:t>
      </w:r>
      <w:r>
        <w:rPr>
          <w:szCs w:val="24"/>
        </w:rPr>
        <w:t>%）都显著高于其它拼块类型，评价区内</w:t>
      </w:r>
      <w:r>
        <w:rPr>
          <w:rFonts w:hint="eastAsia"/>
          <w:szCs w:val="24"/>
        </w:rPr>
        <w:t>林</w:t>
      </w:r>
      <w:r>
        <w:rPr>
          <w:szCs w:val="24"/>
        </w:rPr>
        <w:t>地的分布较为广泛。在评价区内</w:t>
      </w:r>
      <w:r>
        <w:rPr>
          <w:rFonts w:hint="eastAsia"/>
          <w:szCs w:val="24"/>
        </w:rPr>
        <w:t>林</w:t>
      </w:r>
      <w:r>
        <w:rPr>
          <w:szCs w:val="24"/>
        </w:rPr>
        <w:t>地是本区域内对景观具有控制作用的生态体系部分。</w:t>
      </w:r>
    </w:p>
    <w:p w14:paraId="42BDA438">
      <w:pPr>
        <w:adjustRightInd w:val="0"/>
        <w:snapToGrid w:val="0"/>
        <w:ind w:firstLine="480"/>
        <w:rPr>
          <w:szCs w:val="24"/>
        </w:rPr>
      </w:pPr>
      <w:r>
        <w:rPr>
          <w:rFonts w:hint="eastAsia"/>
          <w:szCs w:val="24"/>
        </w:rPr>
        <w:t>拟建</w:t>
      </w:r>
      <w:r>
        <w:rPr>
          <w:szCs w:val="24"/>
        </w:rPr>
        <w:t>项目</w:t>
      </w:r>
      <w:r>
        <w:rPr>
          <w:rFonts w:hint="eastAsia"/>
          <w:szCs w:val="24"/>
        </w:rPr>
        <w:t>建成后</w:t>
      </w:r>
      <w:r>
        <w:rPr>
          <w:szCs w:val="24"/>
        </w:rPr>
        <w:t>生态评价范围各类拼块优势度值见</w:t>
      </w:r>
      <w:r>
        <w:rPr>
          <w:rFonts w:hint="eastAsia"/>
          <w:szCs w:val="24"/>
        </w:rPr>
        <w:t>下表：</w:t>
      </w:r>
    </w:p>
    <w:p w14:paraId="54BFE97A">
      <w:pPr>
        <w:pStyle w:val="82"/>
        <w:framePr w:hSpace="0" w:wrap="auto" w:vAnchor="margin" w:hAnchor="text" w:xAlign="left" w:yAlign="inline"/>
      </w:pPr>
      <w:r>
        <w:t>表</w:t>
      </w:r>
      <w:r>
        <w:rPr>
          <w:rFonts w:hint="eastAsia"/>
        </w:rPr>
        <w:t>6-1-4  项目建设后</w:t>
      </w:r>
      <w:r>
        <w:t>评价区内各类缀块优势度值统计表</w:t>
      </w:r>
    </w:p>
    <w:tbl>
      <w:tblPr>
        <w:tblStyle w:val="56"/>
        <w:tblW w:w="8994"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236"/>
        <w:gridCol w:w="1689"/>
        <w:gridCol w:w="1690"/>
        <w:gridCol w:w="1689"/>
        <w:gridCol w:w="1690"/>
      </w:tblGrid>
      <w:tr w14:paraId="5DDCAAE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236" w:type="dxa"/>
            <w:vAlign w:val="center"/>
          </w:tcPr>
          <w:p w14:paraId="6CA44AE4">
            <w:pPr>
              <w:pStyle w:val="84"/>
            </w:pPr>
            <w:r>
              <w:t>景观类型</w:t>
            </w:r>
          </w:p>
        </w:tc>
        <w:tc>
          <w:tcPr>
            <w:tcW w:w="1689" w:type="dxa"/>
            <w:vAlign w:val="center"/>
          </w:tcPr>
          <w:p w14:paraId="2BDFEB2E">
            <w:pPr>
              <w:pStyle w:val="84"/>
            </w:pPr>
            <w:r>
              <w:t>密度(Rd/%)</w:t>
            </w:r>
          </w:p>
        </w:tc>
        <w:tc>
          <w:tcPr>
            <w:tcW w:w="1690" w:type="dxa"/>
            <w:vAlign w:val="center"/>
          </w:tcPr>
          <w:p w14:paraId="7E7BC85E">
            <w:pPr>
              <w:pStyle w:val="84"/>
            </w:pPr>
            <w:r>
              <w:t>频率(Rf%)</w:t>
            </w:r>
          </w:p>
        </w:tc>
        <w:tc>
          <w:tcPr>
            <w:tcW w:w="1689" w:type="dxa"/>
            <w:vAlign w:val="center"/>
          </w:tcPr>
          <w:p w14:paraId="674B4CFC">
            <w:pPr>
              <w:pStyle w:val="84"/>
            </w:pPr>
            <w:r>
              <w:t>景观比例(Lp%)</w:t>
            </w:r>
          </w:p>
        </w:tc>
        <w:tc>
          <w:tcPr>
            <w:tcW w:w="1690" w:type="dxa"/>
            <w:vAlign w:val="center"/>
          </w:tcPr>
          <w:p w14:paraId="07EC8E5B">
            <w:pPr>
              <w:pStyle w:val="84"/>
            </w:pPr>
            <w:r>
              <w:t>优势度(Do%)</w:t>
            </w:r>
          </w:p>
        </w:tc>
      </w:tr>
      <w:tr w14:paraId="0DE16D2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236" w:type="dxa"/>
            <w:shd w:val="clear" w:color="auto" w:fill="auto"/>
            <w:vAlign w:val="center"/>
          </w:tcPr>
          <w:p w14:paraId="785A2F64">
            <w:pPr>
              <w:pStyle w:val="84"/>
            </w:pPr>
            <w:r>
              <w:t>林  地</w:t>
            </w:r>
          </w:p>
        </w:tc>
        <w:tc>
          <w:tcPr>
            <w:tcW w:w="1689" w:type="dxa"/>
            <w:shd w:val="clear" w:color="auto" w:fill="auto"/>
            <w:vAlign w:val="center"/>
          </w:tcPr>
          <w:p w14:paraId="69339D79">
            <w:pPr>
              <w:pStyle w:val="84"/>
            </w:pPr>
            <w:r>
              <w:rPr>
                <w:rFonts w:hint="eastAsia"/>
              </w:rPr>
              <w:t>38.81</w:t>
            </w:r>
          </w:p>
        </w:tc>
        <w:tc>
          <w:tcPr>
            <w:tcW w:w="1690" w:type="dxa"/>
            <w:vAlign w:val="center"/>
          </w:tcPr>
          <w:p w14:paraId="182686DF">
            <w:pPr>
              <w:pStyle w:val="84"/>
            </w:pPr>
            <w:r>
              <w:rPr>
                <w:rFonts w:hint="eastAsia"/>
              </w:rPr>
              <w:t>37.03</w:t>
            </w:r>
          </w:p>
        </w:tc>
        <w:tc>
          <w:tcPr>
            <w:tcW w:w="1689" w:type="dxa"/>
            <w:vAlign w:val="center"/>
          </w:tcPr>
          <w:p w14:paraId="5A52D804">
            <w:pPr>
              <w:pStyle w:val="84"/>
            </w:pPr>
            <w:r>
              <w:rPr>
                <w:rFonts w:hint="eastAsia"/>
              </w:rPr>
              <w:t>45.55</w:t>
            </w:r>
          </w:p>
        </w:tc>
        <w:tc>
          <w:tcPr>
            <w:tcW w:w="1690" w:type="dxa"/>
            <w:vAlign w:val="center"/>
          </w:tcPr>
          <w:p w14:paraId="7909E236">
            <w:pPr>
              <w:pStyle w:val="84"/>
            </w:pPr>
            <w:r>
              <w:rPr>
                <w:rFonts w:hint="eastAsia"/>
              </w:rPr>
              <w:t>41.73</w:t>
            </w:r>
          </w:p>
        </w:tc>
      </w:tr>
      <w:tr w14:paraId="017BC0B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236" w:type="dxa"/>
            <w:shd w:val="clear" w:color="auto" w:fill="auto"/>
            <w:vAlign w:val="center"/>
          </w:tcPr>
          <w:p w14:paraId="67721FC5">
            <w:pPr>
              <w:pStyle w:val="84"/>
            </w:pPr>
            <w:r>
              <w:t>草地</w:t>
            </w:r>
          </w:p>
        </w:tc>
        <w:tc>
          <w:tcPr>
            <w:tcW w:w="1689" w:type="dxa"/>
            <w:shd w:val="clear" w:color="auto" w:fill="auto"/>
            <w:vAlign w:val="center"/>
          </w:tcPr>
          <w:p w14:paraId="6F9A6DAF">
            <w:pPr>
              <w:pStyle w:val="84"/>
            </w:pPr>
            <w:r>
              <w:rPr>
                <w:rFonts w:hint="eastAsia"/>
              </w:rPr>
              <w:t>11.14</w:t>
            </w:r>
          </w:p>
        </w:tc>
        <w:tc>
          <w:tcPr>
            <w:tcW w:w="1690" w:type="dxa"/>
            <w:vAlign w:val="center"/>
          </w:tcPr>
          <w:p w14:paraId="23438E7C">
            <w:pPr>
              <w:pStyle w:val="84"/>
            </w:pPr>
            <w:r>
              <w:rPr>
                <w:rFonts w:hint="eastAsia"/>
              </w:rPr>
              <w:t>14.21</w:t>
            </w:r>
          </w:p>
        </w:tc>
        <w:tc>
          <w:tcPr>
            <w:tcW w:w="1689" w:type="dxa"/>
            <w:vAlign w:val="center"/>
          </w:tcPr>
          <w:p w14:paraId="1CF1DF97">
            <w:pPr>
              <w:pStyle w:val="84"/>
            </w:pPr>
            <w:r>
              <w:rPr>
                <w:rFonts w:hint="eastAsia"/>
              </w:rPr>
              <w:t>10.42</w:t>
            </w:r>
          </w:p>
        </w:tc>
        <w:tc>
          <w:tcPr>
            <w:tcW w:w="1690" w:type="dxa"/>
            <w:vAlign w:val="center"/>
          </w:tcPr>
          <w:p w14:paraId="2AE95CA1">
            <w:pPr>
              <w:pStyle w:val="84"/>
            </w:pPr>
            <w:r>
              <w:rPr>
                <w:rFonts w:hint="eastAsia"/>
              </w:rPr>
              <w:t>12.05</w:t>
            </w:r>
          </w:p>
        </w:tc>
      </w:tr>
      <w:tr w14:paraId="693BB85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236" w:type="dxa"/>
            <w:shd w:val="clear" w:color="auto" w:fill="auto"/>
            <w:vAlign w:val="center"/>
          </w:tcPr>
          <w:p w14:paraId="6CECDFDD">
            <w:pPr>
              <w:pStyle w:val="84"/>
            </w:pPr>
            <w:r>
              <w:rPr>
                <w:rFonts w:hint="eastAsia"/>
              </w:rPr>
              <w:t>建成景观</w:t>
            </w:r>
          </w:p>
        </w:tc>
        <w:tc>
          <w:tcPr>
            <w:tcW w:w="1689" w:type="dxa"/>
            <w:shd w:val="clear" w:color="auto" w:fill="auto"/>
            <w:vAlign w:val="center"/>
          </w:tcPr>
          <w:p w14:paraId="0B25A7C2">
            <w:pPr>
              <w:pStyle w:val="84"/>
            </w:pPr>
            <w:r>
              <w:rPr>
                <w:rFonts w:hint="eastAsia"/>
              </w:rPr>
              <w:t>25.33</w:t>
            </w:r>
          </w:p>
        </w:tc>
        <w:tc>
          <w:tcPr>
            <w:tcW w:w="1690" w:type="dxa"/>
            <w:vAlign w:val="center"/>
          </w:tcPr>
          <w:p w14:paraId="4406D35F">
            <w:pPr>
              <w:pStyle w:val="84"/>
            </w:pPr>
            <w:r>
              <w:rPr>
                <w:rFonts w:hint="eastAsia"/>
              </w:rPr>
              <w:t>24.2</w:t>
            </w:r>
          </w:p>
        </w:tc>
        <w:tc>
          <w:tcPr>
            <w:tcW w:w="1689" w:type="dxa"/>
            <w:vAlign w:val="center"/>
          </w:tcPr>
          <w:p w14:paraId="3A660E7C">
            <w:pPr>
              <w:pStyle w:val="84"/>
            </w:pPr>
            <w:r>
              <w:rPr>
                <w:rFonts w:hint="eastAsia"/>
              </w:rPr>
              <w:t>27.87</w:t>
            </w:r>
          </w:p>
        </w:tc>
        <w:tc>
          <w:tcPr>
            <w:tcW w:w="1690" w:type="dxa"/>
            <w:vAlign w:val="center"/>
          </w:tcPr>
          <w:p w14:paraId="5DA8C7DF">
            <w:pPr>
              <w:pStyle w:val="84"/>
            </w:pPr>
            <w:r>
              <w:rPr>
                <w:rFonts w:hint="eastAsia"/>
              </w:rPr>
              <w:t>25.87</w:t>
            </w:r>
          </w:p>
        </w:tc>
      </w:tr>
    </w:tbl>
    <w:p w14:paraId="30268376">
      <w:pPr>
        <w:spacing w:before="240"/>
        <w:ind w:firstLine="480"/>
      </w:pPr>
      <w:r>
        <w:rPr>
          <w:rFonts w:hint="eastAsia"/>
        </w:rPr>
        <w:t>对比项目建设前后评价区优势度计算结果，林地景观较建设前大幅度减少，其优势度下降了34.4%；草地景观主要处于水库淹没区，但淹没面积不大，其优势度下降了24.9%；拟建项目建成后，区内原有的林地景观和草地景观被各类建筑物所覆盖，建成景观优势度为25.87%。</w:t>
      </w:r>
    </w:p>
    <w:p w14:paraId="79E2624E">
      <w:pPr>
        <w:pStyle w:val="141"/>
      </w:pPr>
      <w:r>
        <w:rPr>
          <w:rFonts w:hint="eastAsia"/>
        </w:rPr>
        <w:t>6.1.2.2景观空间格局的影响</w:t>
      </w:r>
    </w:p>
    <w:p w14:paraId="0763341A">
      <w:pPr>
        <w:ind w:firstLine="480"/>
      </w:pPr>
      <w:r>
        <w:rPr>
          <w:rFonts w:hint="eastAsia"/>
        </w:rPr>
        <w:t>受影响的景观类型主要有森林景观、草丛景观、河流景观，工程建设对这些景观将产生不同程度的影响。</w:t>
      </w:r>
    </w:p>
    <w:p w14:paraId="735FDD73">
      <w:pPr>
        <w:ind w:firstLine="480"/>
      </w:pPr>
      <w:r>
        <w:rPr>
          <w:rFonts w:hint="eastAsia"/>
        </w:rPr>
        <w:t>团结水电站建设对景观的影响体现在工程建设过程的影响和工程运行后的影响两方面。工程建设过程中，在厂房附近的河岸区布置临时施工场地，筑坝导致的水域面积扩大等，都会形成新的廊道和斑块，景观单元特征和景观异质性等景观空间格局发生一定变化。随着水库的建设和运行，该区域的景观多样性指数有所降低，但变化幅度较小。变化原因：一方面，由于工程建设临时占地和永久占地，导致森林景观、草丛景观面积的减少，建成景观（建筑物和交通占地）的增加；另一方面则是大坝建成后，水位上升会淹没部分草地、林地等，水域景观面积增大。这些景观面积的变化，影响了区域自然景观的多样性及其空间格局。</w:t>
      </w:r>
    </w:p>
    <w:p w14:paraId="4CB36A1A">
      <w:pPr>
        <w:ind w:firstLine="480"/>
      </w:pPr>
      <w:r>
        <w:rPr>
          <w:rFonts w:hint="eastAsia"/>
        </w:rPr>
        <w:t>工程建设虽占用各类景观面积较小，但对景观的连通性造成一定程度的影响，将会对这些景观进行分割，斑块数量发生小幅度变化，不会造成这些景观大的破碎化，不会完全阻断这些景观内动植物物种的传播和基因交流。工程建设虽然使得斑块数量增加，但所占面积较小，因此不会阻断评价区景观内动植物物种的传播和基因交流。因此工程建设对栖息地连通性的影响较小。</w:t>
      </w:r>
    </w:p>
    <w:p w14:paraId="6F1A2E97">
      <w:pPr>
        <w:pStyle w:val="141"/>
      </w:pPr>
      <w:r>
        <w:t>6.</w:t>
      </w:r>
      <w:r>
        <w:rPr>
          <w:rFonts w:hint="eastAsia"/>
        </w:rPr>
        <w:t>1.2</w:t>
      </w:r>
      <w:r>
        <w:t>.</w:t>
      </w:r>
      <w:r>
        <w:rPr>
          <w:rFonts w:hint="eastAsia"/>
        </w:rPr>
        <w:t>3景观生态系统功能的影响</w:t>
      </w:r>
    </w:p>
    <w:p w14:paraId="608CF46E">
      <w:pPr>
        <w:ind w:firstLine="480"/>
      </w:pPr>
      <w:r>
        <w:rPr>
          <w:rFonts w:hint="eastAsia"/>
        </w:rPr>
        <w:t>景观生态系统属于生态系统的一种，是以景观对象为主体，包括各种景观类型的组成、配置和分布，从而形成空间格局上统一、结构功能上协调一致的系统类型。景观生态系统的服务功能可以分为</w:t>
      </w:r>
      <w:r>
        <w:t>4</w:t>
      </w:r>
      <w:r>
        <w:rPr>
          <w:rFonts w:hint="eastAsia"/>
        </w:rPr>
        <w:t>个层次：生态系统的生产（包括生态系统的产品及生物多样性的维持）、生态系统的基本功能（包括传粉、传播种子、生物防治等）、生态系统的环境效益（包括减少洪涝灾害、调节气候、净化空气、处理废物等）和生态系统的娱乐价值（休闲、文化等）。</w:t>
      </w:r>
    </w:p>
    <w:p w14:paraId="72CF97E0">
      <w:pPr>
        <w:ind w:firstLine="480"/>
      </w:pPr>
      <w:r>
        <w:rPr>
          <w:rFonts w:hint="eastAsia"/>
        </w:rPr>
        <w:t>由此可见，景观生态系统功能的影响有负面的影响，也有正面的影响。电站工程建设对景观生态系统服务功能的影响见下表：</w:t>
      </w:r>
    </w:p>
    <w:p w14:paraId="34F26678">
      <w:pPr>
        <w:ind w:firstLine="480"/>
      </w:pPr>
    </w:p>
    <w:p w14:paraId="7428CD23">
      <w:pPr>
        <w:pStyle w:val="82"/>
        <w:framePr w:hSpace="0" w:wrap="auto" w:vAnchor="margin" w:hAnchor="text" w:xAlign="left" w:yAlign="inline"/>
      </w:pPr>
      <w:r>
        <w:rPr>
          <w:rFonts w:hint="eastAsia"/>
        </w:rPr>
        <w:t>表</w:t>
      </w:r>
      <w:r>
        <w:t>6-</w:t>
      </w:r>
      <w:r>
        <w:rPr>
          <w:rFonts w:hint="eastAsia"/>
        </w:rPr>
        <w:t>1-5</w:t>
      </w:r>
      <w:r>
        <w:t xml:space="preserve">   </w:t>
      </w:r>
      <w:r>
        <w:rPr>
          <w:rFonts w:hint="eastAsia"/>
        </w:rPr>
        <w:t>工程建设对景观生态系统服务功能的影响</w:t>
      </w:r>
    </w:p>
    <w:tbl>
      <w:tblPr>
        <w:tblStyle w:val="56"/>
        <w:tblW w:w="0" w:type="auto"/>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1"/>
        <w:gridCol w:w="2916"/>
        <w:gridCol w:w="3120"/>
        <w:gridCol w:w="758"/>
      </w:tblGrid>
      <w:tr w14:paraId="4694CA3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tblHeader/>
          <w:jc w:val="center"/>
        </w:trPr>
        <w:tc>
          <w:tcPr>
            <w:tcW w:w="647" w:type="dxa"/>
            <w:vAlign w:val="center"/>
          </w:tcPr>
          <w:p w14:paraId="7843B7B6">
            <w:pPr>
              <w:pStyle w:val="84"/>
              <w:rPr>
                <w:bCs/>
              </w:rPr>
            </w:pPr>
            <w:r>
              <w:rPr>
                <w:rFonts w:hint="eastAsia"/>
              </w:rPr>
              <w:t>序号</w:t>
            </w:r>
          </w:p>
        </w:tc>
        <w:tc>
          <w:tcPr>
            <w:tcW w:w="1081" w:type="dxa"/>
            <w:vAlign w:val="center"/>
          </w:tcPr>
          <w:p w14:paraId="20804B30">
            <w:pPr>
              <w:pStyle w:val="84"/>
              <w:rPr>
                <w:bCs/>
              </w:rPr>
            </w:pPr>
            <w:r>
              <w:rPr>
                <w:rFonts w:hint="eastAsia"/>
              </w:rPr>
              <w:t>项目</w:t>
            </w:r>
          </w:p>
        </w:tc>
        <w:tc>
          <w:tcPr>
            <w:tcW w:w="2916" w:type="dxa"/>
            <w:vAlign w:val="center"/>
          </w:tcPr>
          <w:p w14:paraId="1544BF4A">
            <w:pPr>
              <w:pStyle w:val="84"/>
              <w:rPr>
                <w:bCs/>
              </w:rPr>
            </w:pPr>
            <w:r>
              <w:rPr>
                <w:rFonts w:hint="eastAsia"/>
              </w:rPr>
              <w:t>功</w:t>
            </w:r>
            <w:r>
              <w:t xml:space="preserve">  </w:t>
            </w:r>
            <w:r>
              <w:rPr>
                <w:rFonts w:hint="eastAsia"/>
              </w:rPr>
              <w:t>能</w:t>
            </w:r>
          </w:p>
        </w:tc>
        <w:tc>
          <w:tcPr>
            <w:tcW w:w="3120" w:type="dxa"/>
            <w:vAlign w:val="center"/>
          </w:tcPr>
          <w:p w14:paraId="1A4C3A84">
            <w:pPr>
              <w:pStyle w:val="84"/>
              <w:rPr>
                <w:bCs/>
              </w:rPr>
            </w:pPr>
            <w:r>
              <w:rPr>
                <w:rFonts w:hint="eastAsia"/>
              </w:rPr>
              <w:t>影响方式</w:t>
            </w:r>
          </w:p>
        </w:tc>
        <w:tc>
          <w:tcPr>
            <w:tcW w:w="758" w:type="dxa"/>
            <w:vAlign w:val="center"/>
          </w:tcPr>
          <w:p w14:paraId="70228CFB">
            <w:pPr>
              <w:pStyle w:val="84"/>
              <w:rPr>
                <w:bCs/>
              </w:rPr>
            </w:pPr>
            <w:r>
              <w:rPr>
                <w:rFonts w:hint="eastAsia"/>
              </w:rPr>
              <w:t>效果</w:t>
            </w:r>
          </w:p>
        </w:tc>
      </w:tr>
      <w:tr w14:paraId="7271114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7" w:type="dxa"/>
            <w:vAlign w:val="center"/>
          </w:tcPr>
          <w:p w14:paraId="575F0EB5">
            <w:pPr>
              <w:pStyle w:val="84"/>
            </w:pPr>
            <w:r>
              <w:t>1</w:t>
            </w:r>
          </w:p>
        </w:tc>
        <w:tc>
          <w:tcPr>
            <w:tcW w:w="1081" w:type="dxa"/>
            <w:vAlign w:val="center"/>
          </w:tcPr>
          <w:p w14:paraId="1BDB307E">
            <w:pPr>
              <w:pStyle w:val="84"/>
            </w:pPr>
            <w:r>
              <w:rPr>
                <w:rFonts w:hint="eastAsia"/>
              </w:rPr>
              <w:t>社会经济</w:t>
            </w:r>
          </w:p>
        </w:tc>
        <w:tc>
          <w:tcPr>
            <w:tcW w:w="2916" w:type="dxa"/>
            <w:vAlign w:val="center"/>
          </w:tcPr>
          <w:p w14:paraId="12EEF565">
            <w:pPr>
              <w:pStyle w:val="84"/>
            </w:pPr>
            <w:r>
              <w:rPr>
                <w:rFonts w:hint="eastAsia"/>
              </w:rPr>
              <w:t>直接产生的社会经济价值</w:t>
            </w:r>
          </w:p>
        </w:tc>
        <w:tc>
          <w:tcPr>
            <w:tcW w:w="3120" w:type="dxa"/>
            <w:vAlign w:val="center"/>
          </w:tcPr>
          <w:p w14:paraId="58F917FA">
            <w:pPr>
              <w:pStyle w:val="84"/>
            </w:pPr>
            <w:r>
              <w:rPr>
                <w:rFonts w:hint="eastAsia"/>
              </w:rPr>
              <w:t>水库灌溉</w:t>
            </w:r>
          </w:p>
        </w:tc>
        <w:tc>
          <w:tcPr>
            <w:tcW w:w="758" w:type="dxa"/>
            <w:vAlign w:val="center"/>
          </w:tcPr>
          <w:p w14:paraId="10249C12">
            <w:pPr>
              <w:pStyle w:val="84"/>
            </w:pPr>
            <w:r>
              <w:rPr>
                <w:rFonts w:hint="eastAsia"/>
              </w:rPr>
              <w:t>＋</w:t>
            </w:r>
          </w:p>
        </w:tc>
      </w:tr>
      <w:tr w14:paraId="76F8CF5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0" w:hRule="exact"/>
          <w:jc w:val="center"/>
        </w:trPr>
        <w:tc>
          <w:tcPr>
            <w:tcW w:w="647" w:type="dxa"/>
            <w:vAlign w:val="center"/>
          </w:tcPr>
          <w:p w14:paraId="7AC8E022">
            <w:pPr>
              <w:pStyle w:val="84"/>
            </w:pPr>
            <w:r>
              <w:t>2</w:t>
            </w:r>
          </w:p>
        </w:tc>
        <w:tc>
          <w:tcPr>
            <w:tcW w:w="1081" w:type="dxa"/>
            <w:vAlign w:val="center"/>
          </w:tcPr>
          <w:p w14:paraId="59A1FB17">
            <w:pPr>
              <w:pStyle w:val="84"/>
            </w:pPr>
            <w:r>
              <w:rPr>
                <w:rFonts w:hint="eastAsia"/>
              </w:rPr>
              <w:t>气体调节</w:t>
            </w:r>
          </w:p>
        </w:tc>
        <w:tc>
          <w:tcPr>
            <w:tcW w:w="2916" w:type="dxa"/>
            <w:vAlign w:val="center"/>
          </w:tcPr>
          <w:p w14:paraId="2D909431">
            <w:pPr>
              <w:pStyle w:val="84"/>
            </w:pPr>
            <w:r>
              <w:rPr>
                <w:rFonts w:hint="eastAsia"/>
              </w:rPr>
              <w:t>大气化学成分调节</w:t>
            </w:r>
          </w:p>
        </w:tc>
        <w:tc>
          <w:tcPr>
            <w:tcW w:w="3120" w:type="dxa"/>
            <w:vAlign w:val="center"/>
          </w:tcPr>
          <w:p w14:paraId="7FB4CCDD">
            <w:pPr>
              <w:pStyle w:val="84"/>
            </w:pPr>
            <w:r>
              <w:rPr>
                <w:rFonts w:hint="eastAsia"/>
              </w:rPr>
              <w:t>流速降低、林地及草地淹没，</w:t>
            </w:r>
            <w:r>
              <w:t>O</w:t>
            </w:r>
            <w:r>
              <w:rPr>
                <w:vertAlign w:val="subscript"/>
              </w:rPr>
              <w:t>2</w:t>
            </w:r>
            <w:r>
              <w:rPr>
                <w:rFonts w:hint="eastAsia"/>
              </w:rPr>
              <w:t>含量降低</w:t>
            </w:r>
          </w:p>
        </w:tc>
        <w:tc>
          <w:tcPr>
            <w:tcW w:w="758" w:type="dxa"/>
            <w:vAlign w:val="center"/>
          </w:tcPr>
          <w:p w14:paraId="44DE0737">
            <w:pPr>
              <w:pStyle w:val="84"/>
            </w:pPr>
            <w:r>
              <w:rPr>
                <w:rFonts w:hint="eastAsia"/>
              </w:rPr>
              <w:t>－</w:t>
            </w:r>
          </w:p>
        </w:tc>
      </w:tr>
      <w:tr w14:paraId="3AFFFDA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7" w:type="dxa"/>
            <w:vAlign w:val="center"/>
          </w:tcPr>
          <w:p w14:paraId="7B3940B8">
            <w:pPr>
              <w:pStyle w:val="84"/>
            </w:pPr>
            <w:r>
              <w:t>3</w:t>
            </w:r>
          </w:p>
        </w:tc>
        <w:tc>
          <w:tcPr>
            <w:tcW w:w="1081" w:type="dxa"/>
            <w:vAlign w:val="center"/>
          </w:tcPr>
          <w:p w14:paraId="12E81DA4">
            <w:pPr>
              <w:pStyle w:val="84"/>
            </w:pPr>
            <w:r>
              <w:rPr>
                <w:rFonts w:hint="eastAsia"/>
              </w:rPr>
              <w:t>气候调节</w:t>
            </w:r>
          </w:p>
        </w:tc>
        <w:tc>
          <w:tcPr>
            <w:tcW w:w="2916" w:type="dxa"/>
            <w:vAlign w:val="center"/>
          </w:tcPr>
          <w:p w14:paraId="07F28C0E">
            <w:pPr>
              <w:pStyle w:val="84"/>
            </w:pPr>
            <w:r>
              <w:rPr>
                <w:rFonts w:hint="eastAsia"/>
              </w:rPr>
              <w:t>空气湿度、降水</w:t>
            </w:r>
          </w:p>
        </w:tc>
        <w:tc>
          <w:tcPr>
            <w:tcW w:w="3120" w:type="dxa"/>
            <w:vAlign w:val="center"/>
          </w:tcPr>
          <w:p w14:paraId="0154CA36">
            <w:pPr>
              <w:pStyle w:val="84"/>
            </w:pPr>
            <w:r>
              <w:rPr>
                <w:rFonts w:hint="eastAsia"/>
              </w:rPr>
              <w:t>水域面积增大，空气湿度增加</w:t>
            </w:r>
          </w:p>
        </w:tc>
        <w:tc>
          <w:tcPr>
            <w:tcW w:w="758" w:type="dxa"/>
            <w:vAlign w:val="center"/>
          </w:tcPr>
          <w:p w14:paraId="7E68927C">
            <w:pPr>
              <w:pStyle w:val="84"/>
            </w:pPr>
            <w:r>
              <w:rPr>
                <w:rFonts w:hint="eastAsia"/>
              </w:rPr>
              <w:t>＋</w:t>
            </w:r>
          </w:p>
        </w:tc>
      </w:tr>
      <w:tr w14:paraId="5984E87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7" w:type="dxa"/>
            <w:vAlign w:val="center"/>
          </w:tcPr>
          <w:p w14:paraId="01C4912B">
            <w:pPr>
              <w:pStyle w:val="84"/>
            </w:pPr>
            <w:r>
              <w:t>4</w:t>
            </w:r>
          </w:p>
        </w:tc>
        <w:tc>
          <w:tcPr>
            <w:tcW w:w="1081" w:type="dxa"/>
            <w:vAlign w:val="center"/>
          </w:tcPr>
          <w:p w14:paraId="3BF781ED">
            <w:pPr>
              <w:pStyle w:val="84"/>
            </w:pPr>
            <w:r>
              <w:rPr>
                <w:rFonts w:hint="eastAsia"/>
              </w:rPr>
              <w:t>干扰调节</w:t>
            </w:r>
          </w:p>
        </w:tc>
        <w:tc>
          <w:tcPr>
            <w:tcW w:w="2916" w:type="dxa"/>
            <w:vAlign w:val="center"/>
          </w:tcPr>
          <w:p w14:paraId="4BEB7C66">
            <w:pPr>
              <w:pStyle w:val="84"/>
            </w:pPr>
            <w:r>
              <w:rPr>
                <w:rFonts w:hint="eastAsia"/>
              </w:rPr>
              <w:t>对环境波动的缓冲和恢复力</w:t>
            </w:r>
          </w:p>
        </w:tc>
        <w:tc>
          <w:tcPr>
            <w:tcW w:w="3120" w:type="dxa"/>
            <w:vAlign w:val="center"/>
          </w:tcPr>
          <w:p w14:paraId="3C87BDE1">
            <w:pPr>
              <w:pStyle w:val="84"/>
            </w:pPr>
            <w:r>
              <w:rPr>
                <w:rFonts w:hint="eastAsia"/>
              </w:rPr>
              <w:t>水库对洪水的控制</w:t>
            </w:r>
          </w:p>
        </w:tc>
        <w:tc>
          <w:tcPr>
            <w:tcW w:w="758" w:type="dxa"/>
            <w:vAlign w:val="center"/>
          </w:tcPr>
          <w:p w14:paraId="54F59C78">
            <w:pPr>
              <w:pStyle w:val="84"/>
            </w:pPr>
            <w:r>
              <w:rPr>
                <w:rFonts w:hint="eastAsia"/>
              </w:rPr>
              <w:t>＋</w:t>
            </w:r>
          </w:p>
        </w:tc>
      </w:tr>
      <w:tr w14:paraId="68F3991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7" w:type="dxa"/>
            <w:vAlign w:val="center"/>
          </w:tcPr>
          <w:p w14:paraId="1F6F5E1D">
            <w:pPr>
              <w:pStyle w:val="84"/>
            </w:pPr>
            <w:r>
              <w:t>5</w:t>
            </w:r>
          </w:p>
        </w:tc>
        <w:tc>
          <w:tcPr>
            <w:tcW w:w="1081" w:type="dxa"/>
            <w:vAlign w:val="center"/>
          </w:tcPr>
          <w:p w14:paraId="4E655200">
            <w:pPr>
              <w:pStyle w:val="84"/>
            </w:pPr>
            <w:r>
              <w:rPr>
                <w:rFonts w:hint="eastAsia"/>
              </w:rPr>
              <w:t>水调节</w:t>
            </w:r>
          </w:p>
        </w:tc>
        <w:tc>
          <w:tcPr>
            <w:tcW w:w="2916" w:type="dxa"/>
            <w:vAlign w:val="center"/>
          </w:tcPr>
          <w:p w14:paraId="670CCBD3">
            <w:pPr>
              <w:pStyle w:val="84"/>
            </w:pPr>
            <w:r>
              <w:rPr>
                <w:rFonts w:hint="eastAsia"/>
              </w:rPr>
              <w:t>水文调节</w:t>
            </w:r>
          </w:p>
        </w:tc>
        <w:tc>
          <w:tcPr>
            <w:tcW w:w="3120" w:type="dxa"/>
            <w:vAlign w:val="center"/>
          </w:tcPr>
          <w:p w14:paraId="3B0F79F2">
            <w:pPr>
              <w:pStyle w:val="84"/>
            </w:pPr>
            <w:r>
              <w:rPr>
                <w:rFonts w:hint="eastAsia"/>
              </w:rPr>
              <w:t>水库为农业提供用水</w:t>
            </w:r>
          </w:p>
        </w:tc>
        <w:tc>
          <w:tcPr>
            <w:tcW w:w="758" w:type="dxa"/>
            <w:vAlign w:val="center"/>
          </w:tcPr>
          <w:p w14:paraId="7307F2CE">
            <w:pPr>
              <w:pStyle w:val="84"/>
            </w:pPr>
            <w:r>
              <w:rPr>
                <w:rFonts w:hint="eastAsia"/>
              </w:rPr>
              <w:t>＋</w:t>
            </w:r>
          </w:p>
        </w:tc>
      </w:tr>
      <w:tr w14:paraId="43214A5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7" w:type="dxa"/>
            <w:vAlign w:val="center"/>
          </w:tcPr>
          <w:p w14:paraId="556D690A">
            <w:pPr>
              <w:pStyle w:val="84"/>
            </w:pPr>
            <w:r>
              <w:t>6</w:t>
            </w:r>
          </w:p>
        </w:tc>
        <w:tc>
          <w:tcPr>
            <w:tcW w:w="1081" w:type="dxa"/>
            <w:vAlign w:val="center"/>
          </w:tcPr>
          <w:p w14:paraId="71823165">
            <w:pPr>
              <w:pStyle w:val="84"/>
            </w:pPr>
            <w:r>
              <w:rPr>
                <w:rFonts w:hint="eastAsia"/>
              </w:rPr>
              <w:t>水供应</w:t>
            </w:r>
          </w:p>
        </w:tc>
        <w:tc>
          <w:tcPr>
            <w:tcW w:w="2916" w:type="dxa"/>
            <w:vAlign w:val="center"/>
          </w:tcPr>
          <w:p w14:paraId="48294EDB">
            <w:pPr>
              <w:pStyle w:val="84"/>
            </w:pPr>
            <w:r>
              <w:rPr>
                <w:rFonts w:hint="eastAsia"/>
              </w:rPr>
              <w:t>水的贮存和保存</w:t>
            </w:r>
          </w:p>
        </w:tc>
        <w:tc>
          <w:tcPr>
            <w:tcW w:w="3120" w:type="dxa"/>
            <w:vAlign w:val="center"/>
          </w:tcPr>
          <w:p w14:paraId="521A73D1">
            <w:pPr>
              <w:pStyle w:val="84"/>
            </w:pPr>
            <w:r>
              <w:rPr>
                <w:rFonts w:hint="eastAsia"/>
              </w:rPr>
              <w:t>向含水岩层供水</w:t>
            </w:r>
          </w:p>
        </w:tc>
        <w:tc>
          <w:tcPr>
            <w:tcW w:w="758" w:type="dxa"/>
            <w:vAlign w:val="center"/>
          </w:tcPr>
          <w:p w14:paraId="704A0B26">
            <w:pPr>
              <w:pStyle w:val="84"/>
            </w:pPr>
            <w:r>
              <w:rPr>
                <w:rFonts w:hint="eastAsia"/>
              </w:rPr>
              <w:t>＋</w:t>
            </w:r>
          </w:p>
        </w:tc>
      </w:tr>
      <w:tr w14:paraId="1C2D8D8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5" w:hRule="exact"/>
          <w:jc w:val="center"/>
        </w:trPr>
        <w:tc>
          <w:tcPr>
            <w:tcW w:w="647" w:type="dxa"/>
            <w:vAlign w:val="center"/>
          </w:tcPr>
          <w:p w14:paraId="2950F283">
            <w:pPr>
              <w:pStyle w:val="84"/>
            </w:pPr>
            <w:r>
              <w:rPr>
                <w:rFonts w:hint="eastAsia"/>
              </w:rPr>
              <w:t>7</w:t>
            </w:r>
          </w:p>
        </w:tc>
        <w:tc>
          <w:tcPr>
            <w:tcW w:w="1081" w:type="dxa"/>
            <w:vAlign w:val="center"/>
          </w:tcPr>
          <w:p w14:paraId="7F11419F">
            <w:pPr>
              <w:pStyle w:val="84"/>
            </w:pPr>
            <w:r>
              <w:rPr>
                <w:rFonts w:hint="eastAsia"/>
              </w:rPr>
              <w:t>养分循环</w:t>
            </w:r>
          </w:p>
        </w:tc>
        <w:tc>
          <w:tcPr>
            <w:tcW w:w="2916" w:type="dxa"/>
            <w:vAlign w:val="center"/>
          </w:tcPr>
          <w:p w14:paraId="245496DB">
            <w:pPr>
              <w:pStyle w:val="84"/>
            </w:pPr>
            <w:r>
              <w:rPr>
                <w:rFonts w:hint="eastAsia"/>
              </w:rPr>
              <w:t>养分的贮存、内循环和获取</w:t>
            </w:r>
          </w:p>
        </w:tc>
        <w:tc>
          <w:tcPr>
            <w:tcW w:w="3120" w:type="dxa"/>
            <w:vAlign w:val="center"/>
          </w:tcPr>
          <w:p w14:paraId="0AA533D5">
            <w:pPr>
              <w:pStyle w:val="84"/>
            </w:pPr>
            <w:r>
              <w:rPr>
                <w:rFonts w:hint="eastAsia"/>
              </w:rPr>
              <w:t>水库形成利于</w:t>
            </w:r>
            <w:r>
              <w:t>N</w:t>
            </w:r>
            <w:r>
              <w:rPr>
                <w:rFonts w:hint="eastAsia"/>
              </w:rPr>
              <w:t>、</w:t>
            </w:r>
            <w:r>
              <w:t>P</w:t>
            </w:r>
            <w:r>
              <w:rPr>
                <w:rFonts w:hint="eastAsia"/>
              </w:rPr>
              <w:t>等元素和养分循环</w:t>
            </w:r>
          </w:p>
        </w:tc>
        <w:tc>
          <w:tcPr>
            <w:tcW w:w="758" w:type="dxa"/>
            <w:vAlign w:val="center"/>
          </w:tcPr>
          <w:p w14:paraId="65D8E326">
            <w:pPr>
              <w:pStyle w:val="84"/>
            </w:pPr>
            <w:r>
              <w:rPr>
                <w:rFonts w:hint="eastAsia"/>
              </w:rPr>
              <w:t>＋</w:t>
            </w:r>
          </w:p>
        </w:tc>
      </w:tr>
      <w:tr w14:paraId="5A0DB82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4" w:hRule="exact"/>
          <w:jc w:val="center"/>
        </w:trPr>
        <w:tc>
          <w:tcPr>
            <w:tcW w:w="647" w:type="dxa"/>
            <w:vAlign w:val="center"/>
          </w:tcPr>
          <w:p w14:paraId="3FEEF132">
            <w:pPr>
              <w:pStyle w:val="84"/>
            </w:pPr>
            <w:r>
              <w:t>8</w:t>
            </w:r>
          </w:p>
        </w:tc>
        <w:tc>
          <w:tcPr>
            <w:tcW w:w="1081" w:type="dxa"/>
            <w:vAlign w:val="center"/>
          </w:tcPr>
          <w:p w14:paraId="6F35F9AB">
            <w:pPr>
              <w:pStyle w:val="84"/>
            </w:pPr>
            <w:r>
              <w:rPr>
                <w:rFonts w:hint="eastAsia"/>
              </w:rPr>
              <w:t>废物处理</w:t>
            </w:r>
          </w:p>
        </w:tc>
        <w:tc>
          <w:tcPr>
            <w:tcW w:w="2916" w:type="dxa"/>
            <w:vAlign w:val="center"/>
          </w:tcPr>
          <w:p w14:paraId="66D20169">
            <w:pPr>
              <w:pStyle w:val="84"/>
            </w:pPr>
            <w:r>
              <w:rPr>
                <w:rFonts w:hint="eastAsia"/>
              </w:rPr>
              <w:t>对废物的降解，防止富营养化</w:t>
            </w:r>
          </w:p>
        </w:tc>
        <w:tc>
          <w:tcPr>
            <w:tcW w:w="3120" w:type="dxa"/>
            <w:vAlign w:val="center"/>
          </w:tcPr>
          <w:p w14:paraId="7EE21587">
            <w:pPr>
              <w:pStyle w:val="84"/>
            </w:pPr>
            <w:r>
              <w:rPr>
                <w:rFonts w:hint="eastAsia"/>
              </w:rPr>
              <w:t>水库形成，废物处理能力加强</w:t>
            </w:r>
          </w:p>
        </w:tc>
        <w:tc>
          <w:tcPr>
            <w:tcW w:w="758" w:type="dxa"/>
            <w:vAlign w:val="center"/>
          </w:tcPr>
          <w:p w14:paraId="5F3A9BA6">
            <w:pPr>
              <w:pStyle w:val="84"/>
            </w:pPr>
            <w:r>
              <w:rPr>
                <w:rFonts w:hint="eastAsia"/>
              </w:rPr>
              <w:t>＋</w:t>
            </w:r>
          </w:p>
        </w:tc>
      </w:tr>
      <w:tr w14:paraId="1DEEBB9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7" w:type="dxa"/>
            <w:vAlign w:val="center"/>
          </w:tcPr>
          <w:p w14:paraId="57F1BC95">
            <w:pPr>
              <w:pStyle w:val="84"/>
            </w:pPr>
            <w:r>
              <w:t>9</w:t>
            </w:r>
          </w:p>
        </w:tc>
        <w:tc>
          <w:tcPr>
            <w:tcW w:w="1081" w:type="dxa"/>
            <w:vAlign w:val="center"/>
          </w:tcPr>
          <w:p w14:paraId="1CD33797">
            <w:pPr>
              <w:pStyle w:val="84"/>
            </w:pPr>
            <w:r>
              <w:rPr>
                <w:rFonts w:hint="eastAsia"/>
              </w:rPr>
              <w:t>传</w:t>
            </w:r>
            <w:r>
              <w:t xml:space="preserve">  </w:t>
            </w:r>
            <w:r>
              <w:rPr>
                <w:rFonts w:hint="eastAsia"/>
              </w:rPr>
              <w:t>粉</w:t>
            </w:r>
          </w:p>
        </w:tc>
        <w:tc>
          <w:tcPr>
            <w:tcW w:w="2916" w:type="dxa"/>
            <w:vAlign w:val="center"/>
          </w:tcPr>
          <w:p w14:paraId="23AB5E83">
            <w:pPr>
              <w:pStyle w:val="84"/>
            </w:pPr>
            <w:r>
              <w:rPr>
                <w:rFonts w:hint="eastAsia"/>
              </w:rPr>
              <w:t>有花植物配子的运动</w:t>
            </w:r>
          </w:p>
        </w:tc>
        <w:tc>
          <w:tcPr>
            <w:tcW w:w="3120" w:type="dxa"/>
            <w:vAlign w:val="center"/>
          </w:tcPr>
          <w:p w14:paraId="6CB40818">
            <w:pPr>
              <w:pStyle w:val="84"/>
            </w:pPr>
            <w:r>
              <w:rPr>
                <w:rFonts w:hint="eastAsia"/>
              </w:rPr>
              <w:t>水库形成水流传粉障碍</w:t>
            </w:r>
          </w:p>
        </w:tc>
        <w:tc>
          <w:tcPr>
            <w:tcW w:w="758" w:type="dxa"/>
            <w:vAlign w:val="center"/>
          </w:tcPr>
          <w:p w14:paraId="65532C65">
            <w:pPr>
              <w:pStyle w:val="84"/>
            </w:pPr>
            <w:r>
              <w:rPr>
                <w:rFonts w:hint="eastAsia"/>
              </w:rPr>
              <w:t>－</w:t>
            </w:r>
          </w:p>
        </w:tc>
      </w:tr>
      <w:tr w14:paraId="20B507B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7" w:type="dxa"/>
            <w:vAlign w:val="center"/>
          </w:tcPr>
          <w:p w14:paraId="405C3C0D">
            <w:pPr>
              <w:pStyle w:val="84"/>
            </w:pPr>
            <w:r>
              <w:t>10</w:t>
            </w:r>
          </w:p>
        </w:tc>
        <w:tc>
          <w:tcPr>
            <w:tcW w:w="1081" w:type="dxa"/>
            <w:vAlign w:val="center"/>
          </w:tcPr>
          <w:p w14:paraId="67FB67A8">
            <w:pPr>
              <w:pStyle w:val="84"/>
            </w:pPr>
            <w:r>
              <w:rPr>
                <w:rFonts w:hint="eastAsia"/>
              </w:rPr>
              <w:t>避难所</w:t>
            </w:r>
          </w:p>
        </w:tc>
        <w:tc>
          <w:tcPr>
            <w:tcW w:w="2916" w:type="dxa"/>
            <w:vAlign w:val="center"/>
          </w:tcPr>
          <w:p w14:paraId="73E32870">
            <w:pPr>
              <w:pStyle w:val="84"/>
            </w:pPr>
            <w:r>
              <w:rPr>
                <w:rFonts w:hint="eastAsia"/>
              </w:rPr>
              <w:t>为常居和迁徙种群提供生境</w:t>
            </w:r>
          </w:p>
        </w:tc>
        <w:tc>
          <w:tcPr>
            <w:tcW w:w="3120" w:type="dxa"/>
            <w:vAlign w:val="center"/>
          </w:tcPr>
          <w:p w14:paraId="45F8DDDD">
            <w:pPr>
              <w:pStyle w:val="84"/>
            </w:pPr>
            <w:r>
              <w:rPr>
                <w:rFonts w:hint="eastAsia"/>
              </w:rPr>
              <w:t>水库是良好的动物育雏地、栖息地</w:t>
            </w:r>
          </w:p>
        </w:tc>
        <w:tc>
          <w:tcPr>
            <w:tcW w:w="758" w:type="dxa"/>
            <w:vAlign w:val="center"/>
          </w:tcPr>
          <w:p w14:paraId="75E42953">
            <w:pPr>
              <w:pStyle w:val="84"/>
            </w:pPr>
            <w:r>
              <w:rPr>
                <w:rFonts w:hint="eastAsia"/>
              </w:rPr>
              <w:t>＋</w:t>
            </w:r>
          </w:p>
        </w:tc>
      </w:tr>
      <w:tr w14:paraId="10B01A5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1" w:hRule="exact"/>
          <w:jc w:val="center"/>
        </w:trPr>
        <w:tc>
          <w:tcPr>
            <w:tcW w:w="647" w:type="dxa"/>
            <w:vAlign w:val="center"/>
          </w:tcPr>
          <w:p w14:paraId="7415950F">
            <w:pPr>
              <w:pStyle w:val="84"/>
            </w:pPr>
            <w:r>
              <w:t>11</w:t>
            </w:r>
          </w:p>
        </w:tc>
        <w:tc>
          <w:tcPr>
            <w:tcW w:w="1081" w:type="dxa"/>
            <w:vAlign w:val="center"/>
          </w:tcPr>
          <w:p w14:paraId="50BECE65">
            <w:pPr>
              <w:pStyle w:val="84"/>
            </w:pPr>
            <w:r>
              <w:rPr>
                <w:rFonts w:hint="eastAsia"/>
              </w:rPr>
              <w:t>休闲娱乐</w:t>
            </w:r>
          </w:p>
        </w:tc>
        <w:tc>
          <w:tcPr>
            <w:tcW w:w="2916" w:type="dxa"/>
            <w:vAlign w:val="center"/>
          </w:tcPr>
          <w:p w14:paraId="4EA1B016">
            <w:pPr>
              <w:pStyle w:val="84"/>
            </w:pPr>
            <w:r>
              <w:rPr>
                <w:rFonts w:hint="eastAsia"/>
              </w:rPr>
              <w:t>提供休闲旅游活动机会</w:t>
            </w:r>
          </w:p>
        </w:tc>
        <w:tc>
          <w:tcPr>
            <w:tcW w:w="3120" w:type="dxa"/>
            <w:vAlign w:val="center"/>
          </w:tcPr>
          <w:p w14:paraId="50BDC4B4">
            <w:pPr>
              <w:pStyle w:val="84"/>
            </w:pPr>
            <w:r>
              <w:rPr>
                <w:rFonts w:hint="eastAsia"/>
              </w:rPr>
              <w:t>水面拓宽，气候宜人，有利于生态旅游</w:t>
            </w:r>
          </w:p>
        </w:tc>
        <w:tc>
          <w:tcPr>
            <w:tcW w:w="758" w:type="dxa"/>
            <w:vAlign w:val="center"/>
          </w:tcPr>
          <w:p w14:paraId="5E870399">
            <w:pPr>
              <w:pStyle w:val="84"/>
            </w:pPr>
            <w:r>
              <w:rPr>
                <w:rFonts w:hint="eastAsia"/>
              </w:rPr>
              <w:t>＋</w:t>
            </w:r>
          </w:p>
        </w:tc>
      </w:tr>
    </w:tbl>
    <w:p w14:paraId="7945F4C3">
      <w:pPr>
        <w:spacing w:before="120"/>
        <w:ind w:firstLine="480"/>
      </w:pPr>
      <w:r>
        <w:rPr>
          <w:rFonts w:hint="eastAsia"/>
        </w:rPr>
        <w:t>从统计结果可以初步看出电站工程建设对区域内的景观生态系统服务功能的影响以正面影响为主，在</w:t>
      </w:r>
      <w:r>
        <w:t>1</w:t>
      </w:r>
      <w:r>
        <w:rPr>
          <w:rFonts w:hint="eastAsia"/>
        </w:rPr>
        <w:t>1项服务功能中共占据了9项，有2项为负面影响，即在气体调节和植物传粉三方面为负面影响。</w:t>
      </w:r>
    </w:p>
    <w:p w14:paraId="0BC9F2EF">
      <w:pPr>
        <w:pStyle w:val="113"/>
      </w:pPr>
      <w:bookmarkStart w:id="632" w:name="_Toc454046553"/>
      <w:bookmarkStart w:id="633" w:name="_Toc471738033"/>
      <w:bookmarkStart w:id="634" w:name="_Toc443655452"/>
      <w:bookmarkStart w:id="635" w:name="_Toc508642480"/>
      <w:r>
        <w:t>6.1.</w:t>
      </w:r>
      <w:r>
        <w:rPr>
          <w:rFonts w:hint="eastAsia"/>
        </w:rPr>
        <w:t>3对生态系统的影响分析</w:t>
      </w:r>
      <w:bookmarkEnd w:id="632"/>
      <w:bookmarkEnd w:id="633"/>
      <w:bookmarkEnd w:id="634"/>
      <w:bookmarkEnd w:id="635"/>
    </w:p>
    <w:p w14:paraId="1FB3C001">
      <w:pPr>
        <w:ind w:firstLine="480"/>
      </w:pPr>
      <w:r>
        <w:rPr>
          <w:rFonts w:hint="eastAsia"/>
        </w:rPr>
        <w:t>生态系统的功能为能流、物流和信息流，其主要功能单位是种群，它在生态系统中的能流和物质循环中起着特殊的作用。生态系统功能的发挥与种群数量、种群结构、生物多样性、景观破碎化、食物链、生态入侵等密切相关，生态系统结构的破坏将导致生态功能的减弱或丧失。</w:t>
      </w:r>
    </w:p>
    <w:p w14:paraId="379E7AAD">
      <w:pPr>
        <w:ind w:firstLine="480"/>
      </w:pPr>
      <w:r>
        <w:rPr>
          <w:rFonts w:hint="eastAsia"/>
        </w:rPr>
        <w:t>生态系统要保持一定的种群数量、规模和生物多样性才能实现正常功能。工程的实施将使淹没区范围内的部分个体消失，从而影响到种群的面积和结构的维持，继而影响到群落生物多样性，最终对生态系统的完整性和稳定性产生影响。</w:t>
      </w:r>
    </w:p>
    <w:p w14:paraId="3D22824D">
      <w:pPr>
        <w:ind w:firstLine="480"/>
      </w:pPr>
      <w:r>
        <w:rPr>
          <w:rFonts w:hint="eastAsia"/>
        </w:rPr>
        <w:t>拟建项目的实施使部分天然河道被人为地隔断，将生物栖息地切割成块，原来连续的水生生态系统被分割成一个个孤立的区域，被阻隔的水生生物难以实现基因（遗传物质）的交流和自由移动觅食，捕食者或被捕食者的减少都直接或间接地影响到生态系统食物链的每一个环节，使生态系统平衡性和稳定性减弱。</w:t>
      </w:r>
    </w:p>
    <w:p w14:paraId="35079516">
      <w:pPr>
        <w:spacing w:before="120"/>
        <w:ind w:firstLine="480"/>
      </w:pPr>
      <w:r>
        <w:rPr>
          <w:rFonts w:hint="eastAsia"/>
        </w:rPr>
        <w:t>评价区的生物多样性较丰富、生态稳定性、维持性和抗干扰能力也较好。由于生态系统结构多样，其生态功能和产出效益较高，故项目的实施对评价区生态系统完整性和生态功能的发挥影响较小。项目永久占用总面积较小，占评价区相同类型的比例很小。因此，项目建设对流域生态完整性和生态功能的发挥影响不大。</w:t>
      </w:r>
    </w:p>
    <w:p w14:paraId="4487152B">
      <w:pPr>
        <w:pStyle w:val="113"/>
      </w:pPr>
      <w:bookmarkStart w:id="636" w:name="_Toc377831906"/>
      <w:bookmarkStart w:id="637" w:name="_Toc377115130"/>
      <w:bookmarkStart w:id="638" w:name="_Toc377420787"/>
      <w:bookmarkStart w:id="639" w:name="_Toc534485265"/>
      <w:bookmarkStart w:id="640" w:name="_Toc443655450"/>
      <w:bookmarkStart w:id="641" w:name="_Toc508642481"/>
      <w:bookmarkStart w:id="642" w:name="_Toc397428374"/>
      <w:bookmarkStart w:id="643" w:name="_Toc471738031"/>
      <w:bookmarkStart w:id="644" w:name="_Toc454046551"/>
      <w:r>
        <w:rPr>
          <w:rFonts w:hint="eastAsia"/>
        </w:rPr>
        <w:t>6.1.4对植被的影响</w:t>
      </w:r>
      <w:bookmarkEnd w:id="636"/>
      <w:bookmarkEnd w:id="637"/>
      <w:bookmarkEnd w:id="638"/>
      <w:bookmarkEnd w:id="639"/>
      <w:r>
        <w:rPr>
          <w:rFonts w:hint="eastAsia"/>
        </w:rPr>
        <w:t>分析</w:t>
      </w:r>
      <w:bookmarkEnd w:id="640"/>
      <w:bookmarkEnd w:id="641"/>
      <w:bookmarkEnd w:id="642"/>
      <w:bookmarkEnd w:id="643"/>
      <w:bookmarkEnd w:id="644"/>
    </w:p>
    <w:p w14:paraId="18D71C94">
      <w:pPr>
        <w:pStyle w:val="141"/>
      </w:pPr>
      <w:r>
        <w:t>6.1.</w:t>
      </w:r>
      <w:r>
        <w:rPr>
          <w:rFonts w:hint="eastAsia"/>
        </w:rPr>
        <w:t>4</w:t>
      </w:r>
      <w:r>
        <w:t>.1</w:t>
      </w:r>
      <w:r>
        <w:rPr>
          <w:rFonts w:hint="eastAsia"/>
        </w:rPr>
        <w:t>施工期</w:t>
      </w:r>
    </w:p>
    <w:p w14:paraId="57FC90D4">
      <w:pPr>
        <w:ind w:firstLine="480"/>
      </w:pPr>
      <w:r>
        <w:rPr>
          <w:rFonts w:hint="eastAsia"/>
        </w:rPr>
        <w:t>1、对植被的影响</w:t>
      </w:r>
    </w:p>
    <w:p w14:paraId="4BB53777">
      <w:pPr>
        <w:ind w:firstLine="480"/>
      </w:pPr>
      <w:r>
        <w:rPr>
          <w:rFonts w:hint="eastAsia"/>
        </w:rPr>
        <w:t>工程建设对评价区植被的影响主要表现在施工活动对植被的扰动影响，工程永久占地、施工临时占地以及开挖、弃渣等施工活动对地表的扰动和再塑，干扰和损坏植被，改变地形坡度和地表组成；占地将减少沿线植被的面积与生物量；施工机械碾压、施工人员践踏、粉尘等对周围地表植被的生长也会带来一定影响。</w:t>
      </w:r>
    </w:p>
    <w:p w14:paraId="28A4B824">
      <w:pPr>
        <w:ind w:firstLine="480"/>
        <w:rPr>
          <w:kern w:val="0"/>
        </w:rPr>
      </w:pPr>
      <w:r>
        <w:rPr>
          <w:rFonts w:hint="eastAsia"/>
        </w:rPr>
        <w:t>工程建设主要影响的植被类型为</w:t>
      </w:r>
      <w:r>
        <w:rPr>
          <w:rFonts w:hint="eastAsia"/>
          <w:kern w:val="0"/>
        </w:rPr>
        <w:t>常绿落叶阔叶混交林</w:t>
      </w:r>
      <w:r>
        <w:rPr>
          <w:rFonts w:hint="eastAsia"/>
        </w:rPr>
        <w:t>（</w:t>
      </w:r>
      <w:r>
        <w:rPr>
          <w:rFonts w:hint="eastAsia"/>
          <w:kern w:val="0"/>
        </w:rPr>
        <w:t>西南桦、红木荷林</w:t>
      </w:r>
      <w:r>
        <w:rPr>
          <w:rFonts w:hint="eastAsia"/>
        </w:rPr>
        <w:t>）、</w:t>
      </w:r>
      <w:r>
        <w:rPr>
          <w:rFonts w:hint="eastAsia"/>
          <w:kern w:val="0"/>
        </w:rPr>
        <w:t>热性稀树灌草丛</w:t>
      </w:r>
      <w:r>
        <w:rPr>
          <w:rFonts w:hint="eastAsia"/>
        </w:rPr>
        <w:t>（</w:t>
      </w:r>
      <w:r>
        <w:rPr>
          <w:rFonts w:hint="eastAsia"/>
          <w:kern w:val="0"/>
        </w:rPr>
        <w:t>含毛麻楝、黄牛木的中草草丛</w:t>
      </w:r>
      <w:r>
        <w:rPr>
          <w:rFonts w:hint="eastAsia"/>
        </w:rPr>
        <w:t>）和</w:t>
      </w:r>
      <w:r>
        <w:rPr>
          <w:rFonts w:hint="eastAsia"/>
          <w:kern w:val="0"/>
        </w:rPr>
        <w:t>草丛（</w:t>
      </w:r>
      <w:r>
        <w:rPr>
          <w:rFonts w:hint="eastAsia"/>
          <w:bCs/>
          <w:kern w:val="0"/>
        </w:rPr>
        <w:t>肿柄菊草丛、飞机草草丛和卡开芦草丛</w:t>
      </w:r>
      <w:r>
        <w:rPr>
          <w:rFonts w:hint="eastAsia"/>
          <w:kern w:val="0"/>
        </w:rPr>
        <w:t>）</w:t>
      </w:r>
      <w:r>
        <w:rPr>
          <w:rFonts w:hint="eastAsia"/>
        </w:rPr>
        <w:t>。工程占地内各种植被类型面积见下表：</w:t>
      </w:r>
    </w:p>
    <w:p w14:paraId="45198FA3">
      <w:pPr>
        <w:pStyle w:val="82"/>
        <w:framePr w:hSpace="0" w:wrap="auto" w:vAnchor="margin" w:hAnchor="text" w:xAlign="left" w:yAlign="inline"/>
        <w:rPr>
          <w:color w:val="FF0000"/>
        </w:rPr>
      </w:pPr>
      <w:r>
        <w:rPr>
          <w:rFonts w:hint="eastAsia"/>
          <w:color w:val="FF0000"/>
        </w:rPr>
        <w:t>表</w:t>
      </w:r>
      <w:r>
        <w:rPr>
          <w:color w:val="FF0000"/>
        </w:rPr>
        <w:t>6-1</w:t>
      </w:r>
      <w:r>
        <w:rPr>
          <w:rFonts w:hint="eastAsia"/>
          <w:color w:val="FF0000"/>
        </w:rPr>
        <w:t xml:space="preserve">-6 </w:t>
      </w:r>
      <w:r>
        <w:rPr>
          <w:color w:val="FF0000"/>
        </w:rPr>
        <w:t xml:space="preserve">  </w:t>
      </w:r>
      <w:r>
        <w:rPr>
          <w:rFonts w:hint="eastAsia"/>
          <w:color w:val="FF0000"/>
        </w:rPr>
        <w:t>工程所占植被类型面积表</w:t>
      </w:r>
    </w:p>
    <w:tbl>
      <w:tblPr>
        <w:tblStyle w:val="56"/>
        <w:tblW w:w="0" w:type="auto"/>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35"/>
        <w:gridCol w:w="1842"/>
        <w:gridCol w:w="1418"/>
        <w:gridCol w:w="1276"/>
        <w:gridCol w:w="1559"/>
      </w:tblGrid>
      <w:tr w14:paraId="1F57D14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8" w:hRule="atLeast"/>
          <w:tblHeader/>
          <w:jc w:val="center"/>
        </w:trPr>
        <w:tc>
          <w:tcPr>
            <w:tcW w:w="2235" w:type="dxa"/>
            <w:vAlign w:val="center"/>
          </w:tcPr>
          <w:p w14:paraId="1A146F21">
            <w:pPr>
              <w:pStyle w:val="84"/>
              <w:rPr>
                <w:color w:val="FF0000"/>
              </w:rPr>
            </w:pPr>
            <w:r>
              <w:rPr>
                <w:rFonts w:hint="eastAsia"/>
                <w:color w:val="FF0000"/>
              </w:rPr>
              <w:t>生态类型</w:t>
            </w:r>
          </w:p>
        </w:tc>
        <w:tc>
          <w:tcPr>
            <w:tcW w:w="1842" w:type="dxa"/>
            <w:vAlign w:val="center"/>
          </w:tcPr>
          <w:p w14:paraId="5BCD5731">
            <w:pPr>
              <w:pStyle w:val="84"/>
              <w:rPr>
                <w:color w:val="FF0000"/>
              </w:rPr>
            </w:pPr>
            <w:r>
              <w:rPr>
                <w:rFonts w:hint="eastAsia"/>
                <w:color w:val="FF0000"/>
              </w:rPr>
              <w:t>代表植物</w:t>
            </w:r>
          </w:p>
        </w:tc>
        <w:tc>
          <w:tcPr>
            <w:tcW w:w="1418" w:type="dxa"/>
            <w:vAlign w:val="center"/>
          </w:tcPr>
          <w:p w14:paraId="268303AA">
            <w:pPr>
              <w:pStyle w:val="84"/>
              <w:ind w:left="-120" w:leftChars="-50" w:right="-120" w:rightChars="-50"/>
              <w:rPr>
                <w:color w:val="FF0000"/>
              </w:rPr>
            </w:pPr>
            <w:r>
              <w:rPr>
                <w:rFonts w:hint="eastAsia"/>
                <w:color w:val="FF0000"/>
              </w:rPr>
              <w:t>工程占用面积（</w:t>
            </w:r>
            <w:r>
              <w:rPr>
                <w:color w:val="FF0000"/>
              </w:rPr>
              <w:t>hm</w:t>
            </w:r>
            <w:r>
              <w:rPr>
                <w:color w:val="FF0000"/>
                <w:vertAlign w:val="superscript"/>
              </w:rPr>
              <w:t>2</w:t>
            </w:r>
            <w:r>
              <w:rPr>
                <w:rFonts w:hint="eastAsia"/>
                <w:color w:val="FF0000"/>
              </w:rPr>
              <w:t>）</w:t>
            </w:r>
          </w:p>
        </w:tc>
        <w:tc>
          <w:tcPr>
            <w:tcW w:w="1276" w:type="dxa"/>
            <w:vAlign w:val="center"/>
          </w:tcPr>
          <w:p w14:paraId="356C19E6">
            <w:pPr>
              <w:pStyle w:val="84"/>
              <w:ind w:left="-120" w:leftChars="-50" w:right="-120" w:rightChars="-50"/>
              <w:rPr>
                <w:color w:val="FF0000"/>
              </w:rPr>
            </w:pPr>
            <w:r>
              <w:rPr>
                <w:rFonts w:hint="eastAsia"/>
                <w:color w:val="FF0000"/>
              </w:rPr>
              <w:t>评价区面积（</w:t>
            </w:r>
            <w:r>
              <w:rPr>
                <w:color w:val="FF0000"/>
              </w:rPr>
              <w:t>hm</w:t>
            </w:r>
            <w:r>
              <w:rPr>
                <w:color w:val="FF0000"/>
                <w:vertAlign w:val="superscript"/>
              </w:rPr>
              <w:t>2</w:t>
            </w:r>
            <w:r>
              <w:rPr>
                <w:rFonts w:hint="eastAsia"/>
                <w:color w:val="FF0000"/>
              </w:rPr>
              <w:t>）</w:t>
            </w:r>
          </w:p>
        </w:tc>
        <w:tc>
          <w:tcPr>
            <w:tcW w:w="1559" w:type="dxa"/>
            <w:vAlign w:val="center"/>
          </w:tcPr>
          <w:p w14:paraId="1FC42A50">
            <w:pPr>
              <w:pStyle w:val="84"/>
              <w:ind w:left="-120" w:leftChars="-50" w:right="-120" w:rightChars="-50"/>
              <w:rPr>
                <w:color w:val="FF0000"/>
              </w:rPr>
            </w:pPr>
            <w:r>
              <w:rPr>
                <w:rFonts w:hint="eastAsia"/>
                <w:color w:val="FF0000"/>
              </w:rPr>
              <w:t>占评价区总面积（</w:t>
            </w:r>
            <w:r>
              <w:rPr>
                <w:color w:val="FF0000"/>
              </w:rPr>
              <w:t>%</w:t>
            </w:r>
            <w:r>
              <w:rPr>
                <w:rFonts w:hint="eastAsia"/>
                <w:color w:val="FF0000"/>
              </w:rPr>
              <w:t>）</w:t>
            </w:r>
          </w:p>
        </w:tc>
      </w:tr>
      <w:tr w14:paraId="585A3F2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2235" w:type="dxa"/>
            <w:vAlign w:val="center"/>
          </w:tcPr>
          <w:p w14:paraId="08E41600">
            <w:pPr>
              <w:pStyle w:val="84"/>
              <w:rPr>
                <w:color w:val="FF0000"/>
              </w:rPr>
            </w:pPr>
            <w:r>
              <w:rPr>
                <w:rFonts w:hint="eastAsia"/>
                <w:color w:val="FF0000"/>
                <w:kern w:val="0"/>
              </w:rPr>
              <w:t>常绿落叶阔叶混交林</w:t>
            </w:r>
          </w:p>
        </w:tc>
        <w:tc>
          <w:tcPr>
            <w:tcW w:w="1842" w:type="dxa"/>
            <w:vAlign w:val="center"/>
          </w:tcPr>
          <w:p w14:paraId="12DF365A">
            <w:pPr>
              <w:pStyle w:val="84"/>
              <w:rPr>
                <w:color w:val="FF0000"/>
              </w:rPr>
            </w:pPr>
            <w:r>
              <w:rPr>
                <w:rFonts w:hint="eastAsia"/>
                <w:color w:val="FF0000"/>
                <w:kern w:val="0"/>
              </w:rPr>
              <w:t>西南桦、红木荷林</w:t>
            </w:r>
          </w:p>
        </w:tc>
        <w:tc>
          <w:tcPr>
            <w:tcW w:w="1418" w:type="dxa"/>
            <w:vAlign w:val="center"/>
          </w:tcPr>
          <w:p w14:paraId="5A03E29B">
            <w:pPr>
              <w:pStyle w:val="84"/>
              <w:rPr>
                <w:color w:val="FF0000"/>
              </w:rPr>
            </w:pPr>
            <w:r>
              <w:rPr>
                <w:rFonts w:hint="eastAsia"/>
                <w:color w:val="FF0000"/>
              </w:rPr>
              <w:t>1.1</w:t>
            </w:r>
          </w:p>
        </w:tc>
        <w:tc>
          <w:tcPr>
            <w:tcW w:w="1276" w:type="dxa"/>
            <w:vAlign w:val="center"/>
          </w:tcPr>
          <w:p w14:paraId="430120B6">
            <w:pPr>
              <w:pStyle w:val="84"/>
              <w:rPr>
                <w:color w:val="FF0000"/>
              </w:rPr>
            </w:pPr>
            <w:r>
              <w:rPr>
                <w:rFonts w:hint="eastAsia"/>
                <w:color w:val="FF0000"/>
              </w:rPr>
              <w:t>31.06</w:t>
            </w:r>
          </w:p>
        </w:tc>
        <w:tc>
          <w:tcPr>
            <w:tcW w:w="1559" w:type="dxa"/>
            <w:vAlign w:val="center"/>
          </w:tcPr>
          <w:p w14:paraId="2627168B">
            <w:pPr>
              <w:pStyle w:val="84"/>
              <w:rPr>
                <w:color w:val="FF0000"/>
              </w:rPr>
            </w:pPr>
            <w:r>
              <w:rPr>
                <w:rFonts w:hint="eastAsia"/>
                <w:color w:val="FF0000"/>
              </w:rPr>
              <w:t>3.54</w:t>
            </w:r>
          </w:p>
        </w:tc>
      </w:tr>
      <w:tr w14:paraId="689A044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4" w:hRule="atLeast"/>
          <w:jc w:val="center"/>
        </w:trPr>
        <w:tc>
          <w:tcPr>
            <w:tcW w:w="2235" w:type="dxa"/>
            <w:vAlign w:val="center"/>
          </w:tcPr>
          <w:p w14:paraId="6DFCCCDF">
            <w:pPr>
              <w:pStyle w:val="84"/>
              <w:rPr>
                <w:color w:val="FF0000"/>
              </w:rPr>
            </w:pPr>
            <w:r>
              <w:rPr>
                <w:rFonts w:hint="eastAsia"/>
                <w:color w:val="FF0000"/>
                <w:kern w:val="0"/>
              </w:rPr>
              <w:t>热性稀树灌草丛</w:t>
            </w:r>
          </w:p>
        </w:tc>
        <w:tc>
          <w:tcPr>
            <w:tcW w:w="1842" w:type="dxa"/>
            <w:vAlign w:val="center"/>
          </w:tcPr>
          <w:p w14:paraId="745B8DB0">
            <w:pPr>
              <w:pStyle w:val="84"/>
              <w:rPr>
                <w:color w:val="FF0000"/>
              </w:rPr>
            </w:pPr>
            <w:r>
              <w:rPr>
                <w:rFonts w:hint="eastAsia"/>
                <w:color w:val="FF0000"/>
                <w:kern w:val="0"/>
              </w:rPr>
              <w:t>含毛麻楝、黄牛木的中草草丛</w:t>
            </w:r>
          </w:p>
        </w:tc>
        <w:tc>
          <w:tcPr>
            <w:tcW w:w="1418" w:type="dxa"/>
            <w:vAlign w:val="center"/>
          </w:tcPr>
          <w:p w14:paraId="4A7C440F">
            <w:pPr>
              <w:pStyle w:val="84"/>
              <w:rPr>
                <w:color w:val="FF0000"/>
              </w:rPr>
            </w:pPr>
            <w:r>
              <w:rPr>
                <w:rFonts w:hint="eastAsia"/>
                <w:color w:val="FF0000"/>
              </w:rPr>
              <w:t>0.02</w:t>
            </w:r>
          </w:p>
        </w:tc>
        <w:tc>
          <w:tcPr>
            <w:tcW w:w="1276" w:type="dxa"/>
            <w:vAlign w:val="center"/>
          </w:tcPr>
          <w:p w14:paraId="4C2A3C70">
            <w:pPr>
              <w:pStyle w:val="84"/>
              <w:rPr>
                <w:color w:val="FF0000"/>
              </w:rPr>
            </w:pPr>
            <w:r>
              <w:rPr>
                <w:rFonts w:hint="eastAsia"/>
                <w:color w:val="FF0000"/>
              </w:rPr>
              <w:t>1.25</w:t>
            </w:r>
          </w:p>
        </w:tc>
        <w:tc>
          <w:tcPr>
            <w:tcW w:w="1559" w:type="dxa"/>
            <w:vAlign w:val="center"/>
          </w:tcPr>
          <w:p w14:paraId="207A58E2">
            <w:pPr>
              <w:pStyle w:val="84"/>
              <w:rPr>
                <w:color w:val="FF0000"/>
              </w:rPr>
            </w:pPr>
            <w:r>
              <w:rPr>
                <w:rFonts w:hint="eastAsia"/>
                <w:color w:val="FF0000"/>
              </w:rPr>
              <w:t>1.6</w:t>
            </w:r>
          </w:p>
        </w:tc>
      </w:tr>
      <w:tr w14:paraId="0A68063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3" w:hRule="atLeast"/>
          <w:jc w:val="center"/>
        </w:trPr>
        <w:tc>
          <w:tcPr>
            <w:tcW w:w="2235" w:type="dxa"/>
            <w:vAlign w:val="center"/>
          </w:tcPr>
          <w:p w14:paraId="697FE4ED">
            <w:pPr>
              <w:pStyle w:val="84"/>
              <w:rPr>
                <w:bCs/>
                <w:color w:val="FF0000"/>
                <w:kern w:val="0"/>
              </w:rPr>
            </w:pPr>
            <w:r>
              <w:rPr>
                <w:rFonts w:hint="eastAsia"/>
                <w:color w:val="FF0000"/>
                <w:kern w:val="0"/>
              </w:rPr>
              <w:t>草丛</w:t>
            </w:r>
          </w:p>
        </w:tc>
        <w:tc>
          <w:tcPr>
            <w:tcW w:w="1842" w:type="dxa"/>
            <w:vAlign w:val="center"/>
          </w:tcPr>
          <w:p w14:paraId="71B62C8C">
            <w:pPr>
              <w:pStyle w:val="84"/>
              <w:rPr>
                <w:bCs/>
                <w:color w:val="FF0000"/>
                <w:kern w:val="0"/>
              </w:rPr>
            </w:pPr>
            <w:r>
              <w:rPr>
                <w:rFonts w:hint="eastAsia"/>
                <w:bCs/>
                <w:color w:val="FF0000"/>
                <w:kern w:val="0"/>
              </w:rPr>
              <w:t>肿柄菊草丛、飞机草草丛和卡开芦草丛</w:t>
            </w:r>
          </w:p>
        </w:tc>
        <w:tc>
          <w:tcPr>
            <w:tcW w:w="1418" w:type="dxa"/>
            <w:vAlign w:val="center"/>
          </w:tcPr>
          <w:p w14:paraId="591BF644">
            <w:pPr>
              <w:pStyle w:val="84"/>
              <w:rPr>
                <w:color w:val="FF0000"/>
              </w:rPr>
            </w:pPr>
            <w:r>
              <w:rPr>
                <w:rFonts w:hint="eastAsia"/>
                <w:color w:val="FF0000"/>
              </w:rPr>
              <w:t>0.03</w:t>
            </w:r>
          </w:p>
        </w:tc>
        <w:tc>
          <w:tcPr>
            <w:tcW w:w="1276" w:type="dxa"/>
            <w:vAlign w:val="center"/>
          </w:tcPr>
          <w:p w14:paraId="1CD37FBB">
            <w:pPr>
              <w:pStyle w:val="84"/>
              <w:rPr>
                <w:color w:val="FF0000"/>
              </w:rPr>
            </w:pPr>
            <w:r>
              <w:rPr>
                <w:rFonts w:hint="eastAsia"/>
                <w:color w:val="FF0000"/>
              </w:rPr>
              <w:t>1.9</w:t>
            </w:r>
          </w:p>
        </w:tc>
        <w:tc>
          <w:tcPr>
            <w:tcW w:w="1559" w:type="dxa"/>
            <w:vAlign w:val="center"/>
          </w:tcPr>
          <w:p w14:paraId="16B1E115">
            <w:pPr>
              <w:pStyle w:val="84"/>
              <w:rPr>
                <w:color w:val="FF0000"/>
              </w:rPr>
            </w:pPr>
            <w:r>
              <w:rPr>
                <w:rFonts w:hint="eastAsia"/>
                <w:color w:val="FF0000"/>
              </w:rPr>
              <w:t>1.57</w:t>
            </w:r>
          </w:p>
        </w:tc>
      </w:tr>
      <w:tr w14:paraId="13E8D7E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4077" w:type="dxa"/>
            <w:gridSpan w:val="2"/>
            <w:vAlign w:val="center"/>
          </w:tcPr>
          <w:p w14:paraId="7F0A0784">
            <w:pPr>
              <w:pStyle w:val="84"/>
              <w:rPr>
                <w:color w:val="FF0000"/>
              </w:rPr>
            </w:pPr>
            <w:r>
              <w:rPr>
                <w:rFonts w:hint="eastAsia"/>
                <w:color w:val="FF0000"/>
              </w:rPr>
              <w:t>总计</w:t>
            </w:r>
          </w:p>
        </w:tc>
        <w:tc>
          <w:tcPr>
            <w:tcW w:w="1418" w:type="dxa"/>
            <w:vAlign w:val="center"/>
          </w:tcPr>
          <w:p w14:paraId="3FA88DCB">
            <w:pPr>
              <w:pStyle w:val="84"/>
              <w:rPr>
                <w:color w:val="FF0000"/>
              </w:rPr>
            </w:pPr>
            <w:r>
              <w:rPr>
                <w:rFonts w:hint="eastAsia"/>
                <w:color w:val="FF0000"/>
              </w:rPr>
              <w:t>1.15</w:t>
            </w:r>
          </w:p>
        </w:tc>
        <w:tc>
          <w:tcPr>
            <w:tcW w:w="1276" w:type="dxa"/>
            <w:vAlign w:val="center"/>
          </w:tcPr>
          <w:p w14:paraId="2F06D581">
            <w:pPr>
              <w:pStyle w:val="84"/>
              <w:rPr>
                <w:color w:val="FF0000"/>
                <w:szCs w:val="21"/>
              </w:rPr>
            </w:pPr>
            <w:r>
              <w:rPr>
                <w:rFonts w:hint="eastAsia"/>
                <w:color w:val="FF0000"/>
                <w:szCs w:val="21"/>
              </w:rPr>
              <w:t>34.21</w:t>
            </w:r>
          </w:p>
        </w:tc>
        <w:tc>
          <w:tcPr>
            <w:tcW w:w="1559" w:type="dxa"/>
            <w:vAlign w:val="center"/>
          </w:tcPr>
          <w:p w14:paraId="6841F062">
            <w:pPr>
              <w:pStyle w:val="84"/>
              <w:rPr>
                <w:color w:val="FF0000"/>
              </w:rPr>
            </w:pPr>
            <w:r>
              <w:rPr>
                <w:rFonts w:hint="eastAsia"/>
                <w:color w:val="FF0000"/>
              </w:rPr>
              <w:t>3.36</w:t>
            </w:r>
          </w:p>
        </w:tc>
      </w:tr>
    </w:tbl>
    <w:p w14:paraId="5CBF356F">
      <w:pPr>
        <w:adjustRightInd w:val="0"/>
        <w:snapToGrid w:val="0"/>
        <w:spacing w:before="240" w:beforeLines="100"/>
        <w:ind w:firstLine="480"/>
        <w:rPr>
          <w:color w:val="FF0000"/>
        </w:rPr>
      </w:pPr>
      <w:r>
        <w:rPr>
          <w:rFonts w:hint="eastAsia"/>
          <w:color w:val="FF0000"/>
        </w:rPr>
        <w:t>根据上表，拟建项目占用</w:t>
      </w:r>
      <w:r>
        <w:rPr>
          <w:rFonts w:hint="eastAsia"/>
          <w:color w:val="FF0000"/>
          <w:kern w:val="0"/>
        </w:rPr>
        <w:t>常绿落叶阔叶混交林</w:t>
      </w:r>
      <w:r>
        <w:rPr>
          <w:rFonts w:hint="eastAsia"/>
          <w:color w:val="FF0000"/>
        </w:rPr>
        <w:t>1.1</w:t>
      </w:r>
      <w:r>
        <w:rPr>
          <w:color w:val="FF0000"/>
        </w:rPr>
        <w:t>hm</w:t>
      </w:r>
      <w:r>
        <w:rPr>
          <w:color w:val="FF0000"/>
          <w:vertAlign w:val="superscript"/>
        </w:rPr>
        <w:t>2</w:t>
      </w:r>
      <w:r>
        <w:rPr>
          <w:rFonts w:hint="eastAsia"/>
          <w:color w:val="FF0000"/>
        </w:rPr>
        <w:t>、占评价范围内</w:t>
      </w:r>
      <w:r>
        <w:rPr>
          <w:rFonts w:hint="eastAsia"/>
          <w:color w:val="FF0000"/>
          <w:kern w:val="0"/>
        </w:rPr>
        <w:t>常绿落叶阔叶混交林</w:t>
      </w:r>
      <w:r>
        <w:rPr>
          <w:rFonts w:hint="eastAsia"/>
          <w:color w:val="FF0000"/>
        </w:rPr>
        <w:t>的3.54</w:t>
      </w:r>
      <w:r>
        <w:rPr>
          <w:color w:val="FF0000"/>
        </w:rPr>
        <w:t>%</w:t>
      </w:r>
      <w:r>
        <w:rPr>
          <w:rFonts w:hint="eastAsia"/>
          <w:color w:val="FF0000"/>
        </w:rPr>
        <w:t>，占用</w:t>
      </w:r>
      <w:r>
        <w:rPr>
          <w:rFonts w:hint="eastAsia"/>
          <w:color w:val="FF0000"/>
          <w:kern w:val="0"/>
        </w:rPr>
        <w:t>热性稀树灌草丛</w:t>
      </w:r>
      <w:r>
        <w:rPr>
          <w:rFonts w:hint="eastAsia"/>
          <w:color w:val="FF0000"/>
        </w:rPr>
        <w:t>0.02</w:t>
      </w:r>
      <w:r>
        <w:rPr>
          <w:color w:val="FF0000"/>
        </w:rPr>
        <w:t>hm</w:t>
      </w:r>
      <w:r>
        <w:rPr>
          <w:color w:val="FF0000"/>
          <w:vertAlign w:val="superscript"/>
        </w:rPr>
        <w:t>2</w:t>
      </w:r>
      <w:r>
        <w:rPr>
          <w:rFonts w:hint="eastAsia"/>
          <w:color w:val="FF0000"/>
        </w:rPr>
        <w:t>、占评价范围内</w:t>
      </w:r>
      <w:r>
        <w:rPr>
          <w:rFonts w:hint="eastAsia"/>
          <w:color w:val="FF0000"/>
          <w:kern w:val="0"/>
        </w:rPr>
        <w:t>热性稀树灌草丛</w:t>
      </w:r>
      <w:r>
        <w:rPr>
          <w:rFonts w:hint="eastAsia"/>
          <w:color w:val="FF0000"/>
        </w:rPr>
        <w:t>的1.6</w:t>
      </w:r>
      <w:r>
        <w:rPr>
          <w:color w:val="FF0000"/>
        </w:rPr>
        <w:t>%</w:t>
      </w:r>
      <w:r>
        <w:rPr>
          <w:rFonts w:hint="eastAsia"/>
          <w:color w:val="FF0000"/>
        </w:rPr>
        <w:t>，占用</w:t>
      </w:r>
      <w:r>
        <w:rPr>
          <w:color w:val="FF0000"/>
        </w:rPr>
        <w:t>草丛</w:t>
      </w:r>
      <w:r>
        <w:rPr>
          <w:rFonts w:hint="eastAsia"/>
          <w:color w:val="FF0000"/>
        </w:rPr>
        <w:t>0.03</w:t>
      </w:r>
      <w:r>
        <w:rPr>
          <w:color w:val="FF0000"/>
        </w:rPr>
        <w:t>hm</w:t>
      </w:r>
      <w:r>
        <w:rPr>
          <w:color w:val="FF0000"/>
          <w:vertAlign w:val="superscript"/>
        </w:rPr>
        <w:t>2</w:t>
      </w:r>
      <w:r>
        <w:rPr>
          <w:rFonts w:hint="eastAsia"/>
          <w:color w:val="FF0000"/>
        </w:rPr>
        <w:t>、占评价范围内</w:t>
      </w:r>
      <w:r>
        <w:rPr>
          <w:color w:val="FF0000"/>
        </w:rPr>
        <w:t>草丛</w:t>
      </w:r>
      <w:r>
        <w:rPr>
          <w:rFonts w:hint="eastAsia"/>
          <w:color w:val="FF0000"/>
        </w:rPr>
        <w:t>的1.57</w:t>
      </w:r>
      <w:r>
        <w:rPr>
          <w:color w:val="FF0000"/>
        </w:rPr>
        <w:t>%</w:t>
      </w:r>
      <w:r>
        <w:rPr>
          <w:rFonts w:hint="eastAsia"/>
          <w:color w:val="FF0000"/>
        </w:rPr>
        <w:t>。工程占用植被较多的区域主要为大坝淹没区，</w:t>
      </w:r>
      <w:r>
        <w:rPr>
          <w:rFonts w:hint="eastAsia" w:ascii="宋体"/>
          <w:color w:val="FF0000"/>
        </w:rPr>
        <w:t>大坝及厂区枢纽区占用的大多为农田植被。</w:t>
      </w:r>
      <w:r>
        <w:rPr>
          <w:rFonts w:hint="eastAsia"/>
          <w:color w:val="FF0000"/>
        </w:rPr>
        <w:t>工程所占各植被的面积不大，不会造成任何一种植被类型的消失和破碎化。</w:t>
      </w:r>
    </w:p>
    <w:p w14:paraId="548FBA1A">
      <w:pPr>
        <w:adjustRightInd w:val="0"/>
        <w:snapToGrid w:val="0"/>
        <w:ind w:firstLine="480"/>
      </w:pPr>
      <w:r>
        <w:rPr>
          <w:rFonts w:hint="eastAsia"/>
          <w:color w:val="FF0000"/>
        </w:rPr>
        <w:t>工程施工生产生活区占用坡耕地0.38</w:t>
      </w:r>
      <w:r>
        <w:rPr>
          <w:color w:val="FF0000"/>
        </w:rPr>
        <w:t>hm</w:t>
      </w:r>
      <w:r>
        <w:rPr>
          <w:color w:val="FF0000"/>
          <w:vertAlign w:val="superscript"/>
        </w:rPr>
        <w:t>2</w:t>
      </w:r>
      <w:r>
        <w:rPr>
          <w:rFonts w:hint="eastAsia"/>
          <w:color w:val="FF0000"/>
        </w:rPr>
        <w:t>，而位于坝址下游1.8km处的砂砾料场占用水域及水利设施用地0.61</w:t>
      </w:r>
      <w:r>
        <w:rPr>
          <w:color w:val="FF0000"/>
        </w:rPr>
        <w:t>hm</w:t>
      </w:r>
      <w:r>
        <w:rPr>
          <w:color w:val="FF0000"/>
          <w:vertAlign w:val="superscript"/>
        </w:rPr>
        <w:t>2</w:t>
      </w:r>
      <w:r>
        <w:rPr>
          <w:rFonts w:hint="eastAsia"/>
          <w:color w:val="FF0000"/>
        </w:rPr>
        <w:t>。</w:t>
      </w:r>
      <w:r>
        <w:rPr>
          <w:rFonts w:hint="eastAsia"/>
        </w:rPr>
        <w:t>临时工程占用的植被类型以</w:t>
      </w:r>
      <w:r>
        <w:rPr>
          <w:rFonts w:hint="eastAsia"/>
          <w:kern w:val="0"/>
        </w:rPr>
        <w:t>常绿落叶阔叶混交林和</w:t>
      </w:r>
      <w:r>
        <w:rPr>
          <w:rFonts w:hint="eastAsia"/>
        </w:rPr>
        <w:t>草丛为主，如：</w:t>
      </w:r>
      <w:r>
        <w:rPr>
          <w:rFonts w:hint="eastAsia"/>
          <w:kern w:val="0"/>
        </w:rPr>
        <w:t>西南桦、</w:t>
      </w:r>
      <w:r>
        <w:rPr>
          <w:rFonts w:hint="eastAsia"/>
          <w:bCs/>
          <w:kern w:val="0"/>
        </w:rPr>
        <w:t>肿柄菊、</w:t>
      </w:r>
      <w:r>
        <w:rPr>
          <w:rFonts w:hint="eastAsia" w:ascii="宋体" w:hAnsi="宋体" w:cs="宋体"/>
          <w:kern w:val="0"/>
        </w:rPr>
        <w:t>藿香蓟、</w:t>
      </w:r>
      <w:r>
        <w:rPr>
          <w:rFonts w:hint="eastAsia"/>
          <w:bCs/>
          <w:kern w:val="0"/>
        </w:rPr>
        <w:t>飞机草草丛等。</w:t>
      </w:r>
    </w:p>
    <w:p w14:paraId="6F0B7769">
      <w:pPr>
        <w:adjustRightInd w:val="0"/>
        <w:snapToGrid w:val="0"/>
        <w:ind w:firstLine="480"/>
      </w:pPr>
      <w:r>
        <w:rPr>
          <w:rFonts w:hint="eastAsia"/>
        </w:rPr>
        <w:t>在工程结束后，对临时占地区域（主要为</w:t>
      </w:r>
      <w:r>
        <w:t>施工生产生活区</w:t>
      </w:r>
      <w:r>
        <w:rPr>
          <w:rFonts w:hint="eastAsia"/>
        </w:rPr>
        <w:t>）及时采取植被恢复措施，种植土著物种，可使得施工造成的影响得到一定的减免；而工程规划的砂料场位于下游平缓的河滩上，开采结束后只对场地进行平整，无需采取植被恢复工作。工程永久占地（主要是大坝淹没</w:t>
      </w:r>
      <w:r>
        <w:t>区</w:t>
      </w:r>
      <w:r>
        <w:rPr>
          <w:rFonts w:hint="eastAsia"/>
        </w:rPr>
        <w:t>，</w:t>
      </w:r>
      <w:r>
        <w:rPr>
          <w:rFonts w:hint="eastAsia" w:ascii="宋体"/>
        </w:rPr>
        <w:t>大坝及厂区枢纽区占用的大多为农田植被，</w:t>
      </w:r>
      <w:r>
        <w:rPr>
          <w:rFonts w:hint="eastAsia"/>
        </w:rPr>
        <w:t>）对植被的破坏是永久性的、不可逆的，但工程建成后，可通过种植绿化来进行补偿，区内绿化面积将达0.14</w:t>
      </w:r>
      <w:r>
        <w:t xml:space="preserve"> hm</w:t>
      </w:r>
      <w:r>
        <w:rPr>
          <w:vertAlign w:val="superscript"/>
        </w:rPr>
        <w:t>2</w:t>
      </w:r>
      <w:r>
        <w:rPr>
          <w:rFonts w:hint="eastAsia"/>
        </w:rPr>
        <w:t>，能够直到一定缓解作用。</w:t>
      </w:r>
    </w:p>
    <w:p w14:paraId="1E972A4E">
      <w:pPr>
        <w:ind w:firstLine="480"/>
      </w:pPr>
      <w:r>
        <w:rPr>
          <w:rFonts w:hint="eastAsia"/>
        </w:rPr>
        <w:t>拟建工程虽然会对当地植被造成一定的影响，植被类型会有一定损失和破坏，但所受到影响的植被在该区域内广泛分布，在施工过程中以及施工后期严格执行保护和恢复措施后，工程建设对于该地区的植被类型的影响将降到最低程度。</w:t>
      </w:r>
    </w:p>
    <w:p w14:paraId="30C6A313">
      <w:pPr>
        <w:ind w:firstLine="480"/>
      </w:pPr>
      <w:r>
        <w:rPr>
          <w:rFonts w:hint="eastAsia"/>
        </w:rPr>
        <w:t>2、对植被生物量的影响</w:t>
      </w:r>
    </w:p>
    <w:p w14:paraId="7CD1B7F5">
      <w:pPr>
        <w:ind w:firstLine="480"/>
        <w:rPr>
          <w:highlight w:val="green"/>
        </w:rPr>
      </w:pPr>
      <w:r>
        <w:rPr>
          <w:rFonts w:hint="eastAsia"/>
          <w:color w:val="FF0000"/>
        </w:rPr>
        <w:t>工程施工造成的影响主要集中分布在枢纽施工区范围内。</w:t>
      </w:r>
      <w:r>
        <w:rPr>
          <w:rFonts w:hint="eastAsia"/>
        </w:rPr>
        <w:t>施工活动主要为大坝和厂房的建设，地表开挖、弃渣堆放等将直接破坏地表植被，使施工区分布的稀树灌草丛受到严重破坏，植物生物量将受到损失。根据植被野外调</w:t>
      </w:r>
      <w:r>
        <w:rPr>
          <w:rFonts w:hint="eastAsia"/>
          <w:color w:val="FF0000"/>
        </w:rPr>
        <w:t>查结果，施工占地影响区域植被总面积1.15</w:t>
      </w:r>
      <w:r>
        <w:rPr>
          <w:color w:val="FF0000"/>
        </w:rPr>
        <w:t>hm</w:t>
      </w:r>
      <w:r>
        <w:rPr>
          <w:color w:val="FF0000"/>
          <w:vertAlign w:val="superscript"/>
        </w:rPr>
        <w:t>2</w:t>
      </w:r>
      <w:r>
        <w:rPr>
          <w:rFonts w:hint="eastAsia"/>
          <w:color w:val="FF0000"/>
        </w:rPr>
        <w:t>，具体见表6-1-6。</w:t>
      </w:r>
    </w:p>
    <w:p w14:paraId="616991A2">
      <w:pPr>
        <w:ind w:firstLine="480"/>
      </w:pPr>
      <w:r>
        <w:rPr>
          <w:rFonts w:hint="eastAsia"/>
        </w:rPr>
        <w:t>施工占地面积及其损失植被生物量见下表：</w:t>
      </w:r>
    </w:p>
    <w:p w14:paraId="6A36D04A">
      <w:pPr>
        <w:pStyle w:val="82"/>
        <w:framePr w:hSpace="0" w:wrap="auto" w:vAnchor="margin" w:hAnchor="text" w:xAlign="left" w:yAlign="inline"/>
      </w:pPr>
      <w:r>
        <w:rPr>
          <w:rFonts w:hint="eastAsia"/>
        </w:rPr>
        <w:t>表</w:t>
      </w:r>
      <w:r>
        <w:t>6-</w:t>
      </w:r>
      <w:r>
        <w:rPr>
          <w:rFonts w:hint="eastAsia"/>
        </w:rPr>
        <w:t>1-7</w:t>
      </w:r>
      <w:r>
        <w:t xml:space="preserve"> </w:t>
      </w:r>
      <w:r>
        <w:rPr>
          <w:rFonts w:hint="eastAsia"/>
        </w:rPr>
        <w:t>　工程施工占地造成生物量与生产力损失统计</w:t>
      </w:r>
    </w:p>
    <w:tbl>
      <w:tblPr>
        <w:tblStyle w:val="56"/>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015"/>
        <w:gridCol w:w="1421"/>
        <w:gridCol w:w="1340"/>
        <w:gridCol w:w="1677"/>
        <w:gridCol w:w="1260"/>
      </w:tblGrid>
      <w:tr w14:paraId="60448C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809" w:type="dxa"/>
            <w:vAlign w:val="center"/>
          </w:tcPr>
          <w:p w14:paraId="3540F8D7">
            <w:pPr>
              <w:pStyle w:val="84"/>
              <w:rPr>
                <w:bCs/>
                <w:color w:val="FF0000"/>
              </w:rPr>
            </w:pPr>
            <w:r>
              <w:rPr>
                <w:rFonts w:hint="eastAsia"/>
                <w:color w:val="FF0000"/>
              </w:rPr>
              <w:t>类型</w:t>
            </w:r>
          </w:p>
        </w:tc>
        <w:tc>
          <w:tcPr>
            <w:tcW w:w="1015" w:type="dxa"/>
            <w:vAlign w:val="center"/>
          </w:tcPr>
          <w:p w14:paraId="7033AE63">
            <w:pPr>
              <w:pStyle w:val="84"/>
              <w:rPr>
                <w:bCs/>
                <w:color w:val="FF0000"/>
              </w:rPr>
            </w:pPr>
            <w:r>
              <w:rPr>
                <w:rFonts w:hint="eastAsia"/>
                <w:color w:val="FF0000"/>
              </w:rPr>
              <w:t>面积（</w:t>
            </w:r>
            <w:r>
              <w:rPr>
                <w:color w:val="FF0000"/>
              </w:rPr>
              <w:t>hm</w:t>
            </w:r>
            <w:r>
              <w:rPr>
                <w:color w:val="FF0000"/>
                <w:vertAlign w:val="superscript"/>
              </w:rPr>
              <w:t>2</w:t>
            </w:r>
            <w:r>
              <w:rPr>
                <w:rFonts w:hint="eastAsia"/>
                <w:color w:val="FF0000"/>
              </w:rPr>
              <w:t>）</w:t>
            </w:r>
          </w:p>
        </w:tc>
        <w:tc>
          <w:tcPr>
            <w:tcW w:w="1421" w:type="dxa"/>
            <w:vAlign w:val="center"/>
          </w:tcPr>
          <w:p w14:paraId="0B998381">
            <w:pPr>
              <w:pStyle w:val="84"/>
              <w:rPr>
                <w:bCs/>
                <w:color w:val="FF0000"/>
                <w:kern w:val="0"/>
              </w:rPr>
            </w:pPr>
            <w:r>
              <w:rPr>
                <w:rFonts w:hint="eastAsia"/>
                <w:color w:val="FF0000"/>
              </w:rPr>
              <w:t>平均生物量</w:t>
            </w:r>
          </w:p>
          <w:p w14:paraId="30019020">
            <w:pPr>
              <w:pStyle w:val="84"/>
              <w:rPr>
                <w:bCs/>
                <w:color w:val="FF0000"/>
              </w:rPr>
            </w:pPr>
            <w:r>
              <w:rPr>
                <w:color w:val="FF0000"/>
              </w:rPr>
              <w:t>(t/ hm</w:t>
            </w:r>
            <w:r>
              <w:rPr>
                <w:color w:val="FF0000"/>
                <w:vertAlign w:val="superscript"/>
              </w:rPr>
              <w:t>2</w:t>
            </w:r>
            <w:r>
              <w:rPr>
                <w:color w:val="FF0000"/>
              </w:rPr>
              <w:t>)</w:t>
            </w:r>
          </w:p>
        </w:tc>
        <w:tc>
          <w:tcPr>
            <w:tcW w:w="1340" w:type="dxa"/>
            <w:vAlign w:val="center"/>
          </w:tcPr>
          <w:p w14:paraId="1164F4F5">
            <w:pPr>
              <w:pStyle w:val="84"/>
              <w:rPr>
                <w:bCs/>
                <w:color w:val="FF0000"/>
                <w:kern w:val="0"/>
              </w:rPr>
            </w:pPr>
            <w:r>
              <w:rPr>
                <w:rFonts w:hint="eastAsia"/>
                <w:color w:val="FF0000"/>
              </w:rPr>
              <w:t>总生物量</w:t>
            </w:r>
          </w:p>
          <w:p w14:paraId="0CAE6B92">
            <w:pPr>
              <w:pStyle w:val="84"/>
              <w:rPr>
                <w:bCs/>
                <w:color w:val="FF0000"/>
              </w:rPr>
            </w:pPr>
            <w:r>
              <w:rPr>
                <w:rFonts w:hint="eastAsia"/>
                <w:color w:val="FF0000"/>
              </w:rPr>
              <w:t>（</w:t>
            </w:r>
            <w:r>
              <w:rPr>
                <w:color w:val="FF0000"/>
              </w:rPr>
              <w:t>t</w:t>
            </w:r>
            <w:r>
              <w:rPr>
                <w:rFonts w:hint="eastAsia"/>
                <w:color w:val="FF0000"/>
              </w:rPr>
              <w:t>）</w:t>
            </w:r>
          </w:p>
        </w:tc>
        <w:tc>
          <w:tcPr>
            <w:tcW w:w="1677" w:type="dxa"/>
          </w:tcPr>
          <w:p w14:paraId="2953F124">
            <w:pPr>
              <w:pStyle w:val="84"/>
              <w:rPr>
                <w:bCs/>
                <w:color w:val="FF0000"/>
                <w:kern w:val="0"/>
              </w:rPr>
            </w:pPr>
            <w:r>
              <w:rPr>
                <w:rFonts w:hint="eastAsia"/>
                <w:color w:val="FF0000"/>
              </w:rPr>
              <w:t>平均净生产力</w:t>
            </w:r>
          </w:p>
          <w:p w14:paraId="74F3DE75">
            <w:pPr>
              <w:pStyle w:val="84"/>
              <w:rPr>
                <w:bCs/>
                <w:color w:val="FF0000"/>
              </w:rPr>
            </w:pPr>
            <w:r>
              <w:rPr>
                <w:color w:val="FF0000"/>
              </w:rPr>
              <w:t>(t/ hm</w:t>
            </w:r>
            <w:r>
              <w:rPr>
                <w:color w:val="FF0000"/>
                <w:vertAlign w:val="superscript"/>
              </w:rPr>
              <w:t>2</w:t>
            </w:r>
            <w:r>
              <w:rPr>
                <w:color w:val="FF0000"/>
              </w:rPr>
              <w:t>/a)</w:t>
            </w:r>
          </w:p>
        </w:tc>
        <w:tc>
          <w:tcPr>
            <w:tcW w:w="1260" w:type="dxa"/>
            <w:vAlign w:val="center"/>
          </w:tcPr>
          <w:p w14:paraId="5C4D34EF">
            <w:pPr>
              <w:pStyle w:val="84"/>
              <w:rPr>
                <w:bCs/>
                <w:color w:val="FF0000"/>
                <w:kern w:val="0"/>
              </w:rPr>
            </w:pPr>
            <w:r>
              <w:rPr>
                <w:rFonts w:hint="eastAsia"/>
                <w:color w:val="FF0000"/>
              </w:rPr>
              <w:t>总生产力</w:t>
            </w:r>
          </w:p>
          <w:p w14:paraId="6F1DC322">
            <w:pPr>
              <w:pStyle w:val="84"/>
              <w:rPr>
                <w:bCs/>
                <w:color w:val="FF0000"/>
              </w:rPr>
            </w:pPr>
            <w:r>
              <w:rPr>
                <w:color w:val="FF0000"/>
              </w:rPr>
              <w:t>(t/a)</w:t>
            </w:r>
          </w:p>
        </w:tc>
      </w:tr>
      <w:tr w14:paraId="4F81F5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09" w:type="dxa"/>
            <w:vAlign w:val="center"/>
          </w:tcPr>
          <w:p w14:paraId="0B52BD1B">
            <w:pPr>
              <w:pStyle w:val="84"/>
              <w:rPr>
                <w:color w:val="FF0000"/>
              </w:rPr>
            </w:pPr>
            <w:r>
              <w:rPr>
                <w:rFonts w:hint="eastAsia"/>
                <w:color w:val="FF0000"/>
                <w:kern w:val="0"/>
              </w:rPr>
              <w:t>常绿落叶阔叶混交林</w:t>
            </w:r>
          </w:p>
        </w:tc>
        <w:tc>
          <w:tcPr>
            <w:tcW w:w="1015" w:type="dxa"/>
            <w:vAlign w:val="center"/>
          </w:tcPr>
          <w:p w14:paraId="2C2B80FE">
            <w:pPr>
              <w:pStyle w:val="84"/>
              <w:rPr>
                <w:color w:val="FF0000"/>
              </w:rPr>
            </w:pPr>
            <w:r>
              <w:rPr>
                <w:rFonts w:hint="eastAsia"/>
                <w:color w:val="FF0000"/>
              </w:rPr>
              <w:t>1.1</w:t>
            </w:r>
          </w:p>
        </w:tc>
        <w:tc>
          <w:tcPr>
            <w:tcW w:w="1421" w:type="dxa"/>
            <w:vAlign w:val="center"/>
          </w:tcPr>
          <w:p w14:paraId="126773B3">
            <w:pPr>
              <w:pStyle w:val="84"/>
              <w:rPr>
                <w:rFonts w:eastAsia="宋体"/>
                <w:color w:val="FF0000"/>
              </w:rPr>
            </w:pPr>
            <w:r>
              <w:rPr>
                <w:color w:val="FF0000"/>
              </w:rPr>
              <w:t xml:space="preserve">197.38 </w:t>
            </w:r>
          </w:p>
        </w:tc>
        <w:tc>
          <w:tcPr>
            <w:tcW w:w="1340" w:type="dxa"/>
            <w:vAlign w:val="center"/>
          </w:tcPr>
          <w:p w14:paraId="18534B6B">
            <w:pPr>
              <w:pStyle w:val="84"/>
              <w:rPr>
                <w:rFonts w:eastAsia="宋体"/>
                <w:color w:val="FF0000"/>
              </w:rPr>
            </w:pPr>
            <w:r>
              <w:rPr>
                <w:rFonts w:hint="eastAsia"/>
                <w:color w:val="FF0000"/>
              </w:rPr>
              <w:t>217.12</w:t>
            </w:r>
          </w:p>
        </w:tc>
        <w:tc>
          <w:tcPr>
            <w:tcW w:w="1677" w:type="dxa"/>
            <w:vAlign w:val="center"/>
          </w:tcPr>
          <w:p w14:paraId="5C90C884">
            <w:pPr>
              <w:pStyle w:val="84"/>
              <w:rPr>
                <w:rFonts w:eastAsia="宋体"/>
                <w:color w:val="FF0000"/>
              </w:rPr>
            </w:pPr>
            <w:r>
              <w:rPr>
                <w:color w:val="FF0000"/>
              </w:rPr>
              <w:t xml:space="preserve">9.12 </w:t>
            </w:r>
          </w:p>
        </w:tc>
        <w:tc>
          <w:tcPr>
            <w:tcW w:w="1260" w:type="dxa"/>
            <w:vAlign w:val="center"/>
          </w:tcPr>
          <w:p w14:paraId="0C471789">
            <w:pPr>
              <w:pStyle w:val="84"/>
              <w:rPr>
                <w:rFonts w:eastAsia="宋体"/>
                <w:color w:val="FF0000"/>
              </w:rPr>
            </w:pPr>
            <w:r>
              <w:rPr>
                <w:rFonts w:hint="eastAsia"/>
                <w:color w:val="FF0000"/>
              </w:rPr>
              <w:t>10.03</w:t>
            </w:r>
          </w:p>
        </w:tc>
      </w:tr>
      <w:tr w14:paraId="1A41E8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09" w:type="dxa"/>
            <w:vAlign w:val="center"/>
          </w:tcPr>
          <w:p w14:paraId="0C7926C4">
            <w:pPr>
              <w:pStyle w:val="84"/>
              <w:rPr>
                <w:color w:val="FF0000"/>
              </w:rPr>
            </w:pPr>
            <w:r>
              <w:rPr>
                <w:rFonts w:hint="eastAsia"/>
                <w:color w:val="FF0000"/>
                <w:kern w:val="0"/>
              </w:rPr>
              <w:t>热性稀树灌草丛</w:t>
            </w:r>
          </w:p>
        </w:tc>
        <w:tc>
          <w:tcPr>
            <w:tcW w:w="1015" w:type="dxa"/>
            <w:vAlign w:val="center"/>
          </w:tcPr>
          <w:p w14:paraId="051C39D5">
            <w:pPr>
              <w:pStyle w:val="84"/>
              <w:rPr>
                <w:color w:val="FF0000"/>
              </w:rPr>
            </w:pPr>
            <w:r>
              <w:rPr>
                <w:rFonts w:hint="eastAsia"/>
                <w:color w:val="FF0000"/>
              </w:rPr>
              <w:t>0.02</w:t>
            </w:r>
          </w:p>
        </w:tc>
        <w:tc>
          <w:tcPr>
            <w:tcW w:w="1421" w:type="dxa"/>
            <w:vAlign w:val="center"/>
          </w:tcPr>
          <w:p w14:paraId="57A38A09">
            <w:pPr>
              <w:pStyle w:val="84"/>
              <w:rPr>
                <w:rFonts w:eastAsia="宋体"/>
                <w:color w:val="FF0000"/>
              </w:rPr>
            </w:pPr>
            <w:r>
              <w:rPr>
                <w:color w:val="FF0000"/>
              </w:rPr>
              <w:t xml:space="preserve">19.08 </w:t>
            </w:r>
          </w:p>
        </w:tc>
        <w:tc>
          <w:tcPr>
            <w:tcW w:w="1340" w:type="dxa"/>
            <w:vAlign w:val="center"/>
          </w:tcPr>
          <w:p w14:paraId="531FD15B">
            <w:pPr>
              <w:pStyle w:val="84"/>
              <w:rPr>
                <w:rFonts w:eastAsia="宋体"/>
                <w:color w:val="FF0000"/>
              </w:rPr>
            </w:pPr>
            <w:r>
              <w:rPr>
                <w:color w:val="FF0000"/>
              </w:rPr>
              <w:t>0.</w:t>
            </w:r>
            <w:r>
              <w:rPr>
                <w:rFonts w:hint="eastAsia"/>
                <w:color w:val="FF0000"/>
              </w:rPr>
              <w:t>38</w:t>
            </w:r>
            <w:r>
              <w:rPr>
                <w:color w:val="FF0000"/>
              </w:rPr>
              <w:t xml:space="preserve"> </w:t>
            </w:r>
          </w:p>
        </w:tc>
        <w:tc>
          <w:tcPr>
            <w:tcW w:w="1677" w:type="dxa"/>
            <w:vAlign w:val="center"/>
          </w:tcPr>
          <w:p w14:paraId="360CEA33">
            <w:pPr>
              <w:pStyle w:val="84"/>
              <w:rPr>
                <w:rFonts w:eastAsia="宋体"/>
                <w:color w:val="FF0000"/>
              </w:rPr>
            </w:pPr>
            <w:r>
              <w:rPr>
                <w:color w:val="FF0000"/>
              </w:rPr>
              <w:t xml:space="preserve">7.22 </w:t>
            </w:r>
          </w:p>
        </w:tc>
        <w:tc>
          <w:tcPr>
            <w:tcW w:w="1260" w:type="dxa"/>
            <w:vAlign w:val="center"/>
          </w:tcPr>
          <w:p w14:paraId="5DB2D55A">
            <w:pPr>
              <w:pStyle w:val="84"/>
              <w:rPr>
                <w:rFonts w:eastAsia="宋体"/>
                <w:color w:val="FF0000"/>
              </w:rPr>
            </w:pPr>
            <w:r>
              <w:rPr>
                <w:color w:val="FF0000"/>
              </w:rPr>
              <w:t>0.</w:t>
            </w:r>
            <w:r>
              <w:rPr>
                <w:rFonts w:hint="eastAsia"/>
                <w:color w:val="FF0000"/>
              </w:rPr>
              <w:t>14</w:t>
            </w:r>
          </w:p>
        </w:tc>
      </w:tr>
      <w:tr w14:paraId="2E3F8D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09" w:type="dxa"/>
            <w:vAlign w:val="center"/>
          </w:tcPr>
          <w:p w14:paraId="29E0CDDD">
            <w:pPr>
              <w:pStyle w:val="84"/>
              <w:rPr>
                <w:bCs/>
                <w:color w:val="FF0000"/>
                <w:kern w:val="0"/>
              </w:rPr>
            </w:pPr>
            <w:r>
              <w:rPr>
                <w:rFonts w:hint="eastAsia"/>
                <w:color w:val="FF0000"/>
                <w:kern w:val="0"/>
              </w:rPr>
              <w:t>草丛</w:t>
            </w:r>
          </w:p>
        </w:tc>
        <w:tc>
          <w:tcPr>
            <w:tcW w:w="1015" w:type="dxa"/>
            <w:vAlign w:val="center"/>
          </w:tcPr>
          <w:p w14:paraId="24ECC9CD">
            <w:pPr>
              <w:pStyle w:val="84"/>
              <w:rPr>
                <w:color w:val="FF0000"/>
              </w:rPr>
            </w:pPr>
            <w:r>
              <w:rPr>
                <w:rFonts w:hint="eastAsia"/>
                <w:color w:val="FF0000"/>
              </w:rPr>
              <w:t>0.03</w:t>
            </w:r>
          </w:p>
        </w:tc>
        <w:tc>
          <w:tcPr>
            <w:tcW w:w="1421" w:type="dxa"/>
            <w:vAlign w:val="center"/>
          </w:tcPr>
          <w:p w14:paraId="25E44B0B">
            <w:pPr>
              <w:pStyle w:val="84"/>
              <w:rPr>
                <w:rFonts w:eastAsia="宋体"/>
                <w:color w:val="FF0000"/>
              </w:rPr>
            </w:pPr>
            <w:r>
              <w:rPr>
                <w:color w:val="FF0000"/>
              </w:rPr>
              <w:t xml:space="preserve">43.26 </w:t>
            </w:r>
          </w:p>
        </w:tc>
        <w:tc>
          <w:tcPr>
            <w:tcW w:w="1340" w:type="dxa"/>
            <w:vAlign w:val="center"/>
          </w:tcPr>
          <w:p w14:paraId="11BED83E">
            <w:pPr>
              <w:pStyle w:val="84"/>
              <w:rPr>
                <w:rFonts w:eastAsia="宋体"/>
                <w:color w:val="FF0000"/>
              </w:rPr>
            </w:pPr>
            <w:r>
              <w:rPr>
                <w:rFonts w:hint="eastAsia"/>
                <w:color w:val="FF0000"/>
              </w:rPr>
              <w:t>1.3</w:t>
            </w:r>
          </w:p>
        </w:tc>
        <w:tc>
          <w:tcPr>
            <w:tcW w:w="1677" w:type="dxa"/>
            <w:vAlign w:val="center"/>
          </w:tcPr>
          <w:p w14:paraId="764EEC26">
            <w:pPr>
              <w:pStyle w:val="84"/>
              <w:rPr>
                <w:rFonts w:eastAsia="宋体"/>
                <w:color w:val="FF0000"/>
              </w:rPr>
            </w:pPr>
            <w:r>
              <w:rPr>
                <w:color w:val="FF0000"/>
              </w:rPr>
              <w:t xml:space="preserve">3.35 </w:t>
            </w:r>
          </w:p>
        </w:tc>
        <w:tc>
          <w:tcPr>
            <w:tcW w:w="1260" w:type="dxa"/>
            <w:vAlign w:val="center"/>
          </w:tcPr>
          <w:p w14:paraId="6C867752">
            <w:pPr>
              <w:pStyle w:val="84"/>
              <w:rPr>
                <w:rFonts w:eastAsia="宋体"/>
                <w:color w:val="FF0000"/>
              </w:rPr>
            </w:pPr>
            <w:r>
              <w:rPr>
                <w:color w:val="FF0000"/>
              </w:rPr>
              <w:t xml:space="preserve">0.1 </w:t>
            </w:r>
          </w:p>
        </w:tc>
      </w:tr>
      <w:tr w14:paraId="7C8B32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09" w:type="dxa"/>
            <w:vAlign w:val="center"/>
          </w:tcPr>
          <w:p w14:paraId="172D9D09">
            <w:pPr>
              <w:pStyle w:val="84"/>
              <w:rPr>
                <w:color w:val="FF0000"/>
              </w:rPr>
            </w:pPr>
            <w:r>
              <w:rPr>
                <w:rFonts w:hint="eastAsia"/>
                <w:color w:val="FF0000"/>
              </w:rPr>
              <w:t>合计</w:t>
            </w:r>
          </w:p>
        </w:tc>
        <w:tc>
          <w:tcPr>
            <w:tcW w:w="1015" w:type="dxa"/>
            <w:vAlign w:val="center"/>
          </w:tcPr>
          <w:p w14:paraId="7FD4B886">
            <w:pPr>
              <w:pStyle w:val="84"/>
              <w:rPr>
                <w:color w:val="FF0000"/>
              </w:rPr>
            </w:pPr>
            <w:r>
              <w:rPr>
                <w:rFonts w:hint="eastAsia"/>
                <w:color w:val="FF0000"/>
              </w:rPr>
              <w:t>1.15</w:t>
            </w:r>
          </w:p>
        </w:tc>
        <w:tc>
          <w:tcPr>
            <w:tcW w:w="1421" w:type="dxa"/>
            <w:vAlign w:val="center"/>
          </w:tcPr>
          <w:p w14:paraId="26E68DFF">
            <w:pPr>
              <w:pStyle w:val="84"/>
              <w:rPr>
                <w:rFonts w:ascii="仿宋" w:hAnsi="仿宋" w:cs="宋体"/>
                <w:color w:val="FF0000"/>
              </w:rPr>
            </w:pPr>
            <w:r>
              <w:rPr>
                <w:rFonts w:hint="eastAsia" w:ascii="仿宋" w:hAnsi="仿宋"/>
                <w:color w:val="FF0000"/>
              </w:rPr>
              <w:t>—</w:t>
            </w:r>
          </w:p>
        </w:tc>
        <w:tc>
          <w:tcPr>
            <w:tcW w:w="1340" w:type="dxa"/>
            <w:vAlign w:val="center"/>
          </w:tcPr>
          <w:p w14:paraId="75D10442">
            <w:pPr>
              <w:pStyle w:val="84"/>
              <w:rPr>
                <w:rFonts w:eastAsia="宋体"/>
                <w:color w:val="FF0000"/>
              </w:rPr>
            </w:pPr>
            <w:r>
              <w:rPr>
                <w:color w:val="FF0000"/>
              </w:rPr>
              <w:t>2</w:t>
            </w:r>
            <w:r>
              <w:rPr>
                <w:rFonts w:hint="eastAsia"/>
                <w:color w:val="FF0000"/>
              </w:rPr>
              <w:t>18.8</w:t>
            </w:r>
          </w:p>
        </w:tc>
        <w:tc>
          <w:tcPr>
            <w:tcW w:w="1677" w:type="dxa"/>
            <w:vAlign w:val="center"/>
          </w:tcPr>
          <w:p w14:paraId="1B5D358B">
            <w:pPr>
              <w:pStyle w:val="84"/>
              <w:rPr>
                <w:rFonts w:eastAsia="宋体"/>
                <w:color w:val="FF0000"/>
              </w:rPr>
            </w:pPr>
            <w:r>
              <w:rPr>
                <w:rFonts w:hint="eastAsia"/>
                <w:color w:val="FF0000"/>
              </w:rPr>
              <w:t>—</w:t>
            </w:r>
          </w:p>
        </w:tc>
        <w:tc>
          <w:tcPr>
            <w:tcW w:w="1260" w:type="dxa"/>
            <w:vAlign w:val="center"/>
          </w:tcPr>
          <w:p w14:paraId="6E58F814">
            <w:pPr>
              <w:pStyle w:val="84"/>
              <w:rPr>
                <w:rFonts w:eastAsia="宋体"/>
                <w:color w:val="FF0000"/>
              </w:rPr>
            </w:pPr>
            <w:r>
              <w:rPr>
                <w:color w:val="FF0000"/>
              </w:rPr>
              <w:t>1</w:t>
            </w:r>
            <w:r>
              <w:rPr>
                <w:rFonts w:hint="eastAsia"/>
                <w:color w:val="FF0000"/>
              </w:rPr>
              <w:t>0.27</w:t>
            </w:r>
          </w:p>
        </w:tc>
      </w:tr>
    </w:tbl>
    <w:p w14:paraId="6EEBD883">
      <w:pPr>
        <w:spacing w:before="240"/>
        <w:ind w:firstLine="480"/>
        <w:rPr>
          <w:szCs w:val="24"/>
        </w:rPr>
      </w:pPr>
      <w:r>
        <w:rPr>
          <w:rFonts w:hint="eastAsia"/>
          <w:color w:val="FF0000"/>
        </w:rPr>
        <w:t>由上表可知，施工占地损失植被生物量总计218.8</w:t>
      </w:r>
      <w:r>
        <w:rPr>
          <w:color w:val="FF0000"/>
        </w:rPr>
        <w:t>t</w:t>
      </w:r>
      <w:r>
        <w:rPr>
          <w:rFonts w:hint="eastAsia"/>
          <w:color w:val="FF0000"/>
        </w:rPr>
        <w:t>（其中永久占地约118t，临时占地约100.8t），施工占地损失总生产力为10.27</w:t>
      </w:r>
      <w:r>
        <w:rPr>
          <w:color w:val="FF0000"/>
        </w:rPr>
        <w:t>t/a</w:t>
      </w:r>
      <w:r>
        <w:rPr>
          <w:rFonts w:hint="eastAsia"/>
          <w:color w:val="FF0000"/>
        </w:rPr>
        <w:t>，森林损失的生物量所占比例最高，为97.7%，占了绝大部分。总体来说，工程建设区域植被生物量的影响不大，对整个评价区内自然生态系统体系来说在可以承受的范围内。</w:t>
      </w:r>
    </w:p>
    <w:p w14:paraId="7406F5EE">
      <w:pPr>
        <w:pStyle w:val="141"/>
      </w:pPr>
      <w:r>
        <w:t>6.1.</w:t>
      </w:r>
      <w:r>
        <w:rPr>
          <w:rFonts w:hint="eastAsia"/>
        </w:rPr>
        <w:t>4.2运行期</w:t>
      </w:r>
    </w:p>
    <w:p w14:paraId="174EF354">
      <w:pPr>
        <w:ind w:firstLine="480"/>
      </w:pPr>
      <w:r>
        <w:rPr>
          <w:rFonts w:hint="eastAsia"/>
        </w:rPr>
        <w:t>本工程水库淹没线下的植被类型主要为灌草丛，以</w:t>
      </w:r>
      <w:r>
        <w:rPr>
          <w:rFonts w:hint="eastAsia"/>
          <w:kern w:val="0"/>
        </w:rPr>
        <w:t>含毛麻楝、黄牛木的中草草丛、</w:t>
      </w:r>
      <w:r>
        <w:rPr>
          <w:rFonts w:hint="eastAsia"/>
          <w:bCs/>
          <w:kern w:val="0"/>
        </w:rPr>
        <w:t>肿柄菊草丛、飞机草草丛和卡开芦草丛</w:t>
      </w:r>
      <w:r>
        <w:rPr>
          <w:rFonts w:hint="eastAsia"/>
        </w:rPr>
        <w:t>等为主，拦河坝所处地形较为平坦，河床周围以淹没河滩为主，所涉及到的植被类型非常少。</w:t>
      </w:r>
    </w:p>
    <w:p w14:paraId="15F57713">
      <w:pPr>
        <w:ind w:firstLine="480"/>
      </w:pPr>
      <w:r>
        <w:rPr>
          <w:rFonts w:hint="eastAsia"/>
        </w:rPr>
        <w:t>芒市河每年的12月～翌年5月为枯水期，水位消落。7月~11月水库蓄水，水位又上升至正常蓄水位，涨落区又成为水体。水位涨落带是一个十分特殊的生境，有着周期性的水涨水落，但其环境又绝不像海洋潮间带那样，有着陆地丰富的营养物质和海洋的生物物种进入。相反，既无陆地的营养物质输入，又无水体的生物物种输入，成为高山峡谷地区水库中生产力最低的区域。原有的一年生或多年生植物生活史的全部过程，不可能在这半年时间完成。只有在长期进化过程中形成了对高频率干扰生境的适应的一年生草本植物，才可能在这里定居，而这种植物种类较少，大多数植物基本不能在这里生存。项目建设规模不大，水库淹没区面积不大，且淹没范围内大部分为水域及水利设施</w:t>
      </w:r>
      <w:r>
        <w:t>用地</w:t>
      </w:r>
      <w:r>
        <w:rPr>
          <w:rFonts w:hint="eastAsia"/>
        </w:rPr>
        <w:t>（1.94</w:t>
      </w:r>
      <w:r>
        <w:rPr>
          <w:szCs w:val="20"/>
        </w:rPr>
        <w:t>hm²</w:t>
      </w:r>
      <w:r>
        <w:rPr>
          <w:rFonts w:hint="eastAsia"/>
        </w:rPr>
        <w:t>），伴有少量的灌草丛（0.18</w:t>
      </w:r>
      <w:r>
        <w:rPr>
          <w:szCs w:val="20"/>
        </w:rPr>
        <w:t>hm²</w:t>
      </w:r>
      <w:r>
        <w:rPr>
          <w:rFonts w:hint="eastAsia"/>
        </w:rPr>
        <w:t>），运行期水库水体涨落对植被影响较小。</w:t>
      </w:r>
    </w:p>
    <w:p w14:paraId="3EF0ABDD">
      <w:pPr>
        <w:ind w:firstLine="480"/>
      </w:pPr>
      <w:r>
        <w:rPr>
          <w:rFonts w:hint="eastAsia"/>
        </w:rPr>
        <w:t>拟建工程运行期占地面积小，拦河坝、厂房等永久占地不会对评价区内植被造成阻隔现象，运行期也不会产生林缘效应，对陆生植被影响不大。</w:t>
      </w:r>
    </w:p>
    <w:p w14:paraId="10E4EA4B">
      <w:pPr>
        <w:pStyle w:val="113"/>
      </w:pPr>
      <w:bookmarkStart w:id="645" w:name="_Toc508642482"/>
      <w:bookmarkStart w:id="646" w:name="_Toc443655451"/>
      <w:bookmarkStart w:id="647" w:name="_Toc471738032"/>
      <w:bookmarkStart w:id="648" w:name="_Toc454046552"/>
      <w:r>
        <w:t>6.1.</w:t>
      </w:r>
      <w:r>
        <w:rPr>
          <w:rFonts w:hint="eastAsia"/>
        </w:rPr>
        <w:t>5对陆生植物资源的影响</w:t>
      </w:r>
      <w:bookmarkEnd w:id="645"/>
      <w:bookmarkEnd w:id="646"/>
      <w:bookmarkEnd w:id="647"/>
      <w:bookmarkEnd w:id="648"/>
    </w:p>
    <w:p w14:paraId="059E2DFA">
      <w:pPr>
        <w:pStyle w:val="141"/>
      </w:pPr>
      <w:r>
        <w:t>6.1.</w:t>
      </w:r>
      <w:r>
        <w:rPr>
          <w:rFonts w:hint="eastAsia"/>
        </w:rPr>
        <w:t>5</w:t>
      </w:r>
      <w:r>
        <w:t>.1</w:t>
      </w:r>
      <w:r>
        <w:rPr>
          <w:rFonts w:hint="eastAsia"/>
        </w:rPr>
        <w:t>施工期</w:t>
      </w:r>
    </w:p>
    <w:p w14:paraId="0B16C7E0">
      <w:pPr>
        <w:ind w:firstLine="480"/>
      </w:pPr>
      <w:r>
        <w:rPr>
          <w:rFonts w:hint="eastAsia"/>
        </w:rPr>
        <w:t>1、对植物资源的影响</w:t>
      </w:r>
    </w:p>
    <w:p w14:paraId="67E3E52A">
      <w:pPr>
        <w:ind w:firstLine="480"/>
        <w:rPr>
          <w:rFonts w:ascii="宋体" w:hAnsi="Courier New"/>
        </w:rPr>
      </w:pPr>
      <w:r>
        <w:rPr>
          <w:rFonts w:hint="eastAsia"/>
          <w:szCs w:val="24"/>
        </w:rPr>
        <w:t>评价区域内的植物资源包括</w:t>
      </w:r>
      <w:r>
        <w:rPr>
          <w:rFonts w:hint="eastAsia"/>
          <w:kern w:val="28"/>
        </w:rPr>
        <w:t>西南石韦</w:t>
      </w:r>
      <w:r>
        <w:rPr>
          <w:rFonts w:hint="eastAsia"/>
          <w:bCs/>
          <w:kern w:val="28"/>
        </w:rPr>
        <w:t>、草玉梅、繁缕、火炭母</w:t>
      </w:r>
      <w:r>
        <w:rPr>
          <w:rFonts w:hint="eastAsia"/>
          <w:kern w:val="28"/>
        </w:rPr>
        <w:t>、报春花、马桑、石楠、</w:t>
      </w:r>
      <w:r>
        <w:rPr>
          <w:rFonts w:hint="eastAsia"/>
          <w:bCs/>
          <w:kern w:val="28"/>
        </w:rPr>
        <w:t>水蓼、碎米荠、</w:t>
      </w:r>
      <w:r>
        <w:rPr>
          <w:rFonts w:hint="eastAsia"/>
          <w:kern w:val="28"/>
        </w:rPr>
        <w:t>大车前、清香木、青冈、柳杉等</w:t>
      </w:r>
      <w:r>
        <w:rPr>
          <w:rFonts w:hint="eastAsia"/>
        </w:rPr>
        <w:t>。项目施工破坏区域内植被，将间接导致植物资源减少。</w:t>
      </w:r>
    </w:p>
    <w:p w14:paraId="2079E87C">
      <w:pPr>
        <w:ind w:firstLine="480"/>
        <w:rPr>
          <w:highlight w:val="green"/>
        </w:rPr>
      </w:pPr>
      <w:r>
        <w:rPr>
          <w:rFonts w:hint="eastAsia"/>
          <w:szCs w:val="24"/>
        </w:rPr>
        <w:t>施工期涉及到工程占地、开挖及弃渣暂存等活动占地，土壤表层剥离，造成植物直接死亡，施工期人员活动践踏也将会</w:t>
      </w:r>
      <w:r>
        <w:rPr>
          <w:rFonts w:hint="eastAsia"/>
        </w:rPr>
        <w:t>对植物造成间接破坏。施工单位施工时应尽量选择植被较差的地方，避开植被茂盛的地带。在厂房施工区地表植被较多，应尽量将碎土渣石及时运走，各建筑材料也应按规划好的地点进行堆放，以免加剧对于植物资源的影响。</w:t>
      </w:r>
    </w:p>
    <w:p w14:paraId="35FF1470">
      <w:pPr>
        <w:ind w:firstLine="480"/>
      </w:pPr>
      <w:r>
        <w:rPr>
          <w:rFonts w:hint="eastAsia"/>
        </w:rPr>
        <w:t>截流后水坝形成淹没区，河谷两岸分布较低的植物将被淹没而无法生存，由于淹没面积较小，且被淹没的多为河谷两岸生命力强、分布较广的灌丛及草本植物，对物种种群数量会造成一定影响，但对物种资源影响不大。</w:t>
      </w:r>
    </w:p>
    <w:p w14:paraId="2FCBBADA">
      <w:pPr>
        <w:ind w:firstLine="480"/>
      </w:pPr>
      <w:r>
        <w:rPr>
          <w:rFonts w:hint="eastAsia"/>
        </w:rPr>
        <w:t>随着工程的开展，部分植物种类会因此死亡，据统计，受到影响的植物种类约有20余种，占整个评价范围内植物种类（214种）的9.35</w:t>
      </w:r>
      <w:r>
        <w:t>%</w:t>
      </w:r>
      <w:r>
        <w:rPr>
          <w:rFonts w:hint="eastAsia"/>
        </w:rPr>
        <w:t>，所占比例较低，且多为该地区的优势种，具有分布广、再生能力强等特点，在工程结束后的短时间内可以有效的自我恢复。虽然，工程对植物资源的影响较小，但仍必须加强管理和保护措施及宣传力度，争取将施工过程中对植物资源的影响降到最低程度，同时，在工程完工后进行相应的生态恢复措施，让其在最短时间内恢复到工程施工前的面貌。</w:t>
      </w:r>
    </w:p>
    <w:p w14:paraId="1E6BF68A">
      <w:pPr>
        <w:ind w:firstLine="480"/>
      </w:pPr>
      <w:r>
        <w:rPr>
          <w:rFonts w:hint="eastAsia"/>
        </w:rPr>
        <w:t>项目施工期减少植被破坏，施工结束后进行迹地恢复，由于项目所在地生长的植物资源为常见资源，不会导致某种植物资源灭绝，因此，项目的建设对植物资源影响很小。</w:t>
      </w:r>
    </w:p>
    <w:p w14:paraId="517E7341">
      <w:pPr>
        <w:ind w:firstLine="480"/>
      </w:pPr>
      <w:r>
        <w:rPr>
          <w:rFonts w:hint="eastAsia"/>
        </w:rPr>
        <w:t>2、对重点保护植物的影响</w:t>
      </w:r>
    </w:p>
    <w:p w14:paraId="44CE8FA6">
      <w:pPr>
        <w:ind w:firstLine="480"/>
      </w:pPr>
      <w:r>
        <w:rPr>
          <w:rFonts w:hint="eastAsia"/>
          <w:szCs w:val="24"/>
        </w:rPr>
        <w:t>根据本次调查和查阅相关资料，</w:t>
      </w:r>
      <w:r>
        <w:rPr>
          <w:rFonts w:hint="eastAsia"/>
        </w:rPr>
        <w:t>评价区未发现</w:t>
      </w:r>
      <w:r>
        <w:t>区域局域分布的物种</w:t>
      </w:r>
      <w:r>
        <w:rPr>
          <w:rFonts w:hint="eastAsia"/>
        </w:rPr>
        <w:t>，也未发现古树名木，但</w:t>
      </w:r>
      <w:r>
        <w:t>发现</w:t>
      </w:r>
      <w:r>
        <w:rPr>
          <w:rFonts w:hint="eastAsia"/>
        </w:rPr>
        <w:t>有2种中国特有属植物，分别是慈竹</w:t>
      </w:r>
      <w:r>
        <w:rPr>
          <w:i/>
        </w:rPr>
        <w:t>Neosinocalamus affinis</w:t>
      </w:r>
      <w:r>
        <w:rPr>
          <w:rFonts w:hint="eastAsia"/>
        </w:rPr>
        <w:t>（位于工程区西侧约30m处）和盾果草</w:t>
      </w:r>
      <w:r>
        <w:rPr>
          <w:i/>
        </w:rPr>
        <w:t>Thyrocarpus sampsonii Hance</w:t>
      </w:r>
      <w:r>
        <w:rPr>
          <w:rFonts w:hint="eastAsia"/>
        </w:rPr>
        <w:t>（位于工程区北侧125m处），施工过程中应对其进行围挡，并进行挂牌保护，严禁施工人员对其进行破坏。</w:t>
      </w:r>
    </w:p>
    <w:p w14:paraId="32357553">
      <w:pPr>
        <w:pStyle w:val="141"/>
      </w:pPr>
      <w:r>
        <w:t>6.1.</w:t>
      </w:r>
      <w:r>
        <w:rPr>
          <w:rFonts w:hint="eastAsia"/>
        </w:rPr>
        <w:t>5</w:t>
      </w:r>
      <w:r>
        <w:t>.2</w:t>
      </w:r>
      <w:r>
        <w:rPr>
          <w:rFonts w:hint="eastAsia"/>
        </w:rPr>
        <w:t>运行期</w:t>
      </w:r>
    </w:p>
    <w:p w14:paraId="1841F763">
      <w:pPr>
        <w:ind w:firstLine="480"/>
      </w:pPr>
      <w:r>
        <w:rPr>
          <w:rFonts w:hint="eastAsia"/>
        </w:rPr>
        <w:t>运行期对植物资源的影响主要来自外来物种对当地生态系统及生物多样性的影响。入侵植物是一种生命力强、分布广、易繁殖、对本土物种危害较大的一种有害生物。外来物种入侵定植后，将形成单优种群落，抑制本地物种生长，最终破坏区域的生物多样性和生态环境。研究表明影响入侵植物传播的主要途径之一就是交通运输。车辆进出评价区时，易将外来物种带进该区域。</w:t>
      </w:r>
    </w:p>
    <w:p w14:paraId="4AB66FCE">
      <w:pPr>
        <w:ind w:firstLine="480"/>
      </w:pPr>
      <w:r>
        <w:rPr>
          <w:rFonts w:hint="eastAsia"/>
        </w:rPr>
        <w:t>工程建设形成的场地及交通工具的进出为入侵植物的传播提供了条件，应加强对入侵植物的宣传和监管，定期组织清理入侵植物。同时，加强对于工作人员的管理和宣传工作，严禁破坏评价区内的植被及保护植物、采挖具有经济价值、观赏价值、药用价值的植物、焚烧枯枝落叶等一切破坏评价区内植物资源的行为，减小对区域植物资源的影响。</w:t>
      </w:r>
    </w:p>
    <w:p w14:paraId="1C5DCC60">
      <w:pPr>
        <w:pStyle w:val="113"/>
      </w:pPr>
      <w:bookmarkStart w:id="649" w:name="_Toc508642483"/>
      <w:bookmarkStart w:id="650" w:name="_Toc454046555"/>
      <w:bookmarkStart w:id="651" w:name="_Toc443655454"/>
      <w:bookmarkStart w:id="652" w:name="_Toc471738035"/>
      <w:r>
        <w:t>6.1.</w:t>
      </w:r>
      <w:r>
        <w:rPr>
          <w:rFonts w:hint="eastAsia"/>
        </w:rPr>
        <w:t>6对野生动物的影响</w:t>
      </w:r>
      <w:bookmarkEnd w:id="649"/>
      <w:bookmarkEnd w:id="650"/>
      <w:bookmarkEnd w:id="651"/>
      <w:bookmarkEnd w:id="652"/>
    </w:p>
    <w:p w14:paraId="0A5ED90C">
      <w:pPr>
        <w:pStyle w:val="141"/>
      </w:pPr>
      <w:r>
        <w:t>6.1.</w:t>
      </w:r>
      <w:r>
        <w:rPr>
          <w:rFonts w:hint="eastAsia"/>
        </w:rPr>
        <w:t>6</w:t>
      </w:r>
      <w:r>
        <w:t>.1</w:t>
      </w:r>
      <w:r>
        <w:rPr>
          <w:rFonts w:hint="eastAsia"/>
        </w:rPr>
        <w:t>对陆生脊椎动物本身直接影响</w:t>
      </w:r>
    </w:p>
    <w:p w14:paraId="289D9076">
      <w:pPr>
        <w:ind w:firstLine="480"/>
      </w:pPr>
      <w:r>
        <w:rPr>
          <w:rFonts w:hint="eastAsia"/>
        </w:rPr>
        <w:t>电站施工及运营均导致当地人员增加，可能猎捕野生动物。电站施工单位应加强对野生动物保护法规的宣传和教育，禁止猎捕野生动物。此外，评价区的动物多数对人类干扰有一定的适应能力。</w:t>
      </w:r>
    </w:p>
    <w:p w14:paraId="3E843A09">
      <w:pPr>
        <w:ind w:firstLine="480"/>
      </w:pPr>
      <w:r>
        <w:rPr>
          <w:rFonts w:hint="eastAsia"/>
        </w:rPr>
        <w:t>施工期噪声污染、粉尘污染、环境空气污染可能对陆生动物产生不良影响。污染对动物的不良影响将表现为迫使动物迁出施工区，由于动物的趋利避害能力，施工不会造成动物的死亡。</w:t>
      </w:r>
    </w:p>
    <w:p w14:paraId="5FE7CDA7">
      <w:pPr>
        <w:ind w:firstLine="480"/>
      </w:pPr>
      <w:r>
        <w:rPr>
          <w:rFonts w:hint="eastAsia"/>
        </w:rPr>
        <w:t>综上，电站建设对陆生动物产生的直接影响是有限的，对当地动物的数量影响很小，不会导致当地物种多样性的明显降低。</w:t>
      </w:r>
    </w:p>
    <w:p w14:paraId="3DD29CF9">
      <w:pPr>
        <w:pStyle w:val="141"/>
      </w:pPr>
      <w:r>
        <w:t>6.1.</w:t>
      </w:r>
      <w:r>
        <w:rPr>
          <w:rFonts w:hint="eastAsia"/>
        </w:rPr>
        <w:t>6</w:t>
      </w:r>
      <w:r>
        <w:t>.2</w:t>
      </w:r>
      <w:r>
        <w:rPr>
          <w:rFonts w:hint="eastAsia"/>
        </w:rPr>
        <w:t>对陆生脊椎动物生境影响</w:t>
      </w:r>
    </w:p>
    <w:p w14:paraId="44EB744A">
      <w:pPr>
        <w:ind w:firstLine="480"/>
      </w:pPr>
      <w:r>
        <w:rPr>
          <w:rFonts w:hint="eastAsia"/>
        </w:rPr>
        <w:t>电站建设对陆生野生动物的主要不利影响表现为缩小动物的适宜生境。项目建设对动物生境的压缩，迫使动物从原生境后退，但不会导致原动物区系的明显变化，也不会导致动物多样性的明显降低。陆生野生动物具有趋避本能，只要评价区以外的环境不遭到破坏，当地的动物会选择适宜的生境进行生存和繁衍。随着电站建设后植被的恢复，动物区系也将对得到恢复和发展。</w:t>
      </w:r>
    </w:p>
    <w:p w14:paraId="5518832B">
      <w:pPr>
        <w:ind w:firstLine="480"/>
        <w:rPr>
          <w:szCs w:val="20"/>
        </w:rPr>
      </w:pPr>
      <w:r>
        <w:rPr>
          <w:rFonts w:hint="eastAsia"/>
          <w:szCs w:val="20"/>
        </w:rPr>
        <w:t>运行期电站坝前淹没将使动物的栖息和活动场所缩小，如小型穴居兽类和爬行类的洞穴遭到破坏或淹没后，少数动物的繁殖将有可能受到一定影响。结果迫使原栖息在这一带的动物迁往其他生境适宜的地区，但不会导致任何物种的消失。</w:t>
      </w:r>
    </w:p>
    <w:p w14:paraId="7A5E5CF4">
      <w:pPr>
        <w:pStyle w:val="141"/>
      </w:pPr>
      <w:r>
        <w:t>6.1.</w:t>
      </w:r>
      <w:r>
        <w:rPr>
          <w:rFonts w:hint="eastAsia"/>
        </w:rPr>
        <w:t>6</w:t>
      </w:r>
      <w:r>
        <w:t>.3</w:t>
      </w:r>
      <w:r>
        <w:rPr>
          <w:rFonts w:hint="eastAsia"/>
        </w:rPr>
        <w:t>对珍稀濒危动物影响</w:t>
      </w:r>
    </w:p>
    <w:p w14:paraId="62077595">
      <w:pPr>
        <w:adjustRightInd w:val="0"/>
        <w:snapToGrid w:val="0"/>
        <w:ind w:firstLine="480"/>
        <w:rPr>
          <w:rFonts w:ascii="宋体" w:hAnsi="宋体"/>
          <w:szCs w:val="24"/>
        </w:rPr>
      </w:pPr>
      <w:r>
        <w:rPr>
          <w:rFonts w:hint="eastAsia"/>
          <w:kern w:val="0"/>
        </w:rPr>
        <w:t>本次评价范围内记录</w:t>
      </w:r>
      <w:r>
        <w:rPr>
          <w:rFonts w:hint="eastAsia"/>
        </w:rPr>
        <w:t>有</w:t>
      </w:r>
      <w:r>
        <w:t>国家</w:t>
      </w:r>
      <w:r>
        <w:rPr>
          <w:rFonts w:hint="eastAsia"/>
        </w:rPr>
        <w:t>、省级</w:t>
      </w:r>
      <w:r>
        <w:t>重点保护动物和珍稀、濒危动物总计</w:t>
      </w:r>
      <w:r>
        <w:rPr>
          <w:rFonts w:hint="eastAsia"/>
        </w:rPr>
        <w:t>8</w:t>
      </w:r>
      <w:r>
        <w:t>种</w:t>
      </w:r>
      <w:r>
        <w:rPr>
          <w:rFonts w:hint="eastAsia"/>
        </w:rPr>
        <w:t>，其中</w:t>
      </w:r>
      <w:r>
        <w:t>爬行动物3种、鸟类5种</w:t>
      </w:r>
      <w:r>
        <w:rPr>
          <w:rFonts w:hint="eastAsia"/>
        </w:rPr>
        <w:t>，依次为</w:t>
      </w:r>
      <w:r>
        <w:rPr>
          <w:rFonts w:hint="eastAsia"/>
          <w:szCs w:val="24"/>
        </w:rPr>
        <w:t>绿锦蛇（</w:t>
      </w:r>
      <w:r>
        <w:rPr>
          <w:i/>
          <w:szCs w:val="24"/>
        </w:rPr>
        <w:t>Elaphe prasina</w:t>
      </w:r>
      <w:r>
        <w:rPr>
          <w:rFonts w:hint="eastAsia"/>
          <w:szCs w:val="24"/>
        </w:rPr>
        <w:t>）、灰鼠蛇（</w:t>
      </w:r>
      <w:r>
        <w:rPr>
          <w:rFonts w:hint="eastAsia"/>
          <w:i/>
          <w:szCs w:val="24"/>
        </w:rPr>
        <w:t>Ptyas korros</w:t>
      </w:r>
      <w:r>
        <w:rPr>
          <w:rFonts w:hint="eastAsia"/>
          <w:szCs w:val="24"/>
        </w:rPr>
        <w:t>）、孟加拉眼镜蛇（</w:t>
      </w:r>
      <w:r>
        <w:rPr>
          <w:i/>
        </w:rPr>
        <w:t>Naja kaouthia</w:t>
      </w:r>
      <w:r>
        <w:rPr>
          <w:rFonts w:hint="eastAsia"/>
          <w:szCs w:val="24"/>
        </w:rPr>
        <w:t>）、</w:t>
      </w:r>
      <w:r>
        <w:rPr>
          <w:rFonts w:hint="eastAsia"/>
        </w:rPr>
        <w:t>白鹇（</w:t>
      </w:r>
      <w:r>
        <w:rPr>
          <w:i/>
          <w:kern w:val="0"/>
          <w:szCs w:val="24"/>
        </w:rPr>
        <w:t>Lophura nycthemera</w:t>
      </w:r>
      <w:r>
        <w:rPr>
          <w:rFonts w:hint="eastAsia"/>
        </w:rPr>
        <w:t>）、</w:t>
      </w:r>
      <w:r>
        <w:t>普通鵟</w:t>
      </w:r>
      <w:r>
        <w:rPr>
          <w:kern w:val="0"/>
        </w:rPr>
        <w:t xml:space="preserve"> </w:t>
      </w:r>
      <w:r>
        <w:rPr>
          <w:rFonts w:hint="eastAsia"/>
          <w:kern w:val="0"/>
        </w:rPr>
        <w:t>（</w:t>
      </w:r>
      <w:r>
        <w:rPr>
          <w:i/>
          <w:kern w:val="0"/>
        </w:rPr>
        <w:t>Buteo</w:t>
      </w:r>
      <w:r>
        <w:rPr>
          <w:kern w:val="0"/>
        </w:rPr>
        <w:t xml:space="preserve"> </w:t>
      </w:r>
      <w:r>
        <w:rPr>
          <w:i/>
          <w:kern w:val="0"/>
        </w:rPr>
        <w:t>buteo</w:t>
      </w:r>
      <w:r>
        <w:rPr>
          <w:rFonts w:hint="eastAsia"/>
          <w:kern w:val="0"/>
        </w:rPr>
        <w:t>）</w:t>
      </w:r>
      <w:r>
        <w:rPr>
          <w:rFonts w:hint="eastAsia"/>
          <w:i/>
          <w:kern w:val="0"/>
        </w:rPr>
        <w:t>、</w:t>
      </w:r>
      <w:r>
        <w:t>红隼</w:t>
      </w:r>
      <w:r>
        <w:rPr>
          <w:kern w:val="0"/>
        </w:rPr>
        <w:t xml:space="preserve"> </w:t>
      </w:r>
      <w:r>
        <w:rPr>
          <w:rFonts w:hint="eastAsia"/>
          <w:kern w:val="0"/>
        </w:rPr>
        <w:t>（</w:t>
      </w:r>
      <w:r>
        <w:rPr>
          <w:i/>
          <w:kern w:val="0"/>
        </w:rPr>
        <w:t>Falco</w:t>
      </w:r>
      <w:r>
        <w:rPr>
          <w:kern w:val="0"/>
        </w:rPr>
        <w:t xml:space="preserve"> </w:t>
      </w:r>
      <w:r>
        <w:rPr>
          <w:i/>
          <w:kern w:val="0"/>
        </w:rPr>
        <w:t>tinnunculus</w:t>
      </w:r>
      <w:r>
        <w:rPr>
          <w:rFonts w:hint="eastAsia"/>
          <w:kern w:val="0"/>
        </w:rPr>
        <w:t>）</w:t>
      </w:r>
      <w:r>
        <w:rPr>
          <w:rFonts w:hint="eastAsia"/>
          <w:i/>
          <w:kern w:val="0"/>
        </w:rPr>
        <w:t>、</w:t>
      </w:r>
      <w:r>
        <w:rPr>
          <w:rFonts w:hint="eastAsia"/>
        </w:rPr>
        <w:t>褐翅鸦鹃</w:t>
      </w:r>
      <w:r>
        <w:rPr>
          <w:rFonts w:hint="eastAsia"/>
          <w:kern w:val="0"/>
        </w:rPr>
        <w:t>（</w:t>
      </w:r>
      <w:r>
        <w:rPr>
          <w:rFonts w:hint="eastAsia"/>
          <w:i/>
        </w:rPr>
        <w:t>Centropus sinensis intermedius</w:t>
      </w:r>
      <w:r>
        <w:rPr>
          <w:rFonts w:hint="eastAsia"/>
          <w:kern w:val="0"/>
        </w:rPr>
        <w:t>）</w:t>
      </w:r>
      <w:r>
        <w:rPr>
          <w:rFonts w:hint="eastAsia"/>
          <w:i/>
        </w:rPr>
        <w:t>、</w:t>
      </w:r>
      <w:r>
        <w:rPr>
          <w:rFonts w:hint="eastAsia"/>
        </w:rPr>
        <w:t>领角鸮</w:t>
      </w:r>
      <w:r>
        <w:rPr>
          <w:rFonts w:hint="eastAsia"/>
          <w:kern w:val="0"/>
        </w:rPr>
        <w:t>（</w:t>
      </w:r>
      <w:r>
        <w:rPr>
          <w:rFonts w:hint="eastAsia"/>
          <w:i/>
        </w:rPr>
        <w:t>Otus bakkamoena erythrocampe</w:t>
      </w:r>
      <w:r>
        <w:rPr>
          <w:rFonts w:hint="eastAsia"/>
          <w:kern w:val="0"/>
        </w:rPr>
        <w:t>）。</w:t>
      </w:r>
    </w:p>
    <w:p w14:paraId="2D415ED8">
      <w:pPr>
        <w:ind w:firstLine="480"/>
        <w:rPr>
          <w:kern w:val="0"/>
        </w:rPr>
      </w:pPr>
      <w:r>
        <w:rPr>
          <w:rFonts w:hint="eastAsia"/>
          <w:kern w:val="0"/>
        </w:rPr>
        <w:t>调查表明，评价范围内记录的以上保护动物在评价区已没有稳定分布，且动物有较强的活动性，它们若在工程施工区域偶尔出现，受到施工活动干扰时，会迅速地迁往安全地带。因此，电站建设和运营对其影响十分有限。</w:t>
      </w:r>
    </w:p>
    <w:p w14:paraId="2E0C5F67">
      <w:pPr>
        <w:pStyle w:val="141"/>
        <w:rPr>
          <w:szCs w:val="21"/>
        </w:rPr>
      </w:pPr>
      <w:bookmarkStart w:id="653" w:name="_Toc471738036"/>
      <w:bookmarkStart w:id="654" w:name="_Toc454046556"/>
      <w:bookmarkStart w:id="655" w:name="_Toc443655455"/>
      <w:r>
        <w:t>6.1.</w:t>
      </w:r>
      <w:r>
        <w:rPr>
          <w:rFonts w:hint="eastAsia"/>
        </w:rPr>
        <w:t>6.4对鱼类资源影响</w:t>
      </w:r>
      <w:bookmarkEnd w:id="653"/>
      <w:bookmarkEnd w:id="654"/>
      <w:bookmarkEnd w:id="655"/>
    </w:p>
    <w:p w14:paraId="1C0899D7">
      <w:pPr>
        <w:ind w:firstLine="480"/>
      </w:pPr>
      <w:r>
        <w:rPr>
          <w:rFonts w:hint="eastAsia"/>
        </w:rPr>
        <w:t>1、施工期</w:t>
      </w:r>
    </w:p>
    <w:p w14:paraId="4419E3CE">
      <w:pPr>
        <w:widowControl/>
        <w:ind w:firstLine="480"/>
        <w:rPr>
          <w:kern w:val="0"/>
        </w:rPr>
      </w:pPr>
      <w:r>
        <w:rPr>
          <w:rFonts w:hint="eastAsia"/>
          <w:kern w:val="0"/>
        </w:rPr>
        <w:t>施工期施工机械在水中作业，会对施工河段鱼类栖息、生长、繁殖和迁移产生不利影响；施工期产生的施工废水、基坑排水会造成局部河段水体浑浊，透明度下降，水质下降，对鱼类，特别是鱼幼仔的栖息不利。</w:t>
      </w:r>
    </w:p>
    <w:p w14:paraId="322F3FB4">
      <w:pPr>
        <w:widowControl/>
        <w:ind w:firstLine="480"/>
        <w:rPr>
          <w:kern w:val="0"/>
        </w:rPr>
      </w:pPr>
      <w:r>
        <w:rPr>
          <w:rFonts w:hint="eastAsia"/>
          <w:kern w:val="0"/>
        </w:rPr>
        <w:t>外来施工人员下河捕捞，甚至采取破坏性的捕捞方式，影响库区河段的鱼类资源。施工单位应加强对施工人员宣传，保护水体中鱼类资源，减少对鱼类资源的影响。</w:t>
      </w:r>
    </w:p>
    <w:p w14:paraId="30E2F0DB">
      <w:pPr>
        <w:ind w:firstLine="480"/>
      </w:pPr>
      <w:r>
        <w:rPr>
          <w:rFonts w:hint="eastAsia"/>
        </w:rPr>
        <w:t>2、运行期</w:t>
      </w:r>
    </w:p>
    <w:p w14:paraId="372837A4">
      <w:pPr>
        <w:ind w:firstLine="480"/>
      </w:pPr>
      <w:r>
        <w:rPr>
          <w:rFonts w:hint="eastAsia"/>
        </w:rPr>
        <w:t>（1）拦河坝阻隔影响</w:t>
      </w:r>
    </w:p>
    <w:p w14:paraId="468B9AA4">
      <w:pPr>
        <w:widowControl/>
        <w:ind w:firstLine="480"/>
        <w:rPr>
          <w:kern w:val="0"/>
        </w:rPr>
      </w:pPr>
      <w:r>
        <w:rPr>
          <w:rFonts w:hint="eastAsia"/>
          <w:kern w:val="0"/>
        </w:rPr>
        <w:t>团结水电站拦河坝建成后，河段由原来连续的原生河流生态系统分割成坝上和坝下两个部分，造成鱼类生境片段化，阻断鱼类上下迁移的通道，造成了种群基因交流的阻隔。根据遗传漂变的理论，将可能降低物种的遗传多样性。鱼类生境的片段化和破碎化导致形成大小不同的异质种群，种群间基因不能交流，使个别种群遗传多样性降低，种群生存能力下降。评价区的鱼类有可能被拦河坝分隔成坝前坝后两个种群，受片断化的影响将使物种扩散及群落的建立受到一定限制，对物种正常散布移居活动产生直接障碍。</w:t>
      </w:r>
    </w:p>
    <w:p w14:paraId="125F648A">
      <w:pPr>
        <w:ind w:firstLine="480"/>
        <w:rPr>
          <w:rFonts w:cstheme="minorBidi"/>
        </w:rPr>
      </w:pPr>
      <w:r>
        <w:rPr>
          <w:rFonts w:hint="eastAsia" w:cstheme="minorBidi"/>
        </w:rPr>
        <w:t>同时坝址</w:t>
      </w:r>
      <w:r>
        <w:rPr>
          <w:rFonts w:cstheme="minorBidi"/>
        </w:rPr>
        <w:t>上游的鱼类进入</w:t>
      </w:r>
      <w:r>
        <w:rPr>
          <w:rFonts w:hint="eastAsia" w:cstheme="minorBidi"/>
        </w:rPr>
        <w:t>拦河</w:t>
      </w:r>
      <w:r>
        <w:rPr>
          <w:rFonts w:cstheme="minorBidi"/>
        </w:rPr>
        <w:t>坝后，</w:t>
      </w:r>
      <w:r>
        <w:rPr>
          <w:rFonts w:hint="eastAsia" w:cstheme="minorBidi"/>
        </w:rPr>
        <w:t>可能会被进水闸</w:t>
      </w:r>
      <w:r>
        <w:rPr>
          <w:rFonts w:cstheme="minorBidi"/>
        </w:rPr>
        <w:t>引至</w:t>
      </w:r>
      <w:r>
        <w:rPr>
          <w:rFonts w:hint="eastAsia" w:cstheme="minorBidi"/>
        </w:rPr>
        <w:t>电站</w:t>
      </w:r>
      <w:r>
        <w:rPr>
          <w:rFonts w:cstheme="minorBidi"/>
        </w:rPr>
        <w:t>厂区，</w:t>
      </w:r>
      <w:r>
        <w:rPr>
          <w:rFonts w:hint="eastAsia" w:cstheme="minorBidi"/>
        </w:rPr>
        <w:t>将会</w:t>
      </w:r>
      <w:r>
        <w:rPr>
          <w:rFonts w:cstheme="minorBidi"/>
        </w:rPr>
        <w:t>造成</w:t>
      </w:r>
      <w:r>
        <w:rPr>
          <w:rFonts w:hint="eastAsia" w:cstheme="minorBidi"/>
        </w:rPr>
        <w:t>部分</w:t>
      </w:r>
      <w:r>
        <w:rPr>
          <w:rFonts w:cstheme="minorBidi"/>
        </w:rPr>
        <w:t>鱼类死亡，从而使</w:t>
      </w:r>
      <w:r>
        <w:rPr>
          <w:rFonts w:hint="eastAsia" w:cstheme="minorBidi"/>
        </w:rPr>
        <w:t>拦河</w:t>
      </w:r>
      <w:r>
        <w:rPr>
          <w:rFonts w:cstheme="minorBidi"/>
        </w:rPr>
        <w:t>坝上游的鱼类种群数量或种类减少，所以项目应</w:t>
      </w:r>
      <w:r>
        <w:rPr>
          <w:rFonts w:hint="eastAsia" w:cstheme="minorBidi"/>
        </w:rPr>
        <w:t>按照</w:t>
      </w:r>
      <w:r>
        <w:rPr>
          <w:rFonts w:hint="eastAsia" w:cstheme="minorBidi"/>
          <w:color w:val="FF0000"/>
        </w:rPr>
        <w:t>《水电水利建设项目河道生态用水、低温水和过鱼设施环境影响评价技术指南（试行）》中的相关规定</w:t>
      </w:r>
      <w:r>
        <w:rPr>
          <w:rFonts w:cstheme="minorBidi"/>
          <w:color w:val="FF0000"/>
        </w:rPr>
        <w:t>在</w:t>
      </w:r>
      <w:r>
        <w:rPr>
          <w:rFonts w:hint="eastAsia" w:cstheme="minorBidi"/>
          <w:color w:val="FF0000"/>
        </w:rPr>
        <w:t>拦河</w:t>
      </w:r>
      <w:r>
        <w:rPr>
          <w:rFonts w:cstheme="minorBidi"/>
          <w:color w:val="FF0000"/>
        </w:rPr>
        <w:t>坝处设置隔鱼设施，防止鱼类进入</w:t>
      </w:r>
      <w:r>
        <w:rPr>
          <w:rFonts w:hint="eastAsia" w:cstheme="minorBidi"/>
          <w:color w:val="FF0000"/>
        </w:rPr>
        <w:t>厂区；同时考虑到坝址上下游鱼类生境的连贯性，建设单位需考虑在鱼类</w:t>
      </w:r>
      <w:r>
        <w:rPr>
          <w:color w:val="FF0000"/>
        </w:rPr>
        <w:t>短距离产卵洄游</w:t>
      </w:r>
      <w:r>
        <w:rPr>
          <w:rFonts w:hint="eastAsia"/>
          <w:color w:val="FF0000"/>
        </w:rPr>
        <w:t>时</w:t>
      </w:r>
      <w:r>
        <w:rPr>
          <w:rFonts w:hint="eastAsia" w:cstheme="minorBidi"/>
          <w:color w:val="FF0000"/>
        </w:rPr>
        <w:t>采取网捕过坝措施或在大坝设置闸门式鱼道</w:t>
      </w:r>
      <w:r>
        <w:rPr>
          <w:rFonts w:cstheme="minorBidi"/>
          <w:color w:val="FF0000"/>
        </w:rPr>
        <w:t>。</w:t>
      </w:r>
    </w:p>
    <w:p w14:paraId="6B513737">
      <w:pPr>
        <w:ind w:firstLine="480"/>
      </w:pPr>
      <w:r>
        <w:rPr>
          <w:rFonts w:hint="eastAsia"/>
        </w:rPr>
        <w:t xml:space="preserve">（2）对鱼类组成的影响 </w:t>
      </w:r>
    </w:p>
    <w:p w14:paraId="08F4533B">
      <w:pPr>
        <w:ind w:firstLine="480"/>
      </w:pPr>
      <w:r>
        <w:rPr>
          <w:rFonts w:hint="eastAsia"/>
        </w:rPr>
        <w:t>因电站大坝建设所造成的对河道的隔断作用，对库区及其周边的鱼类将会造成一定的影响。随着水库蓄水，库区的水温、水质、水流、水位将发生一定改变，从而导致水生浮游生物、水生植物、水生无脊椎动物等的变化，这两方面的改变将对鱼类区系的组成和一些种类的相对数量产生影响。据调查，电站上下游水域分布的鱼类大多为芒市大河常见鱼种，未发现国家重点保护的珍稀鱼种，也无长距离洄游性鱼类，电站建设对鱼类的影响不大。</w:t>
      </w:r>
    </w:p>
    <w:p w14:paraId="717E9FC7">
      <w:pPr>
        <w:ind w:firstLine="480"/>
      </w:pPr>
      <w:r>
        <w:rPr>
          <w:rFonts w:hint="eastAsia"/>
        </w:rPr>
        <w:t>（3）电站运行对坝下河段鱼类影响</w:t>
      </w:r>
    </w:p>
    <w:p w14:paraId="1187537F">
      <w:pPr>
        <w:widowControl/>
        <w:ind w:firstLine="480"/>
        <w:rPr>
          <w:kern w:val="0"/>
        </w:rPr>
      </w:pPr>
      <w:r>
        <w:rPr>
          <w:rFonts w:hint="eastAsia"/>
        </w:rPr>
        <w:t>电站运行期发电机叶轮搅动，高速水流表面会将空气卷吸入下泄水体中，使水体发生剧烈曝气，水体中溶解气体如 O</w:t>
      </w:r>
      <w:r>
        <w:rPr>
          <w:rFonts w:hint="eastAsia"/>
          <w:sz w:val="16"/>
          <w:szCs w:val="16"/>
        </w:rPr>
        <w:t>2</w:t>
      </w:r>
      <w:r>
        <w:rPr>
          <w:rFonts w:hint="eastAsia"/>
        </w:rPr>
        <w:t>、N</w:t>
      </w:r>
      <w:r>
        <w:rPr>
          <w:rFonts w:hint="eastAsia"/>
          <w:sz w:val="16"/>
          <w:szCs w:val="16"/>
        </w:rPr>
        <w:t>2</w:t>
      </w:r>
      <w:r>
        <w:rPr>
          <w:rFonts w:hint="eastAsia"/>
        </w:rPr>
        <w:t>、CO</w:t>
      </w:r>
      <w:r>
        <w:rPr>
          <w:rFonts w:hint="eastAsia"/>
          <w:sz w:val="16"/>
          <w:szCs w:val="16"/>
        </w:rPr>
        <w:t xml:space="preserve">2 </w:t>
      </w:r>
      <w:r>
        <w:rPr>
          <w:rFonts w:hint="eastAsia"/>
        </w:rPr>
        <w:t>等处于过饱和状态，下游鱼类处于这样的环境中，会导致鱼类体内血液中产生气泡而死亡。电站设计引用流量106.3m</w:t>
      </w:r>
      <w:r>
        <w:rPr>
          <w:rFonts w:hint="eastAsia"/>
          <w:vertAlign w:val="superscript"/>
        </w:rPr>
        <w:t>3</w:t>
      </w:r>
      <w:r>
        <w:rPr>
          <w:rFonts w:hint="eastAsia"/>
        </w:rPr>
        <w:t>/s， 额定水头</w:t>
      </w:r>
      <w:r>
        <w:t>5.5</w:t>
      </w:r>
      <w:r>
        <w:rPr>
          <w:rFonts w:hint="eastAsia"/>
        </w:rPr>
        <w:t>m。类比其他水电项目和查阅相关资料，本电站发电机叶轮搅动带来的水体曝气程度不大，经过短距离河道的自然流淌，水体中的溶解气体含量能逐渐趋于自然水平。因此，电站运行对坝下河段鱼类并不会产生明显影响。</w:t>
      </w:r>
    </w:p>
    <w:p w14:paraId="45B570A4">
      <w:pPr>
        <w:pStyle w:val="4"/>
      </w:pPr>
      <w:bookmarkStart w:id="656" w:name="_Toc443655456"/>
      <w:bookmarkStart w:id="657" w:name="_Toc508642484"/>
      <w:bookmarkStart w:id="658" w:name="_Toc471738037"/>
      <w:bookmarkStart w:id="659" w:name="_Toc397428360"/>
      <w:bookmarkStart w:id="660" w:name="_Toc454046557"/>
      <w:r>
        <w:rPr>
          <w:rFonts w:hint="eastAsia"/>
        </w:rPr>
        <w:t>6.2水环境</w:t>
      </w:r>
      <w:bookmarkEnd w:id="656"/>
      <w:bookmarkEnd w:id="657"/>
      <w:bookmarkEnd w:id="658"/>
      <w:bookmarkEnd w:id="659"/>
      <w:bookmarkEnd w:id="660"/>
    </w:p>
    <w:p w14:paraId="7F186719">
      <w:pPr>
        <w:pStyle w:val="113"/>
      </w:pPr>
      <w:bookmarkStart w:id="661" w:name="_Toc454046558"/>
      <w:bookmarkStart w:id="662" w:name="_Toc443655457"/>
      <w:bookmarkStart w:id="663" w:name="_Toc397428361"/>
      <w:bookmarkStart w:id="664" w:name="_Toc508642485"/>
      <w:bookmarkStart w:id="665" w:name="_Toc471738038"/>
      <w:r>
        <w:rPr>
          <w:rFonts w:hint="eastAsia"/>
        </w:rPr>
        <w:t>6.2.1</w:t>
      </w:r>
      <w:bookmarkEnd w:id="661"/>
      <w:bookmarkEnd w:id="662"/>
      <w:r>
        <w:t>施工期</w:t>
      </w:r>
      <w:bookmarkEnd w:id="663"/>
      <w:bookmarkEnd w:id="664"/>
      <w:bookmarkEnd w:id="665"/>
    </w:p>
    <w:p w14:paraId="66D72209">
      <w:pPr>
        <w:pStyle w:val="23"/>
        <w:ind w:firstLine="480"/>
      </w:pPr>
      <w:r>
        <w:t>施工期</w:t>
      </w:r>
      <w:r>
        <w:rPr>
          <w:rFonts w:hint="eastAsia"/>
        </w:rPr>
        <w:t>对水环境的影响主要来自于</w:t>
      </w:r>
      <w:r>
        <w:t>施工生产废水和生活污水</w:t>
      </w:r>
      <w:r>
        <w:rPr>
          <w:rFonts w:hint="eastAsia"/>
        </w:rPr>
        <w:t>，其中生产废水主要包括砂石料加工系统筛洗废水和</w:t>
      </w:r>
      <w:r>
        <w:t>混凝土</w:t>
      </w:r>
      <w:r>
        <w:rPr>
          <w:rFonts w:hint="eastAsia"/>
        </w:rPr>
        <w:t>拌和系统冲洗</w:t>
      </w:r>
      <w:r>
        <w:t>废水</w:t>
      </w:r>
      <w:r>
        <w:rPr>
          <w:rFonts w:hint="eastAsia"/>
        </w:rPr>
        <w:t>。</w:t>
      </w:r>
    </w:p>
    <w:p w14:paraId="0CA1B869">
      <w:pPr>
        <w:ind w:firstLine="472" w:firstLineChars="196"/>
        <w:rPr>
          <w:b/>
        </w:rPr>
      </w:pPr>
      <w:r>
        <w:rPr>
          <w:b/>
        </w:rPr>
        <w:t>1、施工期水环境影响回顾性分析</w:t>
      </w:r>
    </w:p>
    <w:p w14:paraId="040B6BF4">
      <w:pPr>
        <w:ind w:firstLine="480"/>
      </w:pPr>
      <w:r>
        <w:rPr>
          <w:rFonts w:hint="eastAsia"/>
          <w:color w:val="FF0000"/>
        </w:rPr>
        <w:t>目前，项目已施工6个月，根据工程分析，施工已产生的</w:t>
      </w:r>
      <w:r>
        <w:rPr>
          <w:color w:val="FF0000"/>
        </w:rPr>
        <w:t>砂石料加工系统</w:t>
      </w:r>
      <w:r>
        <w:rPr>
          <w:rFonts w:hint="eastAsia"/>
          <w:color w:val="FF0000"/>
        </w:rPr>
        <w:t>筛洗</w:t>
      </w:r>
      <w:r>
        <w:rPr>
          <w:color w:val="FF0000"/>
        </w:rPr>
        <w:t>废水</w:t>
      </w:r>
      <w:r>
        <w:rPr>
          <w:rFonts w:hint="eastAsia"/>
          <w:color w:val="FF0000"/>
        </w:rPr>
        <w:t>量为17736m</w:t>
      </w:r>
      <w:r>
        <w:rPr>
          <w:rFonts w:hint="eastAsia"/>
          <w:color w:val="FF0000"/>
          <w:vertAlign w:val="superscript"/>
        </w:rPr>
        <w:t>3</w:t>
      </w:r>
      <w:r>
        <w:rPr>
          <w:rFonts w:hint="eastAsia"/>
          <w:color w:val="FF0000"/>
        </w:rPr>
        <w:t>，</w:t>
      </w:r>
      <w:r>
        <w:rPr>
          <w:color w:val="FF0000"/>
        </w:rPr>
        <w:t>混凝土拌和系统</w:t>
      </w:r>
      <w:r>
        <w:rPr>
          <w:rFonts w:hint="eastAsia"/>
          <w:color w:val="FF0000"/>
        </w:rPr>
        <w:t>冲洗废水量为57m</w:t>
      </w:r>
      <w:r>
        <w:rPr>
          <w:rFonts w:hint="eastAsia"/>
          <w:color w:val="FF0000"/>
          <w:vertAlign w:val="superscript"/>
        </w:rPr>
        <w:t>3</w:t>
      </w:r>
      <w:r>
        <w:rPr>
          <w:rFonts w:hint="eastAsia"/>
          <w:color w:val="FF0000"/>
        </w:rPr>
        <w:t>。</w:t>
      </w:r>
      <w:r>
        <w:rPr>
          <w:rFonts w:hint="eastAsia"/>
        </w:rPr>
        <w:t>这些废水中不含有毒物质，但SS含量较高，经简易沉淀后排放，外排废水水质达不到</w:t>
      </w:r>
      <w:r>
        <w:t>《污水综合排放标准》</w:t>
      </w:r>
      <w:r>
        <w:rPr>
          <w:rFonts w:hint="eastAsia"/>
        </w:rPr>
        <w:t>（</w:t>
      </w:r>
      <w:r>
        <w:t>GB8978</w:t>
      </w:r>
      <w:r>
        <w:rPr>
          <w:rFonts w:hint="eastAsia"/>
        </w:rPr>
        <w:t>-</w:t>
      </w:r>
      <w:r>
        <w:t>1996</w:t>
      </w:r>
      <w:r>
        <w:rPr>
          <w:rFonts w:hint="eastAsia"/>
        </w:rPr>
        <w:t>）中</w:t>
      </w:r>
      <w:r>
        <w:t>一级标准</w:t>
      </w:r>
      <w:r>
        <w:rPr>
          <w:rFonts w:hint="eastAsia"/>
        </w:rPr>
        <w:t>的</w:t>
      </w:r>
      <w:r>
        <w:t>要求</w:t>
      </w:r>
      <w:r>
        <w:rPr>
          <w:rFonts w:hint="eastAsia"/>
        </w:rPr>
        <w:t>，对芒市河造成了一定的污染。</w:t>
      </w:r>
    </w:p>
    <w:p w14:paraId="349D45CC">
      <w:pPr>
        <w:ind w:firstLine="480"/>
      </w:pPr>
      <w:r>
        <w:rPr>
          <w:rFonts w:hint="eastAsia"/>
        </w:rPr>
        <w:t>项目施工人员生活废水已产生量为</w:t>
      </w:r>
      <w:r>
        <w:rPr>
          <w:rFonts w:hint="eastAsia"/>
          <w:color w:val="FF0000"/>
        </w:rPr>
        <w:t>420m</w:t>
      </w:r>
      <w:r>
        <w:rPr>
          <w:rFonts w:hint="eastAsia"/>
          <w:color w:val="FF0000"/>
          <w:vertAlign w:val="superscript"/>
        </w:rPr>
        <w:t>3</w:t>
      </w:r>
      <w:r>
        <w:rPr>
          <w:rFonts w:hint="eastAsia"/>
          <w:color w:val="FF0000"/>
        </w:rPr>
        <w:t>，</w:t>
      </w:r>
      <w:r>
        <w:rPr>
          <w:rFonts w:hint="eastAsia"/>
        </w:rPr>
        <w:t>并未设置收集处置设施来处理这部分生活废水，就近排放在施工营地附近，其水质无法达到《</w:t>
      </w:r>
      <w:r>
        <w:t>污水综合排放标准》</w:t>
      </w:r>
      <w:r>
        <w:rPr>
          <w:rFonts w:hint="eastAsia"/>
        </w:rPr>
        <w:t>（</w:t>
      </w:r>
      <w:r>
        <w:t>GB8978</w:t>
      </w:r>
      <w:r>
        <w:rPr>
          <w:rFonts w:hint="eastAsia"/>
        </w:rPr>
        <w:t>-</w:t>
      </w:r>
      <w:r>
        <w:t>1996</w:t>
      </w:r>
      <w:r>
        <w:rPr>
          <w:rFonts w:hint="eastAsia"/>
        </w:rPr>
        <w:t>）</w:t>
      </w:r>
      <w:r>
        <w:t>一级标准</w:t>
      </w:r>
      <w:r>
        <w:rPr>
          <w:rFonts w:hint="eastAsia"/>
        </w:rPr>
        <w:t>，同样也对芒市河造成了一定的影响。</w:t>
      </w:r>
    </w:p>
    <w:p w14:paraId="2B2775C0">
      <w:pPr>
        <w:ind w:firstLine="472" w:firstLineChars="196"/>
        <w:rPr>
          <w:b/>
        </w:rPr>
      </w:pPr>
      <w:r>
        <w:rPr>
          <w:rFonts w:hint="eastAsia"/>
          <w:b/>
        </w:rPr>
        <w:t>2、后续施工对地表水环境的影响分析</w:t>
      </w:r>
    </w:p>
    <w:p w14:paraId="08D8342E">
      <w:pPr>
        <w:ind w:firstLine="482"/>
        <w:rPr>
          <w:b/>
        </w:rPr>
      </w:pPr>
      <w:r>
        <w:rPr>
          <w:rFonts w:hint="eastAsia"/>
          <w:b/>
        </w:rPr>
        <w:t>A、</w:t>
      </w:r>
      <w:r>
        <w:rPr>
          <w:b/>
        </w:rPr>
        <w:t>施工</w:t>
      </w:r>
      <w:r>
        <w:rPr>
          <w:rFonts w:hint="eastAsia"/>
          <w:b/>
        </w:rPr>
        <w:t>生产</w:t>
      </w:r>
      <w:r>
        <w:rPr>
          <w:b/>
        </w:rPr>
        <w:t>废水</w:t>
      </w:r>
    </w:p>
    <w:p w14:paraId="55CB5573">
      <w:pPr>
        <w:ind w:firstLine="480"/>
      </w:pPr>
      <w:r>
        <w:t>（1）砂石料加工系统</w:t>
      </w:r>
      <w:r>
        <w:rPr>
          <w:rFonts w:hint="eastAsia"/>
        </w:rPr>
        <w:t>筛洗</w:t>
      </w:r>
      <w:r>
        <w:t>废水</w:t>
      </w:r>
    </w:p>
    <w:p w14:paraId="3E6E07FD">
      <w:pPr>
        <w:ind w:firstLine="480"/>
      </w:pPr>
      <w:r>
        <w:rPr>
          <w:rFonts w:hint="eastAsia"/>
        </w:rPr>
        <w:t>项目后续施工过程中，</w:t>
      </w:r>
      <w:r>
        <w:t>砂石料加工系统若不考虑生产废水回用，每天采用新鲜</w:t>
      </w:r>
      <w:r>
        <w:rPr>
          <w:rFonts w:hint="eastAsia"/>
        </w:rPr>
        <w:t>水</w:t>
      </w:r>
      <w:r>
        <w:t>作为生产用水，</w:t>
      </w:r>
      <w:r>
        <w:rPr>
          <w:rFonts w:hint="eastAsia"/>
        </w:rPr>
        <w:t>在</w:t>
      </w:r>
      <w:r>
        <w:t>考虑物料表面吸水、蒸发、渗漏等造成的水量损失</w:t>
      </w:r>
      <w:r>
        <w:rPr>
          <w:rFonts w:hint="eastAsia"/>
        </w:rPr>
        <w:t>等情况后，有80%的生产用水将作为废水排放</w:t>
      </w:r>
      <w:r>
        <w:t>，</w:t>
      </w:r>
      <w:r>
        <w:rPr>
          <w:rFonts w:hint="eastAsia"/>
        </w:rPr>
        <w:t>其排放量</w:t>
      </w:r>
      <w:r>
        <w:rPr>
          <w:rFonts w:hint="eastAsia"/>
          <w:color w:val="FF0000"/>
        </w:rPr>
        <w:t>为14188.8</w:t>
      </w:r>
      <w:r>
        <w:rPr>
          <w:color w:val="FF0000"/>
        </w:rPr>
        <w:t>m</w:t>
      </w:r>
      <w:r>
        <w:rPr>
          <w:color w:val="FF0000"/>
          <w:vertAlign w:val="superscript"/>
        </w:rPr>
        <w:t>3</w:t>
      </w:r>
      <w:r>
        <w:rPr>
          <w:color w:val="FF0000"/>
        </w:rPr>
        <w:t>。</w:t>
      </w:r>
      <w:r>
        <w:t>在不进行处理的情况下，</w:t>
      </w:r>
      <w:r>
        <w:rPr>
          <w:rFonts w:hint="eastAsia"/>
        </w:rPr>
        <w:t>废水中SS</w:t>
      </w:r>
      <w:r>
        <w:t>浓度低时超过500mg/</w:t>
      </w:r>
      <w:r>
        <w:rPr>
          <w:rFonts w:hint="eastAsia"/>
        </w:rPr>
        <w:t>L</w:t>
      </w:r>
      <w:r>
        <w:t>，高时达到8000mg/</w:t>
      </w:r>
      <w:r>
        <w:rPr>
          <w:rFonts w:hint="eastAsia"/>
        </w:rPr>
        <w:t>L，若直接排入芒市河内，会对其水质造成污染。后续</w:t>
      </w:r>
      <w:r>
        <w:t>施工过程</w:t>
      </w:r>
      <w:r>
        <w:rPr>
          <w:rFonts w:hint="eastAsia"/>
        </w:rPr>
        <w:t>中</w:t>
      </w:r>
      <w:r>
        <w:t>应采取节能降耗</w:t>
      </w:r>
      <w:r>
        <w:rPr>
          <w:rFonts w:hint="eastAsia"/>
        </w:rPr>
        <w:t>减污</w:t>
      </w:r>
      <w:r>
        <w:t>措施，砂石</w:t>
      </w:r>
      <w:r>
        <w:rPr>
          <w:rFonts w:hint="eastAsia"/>
        </w:rPr>
        <w:t>料</w:t>
      </w:r>
      <w:r>
        <w:t>加工</w:t>
      </w:r>
      <w:r>
        <w:rPr>
          <w:rFonts w:hint="eastAsia"/>
        </w:rPr>
        <w:t>系统</w:t>
      </w:r>
      <w:r>
        <w:t>筛洗废水</w:t>
      </w:r>
      <w:r>
        <w:rPr>
          <w:rFonts w:hint="eastAsia"/>
        </w:rPr>
        <w:t>经</w:t>
      </w:r>
      <w:r>
        <w:t>处理后</w:t>
      </w:r>
      <w:r>
        <w:rPr>
          <w:rFonts w:hint="eastAsia"/>
        </w:rPr>
        <w:t>可</w:t>
      </w:r>
      <w:r>
        <w:t>重复利用。根据同类工程调查</w:t>
      </w:r>
      <w:r>
        <w:rPr>
          <w:rFonts w:hint="eastAsia"/>
        </w:rPr>
        <w:t>显示</w:t>
      </w:r>
      <w:r>
        <w:t>，</w:t>
      </w:r>
      <w:r>
        <w:rPr>
          <w:rFonts w:hint="eastAsia"/>
        </w:rPr>
        <w:t>该类</w:t>
      </w:r>
      <w:r>
        <w:t>废水</w:t>
      </w:r>
      <w:r>
        <w:rPr>
          <w:rFonts w:hint="eastAsia"/>
        </w:rPr>
        <w:t>经</w:t>
      </w:r>
      <w:r>
        <w:t>处理后</w:t>
      </w:r>
      <w:r>
        <w:rPr>
          <w:rFonts w:hint="eastAsia"/>
        </w:rPr>
        <w:t>水中SS</w:t>
      </w:r>
      <w:r>
        <w:t>浓度一般在100mg/L左右，满足砂石加工系统给水要求</w:t>
      </w:r>
      <w:r>
        <w:rPr>
          <w:rFonts w:hint="eastAsia"/>
        </w:rPr>
        <w:t>。后续施工过程中，</w:t>
      </w:r>
      <w:r>
        <w:t>可采用简易沉淀对砂石料加工系统筛洗废水进行</w:t>
      </w:r>
      <w:r>
        <w:rPr>
          <w:rFonts w:hint="eastAsia"/>
        </w:rPr>
        <w:t>沉淀</w:t>
      </w:r>
      <w:r>
        <w:t>处理后，上清液回用</w:t>
      </w:r>
      <w:r>
        <w:rPr>
          <w:rFonts w:hint="eastAsia"/>
        </w:rPr>
        <w:t>于</w:t>
      </w:r>
      <w:r>
        <w:t>生产用水</w:t>
      </w:r>
      <w:r>
        <w:rPr>
          <w:rFonts w:hint="eastAsia"/>
        </w:rPr>
        <w:t>，废水不外排，对芒市河水质影响不大。</w:t>
      </w:r>
    </w:p>
    <w:p w14:paraId="34A75856">
      <w:pPr>
        <w:ind w:firstLine="480"/>
        <w:rPr>
          <w:rFonts w:cstheme="minorBidi"/>
          <w:lang w:val="zh-CN"/>
        </w:rPr>
      </w:pPr>
      <w:r>
        <w:rPr>
          <w:rFonts w:hint="eastAsia"/>
          <w:szCs w:val="24"/>
        </w:rPr>
        <w:t>（2）</w:t>
      </w:r>
      <w:r>
        <w:rPr>
          <w:rFonts w:cstheme="minorBidi"/>
          <w:lang w:val="zh-CN"/>
        </w:rPr>
        <w:t>混凝土拌和系统</w:t>
      </w:r>
      <w:r>
        <w:t>冲洗废水</w:t>
      </w:r>
    </w:p>
    <w:p w14:paraId="6CF03E52">
      <w:pPr>
        <w:ind w:firstLine="480"/>
      </w:pPr>
      <w:r>
        <w:rPr>
          <w:rFonts w:hint="eastAsia"/>
        </w:rPr>
        <w:t>根据工程分析，后续施工过程中</w:t>
      </w:r>
      <w:r>
        <w:t>混凝土拌和系统冲洗废水产生量</w:t>
      </w:r>
      <w:r>
        <w:rPr>
          <w:color w:val="FF0000"/>
        </w:rPr>
        <w:t>为</w:t>
      </w:r>
      <w:r>
        <w:rPr>
          <w:rFonts w:hint="eastAsia"/>
          <w:color w:val="FF0000"/>
        </w:rPr>
        <w:t>45.6</w:t>
      </w:r>
      <w:r>
        <w:rPr>
          <w:color w:val="FF0000"/>
        </w:rPr>
        <w:t>m</w:t>
      </w:r>
      <w:r>
        <w:rPr>
          <w:color w:val="FF0000"/>
          <w:vertAlign w:val="superscript"/>
        </w:rPr>
        <w:t>3</w:t>
      </w:r>
      <w:r>
        <w:rPr>
          <w:rFonts w:hint="eastAsia"/>
          <w:color w:val="FF0000"/>
        </w:rPr>
        <w:t>，</w:t>
      </w:r>
      <w:r>
        <w:t>废水中不仅SS浓度较高，pH值也较高，如不采取处理措施</w:t>
      </w:r>
      <w:r>
        <w:rPr>
          <w:rFonts w:hint="eastAsia"/>
        </w:rPr>
        <w:t>直接排放后</w:t>
      </w:r>
      <w:r>
        <w:t>，将对河流水质</w:t>
      </w:r>
      <w:r>
        <w:rPr>
          <w:rFonts w:hint="eastAsia"/>
        </w:rPr>
        <w:t>会有一定</w:t>
      </w:r>
      <w:r>
        <w:t>影响。</w:t>
      </w:r>
    </w:p>
    <w:p w14:paraId="1B075392">
      <w:pPr>
        <w:ind w:firstLine="480"/>
      </w:pPr>
      <w:r>
        <w:rPr>
          <w:rFonts w:hint="eastAsia"/>
        </w:rPr>
        <w:t>项目拟设置沉淀</w:t>
      </w:r>
      <w:r>
        <w:t>池</w:t>
      </w:r>
      <w:r>
        <w:rPr>
          <w:rFonts w:hint="eastAsia"/>
        </w:rPr>
        <w:t>来</w:t>
      </w:r>
      <w:r>
        <w:t>处理</w:t>
      </w:r>
      <w:r>
        <w:rPr>
          <w:rFonts w:cstheme="minorBidi"/>
          <w:lang w:val="zh-CN"/>
        </w:rPr>
        <w:t>混凝土拌和系统</w:t>
      </w:r>
      <w:r>
        <w:rPr>
          <w:rFonts w:hint="eastAsia"/>
        </w:rPr>
        <w:t>产生的冲洗</w:t>
      </w:r>
      <w:r>
        <w:t>废水</w:t>
      </w:r>
      <w:r>
        <w:rPr>
          <w:rFonts w:hint="eastAsia"/>
        </w:rPr>
        <w:t>，上清液全部回用于生产</w:t>
      </w:r>
      <w:r>
        <w:t>，</w:t>
      </w:r>
      <w:r>
        <w:rPr>
          <w:rFonts w:hint="eastAsia"/>
        </w:rPr>
        <w:t>不外排。因此，项目施工过程中产生的混凝土拌和系统冲洗废水对芒市河的水质影响较小。</w:t>
      </w:r>
    </w:p>
    <w:p w14:paraId="02584458">
      <w:pPr>
        <w:ind w:firstLine="482"/>
        <w:rPr>
          <w:b/>
        </w:rPr>
      </w:pPr>
      <w:r>
        <w:rPr>
          <w:rFonts w:hint="eastAsia"/>
          <w:b/>
        </w:rPr>
        <w:t>B、施工</w:t>
      </w:r>
      <w:r>
        <w:rPr>
          <w:b/>
        </w:rPr>
        <w:t>生活污水</w:t>
      </w:r>
    </w:p>
    <w:p w14:paraId="5BEF438E">
      <w:pPr>
        <w:ind w:firstLine="480"/>
        <w:rPr>
          <w:highlight w:val="green"/>
        </w:rPr>
      </w:pPr>
      <w:r>
        <w:rPr>
          <w:rFonts w:hint="eastAsia"/>
        </w:rPr>
        <w:t>施工</w:t>
      </w:r>
      <w:r>
        <w:t>生活污水主要是由于施工人员集中食宿、</w:t>
      </w:r>
      <w:r>
        <w:rPr>
          <w:rFonts w:hint="eastAsia"/>
        </w:rPr>
        <w:t>入厕</w:t>
      </w:r>
      <w:r>
        <w:t>等产生，一般不含有毒物质，有机质含量高，细菌学指标差。</w:t>
      </w:r>
      <w:r>
        <w:rPr>
          <w:rFonts w:hint="eastAsia"/>
        </w:rPr>
        <w:t>根据工程分析，后续施工过程中</w:t>
      </w:r>
      <w:r>
        <w:t>，生活</w:t>
      </w:r>
      <w:r>
        <w:rPr>
          <w:rFonts w:hint="eastAsia"/>
        </w:rPr>
        <w:t>废水产生量为</w:t>
      </w:r>
      <w:r>
        <w:rPr>
          <w:rFonts w:hint="eastAsia"/>
          <w:color w:val="FF0000"/>
        </w:rPr>
        <w:t>336</w:t>
      </w:r>
      <w:r>
        <w:rPr>
          <w:color w:val="FF0000"/>
        </w:rPr>
        <w:t>m</w:t>
      </w:r>
      <w:r>
        <w:rPr>
          <w:color w:val="FF0000"/>
          <w:vertAlign w:val="superscript"/>
        </w:rPr>
        <w:t>3</w:t>
      </w:r>
      <w:r>
        <w:rPr>
          <w:color w:val="FF0000"/>
        </w:rPr>
        <w:t>。</w:t>
      </w:r>
    </w:p>
    <w:p w14:paraId="6D0B0ED0">
      <w:pPr>
        <w:tabs>
          <w:tab w:val="left" w:pos="2020"/>
        </w:tabs>
        <w:ind w:firstLine="480"/>
      </w:pPr>
      <w:r>
        <w:rPr>
          <w:rFonts w:hint="eastAsia"/>
        </w:rPr>
        <w:t>施工期施工人员生活污水通过设置</w:t>
      </w:r>
      <w:r>
        <w:rPr>
          <w:rFonts w:hint="eastAsia"/>
          <w:szCs w:val="24"/>
        </w:rPr>
        <w:t>“</w:t>
      </w:r>
      <w:r>
        <w:rPr>
          <w:szCs w:val="24"/>
        </w:rPr>
        <w:t>旱厕</w:t>
      </w:r>
      <w:r>
        <w:rPr>
          <w:rFonts w:hint="eastAsia"/>
          <w:szCs w:val="24"/>
        </w:rPr>
        <w:t>+隔油池+沉淀池”</w:t>
      </w:r>
      <w:r>
        <w:rPr>
          <w:rFonts w:hint="eastAsia"/>
        </w:rPr>
        <w:t>降低生活污水中的污染物，经处理后用于场地洒水降尘，对芒市河水质影响不大。</w:t>
      </w:r>
    </w:p>
    <w:p w14:paraId="4AA1682E">
      <w:pPr>
        <w:pStyle w:val="113"/>
      </w:pPr>
      <w:bookmarkStart w:id="666" w:name="_Toc377115127"/>
      <w:bookmarkStart w:id="667" w:name="_Toc508642486"/>
      <w:bookmarkStart w:id="668" w:name="_Toc377420779"/>
      <w:bookmarkStart w:id="669" w:name="_Toc327443514"/>
      <w:bookmarkStart w:id="670" w:name="_Toc377831898"/>
      <w:bookmarkStart w:id="671" w:name="_Toc471738039"/>
      <w:bookmarkStart w:id="672" w:name="_Toc304985225"/>
      <w:bookmarkStart w:id="673" w:name="_Toc397428362"/>
      <w:bookmarkStart w:id="674" w:name="_Toc534485262"/>
      <w:r>
        <w:rPr>
          <w:rFonts w:hint="eastAsia"/>
        </w:rPr>
        <w:t>6</w:t>
      </w:r>
      <w:r>
        <w:t>.</w:t>
      </w:r>
      <w:r>
        <w:rPr>
          <w:rFonts w:hint="eastAsia"/>
        </w:rPr>
        <w:t>2.2</w:t>
      </w:r>
      <w:r>
        <w:t>运行期</w:t>
      </w:r>
      <w:bookmarkEnd w:id="666"/>
      <w:bookmarkEnd w:id="667"/>
      <w:bookmarkEnd w:id="668"/>
      <w:bookmarkEnd w:id="669"/>
      <w:bookmarkEnd w:id="670"/>
      <w:bookmarkEnd w:id="671"/>
      <w:bookmarkEnd w:id="672"/>
      <w:bookmarkEnd w:id="673"/>
      <w:bookmarkEnd w:id="674"/>
    </w:p>
    <w:p w14:paraId="797C45CA">
      <w:pPr>
        <w:pStyle w:val="141"/>
      </w:pPr>
      <w:r>
        <w:rPr>
          <w:rFonts w:hint="eastAsia"/>
        </w:rPr>
        <w:t>6.2.2.1水库调节影响</w:t>
      </w:r>
    </w:p>
    <w:p w14:paraId="3BACD66A">
      <w:pPr>
        <w:autoSpaceDE w:val="0"/>
        <w:autoSpaceDN w:val="0"/>
        <w:ind w:firstLine="480"/>
        <w:jc w:val="left"/>
        <w:rPr>
          <w:bCs/>
          <w:color w:val="FF0000"/>
        </w:rPr>
      </w:pPr>
      <w:r>
        <w:rPr>
          <w:rFonts w:hint="eastAsia"/>
          <w:bCs/>
          <w:color w:val="FF0000"/>
        </w:rPr>
        <w:t>1、初期蓄水影响</w:t>
      </w:r>
    </w:p>
    <w:p w14:paraId="392D54EF">
      <w:pPr>
        <w:ind w:firstLine="480"/>
        <w:rPr>
          <w:color w:val="FF0000"/>
        </w:rPr>
      </w:pPr>
      <w:r>
        <w:rPr>
          <w:rFonts w:hint="eastAsia"/>
          <w:color w:val="FF0000"/>
        </w:rPr>
        <w:t>根据工程分析，团结水电站水库初期蓄水时间约为1.66h，水库初期蓄水时取水口关闭。水库初期蓄水达到正常蓄水位之前，冲砂闸下闸但不关闭，由冲砂闸下放生态流量，至少为坝址多年平均流量的10%，即5.28m</w:t>
      </w:r>
      <w:r>
        <w:rPr>
          <w:rFonts w:hint="eastAsia"/>
          <w:color w:val="FF0000"/>
          <w:vertAlign w:val="superscript"/>
        </w:rPr>
        <w:t>3</w:t>
      </w:r>
      <w:r>
        <w:rPr>
          <w:rFonts w:hint="eastAsia"/>
          <w:color w:val="FF0000"/>
        </w:rPr>
        <w:t>/s。水库初期蓄水期间坝后不会断流脱水，但是坝后水量由天然流量减少为5.28m</w:t>
      </w:r>
      <w:r>
        <w:rPr>
          <w:rFonts w:hint="eastAsia"/>
          <w:color w:val="FF0000"/>
          <w:vertAlign w:val="superscript"/>
        </w:rPr>
        <w:t>3</w:t>
      </w:r>
      <w:r>
        <w:rPr>
          <w:rFonts w:hint="eastAsia"/>
          <w:color w:val="FF0000"/>
        </w:rPr>
        <w:t>/s，坝后水流的流量减小、水位下降、流速变缓，对坝后河流水文情势产生较大的影响，间接影响到下游的水生生物及生态环境。</w:t>
      </w:r>
    </w:p>
    <w:p w14:paraId="5A235EFC">
      <w:pPr>
        <w:ind w:firstLine="480"/>
        <w:rPr>
          <w:highlight w:val="green"/>
        </w:rPr>
      </w:pPr>
      <w:r>
        <w:rPr>
          <w:rFonts w:hint="eastAsia"/>
          <w:color w:val="FF0000"/>
        </w:rPr>
        <w:t>当水位上升至正常蓄水位后，电站水轮发电机组启动，开始试机发电，发电尾水部分经尾水渠后设置的消力池引至坝址附近排入芒市河内，补足河道正常所需生态流量（约为坝址多年平均流量的30%，即15.84m</w:t>
      </w:r>
      <w:r>
        <w:rPr>
          <w:rFonts w:hint="eastAsia"/>
          <w:color w:val="FF0000"/>
          <w:vertAlign w:val="superscript"/>
        </w:rPr>
        <w:t>3</w:t>
      </w:r>
      <w:r>
        <w:rPr>
          <w:rFonts w:hint="eastAsia"/>
          <w:color w:val="FF0000"/>
        </w:rPr>
        <w:t>/s）。</w:t>
      </w:r>
    </w:p>
    <w:p w14:paraId="6203802F">
      <w:pPr>
        <w:ind w:firstLine="480"/>
      </w:pPr>
      <w:r>
        <w:rPr>
          <w:rFonts w:hint="eastAsia"/>
        </w:rPr>
        <w:t>2、对水温的影响</w:t>
      </w:r>
    </w:p>
    <w:p w14:paraId="3AD5E35C">
      <w:pPr>
        <w:ind w:firstLine="480"/>
        <w:rPr>
          <w:rFonts w:cstheme="minorBidi"/>
        </w:rPr>
      </w:pPr>
      <w:r>
        <w:rPr>
          <w:rFonts w:hint="eastAsia" w:cstheme="minorBidi"/>
        </w:rPr>
        <w:t>团结水电站拦河坝建成后，库区水温将发生变化。根据《水利水电工程水文计算规范》（SL278-2002）中推荐的判别公式，推断其水温层结趋势，判别公式如下：</w:t>
      </w:r>
    </w:p>
    <w:p w14:paraId="0A52F53D">
      <w:pPr>
        <w:widowControl/>
        <w:spacing w:line="240" w:lineRule="auto"/>
        <w:ind w:firstLine="0" w:firstLineChars="0"/>
        <w:jc w:val="center"/>
        <w:rPr>
          <w:rFonts w:ascii="宋体" w:hAnsi="宋体" w:cs="宋体"/>
          <w:kern w:val="0"/>
          <w:szCs w:val="24"/>
        </w:rPr>
      </w:pPr>
      <w:r>
        <w:rPr>
          <w:rFonts w:ascii="宋体" w:hAnsi="宋体" w:cs="宋体"/>
          <w:kern w:val="0"/>
          <w:szCs w:val="24"/>
        </w:rPr>
        <w:drawing>
          <wp:inline distT="0" distB="0" distL="0" distR="0">
            <wp:extent cx="1945640" cy="481965"/>
            <wp:effectExtent l="0" t="0" r="0" b="0"/>
            <wp:docPr id="1" name="图片 1" descr="C:\Users\Administrator.SC-20160229ABXB\AppData\Roaming\Tencent\Users\850074100\QQ\WinTemp\RichOle\5~R~IH7AC}GI3M}%%JH@U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SC-20160229ABXB\AppData\Roaming\Tencent\Users\850074100\QQ\WinTemp\RichOle\5~R~IH7AC}GI3M}%%JH@U1P.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945772" cy="482473"/>
                    </a:xfrm>
                    <a:prstGeom prst="rect">
                      <a:avLst/>
                    </a:prstGeom>
                    <a:noFill/>
                    <a:ln>
                      <a:noFill/>
                    </a:ln>
                  </pic:spPr>
                </pic:pic>
              </a:graphicData>
            </a:graphic>
          </wp:inline>
        </w:drawing>
      </w:r>
    </w:p>
    <w:p w14:paraId="24EE8983">
      <w:pPr>
        <w:ind w:firstLine="480"/>
        <w:rPr>
          <w:szCs w:val="24"/>
        </w:rPr>
      </w:pPr>
      <w:r>
        <w:rPr>
          <w:rFonts w:hint="eastAsia" w:cstheme="minorBidi"/>
        </w:rPr>
        <w:t>式中：</w:t>
      </w:r>
      <m:oMath>
        <m:r>
          <m:rPr>
            <m:sty m:val="p"/>
          </m:rPr>
          <w:rPr>
            <w:rFonts w:ascii="Cambria Math" w:hAnsi="Cambria Math" w:cstheme="minorBidi"/>
          </w:rPr>
          <m:t>α</m:t>
        </m:r>
      </m:oMath>
      <w:r>
        <w:rPr>
          <w:rFonts w:hint="eastAsia" w:cstheme="minorBidi"/>
        </w:rPr>
        <w:t>—判断系数，当</w:t>
      </w:r>
      <m:oMath>
        <m:r>
          <m:rPr>
            <m:sty m:val="p"/>
          </m:rPr>
          <w:rPr>
            <w:rFonts w:ascii="Cambria Math" w:hAnsi="Cambria Math" w:cstheme="minorBidi"/>
          </w:rPr>
          <m:t>α</m:t>
        </m:r>
      </m:oMath>
      <w:r>
        <w:rPr>
          <w:szCs w:val="24"/>
        </w:rPr>
        <w:t>&lt;</w:t>
      </w:r>
      <w:r>
        <w:rPr>
          <w:rFonts w:hint="eastAsia"/>
          <w:szCs w:val="24"/>
        </w:rPr>
        <w:t>10时，水库为分层型；当10</w:t>
      </w:r>
      <w:r>
        <w:rPr>
          <w:szCs w:val="24"/>
        </w:rPr>
        <w:t>&lt;</w:t>
      </w:r>
      <m:oMath>
        <m:r>
          <m:rPr>
            <m:sty m:val="p"/>
          </m:rPr>
          <w:rPr>
            <w:rFonts w:ascii="Cambria Math" w:hAnsi="Cambria Math" w:cstheme="minorBidi"/>
          </w:rPr>
          <m:t>α</m:t>
        </m:r>
      </m:oMath>
      <w:r>
        <w:rPr>
          <w:szCs w:val="24"/>
        </w:rPr>
        <w:t>&lt;</w:t>
      </w:r>
      <w:r>
        <w:rPr>
          <w:rFonts w:hint="eastAsia"/>
          <w:szCs w:val="24"/>
        </w:rPr>
        <w:t>20时，水库为过渡型；当</w:t>
      </w:r>
      <m:oMath>
        <m:r>
          <m:rPr>
            <m:sty m:val="p"/>
          </m:rPr>
          <w:rPr>
            <w:rFonts w:ascii="Cambria Math" w:hAnsi="Cambria Math" w:cstheme="minorBidi"/>
          </w:rPr>
          <m:t>α</m:t>
        </m:r>
      </m:oMath>
      <w:r>
        <w:rPr>
          <w:szCs w:val="24"/>
        </w:rPr>
        <w:t>&gt;</w:t>
      </w:r>
      <w:r>
        <w:rPr>
          <w:rFonts w:hint="eastAsia"/>
          <w:szCs w:val="24"/>
        </w:rPr>
        <w:t>20时，水库为混合型；</w:t>
      </w:r>
    </w:p>
    <w:p w14:paraId="07258C1D">
      <w:pPr>
        <w:ind w:firstLine="480"/>
        <w:rPr>
          <w:szCs w:val="24"/>
        </w:rPr>
      </w:pPr>
      <w:r>
        <w:rPr>
          <w:rFonts w:hint="eastAsia"/>
          <w:szCs w:val="24"/>
        </w:rPr>
        <w:t xml:space="preserve">      </w:t>
      </w:r>
      <m:oMath>
        <m:r>
          <m:rPr>
            <m:sty m:val="p"/>
          </m:rPr>
          <w:rPr>
            <w:rFonts w:ascii="Cambria Math" w:hAnsi="Cambria Math" w:cstheme="minorBidi"/>
          </w:rPr>
          <m:t>β</m:t>
        </m:r>
      </m:oMath>
      <w:r>
        <w:rPr>
          <w:rFonts w:hint="eastAsia" w:cstheme="minorBidi"/>
        </w:rPr>
        <w:t>—判断系数，如果遇到</w:t>
      </w:r>
      <m:oMath>
        <m:r>
          <m:rPr>
            <m:sty m:val="p"/>
          </m:rPr>
          <w:rPr>
            <w:rFonts w:ascii="Cambria Math" w:hAnsi="Cambria Math" w:cstheme="minorBidi"/>
          </w:rPr>
          <m:t>β</m:t>
        </m:r>
      </m:oMath>
      <w:r>
        <w:rPr>
          <w:szCs w:val="24"/>
        </w:rPr>
        <w:t>&gt;</w:t>
      </w:r>
      <w:r>
        <w:rPr>
          <w:rFonts w:hint="eastAsia"/>
          <w:szCs w:val="24"/>
        </w:rPr>
        <w:t>1时，洪水期将出现临时混合现象；当</w:t>
      </w:r>
      <m:oMath>
        <m:r>
          <m:rPr>
            <m:sty m:val="p"/>
          </m:rPr>
          <w:rPr>
            <w:rFonts w:ascii="Cambria Math" w:hAnsi="Cambria Math" w:cstheme="minorBidi"/>
          </w:rPr>
          <m:t>β</m:t>
        </m:r>
      </m:oMath>
      <w:r>
        <w:rPr>
          <w:szCs w:val="24"/>
        </w:rPr>
        <w:t>&lt;</w:t>
      </w:r>
      <w:r>
        <w:rPr>
          <w:rFonts w:hint="eastAsia"/>
          <w:szCs w:val="24"/>
        </w:rPr>
        <w:t>0.5，洪水对水库水温的分布结构没有影响；</w:t>
      </w:r>
    </w:p>
    <w:p w14:paraId="1437D21B">
      <w:pPr>
        <w:ind w:firstLine="480"/>
        <w:rPr>
          <w:szCs w:val="24"/>
        </w:rPr>
      </w:pPr>
      <w:r>
        <w:rPr>
          <w:rFonts w:hint="eastAsia"/>
          <w:szCs w:val="24"/>
        </w:rPr>
        <w:t xml:space="preserve">      W</w:t>
      </w:r>
      <w:r>
        <w:rPr>
          <w:rFonts w:hint="eastAsia"/>
          <w:szCs w:val="24"/>
        </w:rPr>
        <w:softHyphen/>
      </w:r>
      <w:r>
        <w:rPr>
          <w:rFonts w:hint="eastAsia"/>
          <w:szCs w:val="24"/>
        </w:rPr>
        <w:t>—多年平均径流量，万m</w:t>
      </w:r>
      <w:r>
        <w:rPr>
          <w:rFonts w:hint="eastAsia"/>
          <w:szCs w:val="24"/>
          <w:vertAlign w:val="superscript"/>
        </w:rPr>
        <w:t>3</w:t>
      </w:r>
      <w:r>
        <w:rPr>
          <w:rFonts w:hint="eastAsia"/>
          <w:szCs w:val="24"/>
        </w:rPr>
        <w:t>/a；</w:t>
      </w:r>
    </w:p>
    <w:p w14:paraId="7AC043E4">
      <w:pPr>
        <w:ind w:firstLine="480"/>
        <w:rPr>
          <w:szCs w:val="24"/>
        </w:rPr>
      </w:pPr>
      <w:r>
        <w:rPr>
          <w:rFonts w:hint="eastAsia"/>
        </w:rPr>
        <w:t xml:space="preserve">      W</w:t>
      </w:r>
      <w:r>
        <w:rPr>
          <w:rFonts w:hint="eastAsia"/>
          <w:vertAlign w:val="subscript"/>
        </w:rPr>
        <w:t>24</w:t>
      </w:r>
      <w:r>
        <w:rPr>
          <w:rFonts w:hint="eastAsia"/>
          <w:szCs w:val="24"/>
        </w:rPr>
        <w:t>—一日洪水量，万m</w:t>
      </w:r>
      <w:r>
        <w:rPr>
          <w:rFonts w:hint="eastAsia"/>
          <w:szCs w:val="24"/>
          <w:vertAlign w:val="superscript"/>
        </w:rPr>
        <w:t>3</w:t>
      </w:r>
      <w:r>
        <w:rPr>
          <w:rFonts w:hint="eastAsia"/>
          <w:szCs w:val="24"/>
        </w:rPr>
        <w:t>；</w:t>
      </w:r>
    </w:p>
    <w:p w14:paraId="7E3E5C43">
      <w:pPr>
        <w:ind w:firstLine="1200" w:firstLineChars="500"/>
        <w:rPr>
          <w:szCs w:val="24"/>
        </w:rPr>
      </w:pPr>
      <w:r>
        <w:rPr>
          <w:rFonts w:hint="eastAsia"/>
          <w:szCs w:val="24"/>
        </w:rPr>
        <w:t>V</w:t>
      </w:r>
      <w:r>
        <w:rPr>
          <w:rFonts w:hint="eastAsia"/>
          <w:szCs w:val="24"/>
          <w:vertAlign w:val="subscript"/>
        </w:rPr>
        <w:t>总</w:t>
      </w:r>
      <w:r>
        <w:rPr>
          <w:rFonts w:hint="eastAsia"/>
          <w:szCs w:val="24"/>
        </w:rPr>
        <w:t>—水库总库容，万m</w:t>
      </w:r>
      <w:r>
        <w:rPr>
          <w:rFonts w:hint="eastAsia"/>
          <w:szCs w:val="24"/>
          <w:vertAlign w:val="superscript"/>
        </w:rPr>
        <w:t>3</w:t>
      </w:r>
      <w:r>
        <w:rPr>
          <w:rFonts w:hint="eastAsia"/>
          <w:szCs w:val="24"/>
        </w:rPr>
        <w:t>。</w:t>
      </w:r>
    </w:p>
    <w:p w14:paraId="6405E59F">
      <w:pPr>
        <w:ind w:firstLine="480"/>
        <w:rPr>
          <w:szCs w:val="24"/>
        </w:rPr>
      </w:pPr>
      <w:r>
        <w:rPr>
          <w:rFonts w:hint="eastAsia"/>
          <w:szCs w:val="24"/>
        </w:rPr>
        <w:t>判断结果见下表：</w:t>
      </w:r>
    </w:p>
    <w:p w14:paraId="0F1895F2">
      <w:pPr>
        <w:ind w:firstLine="0" w:firstLineChars="0"/>
        <w:jc w:val="center"/>
        <w:rPr>
          <w:rFonts w:eastAsia="黑体"/>
          <w:sz w:val="21"/>
          <w:szCs w:val="24"/>
        </w:rPr>
      </w:pPr>
      <w:r>
        <w:rPr>
          <w:rFonts w:hint="eastAsia" w:eastAsia="黑体"/>
          <w:sz w:val="21"/>
          <w:szCs w:val="24"/>
        </w:rPr>
        <w:t>表6-2-1  电站水库水温层结趋势预测结果一览表</w:t>
      </w:r>
    </w:p>
    <w:tbl>
      <w:tblPr>
        <w:tblStyle w:val="659"/>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1273"/>
        <w:gridCol w:w="1526"/>
        <w:gridCol w:w="1167"/>
        <w:gridCol w:w="900"/>
        <w:gridCol w:w="965"/>
        <w:gridCol w:w="1455"/>
      </w:tblGrid>
      <w:tr w14:paraId="4FA9CE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77" w:type="dxa"/>
            <w:tcBorders>
              <w:left w:val="nil"/>
            </w:tcBorders>
            <w:vAlign w:val="center"/>
          </w:tcPr>
          <w:p w14:paraId="7EF32457">
            <w:pPr>
              <w:widowControl/>
              <w:spacing w:line="240" w:lineRule="auto"/>
              <w:ind w:firstLine="0" w:firstLineChars="0"/>
              <w:jc w:val="center"/>
              <w:rPr>
                <w:rFonts w:eastAsia="仿宋"/>
                <w:sz w:val="21"/>
                <w:szCs w:val="24"/>
              </w:rPr>
            </w:pPr>
            <w:r>
              <w:rPr>
                <w:rFonts w:hint="eastAsia" w:eastAsia="仿宋"/>
                <w:sz w:val="21"/>
                <w:szCs w:val="24"/>
              </w:rPr>
              <w:t>水库名称</w:t>
            </w:r>
          </w:p>
        </w:tc>
        <w:tc>
          <w:tcPr>
            <w:tcW w:w="1295" w:type="dxa"/>
            <w:vAlign w:val="center"/>
          </w:tcPr>
          <w:p w14:paraId="31B56F8F">
            <w:pPr>
              <w:widowControl/>
              <w:spacing w:line="240" w:lineRule="auto"/>
              <w:ind w:firstLine="0" w:firstLineChars="0"/>
              <w:jc w:val="center"/>
              <w:rPr>
                <w:rFonts w:eastAsia="仿宋"/>
                <w:sz w:val="21"/>
                <w:szCs w:val="24"/>
              </w:rPr>
            </w:pPr>
            <w:r>
              <w:rPr>
                <w:rFonts w:hint="eastAsia" w:eastAsia="仿宋"/>
                <w:sz w:val="21"/>
                <w:szCs w:val="24"/>
              </w:rPr>
              <w:t>W（万m</w:t>
            </w:r>
            <w:r>
              <w:rPr>
                <w:rFonts w:hint="eastAsia" w:eastAsia="仿宋"/>
                <w:sz w:val="21"/>
                <w:szCs w:val="24"/>
                <w:vertAlign w:val="superscript"/>
              </w:rPr>
              <w:t>3</w:t>
            </w:r>
            <w:r>
              <w:rPr>
                <w:rFonts w:hint="eastAsia" w:eastAsia="仿宋"/>
                <w:sz w:val="21"/>
                <w:szCs w:val="24"/>
              </w:rPr>
              <w:t>/a）</w:t>
            </w:r>
          </w:p>
        </w:tc>
        <w:tc>
          <w:tcPr>
            <w:tcW w:w="1542" w:type="dxa"/>
            <w:vAlign w:val="center"/>
          </w:tcPr>
          <w:p w14:paraId="3FE9361A">
            <w:pPr>
              <w:widowControl/>
              <w:spacing w:line="240" w:lineRule="auto"/>
              <w:ind w:firstLine="0" w:firstLineChars="0"/>
              <w:jc w:val="center"/>
              <w:rPr>
                <w:rFonts w:eastAsia="仿宋"/>
                <w:sz w:val="21"/>
                <w:szCs w:val="24"/>
              </w:rPr>
            </w:pPr>
            <w:r>
              <w:rPr>
                <w:rFonts w:hint="eastAsia" w:eastAsia="仿宋"/>
                <w:sz w:val="21"/>
                <w:szCs w:val="24"/>
              </w:rPr>
              <w:t>W</w:t>
            </w:r>
            <w:r>
              <w:rPr>
                <w:rFonts w:hint="eastAsia" w:eastAsia="仿宋"/>
                <w:sz w:val="21"/>
                <w:szCs w:val="24"/>
                <w:vertAlign w:val="subscript"/>
              </w:rPr>
              <w:t>24</w:t>
            </w:r>
            <w:r>
              <w:rPr>
                <w:rFonts w:hint="eastAsia" w:eastAsia="仿宋"/>
                <w:sz w:val="21"/>
                <w:szCs w:val="24"/>
              </w:rPr>
              <w:t>（万m</w:t>
            </w:r>
            <w:r>
              <w:rPr>
                <w:rFonts w:hint="eastAsia" w:eastAsia="仿宋"/>
                <w:sz w:val="21"/>
                <w:szCs w:val="24"/>
                <w:vertAlign w:val="superscript"/>
              </w:rPr>
              <w:t>3</w:t>
            </w:r>
            <w:r>
              <w:rPr>
                <w:rFonts w:hint="eastAsia" w:eastAsia="仿宋"/>
                <w:sz w:val="21"/>
                <w:szCs w:val="24"/>
              </w:rPr>
              <w:t>，P=3.33%）</w:t>
            </w:r>
          </w:p>
        </w:tc>
        <w:tc>
          <w:tcPr>
            <w:tcW w:w="1193" w:type="dxa"/>
            <w:vAlign w:val="center"/>
          </w:tcPr>
          <w:p w14:paraId="5860804D">
            <w:pPr>
              <w:widowControl/>
              <w:spacing w:line="240" w:lineRule="auto"/>
              <w:ind w:firstLine="0" w:firstLineChars="0"/>
              <w:jc w:val="center"/>
              <w:rPr>
                <w:rFonts w:eastAsia="仿宋"/>
                <w:sz w:val="21"/>
                <w:szCs w:val="24"/>
              </w:rPr>
            </w:pPr>
            <w:r>
              <w:rPr>
                <w:rFonts w:hint="eastAsia" w:eastAsia="仿宋"/>
                <w:sz w:val="21"/>
                <w:szCs w:val="24"/>
              </w:rPr>
              <w:t>V</w:t>
            </w:r>
            <w:r>
              <w:rPr>
                <w:rFonts w:hint="eastAsia" w:eastAsia="仿宋"/>
                <w:sz w:val="21"/>
                <w:szCs w:val="24"/>
                <w:vertAlign w:val="subscript"/>
              </w:rPr>
              <w:t>总</w:t>
            </w:r>
            <w:r>
              <w:rPr>
                <w:rFonts w:hint="eastAsia" w:eastAsia="仿宋"/>
                <w:sz w:val="21"/>
                <w:szCs w:val="24"/>
              </w:rPr>
              <w:t>（万m</w:t>
            </w:r>
            <w:r>
              <w:rPr>
                <w:rFonts w:hint="eastAsia" w:eastAsia="仿宋"/>
                <w:sz w:val="21"/>
                <w:szCs w:val="24"/>
                <w:vertAlign w:val="superscript"/>
              </w:rPr>
              <w:t>3</w:t>
            </w:r>
            <w:r>
              <w:rPr>
                <w:rFonts w:hint="eastAsia" w:eastAsia="仿宋"/>
                <w:sz w:val="21"/>
                <w:szCs w:val="24"/>
              </w:rPr>
              <w:t>）</w:t>
            </w:r>
          </w:p>
        </w:tc>
        <w:tc>
          <w:tcPr>
            <w:tcW w:w="905" w:type="dxa"/>
            <w:vAlign w:val="center"/>
          </w:tcPr>
          <w:p w14:paraId="76951A77">
            <w:pPr>
              <w:widowControl/>
              <w:spacing w:line="240" w:lineRule="auto"/>
              <w:ind w:firstLine="0" w:firstLineChars="0"/>
              <w:jc w:val="center"/>
              <w:rPr>
                <w:rFonts w:eastAsia="仿宋"/>
                <w:sz w:val="21"/>
                <w:szCs w:val="24"/>
              </w:rPr>
            </w:pPr>
            <w:r>
              <w:rPr>
                <w:rFonts w:eastAsia="仿宋"/>
                <w:szCs w:val="24"/>
              </w:rPr>
              <w:t>α</w:t>
            </w:r>
            <w:r>
              <w:rPr>
                <w:rFonts w:hint="eastAsia" w:eastAsia="仿宋"/>
                <w:szCs w:val="24"/>
              </w:rPr>
              <w:t>值</w:t>
            </w:r>
          </w:p>
        </w:tc>
        <w:tc>
          <w:tcPr>
            <w:tcW w:w="979" w:type="dxa"/>
            <w:vAlign w:val="center"/>
          </w:tcPr>
          <w:p w14:paraId="147F942F">
            <w:pPr>
              <w:widowControl/>
              <w:spacing w:line="240" w:lineRule="auto"/>
              <w:ind w:firstLine="0" w:firstLineChars="0"/>
              <w:jc w:val="center"/>
              <w:rPr>
                <w:rFonts w:eastAsia="仿宋"/>
                <w:sz w:val="21"/>
                <w:szCs w:val="24"/>
              </w:rPr>
            </w:pPr>
            <w:r>
              <w:rPr>
                <w:rFonts w:eastAsia="仿宋"/>
                <w:szCs w:val="24"/>
              </w:rPr>
              <w:t>β</w:t>
            </w:r>
            <w:r>
              <w:rPr>
                <w:rFonts w:hint="eastAsia" w:eastAsia="仿宋"/>
                <w:szCs w:val="24"/>
              </w:rPr>
              <w:t>值</w:t>
            </w:r>
          </w:p>
        </w:tc>
        <w:tc>
          <w:tcPr>
            <w:tcW w:w="1507" w:type="dxa"/>
            <w:vAlign w:val="center"/>
          </w:tcPr>
          <w:p w14:paraId="3EBC3893">
            <w:pPr>
              <w:widowControl/>
              <w:spacing w:line="240" w:lineRule="auto"/>
              <w:ind w:firstLine="0" w:firstLineChars="0"/>
              <w:jc w:val="center"/>
              <w:rPr>
                <w:rFonts w:eastAsia="仿宋"/>
                <w:sz w:val="21"/>
                <w:szCs w:val="24"/>
              </w:rPr>
            </w:pPr>
            <w:r>
              <w:rPr>
                <w:rFonts w:hint="eastAsia" w:eastAsia="仿宋"/>
                <w:sz w:val="21"/>
                <w:szCs w:val="24"/>
              </w:rPr>
              <w:t>水温结构判别</w:t>
            </w:r>
          </w:p>
        </w:tc>
      </w:tr>
      <w:tr w14:paraId="7C74D8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277" w:type="dxa"/>
            <w:tcBorders>
              <w:left w:val="nil"/>
            </w:tcBorders>
            <w:vAlign w:val="center"/>
          </w:tcPr>
          <w:p w14:paraId="38164710">
            <w:pPr>
              <w:widowControl/>
              <w:spacing w:line="240" w:lineRule="auto"/>
              <w:ind w:firstLine="0" w:firstLineChars="0"/>
              <w:jc w:val="center"/>
              <w:rPr>
                <w:rFonts w:eastAsia="仿宋"/>
                <w:sz w:val="21"/>
                <w:szCs w:val="24"/>
              </w:rPr>
            </w:pPr>
            <w:r>
              <w:rPr>
                <w:rFonts w:hint="eastAsia" w:eastAsia="仿宋"/>
                <w:sz w:val="21"/>
                <w:szCs w:val="24"/>
              </w:rPr>
              <w:t>团结水电站</w:t>
            </w:r>
          </w:p>
        </w:tc>
        <w:tc>
          <w:tcPr>
            <w:tcW w:w="1295" w:type="dxa"/>
            <w:vAlign w:val="center"/>
          </w:tcPr>
          <w:p w14:paraId="36B2657F">
            <w:pPr>
              <w:widowControl/>
              <w:spacing w:line="240" w:lineRule="auto"/>
              <w:ind w:firstLine="0" w:firstLineChars="0"/>
              <w:jc w:val="center"/>
              <w:rPr>
                <w:rFonts w:eastAsia="仿宋"/>
                <w:sz w:val="21"/>
                <w:szCs w:val="24"/>
              </w:rPr>
            </w:pPr>
            <w:r>
              <w:rPr>
                <w:rFonts w:hint="eastAsia" w:eastAsia="仿宋"/>
                <w:sz w:val="21"/>
                <w:szCs w:val="24"/>
              </w:rPr>
              <w:t>163100</w:t>
            </w:r>
          </w:p>
        </w:tc>
        <w:tc>
          <w:tcPr>
            <w:tcW w:w="1542" w:type="dxa"/>
            <w:vAlign w:val="center"/>
          </w:tcPr>
          <w:p w14:paraId="5181BBE2">
            <w:pPr>
              <w:widowControl/>
              <w:spacing w:line="240" w:lineRule="auto"/>
              <w:ind w:firstLine="0" w:firstLineChars="0"/>
              <w:jc w:val="center"/>
              <w:rPr>
                <w:rFonts w:eastAsia="仿宋"/>
                <w:sz w:val="21"/>
                <w:szCs w:val="24"/>
              </w:rPr>
            </w:pPr>
            <w:r>
              <w:rPr>
                <w:rFonts w:hint="eastAsia" w:eastAsia="仿宋"/>
                <w:sz w:val="21"/>
                <w:szCs w:val="24"/>
              </w:rPr>
              <w:t>6200</w:t>
            </w:r>
          </w:p>
        </w:tc>
        <w:tc>
          <w:tcPr>
            <w:tcW w:w="1193" w:type="dxa"/>
            <w:vAlign w:val="center"/>
          </w:tcPr>
          <w:p w14:paraId="723BE840">
            <w:pPr>
              <w:widowControl/>
              <w:spacing w:line="240" w:lineRule="auto"/>
              <w:ind w:firstLine="0" w:firstLineChars="0"/>
              <w:jc w:val="center"/>
              <w:rPr>
                <w:rFonts w:eastAsia="仿宋"/>
                <w:sz w:val="21"/>
                <w:szCs w:val="24"/>
              </w:rPr>
            </w:pPr>
            <w:r>
              <w:rPr>
                <w:rFonts w:hint="eastAsia" w:eastAsia="仿宋"/>
                <w:sz w:val="21"/>
                <w:szCs w:val="24"/>
              </w:rPr>
              <w:t>38.6</w:t>
            </w:r>
          </w:p>
        </w:tc>
        <w:tc>
          <w:tcPr>
            <w:tcW w:w="905" w:type="dxa"/>
            <w:vAlign w:val="center"/>
          </w:tcPr>
          <w:p w14:paraId="4543764E">
            <w:pPr>
              <w:widowControl/>
              <w:spacing w:line="240" w:lineRule="auto"/>
              <w:ind w:firstLine="0" w:firstLineChars="0"/>
              <w:jc w:val="center"/>
              <w:rPr>
                <w:rFonts w:eastAsia="仿宋"/>
                <w:sz w:val="21"/>
                <w:szCs w:val="24"/>
              </w:rPr>
            </w:pPr>
            <w:r>
              <w:rPr>
                <w:rFonts w:hint="eastAsia" w:eastAsia="仿宋"/>
                <w:sz w:val="21"/>
                <w:szCs w:val="24"/>
              </w:rPr>
              <w:t>4225.4</w:t>
            </w:r>
          </w:p>
        </w:tc>
        <w:tc>
          <w:tcPr>
            <w:tcW w:w="979" w:type="dxa"/>
            <w:vAlign w:val="center"/>
          </w:tcPr>
          <w:p w14:paraId="224F03BF">
            <w:pPr>
              <w:widowControl/>
              <w:spacing w:line="240" w:lineRule="auto"/>
              <w:ind w:firstLine="0" w:firstLineChars="0"/>
              <w:jc w:val="center"/>
              <w:rPr>
                <w:rFonts w:eastAsia="仿宋"/>
                <w:sz w:val="21"/>
                <w:szCs w:val="24"/>
              </w:rPr>
            </w:pPr>
            <w:r>
              <w:rPr>
                <w:rFonts w:hint="eastAsia" w:eastAsia="仿宋"/>
                <w:sz w:val="21"/>
                <w:szCs w:val="24"/>
              </w:rPr>
              <w:t>160.6</w:t>
            </w:r>
          </w:p>
        </w:tc>
        <w:tc>
          <w:tcPr>
            <w:tcW w:w="1507" w:type="dxa"/>
            <w:vAlign w:val="center"/>
          </w:tcPr>
          <w:p w14:paraId="3D76EE87">
            <w:pPr>
              <w:widowControl/>
              <w:spacing w:line="240" w:lineRule="auto"/>
              <w:ind w:firstLine="0" w:firstLineChars="0"/>
              <w:jc w:val="center"/>
              <w:rPr>
                <w:rFonts w:eastAsia="仿宋"/>
                <w:sz w:val="21"/>
                <w:szCs w:val="24"/>
              </w:rPr>
            </w:pPr>
            <w:r>
              <w:rPr>
                <w:rFonts w:hint="eastAsia" w:eastAsia="仿宋"/>
                <w:sz w:val="21"/>
                <w:szCs w:val="24"/>
              </w:rPr>
              <w:t>混合型</w:t>
            </w:r>
          </w:p>
        </w:tc>
      </w:tr>
    </w:tbl>
    <w:p w14:paraId="79E522AE">
      <w:pPr>
        <w:spacing w:before="240"/>
        <w:ind w:firstLine="480"/>
      </w:pPr>
      <w:r>
        <w:rPr>
          <w:rFonts w:hint="eastAsia"/>
        </w:rPr>
        <w:t>由以上初步预测可知，团结水电站水库水温结构为混合型，在一年的任何时间，库内水温分布比较均匀，水温梯度较小，库底水温随库表水温变化，出库水温接近于自然水温，电站建设不会对河道水温造成影响。</w:t>
      </w:r>
    </w:p>
    <w:p w14:paraId="595CC328">
      <w:pPr>
        <w:ind w:firstLine="480"/>
      </w:pPr>
      <w:r>
        <w:rPr>
          <w:rFonts w:hint="eastAsia"/>
        </w:rPr>
        <w:t>3、对河道泥沙的影响</w:t>
      </w:r>
    </w:p>
    <w:p w14:paraId="5D1FE434">
      <w:pPr>
        <w:ind w:firstLine="480"/>
        <w:rPr>
          <w:rFonts w:cstheme="minorBidi"/>
        </w:rPr>
      </w:pPr>
      <w:r>
        <w:rPr>
          <w:rFonts w:hint="eastAsia"/>
        </w:rPr>
        <w:t>由于上游2.2km处已经建成芒里电站，拥有一个中型水库（</w:t>
      </w:r>
      <w:r>
        <w:t>正常蓄水位849.00m，相应库容4700万m</w:t>
      </w:r>
      <w:r>
        <w:rPr>
          <w:vertAlign w:val="superscript"/>
        </w:rPr>
        <w:t>3</w:t>
      </w:r>
      <w:r>
        <w:t>，调节库容2414万m</w:t>
      </w:r>
      <w:r>
        <w:rPr>
          <w:vertAlign w:val="superscript"/>
        </w:rPr>
        <w:t>3</w:t>
      </w:r>
      <w:r>
        <w:rPr>
          <w:rFonts w:hint="eastAsia"/>
        </w:rPr>
        <w:t>），已经把泥沙挡住，所以团结水电站的泥沙问题得到根本性改观，上游芒里电站下泄的泥沙量较少。但电站拦河筑坝后，芒里电站下游的泥沙量较天然状态在空间和时间上也将有所改变。在空间上，由于拦河坝拦截作用，团结水电站回水区水深加大、流速减缓、挟沙能力减弱， 泥沙淤积于坝首回水区，坝下河水含沙量减少，随着时间的推移，排沙比逐渐增大，进入下游河道的泥沙量会逐渐增多，形成新的平衡。总体而言，电站运行对下游河道泥沙影响有限。</w:t>
      </w:r>
    </w:p>
    <w:p w14:paraId="4ACD2DF1">
      <w:pPr>
        <w:ind w:firstLine="480"/>
        <w:rPr>
          <w:color w:val="FF0000"/>
        </w:rPr>
      </w:pPr>
      <w:r>
        <w:rPr>
          <w:rFonts w:hint="eastAsia" w:hAnsi="宋体"/>
          <w:color w:val="FF0000"/>
          <w:kern w:val="0"/>
          <w:szCs w:val="20"/>
        </w:rPr>
        <w:t>4、</w:t>
      </w:r>
      <w:r>
        <w:rPr>
          <w:rFonts w:hint="eastAsia"/>
          <w:color w:val="FF0000"/>
        </w:rPr>
        <w:t>水库蓄水后河流富营养化影响分析</w:t>
      </w:r>
    </w:p>
    <w:p w14:paraId="41937FAD">
      <w:pPr>
        <w:ind w:firstLine="480"/>
        <w:rPr>
          <w:color w:val="FF0000"/>
        </w:rPr>
      </w:pPr>
      <w:r>
        <w:rPr>
          <w:rFonts w:hint="eastAsia"/>
          <w:color w:val="FF0000"/>
        </w:rPr>
        <w:t>水库蓄水后，库区土壤和残留植被被淹没，天然河道流速减缓，会增大水库 水体漂浮物、有机质和营养物质的含量，原水体对污染物的降解自净能力有所下降；另一方面，库区水量增加，水体稀释能力加强，河段水环境容量将发生变化。 但由于团结水电站为无调节性的小型河床式电站，除减水河段外，发电并不改变原河道水量（尾水量即为上游来水量），水库容积不大，库内水体置换较快，水体在库内存留时间较短，因此不存在库区水质富营养化的可能。</w:t>
      </w:r>
    </w:p>
    <w:p w14:paraId="4A762832">
      <w:pPr>
        <w:pStyle w:val="141"/>
        <w:rPr>
          <w:color w:val="FF0000"/>
        </w:rPr>
      </w:pPr>
      <w:bookmarkStart w:id="675" w:name="_Toc534485499"/>
      <w:bookmarkStart w:id="676" w:name="_Toc377420782"/>
      <w:bookmarkStart w:id="677" w:name="_Toc534485748"/>
      <w:bookmarkStart w:id="678" w:name="_Toc534485998"/>
      <w:bookmarkStart w:id="679" w:name="_Toc377831901"/>
      <w:r>
        <w:rPr>
          <w:rFonts w:hint="eastAsia"/>
          <w:color w:val="FF0000"/>
        </w:rPr>
        <w:t>6.2.2.2</w:t>
      </w:r>
      <w:r>
        <w:rPr>
          <w:color w:val="FF0000"/>
        </w:rPr>
        <w:t>对水质的影响</w:t>
      </w:r>
    </w:p>
    <w:p w14:paraId="07FEC733">
      <w:pPr>
        <w:ind w:firstLine="480"/>
        <w:rPr>
          <w:rFonts w:cstheme="minorBidi"/>
          <w:color w:val="FF0000"/>
        </w:rPr>
      </w:pPr>
      <w:r>
        <w:rPr>
          <w:rFonts w:cstheme="minorBidi"/>
          <w:color w:val="FF0000"/>
        </w:rPr>
        <w:t>电站</w:t>
      </w:r>
      <w:r>
        <w:rPr>
          <w:rFonts w:hint="eastAsia" w:cstheme="minorBidi"/>
          <w:color w:val="FF0000"/>
        </w:rPr>
        <w:t>建成运行后</w:t>
      </w:r>
      <w:r>
        <w:rPr>
          <w:rFonts w:cstheme="minorBidi"/>
          <w:color w:val="FF0000"/>
        </w:rPr>
        <w:t>，就</w:t>
      </w:r>
      <w:r>
        <w:rPr>
          <w:rFonts w:hint="eastAsia" w:cstheme="minorBidi"/>
          <w:color w:val="FF0000"/>
        </w:rPr>
        <w:t>取水</w:t>
      </w:r>
      <w:r>
        <w:rPr>
          <w:rFonts w:cstheme="minorBidi"/>
          <w:color w:val="FF0000"/>
        </w:rPr>
        <w:t>发电过程而言，</w:t>
      </w:r>
      <w:r>
        <w:rPr>
          <w:rFonts w:hint="eastAsia" w:cstheme="minorBidi"/>
          <w:color w:val="FF0000"/>
        </w:rPr>
        <w:t>只是利用了水能，基本上不消耗水量，</w:t>
      </w:r>
      <w:r>
        <w:rPr>
          <w:rFonts w:cstheme="minorBidi"/>
          <w:color w:val="FF0000"/>
        </w:rPr>
        <w:t>水体经过水轮机及发电机组发电后产生的尾水</w:t>
      </w:r>
      <w:r>
        <w:rPr>
          <w:rFonts w:hint="eastAsia" w:cstheme="minorBidi"/>
          <w:color w:val="FF0000"/>
        </w:rPr>
        <w:t>中</w:t>
      </w:r>
      <w:r>
        <w:rPr>
          <w:rFonts w:cstheme="minorBidi"/>
          <w:color w:val="FF0000"/>
        </w:rPr>
        <w:t>基本不含污染物，河道水质基本保持原有状态，对原天然河道的水质影响不大。</w:t>
      </w:r>
    </w:p>
    <w:p w14:paraId="154926DA">
      <w:pPr>
        <w:ind w:firstLine="480"/>
        <w:rPr>
          <w:color w:val="FF0000"/>
        </w:rPr>
      </w:pPr>
      <w:r>
        <w:rPr>
          <w:rFonts w:hint="eastAsia"/>
          <w:color w:val="FF0000"/>
        </w:rPr>
        <w:t>电站运营期间，值守人员不在厂内用餐，无生活废水产生，对芒市河水质无影响。</w:t>
      </w:r>
    </w:p>
    <w:p w14:paraId="08AF231A">
      <w:pPr>
        <w:pStyle w:val="141"/>
      </w:pPr>
      <w:r>
        <w:rPr>
          <w:rFonts w:hint="eastAsia"/>
        </w:rPr>
        <w:t>6.2.2.3</w:t>
      </w:r>
      <w:r>
        <w:t>对</w:t>
      </w:r>
      <w:r>
        <w:rPr>
          <w:rFonts w:hint="eastAsia"/>
        </w:rPr>
        <w:t>芒里大沟</w:t>
      </w:r>
      <w:r>
        <w:t>的影响</w:t>
      </w:r>
      <w:bookmarkEnd w:id="675"/>
      <w:bookmarkEnd w:id="676"/>
      <w:bookmarkEnd w:id="677"/>
      <w:bookmarkEnd w:id="678"/>
      <w:bookmarkEnd w:id="679"/>
    </w:p>
    <w:p w14:paraId="2A43B242">
      <w:pPr>
        <w:ind w:firstLine="480"/>
        <w:rPr>
          <w:rFonts w:cstheme="minorBidi"/>
        </w:rPr>
      </w:pPr>
      <w:r>
        <w:rPr>
          <w:szCs w:val="24"/>
        </w:rPr>
        <w:t>根据现场调查</w:t>
      </w:r>
      <w:r>
        <w:rPr>
          <w:rFonts w:hint="eastAsia"/>
          <w:szCs w:val="24"/>
        </w:rPr>
        <w:t>、资料收集并</w:t>
      </w:r>
      <w:r>
        <w:rPr>
          <w:szCs w:val="24"/>
        </w:rPr>
        <w:t>结</w:t>
      </w:r>
      <w:r>
        <w:rPr>
          <w:rFonts w:cstheme="minorBidi"/>
        </w:rPr>
        <w:t>合</w:t>
      </w:r>
      <w:r>
        <w:rPr>
          <w:rFonts w:hint="eastAsia" w:cstheme="minorBidi"/>
        </w:rPr>
        <w:t>《德宏州芒市团结水电站水资源论证报告书》，</w:t>
      </w:r>
    </w:p>
    <w:p w14:paraId="28141A39">
      <w:pPr>
        <w:ind w:firstLine="0" w:firstLineChars="0"/>
      </w:pPr>
      <w:r>
        <w:rPr>
          <w:rFonts w:hint="eastAsia"/>
        </w:rPr>
        <w:t>在团结水电站厂房上游约26m处的遮放坝头设有芒里大沟取水口，渠道长度</w:t>
      </w:r>
      <w:r>
        <w:t>23.5km</w:t>
      </w:r>
      <w:r>
        <w:rPr>
          <w:rFonts w:hint="eastAsia"/>
        </w:rPr>
        <w:t>，</w:t>
      </w:r>
      <w:r>
        <w:rPr>
          <w:rFonts w:hint="eastAsia"/>
          <w:spacing w:val="4"/>
          <w:kern w:val="0"/>
        </w:rPr>
        <w:t>有效灌溉面积4.089万亩</w:t>
      </w:r>
      <w:r>
        <w:rPr>
          <w:rFonts w:hint="eastAsia"/>
        </w:rPr>
        <w:t>，渠首设计流量5.1m</w:t>
      </w:r>
      <w:r>
        <w:rPr>
          <w:rFonts w:hint="eastAsia"/>
          <w:vertAlign w:val="superscript"/>
        </w:rPr>
        <w:t>3</w:t>
      </w:r>
      <w:r>
        <w:rPr>
          <w:rFonts w:hint="eastAsia"/>
        </w:rPr>
        <w:t>/s。团结水电站的开发方式为堤坝河床式一级开发方案，厂房设于河道右岸，且电站在运行时河道下泄相应的生态用水</w:t>
      </w:r>
      <w:r>
        <w:rPr>
          <w:rFonts w:hint="eastAsia"/>
          <w:color w:val="FF0000"/>
        </w:rPr>
        <w:t>（初期蓄水及电站检修期间不小于5.28m</w:t>
      </w:r>
      <w:r>
        <w:rPr>
          <w:rFonts w:hint="eastAsia"/>
          <w:color w:val="FF0000"/>
          <w:vertAlign w:val="superscript"/>
        </w:rPr>
        <w:t>3</w:t>
      </w:r>
      <w:r>
        <w:rPr>
          <w:rFonts w:hint="eastAsia"/>
          <w:color w:val="FF0000"/>
        </w:rPr>
        <w:t>/s，电站试机发电至正常运行时约为15.84m</w:t>
      </w:r>
      <w:r>
        <w:rPr>
          <w:rFonts w:hint="eastAsia"/>
          <w:color w:val="FF0000"/>
          <w:vertAlign w:val="superscript"/>
        </w:rPr>
        <w:t>3</w:t>
      </w:r>
      <w:r>
        <w:rPr>
          <w:rFonts w:hint="eastAsia"/>
          <w:color w:val="FF0000"/>
        </w:rPr>
        <w:t>/s），</w:t>
      </w:r>
      <w:r>
        <w:rPr>
          <w:rFonts w:hint="eastAsia"/>
        </w:rPr>
        <w:t>河流不会出现断流的河段。由于在团结水电站运行期间，是在优先保证农业灌溉和下泄生态流量的基础上进行发电，所以电站运行对芒里大沟的取水影响甚微。另外，由于团结水电站拦河建坝，将会形成库容为38.6万m</w:t>
      </w:r>
      <w:r>
        <w:rPr>
          <w:rFonts w:hint="eastAsia"/>
          <w:vertAlign w:val="superscript"/>
        </w:rPr>
        <w:t>3</w:t>
      </w:r>
      <w:r>
        <w:rPr>
          <w:rFonts w:hint="eastAsia"/>
        </w:rPr>
        <w:t>的水库，也为芒里大沟取水提供了有效保障。</w:t>
      </w:r>
    </w:p>
    <w:p w14:paraId="373641D4">
      <w:pPr>
        <w:ind w:firstLine="480"/>
      </w:pPr>
      <w:r>
        <w:rPr>
          <w:rFonts w:hint="eastAsia"/>
        </w:rPr>
        <w:t>团结</w:t>
      </w:r>
      <w:r>
        <w:t>水电站</w:t>
      </w:r>
      <w:r>
        <w:rPr>
          <w:rFonts w:hint="eastAsia"/>
        </w:rPr>
        <w:t>取水河段包括水库的淹没区无其他用水户</w:t>
      </w:r>
      <w:r>
        <w:t>，</w:t>
      </w:r>
      <w:r>
        <w:rPr>
          <w:rFonts w:hint="eastAsia"/>
        </w:rPr>
        <w:t>电站按河床式建设，发电尾水回归原河道，电站正常运行时对下游其他用水户无直接影响。</w:t>
      </w:r>
    </w:p>
    <w:p w14:paraId="4208B557">
      <w:pPr>
        <w:pStyle w:val="141"/>
      </w:pPr>
      <w:r>
        <w:rPr>
          <w:rFonts w:hint="eastAsia"/>
        </w:rPr>
        <w:t>6.2.2.4</w:t>
      </w:r>
      <w:r>
        <w:t>对河段水文情势的影响</w:t>
      </w:r>
    </w:p>
    <w:p w14:paraId="14BEDA4C">
      <w:pPr>
        <w:ind w:firstLine="480"/>
        <w:rPr>
          <w:color w:val="FF0000"/>
        </w:rPr>
      </w:pPr>
      <w:r>
        <w:rPr>
          <w:rFonts w:hint="eastAsia"/>
          <w:color w:val="FF0000"/>
        </w:rPr>
        <w:t>1、</w:t>
      </w:r>
      <w:r>
        <w:rPr>
          <w:color w:val="FF0000"/>
        </w:rPr>
        <w:t>河道生态环境用水量</w:t>
      </w:r>
    </w:p>
    <w:p w14:paraId="1B254001">
      <w:pPr>
        <w:autoSpaceDE w:val="0"/>
        <w:autoSpaceDN w:val="0"/>
        <w:snapToGrid w:val="0"/>
        <w:ind w:firstLine="480"/>
        <w:rPr>
          <w:rFonts w:hint="eastAsia"/>
          <w:szCs w:val="24"/>
        </w:rPr>
      </w:pPr>
      <w:r>
        <w:rPr>
          <w:szCs w:val="24"/>
        </w:rPr>
        <w:t>根据国家环境保护总局《关于印发〈水电水利建设项目河道生态用水、低温水和过鱼设施环境影响评价技术指南(试行)〉的函》(环评函</w:t>
      </w:r>
      <w:r>
        <w:t>〔20</w:t>
      </w:r>
      <w:r>
        <w:rPr>
          <w:rFonts w:hint="eastAsia"/>
        </w:rPr>
        <w:t>06</w:t>
      </w:r>
      <w:r>
        <w:t>〕</w:t>
      </w:r>
      <w:r>
        <w:rPr>
          <w:szCs w:val="24"/>
        </w:rPr>
        <w:t>4 号)，维持水生生态系统稳定所需水量的计算方法主要有水文学法、水力学法、组合法、生境模拟法、综合法和生态水力学法。根据本工程河段的河道形态、径流特征和环境特征，选用水文学的Tennant 法对减水河段生态用水量进行计算和分析。水文学法是以历史流量为基础，根据简单的水文指标确定河道生态环境需水。常用的代表方法有Tennant 法及河流最小月平均径流法。Tennant 法适合作为河流最初目标管理、战略性管理方法使用；最小月平均径流法适合于干旱、半干旱区域，生态环境目标复杂河流，对生态环境目标相对单一地区，计算结果偏大。Tennant 法是根据水文资料以年平均径流量百分数来描述河道内流量状态。水文学Tennant 法计算河流流量状况标准见</w:t>
      </w:r>
      <w:r>
        <w:rPr>
          <w:rFonts w:hint="eastAsia"/>
          <w:szCs w:val="24"/>
        </w:rPr>
        <w:t>下表：</w:t>
      </w:r>
    </w:p>
    <w:p w14:paraId="62A44799">
      <w:pPr>
        <w:autoSpaceDE w:val="0"/>
        <w:autoSpaceDN w:val="0"/>
        <w:snapToGrid w:val="0"/>
        <w:ind w:firstLine="480"/>
        <w:rPr>
          <w:rFonts w:hint="eastAsia"/>
          <w:szCs w:val="24"/>
        </w:rPr>
      </w:pPr>
    </w:p>
    <w:p w14:paraId="38299A9A">
      <w:pPr>
        <w:autoSpaceDE w:val="0"/>
        <w:autoSpaceDN w:val="0"/>
        <w:snapToGrid w:val="0"/>
        <w:ind w:firstLine="480"/>
        <w:rPr>
          <w:szCs w:val="24"/>
        </w:rPr>
      </w:pPr>
    </w:p>
    <w:p w14:paraId="09C9975F">
      <w:pPr>
        <w:pStyle w:val="82"/>
        <w:framePr w:hSpace="0" w:wrap="auto" w:vAnchor="margin" w:hAnchor="text" w:xAlign="left" w:yAlign="inline"/>
      </w:pPr>
      <w:r>
        <w:t>表</w:t>
      </w:r>
      <w:r>
        <w:rPr>
          <w:rFonts w:hint="eastAsia"/>
        </w:rPr>
        <w:t>6-</w:t>
      </w:r>
      <w:r>
        <w:t>2-</w:t>
      </w:r>
      <w:r>
        <w:rPr>
          <w:rFonts w:hint="eastAsia"/>
        </w:rPr>
        <w:t xml:space="preserve">2  </w:t>
      </w:r>
      <w:r>
        <w:t xml:space="preserve">生态流量状况计算标准表 </w:t>
      </w:r>
      <w:r>
        <w:rPr>
          <w:rFonts w:hint="eastAsia"/>
        </w:rPr>
        <w:t xml:space="preserve">  </w:t>
      </w:r>
      <w:r>
        <w:t>单位m</w:t>
      </w:r>
      <w:r>
        <w:rPr>
          <w:vertAlign w:val="superscript"/>
        </w:rPr>
        <w:t>3</w:t>
      </w:r>
      <w:r>
        <w:t>/s</w:t>
      </w:r>
    </w:p>
    <w:tbl>
      <w:tblPr>
        <w:tblStyle w:val="57"/>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3402"/>
        <w:gridCol w:w="3027"/>
      </w:tblGrid>
      <w:tr w14:paraId="2A06A2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14:paraId="76E299F5">
            <w:pPr>
              <w:pStyle w:val="84"/>
            </w:pPr>
            <w:r>
              <w:t>流量状况描述</w:t>
            </w:r>
          </w:p>
        </w:tc>
        <w:tc>
          <w:tcPr>
            <w:tcW w:w="3402" w:type="dxa"/>
            <w:vAlign w:val="center"/>
          </w:tcPr>
          <w:p w14:paraId="0C6902E0">
            <w:pPr>
              <w:pStyle w:val="84"/>
            </w:pPr>
            <w:r>
              <w:t>推荐的基流（平均流量的分数）</w:t>
            </w:r>
          </w:p>
          <w:p w14:paraId="13B92901">
            <w:pPr>
              <w:pStyle w:val="84"/>
            </w:pPr>
            <w:r>
              <w:t>（</w:t>
            </w:r>
            <w:r>
              <w:rPr>
                <w:rFonts w:hint="eastAsia"/>
              </w:rPr>
              <w:t>12</w:t>
            </w:r>
            <w:r>
              <w:t>月~</w:t>
            </w:r>
            <w:r>
              <w:rPr>
                <w:rFonts w:hint="eastAsia"/>
              </w:rPr>
              <w:t>5</w:t>
            </w:r>
            <w:r>
              <w:t>月）/%</w:t>
            </w:r>
          </w:p>
        </w:tc>
        <w:tc>
          <w:tcPr>
            <w:tcW w:w="3027" w:type="dxa"/>
            <w:vAlign w:val="center"/>
          </w:tcPr>
          <w:p w14:paraId="2CF76127">
            <w:pPr>
              <w:pStyle w:val="84"/>
            </w:pPr>
            <w:r>
              <w:t>推荐的基流（平均流量的分数）</w:t>
            </w:r>
          </w:p>
          <w:p w14:paraId="68EF32F9">
            <w:pPr>
              <w:pStyle w:val="84"/>
            </w:pPr>
            <w:r>
              <w:t>（</w:t>
            </w:r>
            <w:r>
              <w:rPr>
                <w:rFonts w:hint="eastAsia"/>
              </w:rPr>
              <w:t>6月</w:t>
            </w:r>
            <w:r>
              <w:t>~</w:t>
            </w:r>
            <w:r>
              <w:rPr>
                <w:rFonts w:hint="eastAsia"/>
              </w:rPr>
              <w:t>11</w:t>
            </w:r>
            <w:r>
              <w:t>月）/%</w:t>
            </w:r>
          </w:p>
        </w:tc>
      </w:tr>
      <w:tr w14:paraId="4993B8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14:paraId="1CE9E8CB">
            <w:pPr>
              <w:pStyle w:val="84"/>
            </w:pPr>
            <w:r>
              <w:t>最佳范围</w:t>
            </w:r>
          </w:p>
        </w:tc>
        <w:tc>
          <w:tcPr>
            <w:tcW w:w="3402" w:type="dxa"/>
            <w:vAlign w:val="center"/>
          </w:tcPr>
          <w:p w14:paraId="45B963D1">
            <w:pPr>
              <w:pStyle w:val="84"/>
            </w:pPr>
            <w:r>
              <w:t>60~100</w:t>
            </w:r>
          </w:p>
        </w:tc>
        <w:tc>
          <w:tcPr>
            <w:tcW w:w="3027" w:type="dxa"/>
            <w:vAlign w:val="center"/>
          </w:tcPr>
          <w:p w14:paraId="114058C0">
            <w:pPr>
              <w:pStyle w:val="84"/>
            </w:pPr>
            <w:r>
              <w:t>60~100</w:t>
            </w:r>
          </w:p>
        </w:tc>
      </w:tr>
      <w:tr w14:paraId="7E7467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14:paraId="0A0A21F1">
            <w:pPr>
              <w:pStyle w:val="84"/>
            </w:pPr>
            <w:r>
              <w:t>很好</w:t>
            </w:r>
          </w:p>
        </w:tc>
        <w:tc>
          <w:tcPr>
            <w:tcW w:w="3402" w:type="dxa"/>
            <w:vAlign w:val="center"/>
          </w:tcPr>
          <w:p w14:paraId="1910D6C2">
            <w:pPr>
              <w:pStyle w:val="84"/>
            </w:pPr>
            <w:r>
              <w:t>40</w:t>
            </w:r>
          </w:p>
        </w:tc>
        <w:tc>
          <w:tcPr>
            <w:tcW w:w="3027" w:type="dxa"/>
            <w:vAlign w:val="center"/>
          </w:tcPr>
          <w:p w14:paraId="6C5473A6">
            <w:pPr>
              <w:pStyle w:val="84"/>
            </w:pPr>
            <w:r>
              <w:t>60</w:t>
            </w:r>
          </w:p>
        </w:tc>
      </w:tr>
      <w:tr w14:paraId="1A6AD1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14:paraId="29B4A77C">
            <w:pPr>
              <w:pStyle w:val="84"/>
            </w:pPr>
            <w:r>
              <w:t>好</w:t>
            </w:r>
          </w:p>
        </w:tc>
        <w:tc>
          <w:tcPr>
            <w:tcW w:w="3402" w:type="dxa"/>
            <w:vAlign w:val="center"/>
          </w:tcPr>
          <w:p w14:paraId="4013A308">
            <w:pPr>
              <w:pStyle w:val="84"/>
            </w:pPr>
            <w:r>
              <w:t>30</w:t>
            </w:r>
          </w:p>
        </w:tc>
        <w:tc>
          <w:tcPr>
            <w:tcW w:w="3027" w:type="dxa"/>
            <w:vAlign w:val="center"/>
          </w:tcPr>
          <w:p w14:paraId="00D68991">
            <w:pPr>
              <w:pStyle w:val="84"/>
            </w:pPr>
            <w:r>
              <w:t>50</w:t>
            </w:r>
          </w:p>
        </w:tc>
      </w:tr>
      <w:tr w14:paraId="427213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14:paraId="0F86EA5D">
            <w:pPr>
              <w:pStyle w:val="84"/>
            </w:pPr>
            <w:r>
              <w:t>良好</w:t>
            </w:r>
          </w:p>
        </w:tc>
        <w:tc>
          <w:tcPr>
            <w:tcW w:w="3402" w:type="dxa"/>
            <w:vAlign w:val="center"/>
          </w:tcPr>
          <w:p w14:paraId="34454454">
            <w:pPr>
              <w:pStyle w:val="84"/>
            </w:pPr>
            <w:r>
              <w:t>20</w:t>
            </w:r>
          </w:p>
        </w:tc>
        <w:tc>
          <w:tcPr>
            <w:tcW w:w="3027" w:type="dxa"/>
            <w:vAlign w:val="center"/>
          </w:tcPr>
          <w:p w14:paraId="3B31F597">
            <w:pPr>
              <w:pStyle w:val="84"/>
            </w:pPr>
            <w:r>
              <w:t>40</w:t>
            </w:r>
          </w:p>
        </w:tc>
      </w:tr>
      <w:tr w14:paraId="0A00A0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2093" w:type="dxa"/>
            <w:vAlign w:val="center"/>
          </w:tcPr>
          <w:p w14:paraId="0AFDE164">
            <w:pPr>
              <w:pStyle w:val="84"/>
            </w:pPr>
            <w:r>
              <w:t>一般或较差</w:t>
            </w:r>
          </w:p>
        </w:tc>
        <w:tc>
          <w:tcPr>
            <w:tcW w:w="3402" w:type="dxa"/>
            <w:vAlign w:val="center"/>
          </w:tcPr>
          <w:p w14:paraId="5D3D52E8">
            <w:pPr>
              <w:pStyle w:val="84"/>
            </w:pPr>
            <w:r>
              <w:t>10</w:t>
            </w:r>
          </w:p>
        </w:tc>
        <w:tc>
          <w:tcPr>
            <w:tcW w:w="3027" w:type="dxa"/>
            <w:vAlign w:val="center"/>
          </w:tcPr>
          <w:p w14:paraId="214A350E">
            <w:pPr>
              <w:pStyle w:val="84"/>
            </w:pPr>
            <w:r>
              <w:t>30</w:t>
            </w:r>
          </w:p>
        </w:tc>
      </w:tr>
      <w:tr w14:paraId="6BA7D3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14:paraId="71FF5E9D">
            <w:pPr>
              <w:pStyle w:val="84"/>
            </w:pPr>
            <w:r>
              <w:t>差或最小</w:t>
            </w:r>
          </w:p>
        </w:tc>
        <w:tc>
          <w:tcPr>
            <w:tcW w:w="3402" w:type="dxa"/>
            <w:vAlign w:val="center"/>
          </w:tcPr>
          <w:p w14:paraId="3B0069E3">
            <w:pPr>
              <w:pStyle w:val="84"/>
            </w:pPr>
            <w:r>
              <w:t>10</w:t>
            </w:r>
          </w:p>
        </w:tc>
        <w:tc>
          <w:tcPr>
            <w:tcW w:w="3027" w:type="dxa"/>
            <w:vAlign w:val="center"/>
          </w:tcPr>
          <w:p w14:paraId="7A5C04EF">
            <w:pPr>
              <w:pStyle w:val="84"/>
            </w:pPr>
            <w:r>
              <w:t>10</w:t>
            </w:r>
          </w:p>
        </w:tc>
      </w:tr>
      <w:tr w14:paraId="2DF54D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14:paraId="0578D521">
            <w:pPr>
              <w:pStyle w:val="84"/>
            </w:pPr>
            <w:r>
              <w:t>极差</w:t>
            </w:r>
          </w:p>
        </w:tc>
        <w:tc>
          <w:tcPr>
            <w:tcW w:w="3402" w:type="dxa"/>
            <w:vAlign w:val="center"/>
          </w:tcPr>
          <w:p w14:paraId="3A10CE88">
            <w:pPr>
              <w:pStyle w:val="84"/>
            </w:pPr>
            <w:r>
              <w:t>0~10</w:t>
            </w:r>
          </w:p>
        </w:tc>
        <w:tc>
          <w:tcPr>
            <w:tcW w:w="3027" w:type="dxa"/>
            <w:vAlign w:val="center"/>
          </w:tcPr>
          <w:p w14:paraId="469B9EA3">
            <w:pPr>
              <w:pStyle w:val="84"/>
            </w:pPr>
            <w:r>
              <w:t>0~10</w:t>
            </w:r>
          </w:p>
        </w:tc>
      </w:tr>
    </w:tbl>
    <w:p w14:paraId="6FC4AA51">
      <w:pPr>
        <w:autoSpaceDE w:val="0"/>
        <w:autoSpaceDN w:val="0"/>
        <w:snapToGrid w:val="0"/>
        <w:spacing w:before="240"/>
        <w:ind w:firstLine="480"/>
        <w:rPr>
          <w:szCs w:val="24"/>
        </w:rPr>
      </w:pPr>
      <w:r>
        <w:rPr>
          <w:rFonts w:hint="eastAsia"/>
        </w:rPr>
        <w:t>团结水</w:t>
      </w:r>
      <w:r>
        <w:t>电站坝址多年平均流量为</w:t>
      </w:r>
      <w:r>
        <w:rPr>
          <w:rFonts w:hint="eastAsia"/>
        </w:rPr>
        <w:t>52.8</w:t>
      </w:r>
      <w:r>
        <w:t>m</w:t>
      </w:r>
      <w:r>
        <w:rPr>
          <w:vertAlign w:val="superscript"/>
        </w:rPr>
        <w:t>3</w:t>
      </w:r>
      <w:r>
        <w:t>/s，</w:t>
      </w:r>
      <w:r>
        <w:rPr>
          <w:szCs w:val="24"/>
        </w:rPr>
        <w:t>由Tennant法计算出</w:t>
      </w:r>
      <w:r>
        <w:rPr>
          <w:rFonts w:hint="eastAsia"/>
          <w:szCs w:val="24"/>
        </w:rPr>
        <w:t>坝</w:t>
      </w:r>
      <w:r>
        <w:rPr>
          <w:szCs w:val="24"/>
        </w:rPr>
        <w:t>址下游河段不同状况下生态基流量见</w:t>
      </w:r>
      <w:r>
        <w:rPr>
          <w:rFonts w:hint="eastAsia"/>
          <w:szCs w:val="24"/>
        </w:rPr>
        <w:t>下表：</w:t>
      </w:r>
    </w:p>
    <w:p w14:paraId="13A201D1">
      <w:pPr>
        <w:pStyle w:val="82"/>
        <w:framePr w:hSpace="0" w:wrap="auto" w:vAnchor="margin" w:hAnchor="text" w:xAlign="left" w:yAlign="inline"/>
      </w:pPr>
      <w:r>
        <w:t>表</w:t>
      </w:r>
      <w:r>
        <w:rPr>
          <w:rFonts w:hint="eastAsia"/>
        </w:rPr>
        <w:t>6-</w:t>
      </w:r>
      <w:r>
        <w:t>2-</w:t>
      </w:r>
      <w:r>
        <w:rPr>
          <w:rFonts w:hint="eastAsia"/>
        </w:rPr>
        <w:t xml:space="preserve">3 </w:t>
      </w:r>
      <w:r>
        <w:t xml:space="preserve"> </w:t>
      </w:r>
      <w:r>
        <w:rPr>
          <w:rFonts w:hint="eastAsia"/>
        </w:rPr>
        <w:t>电站</w:t>
      </w:r>
      <w:r>
        <w:t xml:space="preserve">坝址下游生态流量状况计算表 </w:t>
      </w:r>
      <w:r>
        <w:rPr>
          <w:rFonts w:hint="eastAsia"/>
        </w:rPr>
        <w:t xml:space="preserve">  </w:t>
      </w:r>
      <w:r>
        <w:t>单位m</w:t>
      </w:r>
      <w:r>
        <w:rPr>
          <w:vertAlign w:val="superscript"/>
        </w:rPr>
        <w:t>3</w:t>
      </w:r>
      <w:r>
        <w:t>/s</w:t>
      </w:r>
    </w:p>
    <w:tbl>
      <w:tblPr>
        <w:tblStyle w:val="56"/>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3360"/>
        <w:gridCol w:w="3397"/>
      </w:tblGrid>
      <w:tr w14:paraId="043329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14:paraId="6FBAB2CC">
            <w:pPr>
              <w:pStyle w:val="84"/>
            </w:pPr>
            <w:r>
              <w:t>流量状况描述</w:t>
            </w:r>
          </w:p>
        </w:tc>
        <w:tc>
          <w:tcPr>
            <w:tcW w:w="3360" w:type="dxa"/>
            <w:vAlign w:val="center"/>
          </w:tcPr>
          <w:p w14:paraId="53072020">
            <w:pPr>
              <w:pStyle w:val="84"/>
            </w:pPr>
            <w:r>
              <w:t>推荐的基流（平均流量的分数）</w:t>
            </w:r>
          </w:p>
          <w:p w14:paraId="053744AA">
            <w:pPr>
              <w:pStyle w:val="84"/>
            </w:pPr>
            <w:r>
              <w:t>（</w:t>
            </w:r>
            <w:r>
              <w:rPr>
                <w:rFonts w:hint="eastAsia"/>
              </w:rPr>
              <w:t>12</w:t>
            </w:r>
            <w:r>
              <w:t>月~</w:t>
            </w:r>
            <w:r>
              <w:rPr>
                <w:rFonts w:hint="eastAsia"/>
              </w:rPr>
              <w:t>5</w:t>
            </w:r>
            <w:r>
              <w:t>月）/%</w:t>
            </w:r>
          </w:p>
        </w:tc>
        <w:tc>
          <w:tcPr>
            <w:tcW w:w="3397" w:type="dxa"/>
            <w:vAlign w:val="center"/>
          </w:tcPr>
          <w:p w14:paraId="56C4D61A">
            <w:pPr>
              <w:pStyle w:val="84"/>
            </w:pPr>
            <w:r>
              <w:t>推荐的基流（平均流量的分数）</w:t>
            </w:r>
          </w:p>
          <w:p w14:paraId="15DEC000">
            <w:pPr>
              <w:pStyle w:val="84"/>
            </w:pPr>
            <w:r>
              <w:t>（</w:t>
            </w:r>
            <w:r>
              <w:rPr>
                <w:rFonts w:hint="eastAsia"/>
              </w:rPr>
              <w:t>6月</w:t>
            </w:r>
            <w:r>
              <w:t>~</w:t>
            </w:r>
            <w:r>
              <w:rPr>
                <w:rFonts w:hint="eastAsia"/>
              </w:rPr>
              <w:t>11</w:t>
            </w:r>
            <w:r>
              <w:t>月）/%</w:t>
            </w:r>
          </w:p>
        </w:tc>
      </w:tr>
      <w:tr w14:paraId="3C9197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765" w:type="dxa"/>
            <w:vAlign w:val="center"/>
          </w:tcPr>
          <w:p w14:paraId="02C724EC">
            <w:pPr>
              <w:pStyle w:val="84"/>
            </w:pPr>
            <w:r>
              <w:t>最佳范围</w:t>
            </w:r>
          </w:p>
        </w:tc>
        <w:tc>
          <w:tcPr>
            <w:tcW w:w="3360" w:type="dxa"/>
            <w:vAlign w:val="center"/>
          </w:tcPr>
          <w:p w14:paraId="1FC9C7B2">
            <w:pPr>
              <w:pStyle w:val="84"/>
            </w:pPr>
            <w:r>
              <w:rPr>
                <w:rFonts w:hint="eastAsia"/>
              </w:rPr>
              <w:t>31.68</w:t>
            </w:r>
            <w:r>
              <w:t>~</w:t>
            </w:r>
            <w:r>
              <w:rPr>
                <w:rFonts w:hint="eastAsia"/>
              </w:rPr>
              <w:t>52.8</w:t>
            </w:r>
          </w:p>
        </w:tc>
        <w:tc>
          <w:tcPr>
            <w:tcW w:w="3397" w:type="dxa"/>
            <w:vAlign w:val="center"/>
          </w:tcPr>
          <w:p w14:paraId="73154289">
            <w:pPr>
              <w:pStyle w:val="84"/>
            </w:pPr>
            <w:r>
              <w:rPr>
                <w:rFonts w:hint="eastAsia"/>
              </w:rPr>
              <w:t>31.68</w:t>
            </w:r>
            <w:r>
              <w:t>~</w:t>
            </w:r>
            <w:r>
              <w:rPr>
                <w:rFonts w:hint="eastAsia"/>
              </w:rPr>
              <w:t>52.8</w:t>
            </w:r>
          </w:p>
        </w:tc>
      </w:tr>
      <w:tr w14:paraId="651457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14:paraId="6DDFF3E4">
            <w:pPr>
              <w:pStyle w:val="84"/>
            </w:pPr>
            <w:r>
              <w:t>很好</w:t>
            </w:r>
          </w:p>
        </w:tc>
        <w:tc>
          <w:tcPr>
            <w:tcW w:w="3360" w:type="dxa"/>
            <w:vAlign w:val="center"/>
          </w:tcPr>
          <w:p w14:paraId="696CF159">
            <w:pPr>
              <w:pStyle w:val="84"/>
            </w:pPr>
            <w:r>
              <w:rPr>
                <w:rFonts w:hint="eastAsia"/>
              </w:rPr>
              <w:t>21.12</w:t>
            </w:r>
          </w:p>
        </w:tc>
        <w:tc>
          <w:tcPr>
            <w:tcW w:w="3397" w:type="dxa"/>
            <w:vAlign w:val="center"/>
          </w:tcPr>
          <w:p w14:paraId="431BFD38">
            <w:pPr>
              <w:pStyle w:val="84"/>
            </w:pPr>
            <w:r>
              <w:rPr>
                <w:rFonts w:hint="eastAsia"/>
              </w:rPr>
              <w:t>31.68</w:t>
            </w:r>
          </w:p>
        </w:tc>
      </w:tr>
      <w:tr w14:paraId="782DF6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14:paraId="454D887C">
            <w:pPr>
              <w:pStyle w:val="84"/>
            </w:pPr>
            <w:r>
              <w:t>好</w:t>
            </w:r>
          </w:p>
        </w:tc>
        <w:tc>
          <w:tcPr>
            <w:tcW w:w="3360" w:type="dxa"/>
            <w:vAlign w:val="center"/>
          </w:tcPr>
          <w:p w14:paraId="0BCF1204">
            <w:pPr>
              <w:pStyle w:val="84"/>
              <w:rPr>
                <w:b/>
              </w:rPr>
            </w:pPr>
            <w:r>
              <w:rPr>
                <w:rFonts w:hint="eastAsia"/>
                <w:b/>
              </w:rPr>
              <w:t>15.84</w:t>
            </w:r>
          </w:p>
        </w:tc>
        <w:tc>
          <w:tcPr>
            <w:tcW w:w="3397" w:type="dxa"/>
            <w:vAlign w:val="center"/>
          </w:tcPr>
          <w:p w14:paraId="3B1A38F3">
            <w:pPr>
              <w:pStyle w:val="84"/>
            </w:pPr>
            <w:r>
              <w:rPr>
                <w:rFonts w:hint="eastAsia"/>
              </w:rPr>
              <w:t>26.4</w:t>
            </w:r>
          </w:p>
        </w:tc>
      </w:tr>
      <w:tr w14:paraId="25F3C2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14:paraId="1DBBF503">
            <w:pPr>
              <w:pStyle w:val="84"/>
            </w:pPr>
            <w:r>
              <w:t>良好</w:t>
            </w:r>
          </w:p>
        </w:tc>
        <w:tc>
          <w:tcPr>
            <w:tcW w:w="3360" w:type="dxa"/>
            <w:vAlign w:val="center"/>
          </w:tcPr>
          <w:p w14:paraId="22C1AD20">
            <w:pPr>
              <w:pStyle w:val="84"/>
            </w:pPr>
            <w:r>
              <w:rPr>
                <w:rFonts w:hint="eastAsia"/>
              </w:rPr>
              <w:t>10.56</w:t>
            </w:r>
          </w:p>
        </w:tc>
        <w:tc>
          <w:tcPr>
            <w:tcW w:w="3397" w:type="dxa"/>
            <w:vAlign w:val="center"/>
          </w:tcPr>
          <w:p w14:paraId="3B6990A3">
            <w:pPr>
              <w:pStyle w:val="84"/>
            </w:pPr>
            <w:r>
              <w:rPr>
                <w:rFonts w:hint="eastAsia"/>
              </w:rPr>
              <w:t>21.12</w:t>
            </w:r>
          </w:p>
        </w:tc>
      </w:tr>
      <w:tr w14:paraId="3352CD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14:paraId="1163C8D7">
            <w:pPr>
              <w:pStyle w:val="84"/>
            </w:pPr>
            <w:r>
              <w:t>一般或较差</w:t>
            </w:r>
          </w:p>
        </w:tc>
        <w:tc>
          <w:tcPr>
            <w:tcW w:w="3360" w:type="dxa"/>
            <w:vAlign w:val="center"/>
          </w:tcPr>
          <w:p w14:paraId="24893336">
            <w:pPr>
              <w:pStyle w:val="84"/>
            </w:pPr>
            <w:r>
              <w:rPr>
                <w:rFonts w:hint="eastAsia"/>
              </w:rPr>
              <w:t>5.28</w:t>
            </w:r>
          </w:p>
        </w:tc>
        <w:tc>
          <w:tcPr>
            <w:tcW w:w="3397" w:type="dxa"/>
            <w:vAlign w:val="center"/>
          </w:tcPr>
          <w:p w14:paraId="33710191">
            <w:pPr>
              <w:pStyle w:val="84"/>
              <w:rPr>
                <w:b/>
              </w:rPr>
            </w:pPr>
            <w:r>
              <w:rPr>
                <w:rFonts w:hint="eastAsia"/>
                <w:b/>
              </w:rPr>
              <w:t>15.84</w:t>
            </w:r>
          </w:p>
        </w:tc>
      </w:tr>
      <w:tr w14:paraId="0EB5E0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765" w:type="dxa"/>
            <w:vAlign w:val="center"/>
          </w:tcPr>
          <w:p w14:paraId="69C9A4B5">
            <w:pPr>
              <w:pStyle w:val="84"/>
            </w:pPr>
            <w:r>
              <w:t>差或最小</w:t>
            </w:r>
          </w:p>
        </w:tc>
        <w:tc>
          <w:tcPr>
            <w:tcW w:w="3360" w:type="dxa"/>
            <w:vAlign w:val="center"/>
          </w:tcPr>
          <w:p w14:paraId="1084EC0D">
            <w:pPr>
              <w:pStyle w:val="84"/>
              <w:rPr>
                <w:b/>
              </w:rPr>
            </w:pPr>
            <w:r>
              <w:rPr>
                <w:rFonts w:hint="eastAsia"/>
                <w:b/>
              </w:rPr>
              <w:t>5.28</w:t>
            </w:r>
          </w:p>
        </w:tc>
        <w:tc>
          <w:tcPr>
            <w:tcW w:w="3397" w:type="dxa"/>
            <w:vAlign w:val="center"/>
          </w:tcPr>
          <w:p w14:paraId="650932B5">
            <w:pPr>
              <w:pStyle w:val="84"/>
              <w:rPr>
                <w:b/>
              </w:rPr>
            </w:pPr>
            <w:r>
              <w:rPr>
                <w:rFonts w:hint="eastAsia"/>
                <w:b/>
              </w:rPr>
              <w:t>5.28</w:t>
            </w:r>
          </w:p>
        </w:tc>
      </w:tr>
      <w:tr w14:paraId="388378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14:paraId="73BF3B25">
            <w:pPr>
              <w:pStyle w:val="84"/>
            </w:pPr>
            <w:r>
              <w:t>极差</w:t>
            </w:r>
          </w:p>
        </w:tc>
        <w:tc>
          <w:tcPr>
            <w:tcW w:w="3360" w:type="dxa"/>
            <w:vAlign w:val="center"/>
          </w:tcPr>
          <w:p w14:paraId="0E69D1D7">
            <w:pPr>
              <w:pStyle w:val="84"/>
            </w:pPr>
            <w:r>
              <w:t>0~</w:t>
            </w:r>
            <w:r>
              <w:rPr>
                <w:rFonts w:hint="eastAsia"/>
              </w:rPr>
              <w:t>5.28</w:t>
            </w:r>
          </w:p>
        </w:tc>
        <w:tc>
          <w:tcPr>
            <w:tcW w:w="3397" w:type="dxa"/>
            <w:vAlign w:val="center"/>
          </w:tcPr>
          <w:p w14:paraId="5CF90BB4">
            <w:pPr>
              <w:pStyle w:val="84"/>
            </w:pPr>
            <w:r>
              <w:t>0~</w:t>
            </w:r>
            <w:r>
              <w:rPr>
                <w:rFonts w:hint="eastAsia"/>
              </w:rPr>
              <w:t>5.28</w:t>
            </w:r>
          </w:p>
        </w:tc>
      </w:tr>
    </w:tbl>
    <w:p w14:paraId="5BDE2C51">
      <w:pPr>
        <w:spacing w:before="240"/>
        <w:ind w:firstLine="480"/>
        <w:rPr>
          <w:color w:val="FF0000"/>
          <w:szCs w:val="24"/>
        </w:rPr>
      </w:pPr>
      <w:r>
        <w:rPr>
          <w:rFonts w:hint="eastAsia"/>
          <w:color w:val="FF0000"/>
          <w:szCs w:val="24"/>
        </w:rPr>
        <w:t>由上表</w:t>
      </w:r>
      <w:r>
        <w:rPr>
          <w:color w:val="FF0000"/>
          <w:szCs w:val="24"/>
        </w:rPr>
        <w:t>可知，当</w:t>
      </w:r>
      <w:r>
        <w:rPr>
          <w:rFonts w:hint="eastAsia"/>
          <w:color w:val="FF0000"/>
          <w:szCs w:val="24"/>
        </w:rPr>
        <w:t>团结水电站坝</w:t>
      </w:r>
      <w:r>
        <w:rPr>
          <w:color w:val="FF0000"/>
          <w:szCs w:val="24"/>
        </w:rPr>
        <w:t>址处下泄</w:t>
      </w:r>
      <w:r>
        <w:rPr>
          <w:rFonts w:hint="eastAsia"/>
          <w:color w:val="FF0000"/>
          <w:szCs w:val="24"/>
        </w:rPr>
        <w:t>5.28</w:t>
      </w:r>
      <w:r>
        <w:rPr>
          <w:color w:val="FF0000"/>
          <w:szCs w:val="24"/>
        </w:rPr>
        <w:t>m</w:t>
      </w:r>
      <w:r>
        <w:rPr>
          <w:color w:val="FF0000"/>
          <w:szCs w:val="24"/>
          <w:vertAlign w:val="superscript"/>
        </w:rPr>
        <w:t>3</w:t>
      </w:r>
      <w:r>
        <w:rPr>
          <w:color w:val="FF0000"/>
          <w:szCs w:val="24"/>
        </w:rPr>
        <w:t>/s 生态环境流量时，1</w:t>
      </w:r>
      <w:r>
        <w:rPr>
          <w:rFonts w:hint="eastAsia"/>
          <w:color w:val="FF0000"/>
          <w:szCs w:val="24"/>
        </w:rPr>
        <w:t>2</w:t>
      </w:r>
      <w:r>
        <w:rPr>
          <w:color w:val="FF0000"/>
          <w:szCs w:val="24"/>
        </w:rPr>
        <w:t>月～翌年</w:t>
      </w:r>
      <w:r>
        <w:rPr>
          <w:rFonts w:hint="eastAsia"/>
          <w:color w:val="FF0000"/>
          <w:szCs w:val="24"/>
        </w:rPr>
        <w:t>5</w:t>
      </w:r>
      <w:r>
        <w:rPr>
          <w:color w:val="FF0000"/>
          <w:szCs w:val="24"/>
        </w:rPr>
        <w:t>月和</w:t>
      </w:r>
      <w:r>
        <w:rPr>
          <w:rFonts w:hint="eastAsia"/>
          <w:color w:val="FF0000"/>
          <w:szCs w:val="24"/>
        </w:rPr>
        <w:t>6</w:t>
      </w:r>
      <w:r>
        <w:rPr>
          <w:color w:val="FF0000"/>
          <w:szCs w:val="24"/>
        </w:rPr>
        <w:t>月～</w:t>
      </w:r>
      <w:r>
        <w:rPr>
          <w:rFonts w:hint="eastAsia"/>
          <w:color w:val="FF0000"/>
          <w:szCs w:val="24"/>
        </w:rPr>
        <w:t>11</w:t>
      </w:r>
      <w:r>
        <w:rPr>
          <w:color w:val="FF0000"/>
          <w:szCs w:val="24"/>
        </w:rPr>
        <w:t>月减水河段可以达到</w:t>
      </w:r>
      <w:r>
        <w:rPr>
          <w:rFonts w:hint="eastAsia"/>
          <w:color w:val="FF0000"/>
          <w:szCs w:val="24"/>
        </w:rPr>
        <w:t>“</w:t>
      </w:r>
      <w:r>
        <w:rPr>
          <w:color w:val="FF0000"/>
          <w:szCs w:val="24"/>
        </w:rPr>
        <w:t>最小</w:t>
      </w:r>
      <w:r>
        <w:rPr>
          <w:rFonts w:hint="eastAsia"/>
          <w:color w:val="FF0000"/>
          <w:szCs w:val="24"/>
        </w:rPr>
        <w:t>”</w:t>
      </w:r>
      <w:r>
        <w:rPr>
          <w:color w:val="FF0000"/>
          <w:szCs w:val="24"/>
        </w:rPr>
        <w:t>的水环境状况，故最小下泄流量为10%时可以满足</w:t>
      </w:r>
      <w:r>
        <w:rPr>
          <w:rFonts w:hint="eastAsia"/>
          <w:color w:val="FF0000"/>
          <w:szCs w:val="24"/>
        </w:rPr>
        <w:t>河道生态环境最小用水需求；当坝址处下泄15.84</w:t>
      </w:r>
      <w:r>
        <w:rPr>
          <w:color w:val="FF0000"/>
          <w:szCs w:val="24"/>
        </w:rPr>
        <w:t>m</w:t>
      </w:r>
      <w:r>
        <w:rPr>
          <w:color w:val="FF0000"/>
          <w:szCs w:val="24"/>
          <w:vertAlign w:val="superscript"/>
        </w:rPr>
        <w:t>3</w:t>
      </w:r>
      <w:r>
        <w:rPr>
          <w:color w:val="FF0000"/>
          <w:szCs w:val="24"/>
        </w:rPr>
        <w:t>/s 生态环境流量时，1</w:t>
      </w:r>
      <w:r>
        <w:rPr>
          <w:rFonts w:hint="eastAsia"/>
          <w:color w:val="FF0000"/>
          <w:szCs w:val="24"/>
        </w:rPr>
        <w:t>2</w:t>
      </w:r>
      <w:r>
        <w:rPr>
          <w:color w:val="FF0000"/>
          <w:szCs w:val="24"/>
        </w:rPr>
        <w:t>月～翌年</w:t>
      </w:r>
      <w:r>
        <w:rPr>
          <w:rFonts w:hint="eastAsia"/>
          <w:color w:val="FF0000"/>
          <w:szCs w:val="24"/>
        </w:rPr>
        <w:t>5</w:t>
      </w:r>
      <w:r>
        <w:rPr>
          <w:color w:val="FF0000"/>
          <w:szCs w:val="24"/>
        </w:rPr>
        <w:t>月减水河段可以达到</w:t>
      </w:r>
      <w:r>
        <w:rPr>
          <w:rFonts w:hint="eastAsia"/>
          <w:color w:val="FF0000"/>
          <w:szCs w:val="24"/>
        </w:rPr>
        <w:t>“好”</w:t>
      </w:r>
      <w:r>
        <w:rPr>
          <w:color w:val="FF0000"/>
          <w:szCs w:val="24"/>
        </w:rPr>
        <w:t>的水环境状况</w:t>
      </w:r>
      <w:r>
        <w:rPr>
          <w:rFonts w:hint="eastAsia"/>
          <w:color w:val="FF0000"/>
          <w:szCs w:val="24"/>
        </w:rPr>
        <w:t>，6</w:t>
      </w:r>
      <w:r>
        <w:rPr>
          <w:color w:val="FF0000"/>
          <w:szCs w:val="24"/>
        </w:rPr>
        <w:t>月～</w:t>
      </w:r>
      <w:r>
        <w:rPr>
          <w:rFonts w:hint="eastAsia"/>
          <w:color w:val="FF0000"/>
          <w:szCs w:val="24"/>
        </w:rPr>
        <w:t>11</w:t>
      </w:r>
      <w:r>
        <w:rPr>
          <w:color w:val="FF0000"/>
          <w:szCs w:val="24"/>
        </w:rPr>
        <w:t>月</w:t>
      </w:r>
      <w:r>
        <w:rPr>
          <w:rFonts w:hint="eastAsia"/>
          <w:color w:val="FF0000"/>
          <w:szCs w:val="24"/>
        </w:rPr>
        <w:t>可以达到“一般”</w:t>
      </w:r>
      <w:r>
        <w:rPr>
          <w:color w:val="FF0000"/>
          <w:szCs w:val="24"/>
        </w:rPr>
        <w:t>的水环境状况</w:t>
      </w:r>
      <w:r>
        <w:rPr>
          <w:rFonts w:hint="eastAsia"/>
          <w:color w:val="FF0000"/>
          <w:szCs w:val="24"/>
        </w:rPr>
        <w:t>，对河道影响较小。</w:t>
      </w:r>
    </w:p>
    <w:p w14:paraId="6184C085">
      <w:pPr>
        <w:ind w:firstLine="480"/>
        <w:rPr>
          <w:color w:val="FF0000"/>
          <w:szCs w:val="24"/>
        </w:rPr>
      </w:pPr>
      <w:r>
        <w:rPr>
          <w:rFonts w:hint="eastAsia"/>
          <w:color w:val="FF0000"/>
        </w:rPr>
        <w:t>本次评价要求建设单位在水库初期蓄水期间，由冲砂闸下放不小于电站坝址断面多年平均流量的10%作为河道最小生态流量，即</w:t>
      </w:r>
      <w:r>
        <w:rPr>
          <w:rFonts w:hint="eastAsia"/>
          <w:color w:val="FF0000"/>
          <w:szCs w:val="24"/>
        </w:rPr>
        <w:t>5.28</w:t>
      </w:r>
      <w:r>
        <w:rPr>
          <w:color w:val="FF0000"/>
          <w:szCs w:val="24"/>
        </w:rPr>
        <w:t>m</w:t>
      </w:r>
      <w:r>
        <w:rPr>
          <w:color w:val="FF0000"/>
          <w:szCs w:val="24"/>
          <w:vertAlign w:val="superscript"/>
        </w:rPr>
        <w:t>3</w:t>
      </w:r>
      <w:r>
        <w:rPr>
          <w:color w:val="FF0000"/>
          <w:szCs w:val="24"/>
        </w:rPr>
        <w:t>/s</w:t>
      </w:r>
      <w:r>
        <w:rPr>
          <w:rFonts w:hint="eastAsia"/>
          <w:color w:val="FF0000"/>
        </w:rPr>
        <w:t>；因团结电站为小型河床式开发，电站引水发电将导致坝址至厂房尾水口之间发生约60m的减水河段。当水库蓄水完毕，电站开始试机发电后，建设单位需通过在尾水渠后设置的消力池将部分尾水引至坝址附近排入芒市河内，作为减水河段的正常生态用水，水量约为坝址断面多年平均流量的30%，即</w:t>
      </w:r>
      <w:r>
        <w:rPr>
          <w:rFonts w:hint="eastAsia"/>
          <w:color w:val="FF0000"/>
          <w:szCs w:val="24"/>
        </w:rPr>
        <w:t>15.84</w:t>
      </w:r>
      <w:r>
        <w:rPr>
          <w:color w:val="FF0000"/>
          <w:szCs w:val="24"/>
        </w:rPr>
        <w:t>m</w:t>
      </w:r>
      <w:r>
        <w:rPr>
          <w:color w:val="FF0000"/>
          <w:szCs w:val="24"/>
          <w:vertAlign w:val="superscript"/>
        </w:rPr>
        <w:t>3</w:t>
      </w:r>
      <w:r>
        <w:rPr>
          <w:color w:val="FF0000"/>
          <w:szCs w:val="24"/>
        </w:rPr>
        <w:t>/s</w:t>
      </w:r>
      <w:r>
        <w:rPr>
          <w:rFonts w:hint="eastAsia"/>
          <w:color w:val="FF0000"/>
          <w:szCs w:val="24"/>
        </w:rPr>
        <w:t>，以确保回水可淹没拦河坝坝脚。</w:t>
      </w:r>
    </w:p>
    <w:p w14:paraId="4F1110CF">
      <w:pPr>
        <w:ind w:firstLine="480"/>
        <w:rPr>
          <w:color w:val="FF0000"/>
        </w:rPr>
      </w:pPr>
      <w:r>
        <w:rPr>
          <w:rFonts w:hint="eastAsia"/>
          <w:color w:val="FF0000"/>
          <w:szCs w:val="24"/>
        </w:rPr>
        <w:t>考虑到坝址处河道宽约60m，冲砂闸</w:t>
      </w:r>
      <w:r>
        <w:rPr>
          <w:rFonts w:hint="eastAsia"/>
          <w:color w:val="FF0000"/>
          <w:kern w:val="0"/>
        </w:rPr>
        <w:t>底板高程为</w:t>
      </w:r>
      <w:r>
        <w:rPr>
          <w:color w:val="FF0000"/>
          <w:kern w:val="0"/>
        </w:rPr>
        <w:t>796.50m</w:t>
      </w:r>
      <w:r>
        <w:rPr>
          <w:rFonts w:hint="eastAsia"/>
          <w:color w:val="FF0000"/>
          <w:kern w:val="0"/>
        </w:rPr>
        <w:t>，</w:t>
      </w:r>
      <w:r>
        <w:rPr>
          <w:color w:val="FF0000"/>
        </w:rPr>
        <w:t>正常尾水位</w:t>
      </w:r>
      <w:r>
        <w:rPr>
          <w:rFonts w:hint="eastAsia"/>
          <w:color w:val="FF0000"/>
        </w:rPr>
        <w:t>799.4</w:t>
      </w:r>
      <w:r>
        <w:rPr>
          <w:color w:val="FF0000"/>
        </w:rPr>
        <w:t>m</w:t>
      </w:r>
      <w:r>
        <w:rPr>
          <w:rFonts w:hint="eastAsia"/>
          <w:color w:val="FF0000"/>
        </w:rPr>
        <w:t>，尾水渠闸门处底板高程为794.582m，正常尾水口处水深约4.818m，如要回引30%的水量，则</w:t>
      </w:r>
      <w:r>
        <w:rPr>
          <w:rFonts w:hint="eastAsia"/>
          <w:color w:val="FF0000"/>
          <w:szCs w:val="24"/>
        </w:rPr>
        <w:t>消力池</w:t>
      </w:r>
      <w:r>
        <w:rPr>
          <w:rFonts w:hint="eastAsia"/>
          <w:color w:val="FF0000"/>
        </w:rPr>
        <w:t>尺寸建议为（长×宽×高）60m×20m×5m（具体设计应由建设单位委托具有相应资质的单位进行实地考察后方可实施，本次评价所提出的设计尺寸只作为参考，不作为消力池实际施工依据）。</w:t>
      </w:r>
    </w:p>
    <w:p w14:paraId="014600A8">
      <w:pPr>
        <w:ind w:firstLine="480"/>
        <w:rPr>
          <w:color w:val="FF00FF"/>
          <w:kern w:val="0"/>
          <w:szCs w:val="24"/>
        </w:rPr>
      </w:pPr>
      <w:r>
        <w:rPr>
          <w:rFonts w:hint="eastAsia"/>
          <w:color w:val="FF00FF"/>
        </w:rPr>
        <w:t>根据德宏州水利局《关于芒市团结水电站工程下泄生态流量措施的批复》（德水资源</w:t>
      </w:r>
      <w:r>
        <w:rPr>
          <w:color w:val="FF00FF"/>
        </w:rPr>
        <w:t>〔20</w:t>
      </w:r>
      <w:r>
        <w:rPr>
          <w:rFonts w:hint="eastAsia"/>
          <w:color w:val="FF00FF"/>
        </w:rPr>
        <w:t>18</w:t>
      </w:r>
      <w:r>
        <w:rPr>
          <w:color w:val="FF00FF"/>
        </w:rPr>
        <w:t>〕</w:t>
      </w:r>
      <w:r>
        <w:rPr>
          <w:rFonts w:hint="eastAsia"/>
          <w:color w:val="FF00FF"/>
        </w:rPr>
        <w:t>5号），电站停运或设备检修期间，由于无尾水回引，则河道所需生态流量应通过在大坝处设置的生态放流管进行下放，</w:t>
      </w:r>
      <w:r>
        <w:rPr>
          <w:rFonts w:hint="eastAsia"/>
          <w:color w:val="FF00FF"/>
          <w:kern w:val="0"/>
        </w:rPr>
        <w:t>生态流量不小于</w:t>
      </w:r>
      <w:r>
        <w:rPr>
          <w:rFonts w:hint="eastAsia"/>
          <w:color w:val="FF00FF"/>
          <w:szCs w:val="24"/>
        </w:rPr>
        <w:t>5.28</w:t>
      </w:r>
      <w:r>
        <w:rPr>
          <w:color w:val="FF00FF"/>
          <w:szCs w:val="24"/>
        </w:rPr>
        <w:t>m</w:t>
      </w:r>
      <w:r>
        <w:rPr>
          <w:color w:val="FF00FF"/>
          <w:szCs w:val="24"/>
          <w:vertAlign w:val="superscript"/>
        </w:rPr>
        <w:t>3</w:t>
      </w:r>
      <w:r>
        <w:rPr>
          <w:color w:val="FF00FF"/>
          <w:szCs w:val="24"/>
        </w:rPr>
        <w:t>/s</w:t>
      </w:r>
      <w:r>
        <w:rPr>
          <w:rFonts w:hint="eastAsia"/>
          <w:color w:val="FF00FF"/>
        </w:rPr>
        <w:t>。因本项目主体工程设计报告中并未提及生态流量下放管的安装高程和管径，</w:t>
      </w:r>
      <w:r>
        <w:rPr>
          <w:rFonts w:hint="eastAsia"/>
          <w:color w:val="FF00FF"/>
          <w:kern w:val="0"/>
          <w:szCs w:val="24"/>
        </w:rPr>
        <w:t>本次环评采用生态流量下泄管道计算公式对</w:t>
      </w:r>
      <w:r>
        <w:rPr>
          <w:rFonts w:hint="eastAsia"/>
          <w:color w:val="FF00FF"/>
        </w:rPr>
        <w:t>其</w:t>
      </w:r>
      <w:r>
        <w:rPr>
          <w:rFonts w:hint="eastAsia"/>
          <w:color w:val="FF00FF"/>
          <w:kern w:val="0"/>
          <w:szCs w:val="24"/>
        </w:rPr>
        <w:t>管径进行计算：</w:t>
      </w:r>
    </w:p>
    <w:p w14:paraId="7965D36F">
      <w:pPr>
        <w:ind w:firstLine="0" w:firstLineChars="0"/>
        <w:jc w:val="center"/>
        <w:rPr>
          <w:rFonts w:cstheme="minorBidi"/>
          <w:color w:val="FF00FF"/>
        </w:rPr>
      </w:pPr>
      <w:r>
        <w:rPr>
          <w:rFonts w:cstheme="minorBidi"/>
          <w:color w:val="FF00FF"/>
          <w:position w:val="-18"/>
        </w:rPr>
        <w:object>
          <v:shape id="_x0000_i1028" o:spt="75" type="#_x0000_t75" style="height:22pt;width:81pt;" o:ole="t" filled="f" coordsize="21600,21600">
            <v:path/>
            <v:fill on="f" focussize="0,0"/>
            <v:stroke/>
            <v:imagedata r:id="rId41" o:title=""/>
            <o:lock v:ext="edit" aspectratio="t"/>
            <w10:wrap type="none"/>
            <w10:anchorlock/>
          </v:shape>
          <o:OLEObject Type="Embed" ProgID="Equation.3" ShapeID="_x0000_i1028" DrawAspect="Content" ObjectID="_1468075728" r:id="rId40">
            <o:LockedField>false</o:LockedField>
          </o:OLEObject>
        </w:object>
      </w:r>
    </w:p>
    <w:p w14:paraId="0261E4F4">
      <w:pPr>
        <w:ind w:firstLine="0" w:firstLineChars="0"/>
        <w:jc w:val="center"/>
        <w:rPr>
          <w:rFonts w:cstheme="minorBidi"/>
          <w:color w:val="FF00FF"/>
          <w:sz w:val="32"/>
        </w:rPr>
      </w:pPr>
      <w:r>
        <w:rPr>
          <w:rFonts w:hint="eastAsia" w:cstheme="minorBidi"/>
          <w:color w:val="FF00FF"/>
        </w:rPr>
        <w:t>A=3.14r</w:t>
      </w:r>
      <w:r>
        <w:rPr>
          <w:rFonts w:hint="eastAsia" w:cstheme="minorBidi"/>
          <w:color w:val="FF00FF"/>
          <w:vertAlign w:val="superscript"/>
        </w:rPr>
        <w:t>2</w:t>
      </w:r>
    </w:p>
    <w:p w14:paraId="2087437C">
      <w:pPr>
        <w:ind w:firstLine="480"/>
        <w:rPr>
          <w:rFonts w:cstheme="minorBidi"/>
          <w:color w:val="FF00FF"/>
        </w:rPr>
      </w:pPr>
      <w:r>
        <w:rPr>
          <w:rFonts w:hint="eastAsia" w:cstheme="minorBidi"/>
          <w:color w:val="FF00FF"/>
        </w:rPr>
        <w:t>式中：Q—下泄生态流量，m</w:t>
      </w:r>
      <w:r>
        <w:rPr>
          <w:rFonts w:hint="eastAsia" w:cstheme="minorBidi"/>
          <w:color w:val="FF00FF"/>
          <w:vertAlign w:val="superscript"/>
        </w:rPr>
        <w:t>3</w:t>
      </w:r>
      <w:r>
        <w:rPr>
          <w:rFonts w:hint="eastAsia" w:cstheme="minorBidi"/>
          <w:color w:val="FF00FF"/>
        </w:rPr>
        <w:t>/s；</w:t>
      </w:r>
    </w:p>
    <w:p w14:paraId="2326116D">
      <w:pPr>
        <w:ind w:firstLine="1200" w:firstLineChars="500"/>
        <w:rPr>
          <w:rFonts w:cstheme="minorBidi"/>
          <w:color w:val="FF00FF"/>
        </w:rPr>
      </w:pPr>
      <w:r>
        <w:rPr>
          <w:rFonts w:cstheme="minorBidi"/>
          <w:color w:val="FF00FF"/>
        </w:rPr>
        <w:t>μ</w:t>
      </w:r>
      <w:r>
        <w:rPr>
          <w:rFonts w:hint="eastAsia" w:cstheme="minorBidi"/>
          <w:color w:val="FF00FF"/>
        </w:rPr>
        <w:t>—管道阻力系数，取0.2；</w:t>
      </w:r>
    </w:p>
    <w:p w14:paraId="1358C1E1">
      <w:pPr>
        <w:tabs>
          <w:tab w:val="left" w:pos="4080"/>
        </w:tabs>
        <w:ind w:firstLine="1200" w:firstLineChars="500"/>
        <w:rPr>
          <w:rFonts w:cstheme="minorBidi"/>
          <w:color w:val="FF00FF"/>
        </w:rPr>
      </w:pPr>
      <w:r>
        <w:rPr>
          <w:rFonts w:hint="eastAsia" w:cstheme="minorBidi"/>
          <w:color w:val="FF00FF"/>
        </w:rPr>
        <w:t>A—过流面积，m</w:t>
      </w:r>
      <w:r>
        <w:rPr>
          <w:rFonts w:hint="eastAsia" w:cstheme="minorBidi"/>
          <w:color w:val="FF00FF"/>
          <w:vertAlign w:val="superscript"/>
        </w:rPr>
        <w:t>2</w:t>
      </w:r>
      <w:r>
        <w:rPr>
          <w:rFonts w:hint="eastAsia" w:cstheme="minorBidi"/>
          <w:color w:val="FF00FF"/>
        </w:rPr>
        <w:t>；</w:t>
      </w:r>
    </w:p>
    <w:p w14:paraId="56451850">
      <w:pPr>
        <w:ind w:firstLine="1200" w:firstLineChars="500"/>
        <w:rPr>
          <w:rFonts w:cstheme="minorBidi"/>
          <w:color w:val="FF00FF"/>
        </w:rPr>
      </w:pPr>
      <w:r>
        <w:rPr>
          <w:rFonts w:hint="eastAsia" w:cstheme="minorBidi"/>
          <w:color w:val="FF00FF"/>
        </w:rPr>
        <w:t>H</w:t>
      </w:r>
      <w:r>
        <w:rPr>
          <w:rFonts w:hint="eastAsia" w:cstheme="minorBidi"/>
          <w:color w:val="FF00FF"/>
          <w:vertAlign w:val="subscript"/>
        </w:rPr>
        <w:t>0</w:t>
      </w:r>
      <w:r>
        <w:rPr>
          <w:rFonts w:hint="eastAsia" w:cstheme="minorBidi"/>
          <w:color w:val="FF00FF"/>
        </w:rPr>
        <w:t>—作用水头，（m，正常蓄水位至生态放流管高程之差，工程坝前正常蓄水水位为</w:t>
      </w:r>
      <w:r>
        <w:rPr>
          <w:color w:val="FF00FF"/>
        </w:rPr>
        <w:t>804.9</w:t>
      </w:r>
      <w:r>
        <w:rPr>
          <w:rFonts w:hint="eastAsia" w:cstheme="minorBidi"/>
          <w:color w:val="FF00FF"/>
        </w:rPr>
        <w:t>m，则H</w:t>
      </w:r>
      <w:r>
        <w:rPr>
          <w:rFonts w:hint="eastAsia" w:cstheme="minorBidi"/>
          <w:color w:val="FF00FF"/>
          <w:vertAlign w:val="subscript"/>
        </w:rPr>
        <w:t>0</w:t>
      </w:r>
      <w:r>
        <w:rPr>
          <w:rFonts w:hint="eastAsia" w:cstheme="minorBidi"/>
          <w:color w:val="FF00FF"/>
        </w:rPr>
        <w:t>为7.4m）。</w:t>
      </w:r>
    </w:p>
    <w:p w14:paraId="50FD8938">
      <w:pPr>
        <w:pStyle w:val="82"/>
        <w:framePr w:hSpace="0" w:wrap="auto" w:vAnchor="margin" w:hAnchor="text" w:xAlign="left" w:yAlign="inline"/>
        <w:rPr>
          <w:color w:val="FF00FF"/>
        </w:rPr>
      </w:pPr>
      <w:r>
        <w:rPr>
          <w:color w:val="FF00FF"/>
        </w:rPr>
        <w:t>表</w:t>
      </w:r>
      <w:r>
        <w:rPr>
          <w:rFonts w:hint="eastAsia"/>
          <w:color w:val="FF00FF"/>
        </w:rPr>
        <w:t>6-2-4</w:t>
      </w:r>
      <w:r>
        <w:rPr>
          <w:color w:val="FF00FF"/>
        </w:rPr>
        <w:t xml:space="preserve">   </w:t>
      </w:r>
      <w:r>
        <w:rPr>
          <w:rFonts w:hint="eastAsia"/>
          <w:color w:val="FF00FF"/>
        </w:rPr>
        <w:t>环评对</w:t>
      </w:r>
      <w:r>
        <w:rPr>
          <w:color w:val="FF00FF"/>
        </w:rPr>
        <w:t>生态流量下泄管道</w:t>
      </w:r>
      <w:r>
        <w:rPr>
          <w:rFonts w:hint="eastAsia"/>
          <w:color w:val="FF00FF"/>
        </w:rPr>
        <w:t>计算结果表</w:t>
      </w:r>
    </w:p>
    <w:tbl>
      <w:tblPr>
        <w:tblStyle w:val="56"/>
        <w:tblW w:w="8250"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51"/>
        <w:gridCol w:w="1235"/>
        <w:gridCol w:w="1134"/>
        <w:gridCol w:w="1701"/>
        <w:gridCol w:w="1134"/>
        <w:gridCol w:w="1113"/>
        <w:gridCol w:w="1082"/>
      </w:tblGrid>
      <w:tr w14:paraId="2A7718D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5" w:hRule="atLeast"/>
          <w:tblHeader/>
          <w:jc w:val="center"/>
        </w:trPr>
        <w:tc>
          <w:tcPr>
            <w:tcW w:w="851" w:type="dxa"/>
            <w:vAlign w:val="center"/>
          </w:tcPr>
          <w:p w14:paraId="3E45186A">
            <w:pPr>
              <w:pStyle w:val="84"/>
              <w:rPr>
                <w:color w:val="FF00FF"/>
              </w:rPr>
            </w:pPr>
            <w:r>
              <w:rPr>
                <w:color w:val="FF00FF"/>
              </w:rPr>
              <w:t>坝址</w:t>
            </w:r>
          </w:p>
        </w:tc>
        <w:tc>
          <w:tcPr>
            <w:tcW w:w="1235" w:type="dxa"/>
            <w:vAlign w:val="center"/>
          </w:tcPr>
          <w:p w14:paraId="0FCAF1FA">
            <w:pPr>
              <w:pStyle w:val="84"/>
              <w:rPr>
                <w:color w:val="FF00FF"/>
              </w:rPr>
            </w:pPr>
            <w:r>
              <w:rPr>
                <w:color w:val="FF00FF"/>
              </w:rPr>
              <w:t>正常水位(m)</w:t>
            </w:r>
          </w:p>
        </w:tc>
        <w:tc>
          <w:tcPr>
            <w:tcW w:w="1134" w:type="dxa"/>
            <w:vAlign w:val="center"/>
          </w:tcPr>
          <w:p w14:paraId="6039B5D0">
            <w:pPr>
              <w:pStyle w:val="84"/>
              <w:rPr>
                <w:color w:val="FF00FF"/>
              </w:rPr>
            </w:pPr>
            <w:r>
              <w:rPr>
                <w:color w:val="FF00FF"/>
              </w:rPr>
              <w:t>生态流量</w:t>
            </w:r>
          </w:p>
          <w:p w14:paraId="5612E3C2">
            <w:pPr>
              <w:pStyle w:val="84"/>
              <w:rPr>
                <w:color w:val="FF00FF"/>
              </w:rPr>
            </w:pPr>
            <w:r>
              <w:rPr>
                <w:color w:val="FF00FF"/>
              </w:rPr>
              <w:t>(m</w:t>
            </w:r>
            <w:r>
              <w:rPr>
                <w:color w:val="FF00FF"/>
                <w:vertAlign w:val="superscript"/>
              </w:rPr>
              <w:t>3</w:t>
            </w:r>
            <w:r>
              <w:rPr>
                <w:color w:val="FF00FF"/>
              </w:rPr>
              <w:t>/s)</w:t>
            </w:r>
          </w:p>
        </w:tc>
        <w:tc>
          <w:tcPr>
            <w:tcW w:w="1701" w:type="dxa"/>
            <w:vAlign w:val="center"/>
          </w:tcPr>
          <w:p w14:paraId="7F17ABDC">
            <w:pPr>
              <w:pStyle w:val="84"/>
              <w:rPr>
                <w:color w:val="FF00FF"/>
              </w:rPr>
            </w:pPr>
            <w:r>
              <w:rPr>
                <w:color w:val="FF00FF"/>
              </w:rPr>
              <w:t>生态放流管高程(m)</w:t>
            </w:r>
          </w:p>
        </w:tc>
        <w:tc>
          <w:tcPr>
            <w:tcW w:w="1134" w:type="dxa"/>
            <w:vAlign w:val="center"/>
          </w:tcPr>
          <w:p w14:paraId="44BE0B5F">
            <w:pPr>
              <w:pStyle w:val="84"/>
              <w:rPr>
                <w:color w:val="FF00FF"/>
              </w:rPr>
            </w:pPr>
            <w:r>
              <w:rPr>
                <w:rFonts w:hint="eastAsia"/>
                <w:color w:val="FF00FF"/>
                <w:kern w:val="0"/>
              </w:rPr>
              <w:t>阻力</w:t>
            </w:r>
            <w:r>
              <w:rPr>
                <w:color w:val="FF00FF"/>
                <w:kern w:val="0"/>
              </w:rPr>
              <w:t>系数</w:t>
            </w:r>
          </w:p>
        </w:tc>
        <w:tc>
          <w:tcPr>
            <w:tcW w:w="1113" w:type="dxa"/>
            <w:vAlign w:val="center"/>
          </w:tcPr>
          <w:p w14:paraId="435847FE">
            <w:pPr>
              <w:pStyle w:val="84"/>
              <w:rPr>
                <w:color w:val="FF00FF"/>
              </w:rPr>
            </w:pPr>
            <w:r>
              <w:rPr>
                <w:color w:val="FF00FF"/>
              </w:rPr>
              <w:t>作用水头(m)</w:t>
            </w:r>
          </w:p>
        </w:tc>
        <w:tc>
          <w:tcPr>
            <w:tcW w:w="1082" w:type="dxa"/>
            <w:vAlign w:val="center"/>
          </w:tcPr>
          <w:p w14:paraId="1F4CADBF">
            <w:pPr>
              <w:pStyle w:val="84"/>
              <w:rPr>
                <w:color w:val="FF00FF"/>
              </w:rPr>
            </w:pPr>
            <w:r>
              <w:rPr>
                <w:color w:val="FF00FF"/>
              </w:rPr>
              <w:t>管道直径</w:t>
            </w:r>
          </w:p>
          <w:p w14:paraId="7B495B16">
            <w:pPr>
              <w:pStyle w:val="84"/>
              <w:rPr>
                <w:color w:val="FF00FF"/>
              </w:rPr>
            </w:pPr>
            <w:r>
              <w:rPr>
                <w:color w:val="FF00FF"/>
              </w:rPr>
              <w:t>(mm)</w:t>
            </w:r>
          </w:p>
        </w:tc>
      </w:tr>
      <w:tr w14:paraId="366B269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851" w:type="dxa"/>
            <w:vAlign w:val="center"/>
          </w:tcPr>
          <w:p w14:paraId="1734B1DC">
            <w:pPr>
              <w:pStyle w:val="84"/>
              <w:rPr>
                <w:color w:val="FF00FF"/>
              </w:rPr>
            </w:pPr>
            <w:r>
              <w:rPr>
                <w:rFonts w:hint="eastAsia"/>
                <w:color w:val="FF00FF"/>
              </w:rPr>
              <w:t>拦河</w:t>
            </w:r>
            <w:r>
              <w:rPr>
                <w:color w:val="FF00FF"/>
              </w:rPr>
              <w:t>坝</w:t>
            </w:r>
          </w:p>
        </w:tc>
        <w:tc>
          <w:tcPr>
            <w:tcW w:w="1235" w:type="dxa"/>
            <w:vAlign w:val="center"/>
          </w:tcPr>
          <w:p w14:paraId="5BF16F0B">
            <w:pPr>
              <w:pStyle w:val="84"/>
              <w:rPr>
                <w:color w:val="FF00FF"/>
              </w:rPr>
            </w:pPr>
            <w:r>
              <w:rPr>
                <w:color w:val="FF00FF"/>
              </w:rPr>
              <w:t>804.9</w:t>
            </w:r>
            <w:r>
              <w:rPr>
                <w:rFonts w:hint="eastAsia"/>
                <w:color w:val="FF00FF"/>
              </w:rPr>
              <w:t>0</w:t>
            </w:r>
          </w:p>
        </w:tc>
        <w:tc>
          <w:tcPr>
            <w:tcW w:w="1134" w:type="dxa"/>
            <w:vAlign w:val="center"/>
          </w:tcPr>
          <w:p w14:paraId="0F84C352">
            <w:pPr>
              <w:pStyle w:val="84"/>
              <w:rPr>
                <w:color w:val="FF00FF"/>
              </w:rPr>
            </w:pPr>
            <w:r>
              <w:rPr>
                <w:rFonts w:hint="eastAsia"/>
                <w:color w:val="FF00FF"/>
              </w:rPr>
              <w:t>5.28</w:t>
            </w:r>
          </w:p>
        </w:tc>
        <w:tc>
          <w:tcPr>
            <w:tcW w:w="1701" w:type="dxa"/>
            <w:vAlign w:val="center"/>
          </w:tcPr>
          <w:p w14:paraId="15171DE4">
            <w:pPr>
              <w:pStyle w:val="84"/>
              <w:rPr>
                <w:color w:val="FF00FF"/>
              </w:rPr>
            </w:pPr>
            <w:r>
              <w:rPr>
                <w:rFonts w:hint="eastAsia"/>
                <w:color w:val="FF00FF"/>
              </w:rPr>
              <w:t>797.50</w:t>
            </w:r>
          </w:p>
        </w:tc>
        <w:tc>
          <w:tcPr>
            <w:tcW w:w="1134" w:type="dxa"/>
            <w:vAlign w:val="center"/>
          </w:tcPr>
          <w:p w14:paraId="39D28B9B">
            <w:pPr>
              <w:pStyle w:val="84"/>
              <w:rPr>
                <w:color w:val="FF00FF"/>
              </w:rPr>
            </w:pPr>
            <w:r>
              <w:rPr>
                <w:color w:val="FF00FF"/>
              </w:rPr>
              <w:t>0.</w:t>
            </w:r>
            <w:r>
              <w:rPr>
                <w:rFonts w:hint="eastAsia"/>
                <w:color w:val="FF00FF"/>
              </w:rPr>
              <w:t>2</w:t>
            </w:r>
          </w:p>
        </w:tc>
        <w:tc>
          <w:tcPr>
            <w:tcW w:w="1113" w:type="dxa"/>
            <w:vAlign w:val="center"/>
          </w:tcPr>
          <w:p w14:paraId="3BBD53B8">
            <w:pPr>
              <w:pStyle w:val="84"/>
              <w:rPr>
                <w:color w:val="FF00FF"/>
              </w:rPr>
            </w:pPr>
            <w:r>
              <w:rPr>
                <w:rFonts w:hint="eastAsia"/>
                <w:color w:val="FF00FF"/>
              </w:rPr>
              <w:t>7.9</w:t>
            </w:r>
          </w:p>
        </w:tc>
        <w:tc>
          <w:tcPr>
            <w:tcW w:w="1082" w:type="dxa"/>
            <w:vAlign w:val="center"/>
          </w:tcPr>
          <w:p w14:paraId="5B4D7A50">
            <w:pPr>
              <w:pStyle w:val="84"/>
              <w:rPr>
                <w:color w:val="FF00FF"/>
              </w:rPr>
            </w:pPr>
            <w:r>
              <w:rPr>
                <w:rFonts w:hint="eastAsia"/>
                <w:color w:val="FF00FF"/>
              </w:rPr>
              <w:t>836</w:t>
            </w:r>
          </w:p>
        </w:tc>
      </w:tr>
    </w:tbl>
    <w:p w14:paraId="3BA74DEC">
      <w:pPr>
        <w:spacing w:before="240"/>
        <w:ind w:firstLine="480"/>
        <w:rPr>
          <w:color w:val="FF00FF"/>
        </w:rPr>
      </w:pPr>
      <w:r>
        <w:rPr>
          <w:rFonts w:hint="eastAsia"/>
          <w:color w:val="FF00FF"/>
        </w:rPr>
        <w:t>经计算，要保证生态流量下放5.28m</w:t>
      </w:r>
      <w:r>
        <w:rPr>
          <w:rFonts w:hint="eastAsia"/>
          <w:color w:val="FF00FF"/>
          <w:vertAlign w:val="superscript"/>
        </w:rPr>
        <w:t>3</w:t>
      </w:r>
      <w:r>
        <w:rPr>
          <w:rFonts w:hint="eastAsia"/>
          <w:color w:val="FF00FF"/>
        </w:rPr>
        <w:t>/s的最小直径为836mm，本次环评建议生态放流管直径取850mm，可以满足拟建项目生态下泄流量不小于5.28m</w:t>
      </w:r>
      <w:r>
        <w:rPr>
          <w:rFonts w:hint="eastAsia"/>
          <w:color w:val="FF00FF"/>
          <w:vertAlign w:val="superscript"/>
        </w:rPr>
        <w:t>3</w:t>
      </w:r>
      <w:r>
        <w:rPr>
          <w:rFonts w:hint="eastAsia"/>
          <w:color w:val="FF00FF"/>
        </w:rPr>
        <w:t>/s的要求，可确保电站停运或设备检修期间坝址下游不出现脱水现象。</w:t>
      </w:r>
    </w:p>
    <w:p w14:paraId="1B08C970">
      <w:pPr>
        <w:ind w:firstLine="480"/>
        <w:rPr>
          <w:color w:val="FF00FF"/>
        </w:rPr>
      </w:pPr>
      <w:r>
        <w:rPr>
          <w:rFonts w:hint="eastAsia"/>
          <w:color w:val="FF00FF"/>
        </w:rPr>
        <w:t>本次评价要求建设单位严格按照要求设置生态流量下放措施，生态放流管必须安装在取水口底板高程和冲砂闸底板高程之间，环评建议生态放流管的安装高程取797.50m；生态放流管采用闸门控制管道，在电站停运或设备检修期间开启，下放的生态流量不小于电站坝址断面多年平均流量的10%，即不小于5.28m</w:t>
      </w:r>
      <w:r>
        <w:rPr>
          <w:rFonts w:hint="eastAsia"/>
          <w:color w:val="FF00FF"/>
          <w:vertAlign w:val="superscript"/>
        </w:rPr>
        <w:t>3</w:t>
      </w:r>
      <w:r>
        <w:rPr>
          <w:rFonts w:hint="eastAsia"/>
          <w:color w:val="FF00FF"/>
        </w:rPr>
        <w:t>/s；若坝址上游来水量小于</w:t>
      </w:r>
      <w:r>
        <w:rPr>
          <w:color w:val="FF00FF"/>
        </w:rPr>
        <w:t>最小生态流量</w:t>
      </w:r>
      <w:r>
        <w:rPr>
          <w:rFonts w:hint="eastAsia"/>
          <w:color w:val="FF00FF"/>
          <w:szCs w:val="24"/>
        </w:rPr>
        <w:t>5.28m</w:t>
      </w:r>
      <w:r>
        <w:rPr>
          <w:rFonts w:hint="eastAsia"/>
          <w:color w:val="FF00FF"/>
          <w:szCs w:val="24"/>
          <w:vertAlign w:val="superscript"/>
        </w:rPr>
        <w:t>3</w:t>
      </w:r>
      <w:r>
        <w:rPr>
          <w:rFonts w:hint="eastAsia"/>
          <w:color w:val="FF00FF"/>
          <w:szCs w:val="24"/>
        </w:rPr>
        <w:t>/s</w:t>
      </w:r>
      <w:r>
        <w:rPr>
          <w:color w:val="FF00FF"/>
        </w:rPr>
        <w:t>时</w:t>
      </w:r>
      <w:r>
        <w:rPr>
          <w:rFonts w:hint="eastAsia"/>
          <w:color w:val="FF00FF"/>
        </w:rPr>
        <w:t>，则电站不进行取水发电，将上游来水全部用于芒里大沟灌溉和下游河道需水。</w:t>
      </w:r>
    </w:p>
    <w:p w14:paraId="21217280">
      <w:pPr>
        <w:ind w:firstLine="480"/>
        <w:rPr>
          <w:rFonts w:cstheme="minorBidi"/>
          <w:color w:val="FF0000"/>
        </w:rPr>
      </w:pPr>
      <w:r>
        <w:rPr>
          <w:rFonts w:hint="eastAsia" w:cstheme="minorBidi"/>
          <w:color w:val="FF0000"/>
          <w:szCs w:val="24"/>
        </w:rPr>
        <w:t>2、对</w:t>
      </w:r>
      <w:r>
        <w:rPr>
          <w:rFonts w:hint="eastAsia" w:cstheme="minorBidi"/>
          <w:color w:val="FF0000"/>
        </w:rPr>
        <w:t>坝下河段水文情势的影响</w:t>
      </w:r>
    </w:p>
    <w:p w14:paraId="30198FEE">
      <w:pPr>
        <w:ind w:firstLine="480"/>
        <w:rPr>
          <w:rFonts w:cstheme="minorBidi"/>
          <w:highlight w:val="green"/>
        </w:rPr>
      </w:pPr>
      <w:r>
        <w:rPr>
          <w:rFonts w:hint="eastAsia" w:cstheme="minorBidi"/>
          <w:color w:val="FF0000"/>
        </w:rPr>
        <w:t>团结水电站为河床式开发，电站引水发电将导致坝址至厂房尾水口之间产生60m的减水河段。</w:t>
      </w:r>
      <w:r>
        <w:rPr>
          <w:rFonts w:hint="eastAsia" w:cstheme="minorBidi"/>
        </w:rPr>
        <w:t>电站拦河建坝将</w:t>
      </w:r>
      <w:r>
        <w:rPr>
          <w:rFonts w:hint="eastAsia" w:cstheme="minorBidi"/>
          <w:kern w:val="0"/>
        </w:rPr>
        <w:t>使减水河段的水文情势发生变化，</w:t>
      </w:r>
      <w:r>
        <w:rPr>
          <w:rFonts w:cstheme="minorBidi"/>
        </w:rPr>
        <w:t>与天然河道相比，该河段</w:t>
      </w:r>
      <w:r>
        <w:rPr>
          <w:rFonts w:hint="eastAsia" w:cstheme="minorBidi"/>
        </w:rPr>
        <w:t>水量减少，</w:t>
      </w:r>
      <w:r>
        <w:rPr>
          <w:rFonts w:cstheme="minorBidi"/>
        </w:rPr>
        <w:t>水流流速降低</w:t>
      </w:r>
      <w:r>
        <w:rPr>
          <w:rFonts w:hint="eastAsia" w:cstheme="minorBidi"/>
        </w:rPr>
        <w:t>，</w:t>
      </w:r>
      <w:r>
        <w:rPr>
          <w:rFonts w:cstheme="minorBidi"/>
        </w:rPr>
        <w:t>水深变浅。</w:t>
      </w:r>
    </w:p>
    <w:p w14:paraId="77A87E6A">
      <w:pPr>
        <w:ind w:firstLine="480"/>
      </w:pPr>
      <w:r>
        <w:rPr>
          <w:rFonts w:hint="eastAsia"/>
        </w:rPr>
        <w:t>根据《云南省德宏州芒市团结水电站工程水资源论证报告书》，电站坝址设计径流计算成果见下表：</w:t>
      </w:r>
    </w:p>
    <w:p w14:paraId="679F764D">
      <w:pPr>
        <w:pStyle w:val="82"/>
        <w:framePr w:hSpace="0" w:wrap="auto" w:vAnchor="margin" w:hAnchor="text" w:xAlign="left" w:yAlign="inline"/>
      </w:pPr>
      <w:r>
        <w:rPr>
          <w:rFonts w:hint="eastAsia"/>
        </w:rPr>
        <w:t>表6-2-5  团结水电站坝址设计径流计算成果表</w:t>
      </w:r>
    </w:p>
    <w:tbl>
      <w:tblPr>
        <w:tblStyle w:val="57"/>
        <w:tblW w:w="0" w:type="auto"/>
        <w:tblInd w:w="-17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1475"/>
        <w:gridCol w:w="1217"/>
        <w:gridCol w:w="1217"/>
        <w:gridCol w:w="1218"/>
        <w:gridCol w:w="1218"/>
        <w:gridCol w:w="1218"/>
      </w:tblGrid>
      <w:tr w14:paraId="264B20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135" w:type="dxa"/>
            <w:vMerge w:val="restart"/>
            <w:vAlign w:val="center"/>
          </w:tcPr>
          <w:p w14:paraId="199494D0">
            <w:pPr>
              <w:pStyle w:val="84"/>
            </w:pPr>
            <w:r>
              <w:rPr>
                <w:rFonts w:hint="eastAsia"/>
              </w:rPr>
              <w:t>系列</w:t>
            </w:r>
          </w:p>
        </w:tc>
        <w:tc>
          <w:tcPr>
            <w:tcW w:w="3909" w:type="dxa"/>
            <w:gridSpan w:val="3"/>
            <w:vAlign w:val="center"/>
          </w:tcPr>
          <w:p w14:paraId="75C39A38">
            <w:pPr>
              <w:pStyle w:val="84"/>
            </w:pPr>
            <w:r>
              <w:rPr>
                <w:rFonts w:hint="eastAsia"/>
              </w:rPr>
              <w:t>参数</w:t>
            </w:r>
          </w:p>
        </w:tc>
        <w:tc>
          <w:tcPr>
            <w:tcW w:w="3654" w:type="dxa"/>
            <w:gridSpan w:val="3"/>
            <w:vAlign w:val="center"/>
          </w:tcPr>
          <w:p w14:paraId="2EC7047A">
            <w:pPr>
              <w:pStyle w:val="84"/>
            </w:pPr>
            <w:r>
              <w:rPr>
                <w:rFonts w:hint="eastAsia"/>
              </w:rPr>
              <w:t>不同保证率设计值（m</w:t>
            </w:r>
            <w:r>
              <w:rPr>
                <w:rFonts w:hint="eastAsia"/>
                <w:vertAlign w:val="superscript"/>
              </w:rPr>
              <w:t>3</w:t>
            </w:r>
            <w:r>
              <w:rPr>
                <w:rFonts w:hint="eastAsia"/>
              </w:rPr>
              <w:t>/s）</w:t>
            </w:r>
          </w:p>
        </w:tc>
      </w:tr>
      <w:tr w14:paraId="0C3744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135" w:type="dxa"/>
            <w:vMerge w:val="continue"/>
            <w:vAlign w:val="center"/>
          </w:tcPr>
          <w:p w14:paraId="39F9FCC5">
            <w:pPr>
              <w:pStyle w:val="84"/>
            </w:pPr>
          </w:p>
        </w:tc>
        <w:tc>
          <w:tcPr>
            <w:tcW w:w="1475" w:type="dxa"/>
            <w:vAlign w:val="center"/>
          </w:tcPr>
          <w:p w14:paraId="42607379">
            <w:pPr>
              <w:pStyle w:val="84"/>
            </w:pPr>
            <w:r>
              <w:rPr>
                <w:rFonts w:hint="eastAsia"/>
              </w:rPr>
              <w:t>均值（m</w:t>
            </w:r>
            <w:r>
              <w:rPr>
                <w:rFonts w:hint="eastAsia"/>
                <w:vertAlign w:val="superscript"/>
              </w:rPr>
              <w:t>3</w:t>
            </w:r>
            <w:r>
              <w:rPr>
                <w:rFonts w:hint="eastAsia"/>
              </w:rPr>
              <w:t>/s）</w:t>
            </w:r>
          </w:p>
        </w:tc>
        <w:tc>
          <w:tcPr>
            <w:tcW w:w="1217" w:type="dxa"/>
            <w:vAlign w:val="center"/>
          </w:tcPr>
          <w:p w14:paraId="00E02B8E">
            <w:pPr>
              <w:pStyle w:val="84"/>
            </w:pPr>
            <w:r>
              <w:rPr>
                <w:rFonts w:hint="eastAsia"/>
              </w:rPr>
              <w:t>C</w:t>
            </w:r>
            <w:r>
              <w:rPr>
                <w:rFonts w:hint="eastAsia"/>
                <w:vertAlign w:val="subscript"/>
              </w:rPr>
              <w:t>V</w:t>
            </w:r>
          </w:p>
        </w:tc>
        <w:tc>
          <w:tcPr>
            <w:tcW w:w="1217" w:type="dxa"/>
            <w:vAlign w:val="center"/>
          </w:tcPr>
          <w:p w14:paraId="72339459">
            <w:pPr>
              <w:pStyle w:val="84"/>
            </w:pPr>
            <w:r>
              <w:rPr>
                <w:rFonts w:hint="eastAsia"/>
              </w:rPr>
              <w:t>C</w:t>
            </w:r>
            <w:r>
              <w:rPr>
                <w:rFonts w:hint="eastAsia"/>
                <w:vertAlign w:val="subscript"/>
              </w:rPr>
              <w:t>S</w:t>
            </w:r>
            <w:r>
              <w:rPr>
                <w:rFonts w:hint="eastAsia"/>
              </w:rPr>
              <w:t>/C</w:t>
            </w:r>
            <w:r>
              <w:rPr>
                <w:rFonts w:hint="eastAsia"/>
                <w:vertAlign w:val="subscript"/>
              </w:rPr>
              <w:t>V</w:t>
            </w:r>
          </w:p>
        </w:tc>
        <w:tc>
          <w:tcPr>
            <w:tcW w:w="1218" w:type="dxa"/>
            <w:vAlign w:val="center"/>
          </w:tcPr>
          <w:p w14:paraId="79D41BEC">
            <w:pPr>
              <w:pStyle w:val="84"/>
            </w:pPr>
            <w:r>
              <w:rPr>
                <w:rFonts w:hint="eastAsia"/>
              </w:rPr>
              <w:t>P=10%</w:t>
            </w:r>
          </w:p>
        </w:tc>
        <w:tc>
          <w:tcPr>
            <w:tcW w:w="1218" w:type="dxa"/>
            <w:vAlign w:val="center"/>
          </w:tcPr>
          <w:p w14:paraId="45EAA902">
            <w:pPr>
              <w:pStyle w:val="84"/>
            </w:pPr>
            <w:r>
              <w:rPr>
                <w:rFonts w:hint="eastAsia"/>
              </w:rPr>
              <w:t>P=50%</w:t>
            </w:r>
          </w:p>
        </w:tc>
        <w:tc>
          <w:tcPr>
            <w:tcW w:w="1218" w:type="dxa"/>
            <w:vAlign w:val="center"/>
          </w:tcPr>
          <w:p w14:paraId="3A745370">
            <w:pPr>
              <w:pStyle w:val="84"/>
            </w:pPr>
            <w:r>
              <w:rPr>
                <w:rFonts w:hint="eastAsia"/>
              </w:rPr>
              <w:t>P=90%</w:t>
            </w:r>
          </w:p>
        </w:tc>
      </w:tr>
      <w:tr w14:paraId="2D3EEA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14:paraId="36395072">
            <w:pPr>
              <w:pStyle w:val="84"/>
            </w:pPr>
            <w:r>
              <w:rPr>
                <w:rFonts w:hint="eastAsia"/>
              </w:rPr>
              <w:t>年径流</w:t>
            </w:r>
          </w:p>
        </w:tc>
        <w:tc>
          <w:tcPr>
            <w:tcW w:w="1475" w:type="dxa"/>
          </w:tcPr>
          <w:p w14:paraId="2A3EB8CA">
            <w:pPr>
              <w:pStyle w:val="84"/>
              <w:rPr>
                <w:bCs/>
                <w:szCs w:val="21"/>
              </w:rPr>
            </w:pPr>
            <w:r>
              <w:rPr>
                <w:rFonts w:hint="eastAsia"/>
                <w:bCs/>
                <w:szCs w:val="21"/>
              </w:rPr>
              <w:t>52.8</w:t>
            </w:r>
          </w:p>
        </w:tc>
        <w:tc>
          <w:tcPr>
            <w:tcW w:w="1217" w:type="dxa"/>
          </w:tcPr>
          <w:p w14:paraId="39E25A4C">
            <w:pPr>
              <w:pStyle w:val="84"/>
            </w:pPr>
            <w:r>
              <w:rPr>
                <w:rFonts w:hint="eastAsia"/>
              </w:rPr>
              <w:t>0.18</w:t>
            </w:r>
          </w:p>
        </w:tc>
        <w:tc>
          <w:tcPr>
            <w:tcW w:w="1217" w:type="dxa"/>
          </w:tcPr>
          <w:p w14:paraId="51FC8838">
            <w:pPr>
              <w:pStyle w:val="84"/>
            </w:pPr>
            <w:r>
              <w:rPr>
                <w:rFonts w:hint="eastAsia"/>
              </w:rPr>
              <w:t>2.0</w:t>
            </w:r>
          </w:p>
        </w:tc>
        <w:tc>
          <w:tcPr>
            <w:tcW w:w="1218" w:type="dxa"/>
            <w:vAlign w:val="center"/>
          </w:tcPr>
          <w:p w14:paraId="416E8F93">
            <w:pPr>
              <w:pStyle w:val="84"/>
            </w:pPr>
            <w:r>
              <w:rPr>
                <w:rFonts w:hint="eastAsia"/>
              </w:rPr>
              <w:t>65.32</w:t>
            </w:r>
          </w:p>
        </w:tc>
        <w:tc>
          <w:tcPr>
            <w:tcW w:w="1218" w:type="dxa"/>
            <w:vAlign w:val="center"/>
          </w:tcPr>
          <w:p w14:paraId="6665FC82">
            <w:pPr>
              <w:pStyle w:val="84"/>
            </w:pPr>
            <w:r>
              <w:rPr>
                <w:rFonts w:hint="eastAsia"/>
              </w:rPr>
              <w:t>52.17</w:t>
            </w:r>
          </w:p>
        </w:tc>
        <w:tc>
          <w:tcPr>
            <w:tcW w:w="1218" w:type="dxa"/>
            <w:vAlign w:val="center"/>
          </w:tcPr>
          <w:p w14:paraId="2C5D659D">
            <w:pPr>
              <w:pStyle w:val="84"/>
            </w:pPr>
            <w:r>
              <w:rPr>
                <w:rFonts w:hint="eastAsia"/>
              </w:rPr>
              <w:t>41.09</w:t>
            </w:r>
          </w:p>
        </w:tc>
      </w:tr>
      <w:tr w14:paraId="52BADE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14:paraId="4D2839CE">
            <w:pPr>
              <w:pStyle w:val="84"/>
            </w:pPr>
            <w:r>
              <w:rPr>
                <w:rFonts w:hint="eastAsia"/>
              </w:rPr>
              <w:t>枯季径流</w:t>
            </w:r>
          </w:p>
        </w:tc>
        <w:tc>
          <w:tcPr>
            <w:tcW w:w="1475" w:type="dxa"/>
          </w:tcPr>
          <w:p w14:paraId="07103EE9">
            <w:pPr>
              <w:pStyle w:val="84"/>
            </w:pPr>
            <w:r>
              <w:rPr>
                <w:rFonts w:hint="eastAsia"/>
              </w:rPr>
              <w:t>18.2</w:t>
            </w:r>
          </w:p>
        </w:tc>
        <w:tc>
          <w:tcPr>
            <w:tcW w:w="1217" w:type="dxa"/>
          </w:tcPr>
          <w:p w14:paraId="777665A6">
            <w:pPr>
              <w:pStyle w:val="84"/>
            </w:pPr>
            <w:r>
              <w:rPr>
                <w:rFonts w:hint="eastAsia"/>
              </w:rPr>
              <w:t>0.20</w:t>
            </w:r>
          </w:p>
        </w:tc>
        <w:tc>
          <w:tcPr>
            <w:tcW w:w="1217" w:type="dxa"/>
          </w:tcPr>
          <w:p w14:paraId="5017A05A">
            <w:pPr>
              <w:pStyle w:val="84"/>
            </w:pPr>
            <w:r>
              <w:rPr>
                <w:rFonts w:hint="eastAsia"/>
              </w:rPr>
              <w:t>2.0</w:t>
            </w:r>
          </w:p>
        </w:tc>
        <w:tc>
          <w:tcPr>
            <w:tcW w:w="1218" w:type="dxa"/>
            <w:vAlign w:val="center"/>
          </w:tcPr>
          <w:p w14:paraId="2240DF0A">
            <w:pPr>
              <w:pStyle w:val="84"/>
            </w:pPr>
            <w:r>
              <w:rPr>
                <w:rFonts w:hint="eastAsia"/>
              </w:rPr>
              <w:t>22.57</w:t>
            </w:r>
          </w:p>
        </w:tc>
        <w:tc>
          <w:tcPr>
            <w:tcW w:w="1218" w:type="dxa"/>
            <w:vAlign w:val="center"/>
          </w:tcPr>
          <w:p w14:paraId="00C10FB7">
            <w:pPr>
              <w:pStyle w:val="84"/>
            </w:pPr>
            <w:r>
              <w:rPr>
                <w:rFonts w:hint="eastAsia"/>
              </w:rPr>
              <w:t>18.02</w:t>
            </w:r>
          </w:p>
        </w:tc>
        <w:tc>
          <w:tcPr>
            <w:tcW w:w="1218" w:type="dxa"/>
            <w:vAlign w:val="center"/>
          </w:tcPr>
          <w:p w14:paraId="553FA09A">
            <w:pPr>
              <w:pStyle w:val="84"/>
            </w:pPr>
            <w:r>
              <w:rPr>
                <w:rFonts w:hint="eastAsia"/>
              </w:rPr>
              <w:t>13.86</w:t>
            </w:r>
          </w:p>
        </w:tc>
      </w:tr>
    </w:tbl>
    <w:p w14:paraId="172465FF">
      <w:pPr>
        <w:spacing w:before="240"/>
        <w:ind w:firstLine="480"/>
        <w:rPr>
          <w:color w:val="FF0000"/>
          <w:highlight w:val="green"/>
        </w:rPr>
      </w:pPr>
      <w:r>
        <w:rPr>
          <w:rFonts w:hint="eastAsia"/>
          <w:color w:val="FF0000"/>
        </w:rPr>
        <w:t>在不考虑生态放流的情况下，电站取水后坝后流量如表6-2-6所示，从该表中可以看出，若无生态流量下放，在丰水年（P=10%），5月、6月、10月~翌年2月减水河段（约60m）会出现断流，其余月份坝下流量均大于7.01m</w:t>
      </w:r>
      <w:r>
        <w:rPr>
          <w:rFonts w:hint="eastAsia"/>
          <w:color w:val="FF0000"/>
          <w:vertAlign w:val="superscript"/>
        </w:rPr>
        <w:t>3</w:t>
      </w:r>
      <w:r>
        <w:rPr>
          <w:rFonts w:hint="eastAsia"/>
          <w:color w:val="FF0000"/>
        </w:rPr>
        <w:t>/s；在平水年（P=50%），5月~7月、10月~翌年1月减水河段会出现断流，其余月份坝下流量均大于4.48m</w:t>
      </w:r>
      <w:r>
        <w:rPr>
          <w:rFonts w:hint="eastAsia"/>
          <w:color w:val="FF0000"/>
          <w:vertAlign w:val="superscript"/>
        </w:rPr>
        <w:t>3</w:t>
      </w:r>
      <w:r>
        <w:rPr>
          <w:rFonts w:hint="eastAsia"/>
          <w:color w:val="FF0000"/>
        </w:rPr>
        <w:t>/s；在枯水年（P=90%），6月、7月、9月~翌年1月减水河段会出现断流，其余月份坝下流量均大于4.16m</w:t>
      </w:r>
      <w:r>
        <w:rPr>
          <w:rFonts w:hint="eastAsia"/>
          <w:color w:val="FF0000"/>
          <w:vertAlign w:val="superscript"/>
        </w:rPr>
        <w:t>3</w:t>
      </w:r>
      <w:r>
        <w:rPr>
          <w:rFonts w:hint="eastAsia"/>
          <w:color w:val="FF0000"/>
        </w:rPr>
        <w:t>/s。</w:t>
      </w:r>
    </w:p>
    <w:p w14:paraId="03F17010">
      <w:pPr>
        <w:snapToGrid w:val="0"/>
        <w:ind w:firstLine="0" w:firstLineChars="0"/>
        <w:jc w:val="center"/>
        <w:rPr>
          <w:b/>
          <w:szCs w:val="24"/>
          <w:highlight w:val="green"/>
        </w:rPr>
        <w:sectPr>
          <w:pgSz w:w="11906" w:h="16838"/>
          <w:pgMar w:top="1440" w:right="1800" w:bottom="1440" w:left="1800" w:header="851" w:footer="992" w:gutter="0"/>
          <w:cols w:space="720" w:num="1"/>
          <w:docGrid w:linePitch="326" w:charSpace="0"/>
        </w:sectPr>
      </w:pPr>
    </w:p>
    <w:p w14:paraId="11151D6C">
      <w:pPr>
        <w:pStyle w:val="82"/>
        <w:framePr w:hSpace="0" w:wrap="auto" w:vAnchor="margin" w:hAnchor="text" w:xAlign="left" w:yAlign="inline"/>
      </w:pPr>
      <w:r>
        <w:t>表</w:t>
      </w:r>
      <w:r>
        <w:rPr>
          <w:rFonts w:hint="eastAsia"/>
        </w:rPr>
        <w:t>6</w:t>
      </w:r>
      <w:r>
        <w:t>-</w:t>
      </w:r>
      <w:r>
        <w:rPr>
          <w:rFonts w:hint="eastAsia"/>
        </w:rPr>
        <w:t>2-6 团结水电站</w:t>
      </w:r>
      <w:r>
        <w:t>坝址不同保证率可供水量</w:t>
      </w:r>
      <w:r>
        <w:rPr>
          <w:rFonts w:hint="eastAsia"/>
        </w:rPr>
        <w:t>情况</w:t>
      </w:r>
      <w:r>
        <w:t>表</w:t>
      </w:r>
      <w:r>
        <w:rPr>
          <w:rFonts w:hint="eastAsia"/>
        </w:rPr>
        <w:t>（无生态流量下放）</w:t>
      </w:r>
      <w:r>
        <w:t xml:space="preserve"> </w:t>
      </w:r>
      <w:r>
        <w:rPr>
          <w:rFonts w:hint="eastAsia"/>
        </w:rPr>
        <w:t xml:space="preserve">  </w:t>
      </w:r>
      <w:r>
        <w:t>单位</w:t>
      </w:r>
      <w:r>
        <w:rPr>
          <w:rFonts w:hint="eastAsia"/>
        </w:rPr>
        <w:t>：</w:t>
      </w:r>
      <w:r>
        <w:t>m</w:t>
      </w:r>
      <w:r>
        <w:rPr>
          <w:vertAlign w:val="superscript"/>
        </w:rPr>
        <w:t>3</w:t>
      </w:r>
      <w:r>
        <w:t>/s</w:t>
      </w:r>
    </w:p>
    <w:tbl>
      <w:tblPr>
        <w:tblStyle w:val="63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1751"/>
        <w:gridCol w:w="799"/>
        <w:gridCol w:w="800"/>
        <w:gridCol w:w="799"/>
        <w:gridCol w:w="800"/>
        <w:gridCol w:w="800"/>
        <w:gridCol w:w="799"/>
        <w:gridCol w:w="800"/>
        <w:gridCol w:w="799"/>
        <w:gridCol w:w="800"/>
        <w:gridCol w:w="800"/>
        <w:gridCol w:w="799"/>
        <w:gridCol w:w="800"/>
        <w:gridCol w:w="800"/>
      </w:tblGrid>
      <w:tr w14:paraId="296CDE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blHeader/>
          <w:jc w:val="center"/>
        </w:trPr>
        <w:tc>
          <w:tcPr>
            <w:tcW w:w="1277" w:type="dxa"/>
            <w:vAlign w:val="center"/>
          </w:tcPr>
          <w:p w14:paraId="0EA2F0AE">
            <w:pPr>
              <w:spacing w:line="240" w:lineRule="auto"/>
              <w:ind w:firstLine="0" w:firstLineChars="0"/>
              <w:jc w:val="center"/>
              <w:rPr>
                <w:rFonts w:eastAsia="仿宋"/>
                <w:sz w:val="21"/>
                <w:szCs w:val="21"/>
              </w:rPr>
            </w:pPr>
            <w:r>
              <w:rPr>
                <w:rFonts w:eastAsia="仿宋"/>
                <w:sz w:val="21"/>
                <w:szCs w:val="21"/>
              </w:rPr>
              <w:t>保证率</w:t>
            </w:r>
          </w:p>
        </w:tc>
        <w:tc>
          <w:tcPr>
            <w:tcW w:w="1751" w:type="dxa"/>
            <w:vAlign w:val="center"/>
          </w:tcPr>
          <w:p w14:paraId="39022875">
            <w:pPr>
              <w:spacing w:line="240" w:lineRule="auto"/>
              <w:ind w:firstLine="0" w:firstLineChars="0"/>
              <w:jc w:val="center"/>
              <w:rPr>
                <w:rFonts w:eastAsia="仿宋"/>
                <w:spacing w:val="-19"/>
                <w:sz w:val="21"/>
                <w:szCs w:val="21"/>
              </w:rPr>
            </w:pPr>
            <w:r>
              <w:rPr>
                <w:rFonts w:eastAsia="仿宋"/>
                <w:sz w:val="21"/>
                <w:szCs w:val="21"/>
              </w:rPr>
              <w:t>项目</w:t>
            </w:r>
          </w:p>
        </w:tc>
        <w:tc>
          <w:tcPr>
            <w:tcW w:w="799" w:type="dxa"/>
            <w:vAlign w:val="center"/>
          </w:tcPr>
          <w:p w14:paraId="1F82D541">
            <w:pPr>
              <w:widowControl/>
              <w:spacing w:line="240" w:lineRule="auto"/>
              <w:ind w:firstLine="0" w:firstLineChars="0"/>
              <w:jc w:val="center"/>
              <w:rPr>
                <w:kern w:val="0"/>
                <w:sz w:val="21"/>
                <w:szCs w:val="21"/>
              </w:rPr>
            </w:pPr>
            <w:r>
              <w:rPr>
                <w:kern w:val="0"/>
                <w:sz w:val="21"/>
                <w:szCs w:val="21"/>
              </w:rPr>
              <w:t>6</w:t>
            </w:r>
          </w:p>
        </w:tc>
        <w:tc>
          <w:tcPr>
            <w:tcW w:w="800" w:type="dxa"/>
            <w:vAlign w:val="center"/>
          </w:tcPr>
          <w:p w14:paraId="74AA5AFE">
            <w:pPr>
              <w:widowControl/>
              <w:spacing w:line="240" w:lineRule="auto"/>
              <w:ind w:firstLine="0" w:firstLineChars="0"/>
              <w:jc w:val="center"/>
              <w:rPr>
                <w:kern w:val="0"/>
                <w:sz w:val="21"/>
                <w:szCs w:val="21"/>
              </w:rPr>
            </w:pPr>
            <w:r>
              <w:rPr>
                <w:kern w:val="0"/>
                <w:sz w:val="21"/>
                <w:szCs w:val="21"/>
              </w:rPr>
              <w:t>7</w:t>
            </w:r>
          </w:p>
        </w:tc>
        <w:tc>
          <w:tcPr>
            <w:tcW w:w="799" w:type="dxa"/>
            <w:vAlign w:val="center"/>
          </w:tcPr>
          <w:p w14:paraId="6BA9E924">
            <w:pPr>
              <w:widowControl/>
              <w:spacing w:line="240" w:lineRule="auto"/>
              <w:ind w:firstLine="0" w:firstLineChars="0"/>
              <w:jc w:val="center"/>
              <w:rPr>
                <w:kern w:val="0"/>
                <w:sz w:val="21"/>
                <w:szCs w:val="21"/>
              </w:rPr>
            </w:pPr>
            <w:r>
              <w:rPr>
                <w:kern w:val="0"/>
                <w:sz w:val="21"/>
                <w:szCs w:val="21"/>
              </w:rPr>
              <w:t>8</w:t>
            </w:r>
          </w:p>
        </w:tc>
        <w:tc>
          <w:tcPr>
            <w:tcW w:w="800" w:type="dxa"/>
            <w:vAlign w:val="center"/>
          </w:tcPr>
          <w:p w14:paraId="0E655BC5">
            <w:pPr>
              <w:widowControl/>
              <w:spacing w:line="240" w:lineRule="auto"/>
              <w:ind w:firstLine="0" w:firstLineChars="0"/>
              <w:jc w:val="center"/>
              <w:rPr>
                <w:kern w:val="0"/>
                <w:sz w:val="21"/>
                <w:szCs w:val="21"/>
              </w:rPr>
            </w:pPr>
            <w:r>
              <w:rPr>
                <w:kern w:val="0"/>
                <w:sz w:val="21"/>
                <w:szCs w:val="21"/>
              </w:rPr>
              <w:t>9</w:t>
            </w:r>
          </w:p>
        </w:tc>
        <w:tc>
          <w:tcPr>
            <w:tcW w:w="800" w:type="dxa"/>
            <w:vAlign w:val="center"/>
          </w:tcPr>
          <w:p w14:paraId="6C1334DF">
            <w:pPr>
              <w:widowControl/>
              <w:spacing w:line="240" w:lineRule="auto"/>
              <w:ind w:firstLine="0" w:firstLineChars="0"/>
              <w:jc w:val="center"/>
              <w:rPr>
                <w:kern w:val="0"/>
                <w:sz w:val="21"/>
                <w:szCs w:val="21"/>
              </w:rPr>
            </w:pPr>
            <w:r>
              <w:rPr>
                <w:kern w:val="0"/>
                <w:sz w:val="21"/>
                <w:szCs w:val="21"/>
              </w:rPr>
              <w:t>10</w:t>
            </w:r>
          </w:p>
        </w:tc>
        <w:tc>
          <w:tcPr>
            <w:tcW w:w="799" w:type="dxa"/>
            <w:vAlign w:val="center"/>
          </w:tcPr>
          <w:p w14:paraId="4369E76D">
            <w:pPr>
              <w:widowControl/>
              <w:spacing w:line="240" w:lineRule="auto"/>
              <w:ind w:firstLine="0" w:firstLineChars="0"/>
              <w:jc w:val="center"/>
              <w:rPr>
                <w:kern w:val="0"/>
                <w:sz w:val="21"/>
                <w:szCs w:val="21"/>
              </w:rPr>
            </w:pPr>
            <w:r>
              <w:rPr>
                <w:kern w:val="0"/>
                <w:sz w:val="21"/>
                <w:szCs w:val="21"/>
              </w:rPr>
              <w:t>11</w:t>
            </w:r>
          </w:p>
        </w:tc>
        <w:tc>
          <w:tcPr>
            <w:tcW w:w="800" w:type="dxa"/>
            <w:vAlign w:val="center"/>
          </w:tcPr>
          <w:p w14:paraId="79CD6329">
            <w:pPr>
              <w:widowControl/>
              <w:spacing w:line="240" w:lineRule="auto"/>
              <w:ind w:firstLine="0" w:firstLineChars="0"/>
              <w:jc w:val="center"/>
              <w:rPr>
                <w:kern w:val="0"/>
                <w:sz w:val="21"/>
                <w:szCs w:val="21"/>
              </w:rPr>
            </w:pPr>
            <w:r>
              <w:rPr>
                <w:kern w:val="0"/>
                <w:sz w:val="21"/>
                <w:szCs w:val="21"/>
              </w:rPr>
              <w:t>12</w:t>
            </w:r>
          </w:p>
        </w:tc>
        <w:tc>
          <w:tcPr>
            <w:tcW w:w="799" w:type="dxa"/>
            <w:vAlign w:val="center"/>
          </w:tcPr>
          <w:p w14:paraId="222C6157">
            <w:pPr>
              <w:widowControl/>
              <w:spacing w:line="240" w:lineRule="auto"/>
              <w:ind w:firstLine="0" w:firstLineChars="0"/>
              <w:jc w:val="center"/>
              <w:rPr>
                <w:kern w:val="0"/>
                <w:sz w:val="21"/>
                <w:szCs w:val="21"/>
              </w:rPr>
            </w:pPr>
            <w:r>
              <w:rPr>
                <w:kern w:val="0"/>
                <w:sz w:val="21"/>
                <w:szCs w:val="21"/>
              </w:rPr>
              <w:t>1</w:t>
            </w:r>
          </w:p>
        </w:tc>
        <w:tc>
          <w:tcPr>
            <w:tcW w:w="800" w:type="dxa"/>
            <w:vAlign w:val="center"/>
          </w:tcPr>
          <w:p w14:paraId="30E336D5">
            <w:pPr>
              <w:widowControl/>
              <w:spacing w:line="240" w:lineRule="auto"/>
              <w:ind w:firstLine="0" w:firstLineChars="0"/>
              <w:jc w:val="center"/>
              <w:rPr>
                <w:kern w:val="0"/>
                <w:sz w:val="21"/>
                <w:szCs w:val="21"/>
              </w:rPr>
            </w:pPr>
            <w:r>
              <w:rPr>
                <w:kern w:val="0"/>
                <w:sz w:val="21"/>
                <w:szCs w:val="21"/>
              </w:rPr>
              <w:t>2</w:t>
            </w:r>
          </w:p>
        </w:tc>
        <w:tc>
          <w:tcPr>
            <w:tcW w:w="800" w:type="dxa"/>
            <w:vAlign w:val="center"/>
          </w:tcPr>
          <w:p w14:paraId="2381DFC5">
            <w:pPr>
              <w:widowControl/>
              <w:spacing w:line="240" w:lineRule="auto"/>
              <w:ind w:firstLine="0" w:firstLineChars="0"/>
              <w:jc w:val="center"/>
              <w:rPr>
                <w:kern w:val="0"/>
                <w:sz w:val="21"/>
                <w:szCs w:val="21"/>
              </w:rPr>
            </w:pPr>
            <w:r>
              <w:rPr>
                <w:kern w:val="0"/>
                <w:sz w:val="21"/>
                <w:szCs w:val="21"/>
              </w:rPr>
              <w:t>3</w:t>
            </w:r>
          </w:p>
        </w:tc>
        <w:tc>
          <w:tcPr>
            <w:tcW w:w="799" w:type="dxa"/>
            <w:vAlign w:val="center"/>
          </w:tcPr>
          <w:p w14:paraId="3A8C9D5F">
            <w:pPr>
              <w:widowControl/>
              <w:spacing w:line="240" w:lineRule="auto"/>
              <w:ind w:firstLine="0" w:firstLineChars="0"/>
              <w:jc w:val="center"/>
              <w:rPr>
                <w:kern w:val="0"/>
                <w:sz w:val="21"/>
                <w:szCs w:val="21"/>
              </w:rPr>
            </w:pPr>
            <w:r>
              <w:rPr>
                <w:kern w:val="0"/>
                <w:sz w:val="21"/>
                <w:szCs w:val="21"/>
              </w:rPr>
              <w:t>4</w:t>
            </w:r>
          </w:p>
        </w:tc>
        <w:tc>
          <w:tcPr>
            <w:tcW w:w="800" w:type="dxa"/>
            <w:vAlign w:val="center"/>
          </w:tcPr>
          <w:p w14:paraId="04E6DCF2">
            <w:pPr>
              <w:widowControl/>
              <w:spacing w:line="240" w:lineRule="auto"/>
              <w:ind w:firstLine="0" w:firstLineChars="0"/>
              <w:jc w:val="center"/>
              <w:rPr>
                <w:kern w:val="0"/>
                <w:sz w:val="21"/>
                <w:szCs w:val="21"/>
              </w:rPr>
            </w:pPr>
            <w:r>
              <w:rPr>
                <w:kern w:val="0"/>
                <w:sz w:val="21"/>
                <w:szCs w:val="21"/>
              </w:rPr>
              <w:t>5</w:t>
            </w:r>
          </w:p>
        </w:tc>
        <w:tc>
          <w:tcPr>
            <w:tcW w:w="800" w:type="dxa"/>
            <w:vAlign w:val="center"/>
          </w:tcPr>
          <w:p w14:paraId="1523672D">
            <w:pPr>
              <w:widowControl/>
              <w:spacing w:line="240" w:lineRule="auto"/>
              <w:ind w:firstLine="0" w:firstLineChars="0"/>
              <w:jc w:val="center"/>
              <w:rPr>
                <w:rFonts w:eastAsia="仿宋"/>
                <w:kern w:val="0"/>
                <w:sz w:val="21"/>
                <w:szCs w:val="21"/>
              </w:rPr>
            </w:pPr>
            <w:r>
              <w:rPr>
                <w:rFonts w:eastAsia="仿宋"/>
                <w:kern w:val="0"/>
                <w:sz w:val="21"/>
                <w:szCs w:val="21"/>
              </w:rPr>
              <w:t>平均</w:t>
            </w:r>
          </w:p>
        </w:tc>
      </w:tr>
      <w:tr w14:paraId="6A9D53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restart"/>
            <w:vAlign w:val="center"/>
          </w:tcPr>
          <w:p w14:paraId="57A33C0E">
            <w:pPr>
              <w:spacing w:line="240" w:lineRule="auto"/>
              <w:ind w:firstLine="0" w:firstLineChars="0"/>
              <w:jc w:val="center"/>
              <w:rPr>
                <w:rFonts w:eastAsia="仿宋"/>
                <w:spacing w:val="-19"/>
                <w:sz w:val="21"/>
                <w:szCs w:val="21"/>
              </w:rPr>
            </w:pPr>
            <w:r>
              <w:rPr>
                <w:rFonts w:eastAsia="仿宋"/>
                <w:spacing w:val="-19"/>
                <w:sz w:val="21"/>
                <w:szCs w:val="21"/>
              </w:rPr>
              <w:t>P=10%</w:t>
            </w:r>
          </w:p>
          <w:p w14:paraId="6FADDE40">
            <w:pPr>
              <w:ind w:firstLine="0" w:firstLineChars="0"/>
              <w:jc w:val="center"/>
              <w:rPr>
                <w:rFonts w:eastAsia="仿宋"/>
                <w:sz w:val="21"/>
                <w:szCs w:val="21"/>
              </w:rPr>
            </w:pPr>
            <w:r>
              <w:rPr>
                <w:rFonts w:eastAsia="仿宋"/>
                <w:spacing w:val="-19"/>
                <w:sz w:val="21"/>
                <w:szCs w:val="21"/>
              </w:rPr>
              <w:t>（丰水年）</w:t>
            </w:r>
          </w:p>
        </w:tc>
        <w:tc>
          <w:tcPr>
            <w:tcW w:w="1751" w:type="dxa"/>
            <w:vAlign w:val="center"/>
          </w:tcPr>
          <w:p w14:paraId="26A0D20D">
            <w:pPr>
              <w:spacing w:line="240" w:lineRule="auto"/>
              <w:ind w:firstLine="0" w:firstLineChars="0"/>
              <w:jc w:val="center"/>
              <w:rPr>
                <w:rFonts w:eastAsia="仿宋"/>
                <w:sz w:val="21"/>
                <w:szCs w:val="21"/>
              </w:rPr>
            </w:pPr>
            <w:r>
              <w:rPr>
                <w:rFonts w:eastAsia="仿宋"/>
                <w:sz w:val="21"/>
                <w:szCs w:val="21"/>
              </w:rPr>
              <w:t>上游天然来水量</w:t>
            </w:r>
          </w:p>
        </w:tc>
        <w:tc>
          <w:tcPr>
            <w:tcW w:w="799" w:type="dxa"/>
            <w:vAlign w:val="center"/>
          </w:tcPr>
          <w:p w14:paraId="597DA204">
            <w:pPr>
              <w:pStyle w:val="84"/>
              <w:rPr>
                <w:rFonts w:eastAsia="宋体"/>
              </w:rPr>
            </w:pPr>
            <w:r>
              <w:t>68.3</w:t>
            </w:r>
          </w:p>
        </w:tc>
        <w:tc>
          <w:tcPr>
            <w:tcW w:w="800" w:type="dxa"/>
            <w:vAlign w:val="center"/>
          </w:tcPr>
          <w:p w14:paraId="3F54FBFF">
            <w:pPr>
              <w:pStyle w:val="84"/>
              <w:rPr>
                <w:rFonts w:eastAsia="宋体"/>
              </w:rPr>
            </w:pPr>
            <w:r>
              <w:t>126</w:t>
            </w:r>
          </w:p>
        </w:tc>
        <w:tc>
          <w:tcPr>
            <w:tcW w:w="799" w:type="dxa"/>
            <w:vAlign w:val="center"/>
          </w:tcPr>
          <w:p w14:paraId="2088B66E">
            <w:pPr>
              <w:pStyle w:val="84"/>
              <w:rPr>
                <w:rFonts w:eastAsia="宋体"/>
              </w:rPr>
            </w:pPr>
            <w:r>
              <w:t>175</w:t>
            </w:r>
          </w:p>
        </w:tc>
        <w:tc>
          <w:tcPr>
            <w:tcW w:w="800" w:type="dxa"/>
            <w:vAlign w:val="center"/>
          </w:tcPr>
          <w:p w14:paraId="5D300069">
            <w:pPr>
              <w:pStyle w:val="84"/>
              <w:rPr>
                <w:rFonts w:eastAsia="宋体"/>
              </w:rPr>
            </w:pPr>
            <w:r>
              <w:t>127</w:t>
            </w:r>
          </w:p>
        </w:tc>
        <w:tc>
          <w:tcPr>
            <w:tcW w:w="800" w:type="dxa"/>
            <w:vAlign w:val="center"/>
          </w:tcPr>
          <w:p w14:paraId="347E51AB">
            <w:pPr>
              <w:pStyle w:val="84"/>
              <w:rPr>
                <w:rFonts w:eastAsia="宋体"/>
              </w:rPr>
            </w:pPr>
            <w:r>
              <w:t>97.1</w:t>
            </w:r>
          </w:p>
        </w:tc>
        <w:tc>
          <w:tcPr>
            <w:tcW w:w="799" w:type="dxa"/>
            <w:vAlign w:val="center"/>
          </w:tcPr>
          <w:p w14:paraId="33CF3C8C">
            <w:pPr>
              <w:pStyle w:val="84"/>
              <w:rPr>
                <w:rFonts w:eastAsia="宋体"/>
              </w:rPr>
            </w:pPr>
            <w:r>
              <w:t>55</w:t>
            </w:r>
          </w:p>
        </w:tc>
        <w:tc>
          <w:tcPr>
            <w:tcW w:w="800" w:type="dxa"/>
            <w:vAlign w:val="center"/>
          </w:tcPr>
          <w:p w14:paraId="03EA3196">
            <w:pPr>
              <w:pStyle w:val="84"/>
              <w:rPr>
                <w:rFonts w:eastAsia="宋体"/>
              </w:rPr>
            </w:pPr>
            <w:r>
              <w:t>34.4</w:t>
            </w:r>
          </w:p>
        </w:tc>
        <w:tc>
          <w:tcPr>
            <w:tcW w:w="799" w:type="dxa"/>
            <w:vAlign w:val="center"/>
          </w:tcPr>
          <w:p w14:paraId="45483D72">
            <w:pPr>
              <w:pStyle w:val="84"/>
              <w:rPr>
                <w:rFonts w:eastAsia="宋体"/>
              </w:rPr>
            </w:pPr>
            <w:r>
              <w:t>29.6</w:t>
            </w:r>
          </w:p>
        </w:tc>
        <w:tc>
          <w:tcPr>
            <w:tcW w:w="800" w:type="dxa"/>
            <w:vAlign w:val="center"/>
          </w:tcPr>
          <w:p w14:paraId="0905A0F8">
            <w:pPr>
              <w:pStyle w:val="84"/>
              <w:rPr>
                <w:rFonts w:eastAsia="宋体"/>
              </w:rPr>
            </w:pPr>
            <w:r>
              <w:t>23</w:t>
            </w:r>
          </w:p>
        </w:tc>
        <w:tc>
          <w:tcPr>
            <w:tcW w:w="800" w:type="dxa"/>
            <w:vAlign w:val="center"/>
          </w:tcPr>
          <w:p w14:paraId="511185A3">
            <w:pPr>
              <w:pStyle w:val="84"/>
              <w:rPr>
                <w:rFonts w:eastAsia="宋体"/>
              </w:rPr>
            </w:pPr>
            <w:r>
              <w:t>16.7</w:t>
            </w:r>
          </w:p>
        </w:tc>
        <w:tc>
          <w:tcPr>
            <w:tcW w:w="799" w:type="dxa"/>
            <w:vAlign w:val="center"/>
          </w:tcPr>
          <w:p w14:paraId="799D5A3C">
            <w:pPr>
              <w:pStyle w:val="84"/>
              <w:rPr>
                <w:rFonts w:eastAsia="宋体"/>
              </w:rPr>
            </w:pPr>
            <w:r>
              <w:t>8.22</w:t>
            </w:r>
          </w:p>
        </w:tc>
        <w:tc>
          <w:tcPr>
            <w:tcW w:w="800" w:type="dxa"/>
            <w:vAlign w:val="center"/>
          </w:tcPr>
          <w:p w14:paraId="5AD49E34">
            <w:pPr>
              <w:pStyle w:val="84"/>
              <w:rPr>
                <w:rFonts w:eastAsia="宋体"/>
              </w:rPr>
            </w:pPr>
            <w:r>
              <w:t>23.5</w:t>
            </w:r>
          </w:p>
        </w:tc>
        <w:tc>
          <w:tcPr>
            <w:tcW w:w="800" w:type="dxa"/>
            <w:vAlign w:val="center"/>
          </w:tcPr>
          <w:p w14:paraId="6391FC0E">
            <w:pPr>
              <w:pStyle w:val="84"/>
              <w:rPr>
                <w:rFonts w:eastAsia="宋体"/>
              </w:rPr>
            </w:pPr>
            <w:r>
              <w:t xml:space="preserve">65.32 </w:t>
            </w:r>
          </w:p>
        </w:tc>
      </w:tr>
      <w:tr w14:paraId="4E286A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14:paraId="012D4A1A">
            <w:pPr>
              <w:ind w:firstLine="0" w:firstLineChars="0"/>
              <w:jc w:val="center"/>
              <w:rPr>
                <w:rFonts w:eastAsia="仿宋"/>
                <w:sz w:val="21"/>
                <w:szCs w:val="21"/>
              </w:rPr>
            </w:pPr>
          </w:p>
        </w:tc>
        <w:tc>
          <w:tcPr>
            <w:tcW w:w="1751" w:type="dxa"/>
            <w:vAlign w:val="center"/>
          </w:tcPr>
          <w:p w14:paraId="10391F97">
            <w:pPr>
              <w:pStyle w:val="84"/>
            </w:pPr>
            <w:r>
              <w:rPr>
                <w:rFonts w:hint="eastAsia"/>
              </w:rPr>
              <w:t>灌溉用水量</w:t>
            </w:r>
          </w:p>
        </w:tc>
        <w:tc>
          <w:tcPr>
            <w:tcW w:w="799" w:type="dxa"/>
            <w:vAlign w:val="center"/>
          </w:tcPr>
          <w:p w14:paraId="3694F6BB">
            <w:pPr>
              <w:pStyle w:val="84"/>
              <w:rPr>
                <w:rFonts w:eastAsia="宋体"/>
              </w:rPr>
            </w:pPr>
            <w:r>
              <w:t>1.13</w:t>
            </w:r>
          </w:p>
        </w:tc>
        <w:tc>
          <w:tcPr>
            <w:tcW w:w="800" w:type="dxa"/>
            <w:vAlign w:val="center"/>
          </w:tcPr>
          <w:p w14:paraId="42DD725B">
            <w:pPr>
              <w:pStyle w:val="84"/>
              <w:rPr>
                <w:rFonts w:eastAsia="宋体"/>
              </w:rPr>
            </w:pPr>
            <w:r>
              <w:t>0.18</w:t>
            </w:r>
          </w:p>
        </w:tc>
        <w:tc>
          <w:tcPr>
            <w:tcW w:w="799" w:type="dxa"/>
            <w:vAlign w:val="center"/>
          </w:tcPr>
          <w:p w14:paraId="5F6C7E70">
            <w:pPr>
              <w:pStyle w:val="84"/>
              <w:rPr>
                <w:rFonts w:eastAsia="宋体"/>
              </w:rPr>
            </w:pPr>
            <w:r>
              <w:t>0.56</w:t>
            </w:r>
          </w:p>
        </w:tc>
        <w:tc>
          <w:tcPr>
            <w:tcW w:w="800" w:type="dxa"/>
            <w:vAlign w:val="center"/>
          </w:tcPr>
          <w:p w14:paraId="03DF6AF0">
            <w:pPr>
              <w:pStyle w:val="84"/>
              <w:rPr>
                <w:rFonts w:eastAsia="宋体"/>
              </w:rPr>
            </w:pPr>
            <w:r>
              <w:t>0.18</w:t>
            </w:r>
          </w:p>
        </w:tc>
        <w:tc>
          <w:tcPr>
            <w:tcW w:w="800" w:type="dxa"/>
            <w:vAlign w:val="center"/>
          </w:tcPr>
          <w:p w14:paraId="5575D8FF">
            <w:pPr>
              <w:pStyle w:val="84"/>
              <w:rPr>
                <w:rFonts w:eastAsia="宋体"/>
              </w:rPr>
            </w:pPr>
            <w:r>
              <w:t>0.18</w:t>
            </w:r>
          </w:p>
        </w:tc>
        <w:tc>
          <w:tcPr>
            <w:tcW w:w="799" w:type="dxa"/>
            <w:vAlign w:val="center"/>
          </w:tcPr>
          <w:p w14:paraId="58232436">
            <w:pPr>
              <w:pStyle w:val="84"/>
              <w:rPr>
                <w:rFonts w:eastAsia="宋体"/>
              </w:rPr>
            </w:pPr>
            <w:r>
              <w:t>0.37</w:t>
            </w:r>
          </w:p>
        </w:tc>
        <w:tc>
          <w:tcPr>
            <w:tcW w:w="800" w:type="dxa"/>
            <w:vAlign w:val="center"/>
          </w:tcPr>
          <w:p w14:paraId="563EC483">
            <w:pPr>
              <w:pStyle w:val="84"/>
              <w:rPr>
                <w:rFonts w:eastAsia="宋体"/>
              </w:rPr>
            </w:pPr>
            <w:r>
              <w:t>0.69</w:t>
            </w:r>
          </w:p>
        </w:tc>
        <w:tc>
          <w:tcPr>
            <w:tcW w:w="799" w:type="dxa"/>
            <w:vAlign w:val="center"/>
          </w:tcPr>
          <w:p w14:paraId="51011D00">
            <w:pPr>
              <w:pStyle w:val="84"/>
              <w:rPr>
                <w:rFonts w:eastAsia="宋体"/>
              </w:rPr>
            </w:pPr>
            <w:r>
              <w:t>0.79</w:t>
            </w:r>
          </w:p>
        </w:tc>
        <w:tc>
          <w:tcPr>
            <w:tcW w:w="800" w:type="dxa"/>
            <w:vAlign w:val="center"/>
          </w:tcPr>
          <w:p w14:paraId="7B2DEC83">
            <w:pPr>
              <w:pStyle w:val="84"/>
              <w:rPr>
                <w:rFonts w:eastAsia="宋体"/>
              </w:rPr>
            </w:pPr>
            <w:r>
              <w:t>1.05</w:t>
            </w:r>
          </w:p>
        </w:tc>
        <w:tc>
          <w:tcPr>
            <w:tcW w:w="800" w:type="dxa"/>
            <w:vAlign w:val="center"/>
          </w:tcPr>
          <w:p w14:paraId="41D2E1EF">
            <w:pPr>
              <w:pStyle w:val="84"/>
              <w:rPr>
                <w:rFonts w:eastAsia="宋体"/>
              </w:rPr>
            </w:pPr>
            <w:r>
              <w:t>0.85</w:t>
            </w:r>
          </w:p>
        </w:tc>
        <w:tc>
          <w:tcPr>
            <w:tcW w:w="799" w:type="dxa"/>
            <w:vAlign w:val="center"/>
          </w:tcPr>
          <w:p w14:paraId="36D96ED3">
            <w:pPr>
              <w:pStyle w:val="84"/>
              <w:rPr>
                <w:rFonts w:eastAsia="宋体"/>
              </w:rPr>
            </w:pPr>
            <w:r>
              <w:t>1.21</w:t>
            </w:r>
          </w:p>
        </w:tc>
        <w:tc>
          <w:tcPr>
            <w:tcW w:w="800" w:type="dxa"/>
            <w:vAlign w:val="center"/>
          </w:tcPr>
          <w:p w14:paraId="0F83A40E">
            <w:pPr>
              <w:pStyle w:val="84"/>
              <w:rPr>
                <w:rFonts w:eastAsia="宋体"/>
              </w:rPr>
            </w:pPr>
            <w:r>
              <w:t>4.63</w:t>
            </w:r>
          </w:p>
        </w:tc>
        <w:tc>
          <w:tcPr>
            <w:tcW w:w="800" w:type="dxa"/>
            <w:vAlign w:val="center"/>
          </w:tcPr>
          <w:p w14:paraId="58A260FA">
            <w:pPr>
              <w:pStyle w:val="84"/>
              <w:rPr>
                <w:rFonts w:eastAsia="宋体"/>
              </w:rPr>
            </w:pPr>
            <w:r>
              <w:t xml:space="preserve">0.99 </w:t>
            </w:r>
          </w:p>
        </w:tc>
      </w:tr>
      <w:tr w14:paraId="779237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14:paraId="054A544D">
            <w:pPr>
              <w:ind w:firstLine="0" w:firstLineChars="0"/>
              <w:jc w:val="center"/>
              <w:rPr>
                <w:rFonts w:eastAsia="仿宋"/>
                <w:sz w:val="21"/>
                <w:szCs w:val="21"/>
              </w:rPr>
            </w:pPr>
          </w:p>
        </w:tc>
        <w:tc>
          <w:tcPr>
            <w:tcW w:w="1751" w:type="dxa"/>
            <w:vAlign w:val="center"/>
          </w:tcPr>
          <w:p w14:paraId="09F55671">
            <w:pPr>
              <w:spacing w:line="240" w:lineRule="auto"/>
              <w:ind w:firstLine="0" w:firstLineChars="0"/>
              <w:jc w:val="center"/>
              <w:rPr>
                <w:rFonts w:eastAsia="仿宋"/>
                <w:sz w:val="21"/>
                <w:szCs w:val="21"/>
              </w:rPr>
            </w:pPr>
            <w:r>
              <w:rPr>
                <w:rFonts w:eastAsia="仿宋"/>
                <w:sz w:val="21"/>
                <w:szCs w:val="21"/>
              </w:rPr>
              <w:t>可供水量</w:t>
            </w:r>
          </w:p>
        </w:tc>
        <w:tc>
          <w:tcPr>
            <w:tcW w:w="799" w:type="dxa"/>
            <w:vAlign w:val="center"/>
          </w:tcPr>
          <w:p w14:paraId="7ABAB553">
            <w:pPr>
              <w:pStyle w:val="84"/>
              <w:rPr>
                <w:rFonts w:eastAsia="宋体"/>
              </w:rPr>
            </w:pPr>
            <w:r>
              <w:t>67.17</w:t>
            </w:r>
          </w:p>
        </w:tc>
        <w:tc>
          <w:tcPr>
            <w:tcW w:w="800" w:type="dxa"/>
            <w:vAlign w:val="center"/>
          </w:tcPr>
          <w:p w14:paraId="1449EC90">
            <w:pPr>
              <w:pStyle w:val="84"/>
              <w:rPr>
                <w:rFonts w:eastAsia="宋体"/>
              </w:rPr>
            </w:pPr>
            <w:r>
              <w:t>125.82</w:t>
            </w:r>
          </w:p>
        </w:tc>
        <w:tc>
          <w:tcPr>
            <w:tcW w:w="799" w:type="dxa"/>
            <w:vAlign w:val="center"/>
          </w:tcPr>
          <w:p w14:paraId="5B50B7A8">
            <w:pPr>
              <w:pStyle w:val="84"/>
              <w:rPr>
                <w:rFonts w:eastAsia="宋体"/>
              </w:rPr>
            </w:pPr>
            <w:r>
              <w:t>174.44</w:t>
            </w:r>
          </w:p>
        </w:tc>
        <w:tc>
          <w:tcPr>
            <w:tcW w:w="800" w:type="dxa"/>
            <w:vAlign w:val="center"/>
          </w:tcPr>
          <w:p w14:paraId="08BA503B">
            <w:pPr>
              <w:pStyle w:val="84"/>
              <w:rPr>
                <w:rFonts w:eastAsia="宋体"/>
              </w:rPr>
            </w:pPr>
            <w:r>
              <w:t>126.82</w:t>
            </w:r>
          </w:p>
        </w:tc>
        <w:tc>
          <w:tcPr>
            <w:tcW w:w="800" w:type="dxa"/>
            <w:vAlign w:val="center"/>
          </w:tcPr>
          <w:p w14:paraId="5963A9E9">
            <w:pPr>
              <w:pStyle w:val="84"/>
              <w:rPr>
                <w:rFonts w:eastAsia="宋体"/>
              </w:rPr>
            </w:pPr>
            <w:r>
              <w:t>96.92</w:t>
            </w:r>
          </w:p>
        </w:tc>
        <w:tc>
          <w:tcPr>
            <w:tcW w:w="799" w:type="dxa"/>
            <w:vAlign w:val="center"/>
          </w:tcPr>
          <w:p w14:paraId="751E7DD8">
            <w:pPr>
              <w:pStyle w:val="84"/>
              <w:rPr>
                <w:rFonts w:eastAsia="宋体"/>
              </w:rPr>
            </w:pPr>
            <w:r>
              <w:t>54.63</w:t>
            </w:r>
          </w:p>
        </w:tc>
        <w:tc>
          <w:tcPr>
            <w:tcW w:w="800" w:type="dxa"/>
            <w:vAlign w:val="center"/>
          </w:tcPr>
          <w:p w14:paraId="1D5A7C31">
            <w:pPr>
              <w:pStyle w:val="84"/>
              <w:rPr>
                <w:rFonts w:eastAsia="宋体"/>
              </w:rPr>
            </w:pPr>
            <w:r>
              <w:t>33.71</w:t>
            </w:r>
          </w:p>
        </w:tc>
        <w:tc>
          <w:tcPr>
            <w:tcW w:w="799" w:type="dxa"/>
            <w:vAlign w:val="center"/>
          </w:tcPr>
          <w:p w14:paraId="31E09655">
            <w:pPr>
              <w:pStyle w:val="84"/>
              <w:rPr>
                <w:rFonts w:eastAsia="宋体"/>
              </w:rPr>
            </w:pPr>
            <w:r>
              <w:t>28.81</w:t>
            </w:r>
          </w:p>
        </w:tc>
        <w:tc>
          <w:tcPr>
            <w:tcW w:w="800" w:type="dxa"/>
            <w:vAlign w:val="center"/>
          </w:tcPr>
          <w:p w14:paraId="3130AA45">
            <w:pPr>
              <w:pStyle w:val="84"/>
              <w:rPr>
                <w:rFonts w:eastAsia="宋体"/>
              </w:rPr>
            </w:pPr>
            <w:r>
              <w:t>21.95</w:t>
            </w:r>
          </w:p>
        </w:tc>
        <w:tc>
          <w:tcPr>
            <w:tcW w:w="800" w:type="dxa"/>
            <w:vAlign w:val="center"/>
          </w:tcPr>
          <w:p w14:paraId="5A19474F">
            <w:pPr>
              <w:pStyle w:val="84"/>
              <w:rPr>
                <w:rFonts w:eastAsia="宋体"/>
              </w:rPr>
            </w:pPr>
            <w:r>
              <w:t>15.85</w:t>
            </w:r>
          </w:p>
        </w:tc>
        <w:tc>
          <w:tcPr>
            <w:tcW w:w="799" w:type="dxa"/>
            <w:vAlign w:val="center"/>
          </w:tcPr>
          <w:p w14:paraId="7CF775CD">
            <w:pPr>
              <w:pStyle w:val="84"/>
              <w:rPr>
                <w:rFonts w:eastAsia="宋体"/>
              </w:rPr>
            </w:pPr>
            <w:r>
              <w:t>7.01</w:t>
            </w:r>
          </w:p>
        </w:tc>
        <w:tc>
          <w:tcPr>
            <w:tcW w:w="800" w:type="dxa"/>
            <w:vAlign w:val="center"/>
          </w:tcPr>
          <w:p w14:paraId="1335CF51">
            <w:pPr>
              <w:pStyle w:val="84"/>
              <w:rPr>
                <w:rFonts w:eastAsia="宋体"/>
              </w:rPr>
            </w:pPr>
            <w:r>
              <w:t>18.87</w:t>
            </w:r>
          </w:p>
        </w:tc>
        <w:tc>
          <w:tcPr>
            <w:tcW w:w="800" w:type="dxa"/>
            <w:vAlign w:val="center"/>
          </w:tcPr>
          <w:p w14:paraId="6BA5E328">
            <w:pPr>
              <w:pStyle w:val="84"/>
              <w:rPr>
                <w:rFonts w:eastAsia="宋体"/>
              </w:rPr>
            </w:pPr>
            <w:r>
              <w:t xml:space="preserve">64.33 </w:t>
            </w:r>
          </w:p>
        </w:tc>
      </w:tr>
      <w:tr w14:paraId="15B3B9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14:paraId="3EB97CB6">
            <w:pPr>
              <w:ind w:firstLine="0" w:firstLineChars="0"/>
              <w:jc w:val="center"/>
              <w:rPr>
                <w:rFonts w:eastAsia="仿宋"/>
                <w:sz w:val="21"/>
                <w:szCs w:val="21"/>
              </w:rPr>
            </w:pPr>
          </w:p>
        </w:tc>
        <w:tc>
          <w:tcPr>
            <w:tcW w:w="1751" w:type="dxa"/>
            <w:vAlign w:val="center"/>
          </w:tcPr>
          <w:p w14:paraId="5CC133CC">
            <w:pPr>
              <w:spacing w:line="240" w:lineRule="auto"/>
              <w:ind w:firstLine="0" w:firstLineChars="0"/>
              <w:jc w:val="center"/>
              <w:rPr>
                <w:rFonts w:eastAsia="仿宋"/>
                <w:sz w:val="21"/>
                <w:szCs w:val="21"/>
              </w:rPr>
            </w:pPr>
            <w:r>
              <w:rPr>
                <w:rFonts w:eastAsia="仿宋"/>
                <w:sz w:val="21"/>
                <w:szCs w:val="21"/>
              </w:rPr>
              <w:t>发电用水量</w:t>
            </w:r>
          </w:p>
        </w:tc>
        <w:tc>
          <w:tcPr>
            <w:tcW w:w="799" w:type="dxa"/>
            <w:vAlign w:val="center"/>
          </w:tcPr>
          <w:p w14:paraId="197F3928">
            <w:pPr>
              <w:pStyle w:val="84"/>
              <w:rPr>
                <w:rFonts w:eastAsia="宋体"/>
              </w:rPr>
            </w:pPr>
            <w:r>
              <w:t>67.17</w:t>
            </w:r>
          </w:p>
        </w:tc>
        <w:tc>
          <w:tcPr>
            <w:tcW w:w="800" w:type="dxa"/>
            <w:vAlign w:val="center"/>
          </w:tcPr>
          <w:p w14:paraId="056A1E3B">
            <w:pPr>
              <w:pStyle w:val="84"/>
              <w:rPr>
                <w:rFonts w:eastAsia="宋体"/>
              </w:rPr>
            </w:pPr>
            <w:r>
              <w:t>106.3</w:t>
            </w:r>
          </w:p>
        </w:tc>
        <w:tc>
          <w:tcPr>
            <w:tcW w:w="799" w:type="dxa"/>
            <w:vAlign w:val="center"/>
          </w:tcPr>
          <w:p w14:paraId="7DED9B5D">
            <w:pPr>
              <w:pStyle w:val="84"/>
              <w:rPr>
                <w:rFonts w:eastAsia="宋体"/>
              </w:rPr>
            </w:pPr>
            <w:r>
              <w:t>106.3</w:t>
            </w:r>
          </w:p>
        </w:tc>
        <w:tc>
          <w:tcPr>
            <w:tcW w:w="800" w:type="dxa"/>
            <w:vAlign w:val="center"/>
          </w:tcPr>
          <w:p w14:paraId="790B3985">
            <w:pPr>
              <w:pStyle w:val="84"/>
              <w:rPr>
                <w:rFonts w:eastAsia="宋体"/>
              </w:rPr>
            </w:pPr>
            <w:r>
              <w:t>106.3</w:t>
            </w:r>
          </w:p>
        </w:tc>
        <w:tc>
          <w:tcPr>
            <w:tcW w:w="800" w:type="dxa"/>
            <w:vAlign w:val="center"/>
          </w:tcPr>
          <w:p w14:paraId="052A914C">
            <w:pPr>
              <w:pStyle w:val="84"/>
              <w:rPr>
                <w:rFonts w:eastAsia="宋体"/>
              </w:rPr>
            </w:pPr>
            <w:r>
              <w:t>96.92</w:t>
            </w:r>
          </w:p>
        </w:tc>
        <w:tc>
          <w:tcPr>
            <w:tcW w:w="799" w:type="dxa"/>
            <w:vAlign w:val="center"/>
          </w:tcPr>
          <w:p w14:paraId="51BCE3F5">
            <w:pPr>
              <w:pStyle w:val="84"/>
              <w:rPr>
                <w:rFonts w:eastAsia="宋体"/>
              </w:rPr>
            </w:pPr>
            <w:r>
              <w:t>54.63</w:t>
            </w:r>
          </w:p>
        </w:tc>
        <w:tc>
          <w:tcPr>
            <w:tcW w:w="800" w:type="dxa"/>
            <w:vAlign w:val="center"/>
          </w:tcPr>
          <w:p w14:paraId="348DDB18">
            <w:pPr>
              <w:pStyle w:val="84"/>
              <w:rPr>
                <w:rFonts w:eastAsia="宋体"/>
              </w:rPr>
            </w:pPr>
            <w:r>
              <w:t>33.71</w:t>
            </w:r>
          </w:p>
        </w:tc>
        <w:tc>
          <w:tcPr>
            <w:tcW w:w="799" w:type="dxa"/>
            <w:vAlign w:val="center"/>
          </w:tcPr>
          <w:p w14:paraId="69122BAF">
            <w:pPr>
              <w:pStyle w:val="84"/>
              <w:rPr>
                <w:rFonts w:eastAsia="宋体"/>
              </w:rPr>
            </w:pPr>
            <w:r>
              <w:t>28.81</w:t>
            </w:r>
          </w:p>
        </w:tc>
        <w:tc>
          <w:tcPr>
            <w:tcW w:w="800" w:type="dxa"/>
            <w:vAlign w:val="center"/>
          </w:tcPr>
          <w:p w14:paraId="3480D40B">
            <w:pPr>
              <w:pStyle w:val="84"/>
              <w:rPr>
                <w:rFonts w:eastAsia="宋体"/>
              </w:rPr>
            </w:pPr>
            <w:r>
              <w:t>21.95</w:t>
            </w:r>
          </w:p>
        </w:tc>
        <w:tc>
          <w:tcPr>
            <w:tcW w:w="800" w:type="dxa"/>
            <w:vAlign w:val="center"/>
          </w:tcPr>
          <w:p w14:paraId="7D982BCC">
            <w:pPr>
              <w:pStyle w:val="84"/>
              <w:rPr>
                <w:rFonts w:eastAsia="宋体"/>
              </w:rPr>
            </w:pPr>
            <w:r>
              <w:t>0</w:t>
            </w:r>
          </w:p>
        </w:tc>
        <w:tc>
          <w:tcPr>
            <w:tcW w:w="799" w:type="dxa"/>
            <w:vAlign w:val="center"/>
          </w:tcPr>
          <w:p w14:paraId="4B9466DA">
            <w:pPr>
              <w:pStyle w:val="84"/>
              <w:rPr>
                <w:rFonts w:eastAsia="宋体"/>
              </w:rPr>
            </w:pPr>
            <w:r>
              <w:t>0</w:t>
            </w:r>
          </w:p>
        </w:tc>
        <w:tc>
          <w:tcPr>
            <w:tcW w:w="800" w:type="dxa"/>
            <w:vAlign w:val="center"/>
          </w:tcPr>
          <w:p w14:paraId="4743F179">
            <w:pPr>
              <w:pStyle w:val="84"/>
              <w:rPr>
                <w:rFonts w:eastAsia="宋体"/>
              </w:rPr>
            </w:pPr>
            <w:r>
              <w:t>18.87</w:t>
            </w:r>
          </w:p>
        </w:tc>
        <w:tc>
          <w:tcPr>
            <w:tcW w:w="800" w:type="dxa"/>
            <w:vAlign w:val="center"/>
          </w:tcPr>
          <w:p w14:paraId="5F4924B2">
            <w:pPr>
              <w:pStyle w:val="84"/>
              <w:rPr>
                <w:rFonts w:eastAsia="宋体"/>
              </w:rPr>
            </w:pPr>
            <w:r>
              <w:t xml:space="preserve">53.41 </w:t>
            </w:r>
          </w:p>
        </w:tc>
      </w:tr>
      <w:tr w14:paraId="2B1147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14:paraId="14906082">
            <w:pPr>
              <w:ind w:firstLine="0" w:firstLineChars="0"/>
              <w:jc w:val="center"/>
              <w:rPr>
                <w:rFonts w:eastAsia="仿宋"/>
                <w:sz w:val="21"/>
                <w:szCs w:val="21"/>
              </w:rPr>
            </w:pPr>
          </w:p>
        </w:tc>
        <w:tc>
          <w:tcPr>
            <w:tcW w:w="1751" w:type="dxa"/>
            <w:vAlign w:val="center"/>
          </w:tcPr>
          <w:p w14:paraId="3F9E089E">
            <w:pPr>
              <w:spacing w:line="240" w:lineRule="auto"/>
              <w:ind w:firstLine="0" w:firstLineChars="0"/>
              <w:jc w:val="center"/>
              <w:rPr>
                <w:rFonts w:eastAsia="仿宋"/>
                <w:sz w:val="21"/>
                <w:szCs w:val="21"/>
              </w:rPr>
            </w:pPr>
            <w:r>
              <w:rPr>
                <w:rFonts w:hint="eastAsia" w:eastAsia="仿宋"/>
                <w:sz w:val="21"/>
                <w:szCs w:val="21"/>
              </w:rPr>
              <w:t>弃水量</w:t>
            </w:r>
          </w:p>
        </w:tc>
        <w:tc>
          <w:tcPr>
            <w:tcW w:w="799" w:type="dxa"/>
            <w:vAlign w:val="center"/>
          </w:tcPr>
          <w:p w14:paraId="252328F4">
            <w:pPr>
              <w:pStyle w:val="84"/>
              <w:rPr>
                <w:rFonts w:eastAsia="宋体"/>
              </w:rPr>
            </w:pPr>
            <w:r>
              <w:t>0</w:t>
            </w:r>
          </w:p>
        </w:tc>
        <w:tc>
          <w:tcPr>
            <w:tcW w:w="800" w:type="dxa"/>
            <w:vAlign w:val="center"/>
          </w:tcPr>
          <w:p w14:paraId="401E7804">
            <w:pPr>
              <w:pStyle w:val="84"/>
              <w:rPr>
                <w:rFonts w:eastAsia="宋体"/>
              </w:rPr>
            </w:pPr>
            <w:r>
              <w:t>19.52</w:t>
            </w:r>
          </w:p>
        </w:tc>
        <w:tc>
          <w:tcPr>
            <w:tcW w:w="799" w:type="dxa"/>
            <w:vAlign w:val="center"/>
          </w:tcPr>
          <w:p w14:paraId="0A990DB8">
            <w:pPr>
              <w:pStyle w:val="84"/>
              <w:rPr>
                <w:rFonts w:eastAsia="宋体"/>
              </w:rPr>
            </w:pPr>
            <w:r>
              <w:t>68.14</w:t>
            </w:r>
          </w:p>
        </w:tc>
        <w:tc>
          <w:tcPr>
            <w:tcW w:w="800" w:type="dxa"/>
            <w:vAlign w:val="center"/>
          </w:tcPr>
          <w:p w14:paraId="77D02AD1">
            <w:pPr>
              <w:pStyle w:val="84"/>
              <w:rPr>
                <w:rFonts w:eastAsia="宋体"/>
              </w:rPr>
            </w:pPr>
            <w:r>
              <w:t>20.52</w:t>
            </w:r>
          </w:p>
        </w:tc>
        <w:tc>
          <w:tcPr>
            <w:tcW w:w="800" w:type="dxa"/>
            <w:vAlign w:val="center"/>
          </w:tcPr>
          <w:p w14:paraId="144ABD4A">
            <w:pPr>
              <w:pStyle w:val="84"/>
              <w:rPr>
                <w:rFonts w:eastAsia="宋体"/>
              </w:rPr>
            </w:pPr>
            <w:r>
              <w:t>0</w:t>
            </w:r>
          </w:p>
        </w:tc>
        <w:tc>
          <w:tcPr>
            <w:tcW w:w="799" w:type="dxa"/>
            <w:vAlign w:val="center"/>
          </w:tcPr>
          <w:p w14:paraId="4DBE9A0B">
            <w:pPr>
              <w:pStyle w:val="84"/>
              <w:rPr>
                <w:rFonts w:eastAsia="宋体"/>
              </w:rPr>
            </w:pPr>
            <w:r>
              <w:t>0</w:t>
            </w:r>
          </w:p>
        </w:tc>
        <w:tc>
          <w:tcPr>
            <w:tcW w:w="800" w:type="dxa"/>
            <w:vAlign w:val="center"/>
          </w:tcPr>
          <w:p w14:paraId="7E920AB6">
            <w:pPr>
              <w:pStyle w:val="84"/>
              <w:rPr>
                <w:rFonts w:eastAsia="宋体"/>
              </w:rPr>
            </w:pPr>
            <w:r>
              <w:t>0</w:t>
            </w:r>
          </w:p>
        </w:tc>
        <w:tc>
          <w:tcPr>
            <w:tcW w:w="799" w:type="dxa"/>
            <w:vAlign w:val="center"/>
          </w:tcPr>
          <w:p w14:paraId="08928717">
            <w:pPr>
              <w:pStyle w:val="84"/>
              <w:rPr>
                <w:rFonts w:eastAsia="宋体"/>
              </w:rPr>
            </w:pPr>
            <w:r>
              <w:t>0</w:t>
            </w:r>
          </w:p>
        </w:tc>
        <w:tc>
          <w:tcPr>
            <w:tcW w:w="800" w:type="dxa"/>
            <w:vAlign w:val="center"/>
          </w:tcPr>
          <w:p w14:paraId="6467956C">
            <w:pPr>
              <w:pStyle w:val="84"/>
              <w:rPr>
                <w:rFonts w:eastAsia="宋体"/>
              </w:rPr>
            </w:pPr>
            <w:r>
              <w:t>0</w:t>
            </w:r>
          </w:p>
        </w:tc>
        <w:tc>
          <w:tcPr>
            <w:tcW w:w="800" w:type="dxa"/>
            <w:vAlign w:val="center"/>
          </w:tcPr>
          <w:p w14:paraId="6925760A">
            <w:pPr>
              <w:pStyle w:val="84"/>
              <w:rPr>
                <w:rFonts w:eastAsia="宋体"/>
              </w:rPr>
            </w:pPr>
            <w:r>
              <w:t>15.85</w:t>
            </w:r>
          </w:p>
        </w:tc>
        <w:tc>
          <w:tcPr>
            <w:tcW w:w="799" w:type="dxa"/>
            <w:vAlign w:val="center"/>
          </w:tcPr>
          <w:p w14:paraId="35900AE3">
            <w:pPr>
              <w:pStyle w:val="84"/>
              <w:rPr>
                <w:rFonts w:eastAsia="宋体"/>
              </w:rPr>
            </w:pPr>
            <w:r>
              <w:t>7.01</w:t>
            </w:r>
          </w:p>
        </w:tc>
        <w:tc>
          <w:tcPr>
            <w:tcW w:w="800" w:type="dxa"/>
            <w:vAlign w:val="center"/>
          </w:tcPr>
          <w:p w14:paraId="76DCFDED">
            <w:pPr>
              <w:pStyle w:val="84"/>
              <w:rPr>
                <w:rFonts w:eastAsia="宋体"/>
              </w:rPr>
            </w:pPr>
            <w:r>
              <w:t>0</w:t>
            </w:r>
          </w:p>
        </w:tc>
        <w:tc>
          <w:tcPr>
            <w:tcW w:w="800" w:type="dxa"/>
            <w:vAlign w:val="center"/>
          </w:tcPr>
          <w:p w14:paraId="71E7CE98">
            <w:pPr>
              <w:pStyle w:val="84"/>
              <w:rPr>
                <w:rFonts w:eastAsia="宋体"/>
              </w:rPr>
            </w:pPr>
            <w:r>
              <w:t xml:space="preserve">10.92 </w:t>
            </w:r>
          </w:p>
        </w:tc>
      </w:tr>
      <w:tr w14:paraId="04514E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restart"/>
            <w:vAlign w:val="center"/>
          </w:tcPr>
          <w:p w14:paraId="292AD267">
            <w:pPr>
              <w:spacing w:line="240" w:lineRule="auto"/>
              <w:ind w:firstLine="0" w:firstLineChars="0"/>
              <w:jc w:val="center"/>
              <w:rPr>
                <w:rFonts w:eastAsia="仿宋"/>
                <w:spacing w:val="-19"/>
                <w:sz w:val="21"/>
                <w:szCs w:val="21"/>
              </w:rPr>
            </w:pPr>
            <w:r>
              <w:rPr>
                <w:rFonts w:eastAsia="仿宋"/>
                <w:spacing w:val="-19"/>
                <w:sz w:val="21"/>
                <w:szCs w:val="21"/>
              </w:rPr>
              <w:t>P=50%</w:t>
            </w:r>
          </w:p>
          <w:p w14:paraId="767D3FED">
            <w:pPr>
              <w:spacing w:line="240" w:lineRule="auto"/>
              <w:ind w:firstLine="0" w:firstLineChars="0"/>
              <w:jc w:val="center"/>
              <w:rPr>
                <w:rFonts w:eastAsia="仿宋"/>
                <w:spacing w:val="-19"/>
                <w:sz w:val="21"/>
                <w:szCs w:val="21"/>
              </w:rPr>
            </w:pPr>
            <w:r>
              <w:rPr>
                <w:rFonts w:eastAsia="仿宋"/>
                <w:spacing w:val="-19"/>
                <w:sz w:val="21"/>
                <w:szCs w:val="21"/>
              </w:rPr>
              <w:t>（平水年）</w:t>
            </w:r>
          </w:p>
        </w:tc>
        <w:tc>
          <w:tcPr>
            <w:tcW w:w="1751" w:type="dxa"/>
            <w:vAlign w:val="center"/>
          </w:tcPr>
          <w:p w14:paraId="3F02D910">
            <w:pPr>
              <w:spacing w:line="240" w:lineRule="auto"/>
              <w:ind w:firstLine="0" w:firstLineChars="0"/>
              <w:jc w:val="center"/>
              <w:rPr>
                <w:rFonts w:eastAsia="仿宋"/>
                <w:sz w:val="21"/>
                <w:szCs w:val="21"/>
              </w:rPr>
            </w:pPr>
            <w:r>
              <w:rPr>
                <w:rFonts w:eastAsia="仿宋"/>
                <w:sz w:val="21"/>
                <w:szCs w:val="21"/>
              </w:rPr>
              <w:t>上游天然来水量</w:t>
            </w:r>
          </w:p>
        </w:tc>
        <w:tc>
          <w:tcPr>
            <w:tcW w:w="799" w:type="dxa"/>
            <w:vAlign w:val="center"/>
          </w:tcPr>
          <w:p w14:paraId="703BAB4E">
            <w:pPr>
              <w:pStyle w:val="84"/>
              <w:rPr>
                <w:rFonts w:eastAsia="宋体"/>
              </w:rPr>
            </w:pPr>
            <w:r>
              <w:t>56.5</w:t>
            </w:r>
          </w:p>
        </w:tc>
        <w:tc>
          <w:tcPr>
            <w:tcW w:w="800" w:type="dxa"/>
            <w:vAlign w:val="center"/>
          </w:tcPr>
          <w:p w14:paraId="5606379A">
            <w:pPr>
              <w:pStyle w:val="84"/>
              <w:rPr>
                <w:rFonts w:eastAsia="宋体"/>
              </w:rPr>
            </w:pPr>
            <w:r>
              <w:t>96.5</w:t>
            </w:r>
          </w:p>
        </w:tc>
        <w:tc>
          <w:tcPr>
            <w:tcW w:w="799" w:type="dxa"/>
            <w:vAlign w:val="center"/>
          </w:tcPr>
          <w:p w14:paraId="3E15D2F8">
            <w:pPr>
              <w:pStyle w:val="84"/>
              <w:rPr>
                <w:rFonts w:eastAsia="宋体"/>
              </w:rPr>
            </w:pPr>
            <w:r>
              <w:t>113</w:t>
            </w:r>
          </w:p>
        </w:tc>
        <w:tc>
          <w:tcPr>
            <w:tcW w:w="800" w:type="dxa"/>
            <w:vAlign w:val="center"/>
          </w:tcPr>
          <w:p w14:paraId="3EC397F9">
            <w:pPr>
              <w:pStyle w:val="84"/>
              <w:rPr>
                <w:rFonts w:eastAsia="宋体"/>
              </w:rPr>
            </w:pPr>
            <w:r>
              <w:t>134</w:t>
            </w:r>
          </w:p>
        </w:tc>
        <w:tc>
          <w:tcPr>
            <w:tcW w:w="800" w:type="dxa"/>
            <w:vAlign w:val="center"/>
          </w:tcPr>
          <w:p w14:paraId="6405C6E2">
            <w:pPr>
              <w:pStyle w:val="84"/>
              <w:rPr>
                <w:rFonts w:eastAsia="宋体"/>
              </w:rPr>
            </w:pPr>
            <w:r>
              <w:t>74.6</w:t>
            </w:r>
          </w:p>
        </w:tc>
        <w:tc>
          <w:tcPr>
            <w:tcW w:w="799" w:type="dxa"/>
            <w:vAlign w:val="center"/>
          </w:tcPr>
          <w:p w14:paraId="4EF6189C">
            <w:pPr>
              <w:pStyle w:val="84"/>
              <w:rPr>
                <w:rFonts w:eastAsia="宋体"/>
              </w:rPr>
            </w:pPr>
            <w:r>
              <w:t>43.4</w:t>
            </w:r>
          </w:p>
        </w:tc>
        <w:tc>
          <w:tcPr>
            <w:tcW w:w="800" w:type="dxa"/>
            <w:vAlign w:val="center"/>
          </w:tcPr>
          <w:p w14:paraId="438BA7E4">
            <w:pPr>
              <w:pStyle w:val="84"/>
              <w:rPr>
                <w:rFonts w:eastAsia="宋体"/>
              </w:rPr>
            </w:pPr>
            <w:r>
              <w:t>29.3</w:t>
            </w:r>
          </w:p>
        </w:tc>
        <w:tc>
          <w:tcPr>
            <w:tcW w:w="799" w:type="dxa"/>
            <w:vAlign w:val="center"/>
          </w:tcPr>
          <w:p w14:paraId="00D9138A">
            <w:pPr>
              <w:pStyle w:val="84"/>
              <w:rPr>
                <w:rFonts w:eastAsia="宋体"/>
              </w:rPr>
            </w:pPr>
            <w:r>
              <w:t>21.5</w:t>
            </w:r>
          </w:p>
        </w:tc>
        <w:tc>
          <w:tcPr>
            <w:tcW w:w="800" w:type="dxa"/>
            <w:vAlign w:val="center"/>
          </w:tcPr>
          <w:p w14:paraId="48902215">
            <w:pPr>
              <w:pStyle w:val="84"/>
              <w:rPr>
                <w:rFonts w:eastAsia="宋体"/>
              </w:rPr>
            </w:pPr>
            <w:r>
              <w:t>16.3</w:t>
            </w:r>
          </w:p>
        </w:tc>
        <w:tc>
          <w:tcPr>
            <w:tcW w:w="800" w:type="dxa"/>
            <w:vAlign w:val="center"/>
          </w:tcPr>
          <w:p w14:paraId="1EB53122">
            <w:pPr>
              <w:pStyle w:val="84"/>
              <w:rPr>
                <w:rFonts w:eastAsia="宋体"/>
              </w:rPr>
            </w:pPr>
            <w:r>
              <w:t>12.7</w:t>
            </w:r>
          </w:p>
        </w:tc>
        <w:tc>
          <w:tcPr>
            <w:tcW w:w="799" w:type="dxa"/>
            <w:vAlign w:val="center"/>
          </w:tcPr>
          <w:p w14:paraId="37C658C1">
            <w:pPr>
              <w:pStyle w:val="84"/>
              <w:rPr>
                <w:rFonts w:eastAsia="宋体"/>
              </w:rPr>
            </w:pPr>
            <w:r>
              <w:t>5.69</w:t>
            </w:r>
          </w:p>
        </w:tc>
        <w:tc>
          <w:tcPr>
            <w:tcW w:w="800" w:type="dxa"/>
            <w:vAlign w:val="center"/>
          </w:tcPr>
          <w:p w14:paraId="3E76959B">
            <w:pPr>
              <w:pStyle w:val="84"/>
              <w:rPr>
                <w:rFonts w:eastAsia="宋体"/>
              </w:rPr>
            </w:pPr>
            <w:r>
              <w:t>22.6</w:t>
            </w:r>
          </w:p>
        </w:tc>
        <w:tc>
          <w:tcPr>
            <w:tcW w:w="800" w:type="dxa"/>
            <w:vAlign w:val="center"/>
          </w:tcPr>
          <w:p w14:paraId="02D68F45">
            <w:pPr>
              <w:pStyle w:val="84"/>
              <w:rPr>
                <w:rFonts w:eastAsia="宋体"/>
              </w:rPr>
            </w:pPr>
            <w:r>
              <w:t xml:space="preserve">52.17 </w:t>
            </w:r>
          </w:p>
        </w:tc>
      </w:tr>
      <w:tr w14:paraId="55571F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14:paraId="1C5D73F9">
            <w:pPr>
              <w:ind w:firstLine="0" w:firstLineChars="0"/>
              <w:jc w:val="center"/>
              <w:rPr>
                <w:rFonts w:eastAsia="仿宋"/>
                <w:sz w:val="21"/>
                <w:szCs w:val="21"/>
              </w:rPr>
            </w:pPr>
          </w:p>
        </w:tc>
        <w:tc>
          <w:tcPr>
            <w:tcW w:w="1751" w:type="dxa"/>
            <w:vAlign w:val="center"/>
          </w:tcPr>
          <w:p w14:paraId="5B82B21F">
            <w:pPr>
              <w:pStyle w:val="84"/>
            </w:pPr>
            <w:r>
              <w:rPr>
                <w:rFonts w:hint="eastAsia"/>
              </w:rPr>
              <w:t>灌溉用水量</w:t>
            </w:r>
          </w:p>
        </w:tc>
        <w:tc>
          <w:tcPr>
            <w:tcW w:w="799" w:type="dxa"/>
            <w:vAlign w:val="center"/>
          </w:tcPr>
          <w:p w14:paraId="06B0E581">
            <w:pPr>
              <w:pStyle w:val="84"/>
              <w:rPr>
                <w:rFonts w:eastAsia="宋体"/>
              </w:rPr>
            </w:pPr>
            <w:r>
              <w:t>1.13</w:t>
            </w:r>
          </w:p>
        </w:tc>
        <w:tc>
          <w:tcPr>
            <w:tcW w:w="800" w:type="dxa"/>
            <w:vAlign w:val="center"/>
          </w:tcPr>
          <w:p w14:paraId="3114717E">
            <w:pPr>
              <w:pStyle w:val="84"/>
              <w:rPr>
                <w:rFonts w:eastAsia="宋体"/>
              </w:rPr>
            </w:pPr>
            <w:r>
              <w:t>0.18</w:t>
            </w:r>
          </w:p>
        </w:tc>
        <w:tc>
          <w:tcPr>
            <w:tcW w:w="799" w:type="dxa"/>
            <w:vAlign w:val="center"/>
          </w:tcPr>
          <w:p w14:paraId="4EF13B45">
            <w:pPr>
              <w:pStyle w:val="84"/>
              <w:rPr>
                <w:rFonts w:eastAsia="宋体"/>
              </w:rPr>
            </w:pPr>
            <w:r>
              <w:t>0.56</w:t>
            </w:r>
          </w:p>
        </w:tc>
        <w:tc>
          <w:tcPr>
            <w:tcW w:w="800" w:type="dxa"/>
            <w:vAlign w:val="center"/>
          </w:tcPr>
          <w:p w14:paraId="40CD529C">
            <w:pPr>
              <w:pStyle w:val="84"/>
              <w:rPr>
                <w:rFonts w:eastAsia="宋体"/>
              </w:rPr>
            </w:pPr>
            <w:r>
              <w:t>0.2</w:t>
            </w:r>
          </w:p>
        </w:tc>
        <w:tc>
          <w:tcPr>
            <w:tcW w:w="800" w:type="dxa"/>
            <w:vAlign w:val="center"/>
          </w:tcPr>
          <w:p w14:paraId="3AFA5F19">
            <w:pPr>
              <w:pStyle w:val="84"/>
              <w:rPr>
                <w:rFonts w:eastAsia="宋体"/>
              </w:rPr>
            </w:pPr>
            <w:r>
              <w:t>0.04</w:t>
            </w:r>
          </w:p>
        </w:tc>
        <w:tc>
          <w:tcPr>
            <w:tcW w:w="799" w:type="dxa"/>
            <w:vAlign w:val="center"/>
          </w:tcPr>
          <w:p w14:paraId="150BDB1F">
            <w:pPr>
              <w:pStyle w:val="84"/>
              <w:rPr>
                <w:rFonts w:eastAsia="宋体"/>
              </w:rPr>
            </w:pPr>
            <w:r>
              <w:t>0.37</w:t>
            </w:r>
          </w:p>
        </w:tc>
        <w:tc>
          <w:tcPr>
            <w:tcW w:w="800" w:type="dxa"/>
            <w:vAlign w:val="center"/>
          </w:tcPr>
          <w:p w14:paraId="3F9797FD">
            <w:pPr>
              <w:pStyle w:val="84"/>
              <w:rPr>
                <w:rFonts w:eastAsia="宋体"/>
              </w:rPr>
            </w:pPr>
            <w:r>
              <w:t>0.69</w:t>
            </w:r>
          </w:p>
        </w:tc>
        <w:tc>
          <w:tcPr>
            <w:tcW w:w="799" w:type="dxa"/>
            <w:vAlign w:val="center"/>
          </w:tcPr>
          <w:p w14:paraId="3DC0ADBA">
            <w:pPr>
              <w:pStyle w:val="84"/>
              <w:rPr>
                <w:rFonts w:eastAsia="宋体"/>
              </w:rPr>
            </w:pPr>
            <w:r>
              <w:t>0.79</w:t>
            </w:r>
          </w:p>
        </w:tc>
        <w:tc>
          <w:tcPr>
            <w:tcW w:w="800" w:type="dxa"/>
            <w:vAlign w:val="center"/>
          </w:tcPr>
          <w:p w14:paraId="1C08B151">
            <w:pPr>
              <w:pStyle w:val="84"/>
              <w:rPr>
                <w:rFonts w:eastAsia="宋体"/>
              </w:rPr>
            </w:pPr>
            <w:r>
              <w:t>1.05</w:t>
            </w:r>
          </w:p>
        </w:tc>
        <w:tc>
          <w:tcPr>
            <w:tcW w:w="800" w:type="dxa"/>
            <w:vAlign w:val="center"/>
          </w:tcPr>
          <w:p w14:paraId="0C8E5BE7">
            <w:pPr>
              <w:pStyle w:val="84"/>
              <w:rPr>
                <w:rFonts w:eastAsia="宋体"/>
              </w:rPr>
            </w:pPr>
            <w:r>
              <w:t>0.85</w:t>
            </w:r>
          </w:p>
        </w:tc>
        <w:tc>
          <w:tcPr>
            <w:tcW w:w="799" w:type="dxa"/>
            <w:vAlign w:val="center"/>
          </w:tcPr>
          <w:p w14:paraId="12A8EC3B">
            <w:pPr>
              <w:pStyle w:val="84"/>
              <w:rPr>
                <w:rFonts w:eastAsia="宋体"/>
              </w:rPr>
            </w:pPr>
            <w:r>
              <w:t>1.21</w:t>
            </w:r>
          </w:p>
        </w:tc>
        <w:tc>
          <w:tcPr>
            <w:tcW w:w="800" w:type="dxa"/>
            <w:vAlign w:val="center"/>
          </w:tcPr>
          <w:p w14:paraId="3E8D8134">
            <w:pPr>
              <w:pStyle w:val="84"/>
              <w:rPr>
                <w:rFonts w:eastAsia="宋体"/>
              </w:rPr>
            </w:pPr>
            <w:r>
              <w:t>4.63</w:t>
            </w:r>
          </w:p>
        </w:tc>
        <w:tc>
          <w:tcPr>
            <w:tcW w:w="800" w:type="dxa"/>
            <w:vAlign w:val="center"/>
          </w:tcPr>
          <w:p w14:paraId="256EAF30">
            <w:pPr>
              <w:pStyle w:val="84"/>
              <w:rPr>
                <w:rFonts w:eastAsia="宋体"/>
              </w:rPr>
            </w:pPr>
            <w:r>
              <w:t xml:space="preserve">0.98 </w:t>
            </w:r>
          </w:p>
        </w:tc>
      </w:tr>
      <w:tr w14:paraId="5773B3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14:paraId="4E5E15FF">
            <w:pPr>
              <w:ind w:firstLine="0" w:firstLineChars="0"/>
              <w:jc w:val="center"/>
              <w:rPr>
                <w:rFonts w:eastAsia="仿宋"/>
                <w:sz w:val="21"/>
                <w:szCs w:val="21"/>
              </w:rPr>
            </w:pPr>
          </w:p>
        </w:tc>
        <w:tc>
          <w:tcPr>
            <w:tcW w:w="1751" w:type="dxa"/>
            <w:vAlign w:val="center"/>
          </w:tcPr>
          <w:p w14:paraId="0751A174">
            <w:pPr>
              <w:pStyle w:val="84"/>
            </w:pPr>
            <w:r>
              <w:t>可供水量</w:t>
            </w:r>
          </w:p>
        </w:tc>
        <w:tc>
          <w:tcPr>
            <w:tcW w:w="799" w:type="dxa"/>
            <w:vAlign w:val="center"/>
          </w:tcPr>
          <w:p w14:paraId="6C34FCAF">
            <w:pPr>
              <w:pStyle w:val="84"/>
              <w:rPr>
                <w:rFonts w:eastAsia="宋体"/>
              </w:rPr>
            </w:pPr>
            <w:r>
              <w:t>55.37</w:t>
            </w:r>
          </w:p>
        </w:tc>
        <w:tc>
          <w:tcPr>
            <w:tcW w:w="800" w:type="dxa"/>
            <w:vAlign w:val="center"/>
          </w:tcPr>
          <w:p w14:paraId="3F1AC763">
            <w:pPr>
              <w:pStyle w:val="84"/>
              <w:rPr>
                <w:rFonts w:eastAsia="宋体"/>
              </w:rPr>
            </w:pPr>
            <w:r>
              <w:t>96.32</w:t>
            </w:r>
          </w:p>
        </w:tc>
        <w:tc>
          <w:tcPr>
            <w:tcW w:w="799" w:type="dxa"/>
            <w:vAlign w:val="center"/>
          </w:tcPr>
          <w:p w14:paraId="6E8CDE38">
            <w:pPr>
              <w:pStyle w:val="84"/>
              <w:rPr>
                <w:rFonts w:eastAsia="宋体"/>
              </w:rPr>
            </w:pPr>
            <w:r>
              <w:t>112.44</w:t>
            </w:r>
          </w:p>
        </w:tc>
        <w:tc>
          <w:tcPr>
            <w:tcW w:w="800" w:type="dxa"/>
            <w:vAlign w:val="center"/>
          </w:tcPr>
          <w:p w14:paraId="40397E9D">
            <w:pPr>
              <w:pStyle w:val="84"/>
              <w:rPr>
                <w:rFonts w:eastAsia="宋体"/>
              </w:rPr>
            </w:pPr>
            <w:r>
              <w:t>133.8</w:t>
            </w:r>
          </w:p>
        </w:tc>
        <w:tc>
          <w:tcPr>
            <w:tcW w:w="800" w:type="dxa"/>
            <w:vAlign w:val="center"/>
          </w:tcPr>
          <w:p w14:paraId="5D9ED34C">
            <w:pPr>
              <w:pStyle w:val="84"/>
              <w:rPr>
                <w:rFonts w:eastAsia="宋体"/>
              </w:rPr>
            </w:pPr>
            <w:r>
              <w:t>74.56</w:t>
            </w:r>
          </w:p>
        </w:tc>
        <w:tc>
          <w:tcPr>
            <w:tcW w:w="799" w:type="dxa"/>
            <w:vAlign w:val="center"/>
          </w:tcPr>
          <w:p w14:paraId="49B591CE">
            <w:pPr>
              <w:pStyle w:val="84"/>
              <w:rPr>
                <w:rFonts w:eastAsia="宋体"/>
              </w:rPr>
            </w:pPr>
            <w:r>
              <w:t>43.03</w:t>
            </w:r>
          </w:p>
        </w:tc>
        <w:tc>
          <w:tcPr>
            <w:tcW w:w="800" w:type="dxa"/>
            <w:vAlign w:val="center"/>
          </w:tcPr>
          <w:p w14:paraId="51F1439F">
            <w:pPr>
              <w:pStyle w:val="84"/>
              <w:rPr>
                <w:rFonts w:eastAsia="宋体"/>
              </w:rPr>
            </w:pPr>
            <w:r>
              <w:t>28.61</w:t>
            </w:r>
          </w:p>
        </w:tc>
        <w:tc>
          <w:tcPr>
            <w:tcW w:w="799" w:type="dxa"/>
            <w:vAlign w:val="center"/>
          </w:tcPr>
          <w:p w14:paraId="4B394A4E">
            <w:pPr>
              <w:pStyle w:val="84"/>
              <w:rPr>
                <w:rFonts w:eastAsia="宋体"/>
              </w:rPr>
            </w:pPr>
            <w:r>
              <w:t>20.71</w:t>
            </w:r>
          </w:p>
        </w:tc>
        <w:tc>
          <w:tcPr>
            <w:tcW w:w="800" w:type="dxa"/>
            <w:vAlign w:val="center"/>
          </w:tcPr>
          <w:p w14:paraId="4F553E2C">
            <w:pPr>
              <w:pStyle w:val="84"/>
              <w:rPr>
                <w:rFonts w:eastAsia="宋体"/>
              </w:rPr>
            </w:pPr>
            <w:r>
              <w:t>15.25</w:t>
            </w:r>
          </w:p>
        </w:tc>
        <w:tc>
          <w:tcPr>
            <w:tcW w:w="800" w:type="dxa"/>
            <w:vAlign w:val="center"/>
          </w:tcPr>
          <w:p w14:paraId="7DA34018">
            <w:pPr>
              <w:pStyle w:val="84"/>
              <w:rPr>
                <w:rFonts w:eastAsia="宋体"/>
              </w:rPr>
            </w:pPr>
            <w:r>
              <w:t>11.85</w:t>
            </w:r>
          </w:p>
        </w:tc>
        <w:tc>
          <w:tcPr>
            <w:tcW w:w="799" w:type="dxa"/>
            <w:vAlign w:val="center"/>
          </w:tcPr>
          <w:p w14:paraId="54B7AD4B">
            <w:pPr>
              <w:pStyle w:val="84"/>
              <w:rPr>
                <w:rFonts w:eastAsia="宋体"/>
              </w:rPr>
            </w:pPr>
            <w:r>
              <w:t>4.48</w:t>
            </w:r>
          </w:p>
        </w:tc>
        <w:tc>
          <w:tcPr>
            <w:tcW w:w="800" w:type="dxa"/>
            <w:vAlign w:val="center"/>
          </w:tcPr>
          <w:p w14:paraId="2FA92EF6">
            <w:pPr>
              <w:pStyle w:val="84"/>
              <w:rPr>
                <w:rFonts w:eastAsia="宋体"/>
              </w:rPr>
            </w:pPr>
            <w:r>
              <w:t>17.97</w:t>
            </w:r>
          </w:p>
        </w:tc>
        <w:tc>
          <w:tcPr>
            <w:tcW w:w="800" w:type="dxa"/>
            <w:vAlign w:val="center"/>
          </w:tcPr>
          <w:p w14:paraId="57859110">
            <w:pPr>
              <w:pStyle w:val="84"/>
              <w:rPr>
                <w:rFonts w:eastAsia="宋体"/>
              </w:rPr>
            </w:pPr>
            <w:r>
              <w:t xml:space="preserve">51.20 </w:t>
            </w:r>
          </w:p>
        </w:tc>
      </w:tr>
      <w:tr w14:paraId="7AA770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14:paraId="47A2F6DA">
            <w:pPr>
              <w:ind w:firstLine="0" w:firstLineChars="0"/>
              <w:jc w:val="center"/>
              <w:rPr>
                <w:rFonts w:eastAsia="仿宋"/>
                <w:sz w:val="21"/>
                <w:szCs w:val="21"/>
              </w:rPr>
            </w:pPr>
          </w:p>
        </w:tc>
        <w:tc>
          <w:tcPr>
            <w:tcW w:w="1751" w:type="dxa"/>
            <w:vAlign w:val="center"/>
          </w:tcPr>
          <w:p w14:paraId="2E3590EE">
            <w:pPr>
              <w:spacing w:line="240" w:lineRule="auto"/>
              <w:ind w:firstLine="0" w:firstLineChars="0"/>
              <w:jc w:val="center"/>
              <w:rPr>
                <w:rFonts w:eastAsia="仿宋"/>
                <w:sz w:val="21"/>
                <w:szCs w:val="21"/>
              </w:rPr>
            </w:pPr>
            <w:r>
              <w:rPr>
                <w:rFonts w:eastAsia="仿宋"/>
                <w:sz w:val="21"/>
                <w:szCs w:val="21"/>
              </w:rPr>
              <w:t>发电用水量</w:t>
            </w:r>
          </w:p>
        </w:tc>
        <w:tc>
          <w:tcPr>
            <w:tcW w:w="799" w:type="dxa"/>
            <w:vAlign w:val="center"/>
          </w:tcPr>
          <w:p w14:paraId="148E8615">
            <w:pPr>
              <w:pStyle w:val="84"/>
              <w:rPr>
                <w:rFonts w:eastAsia="宋体"/>
              </w:rPr>
            </w:pPr>
            <w:r>
              <w:t>55.37</w:t>
            </w:r>
          </w:p>
        </w:tc>
        <w:tc>
          <w:tcPr>
            <w:tcW w:w="800" w:type="dxa"/>
            <w:vAlign w:val="center"/>
          </w:tcPr>
          <w:p w14:paraId="5F33D4A0">
            <w:pPr>
              <w:pStyle w:val="84"/>
              <w:rPr>
                <w:rFonts w:eastAsia="宋体"/>
              </w:rPr>
            </w:pPr>
            <w:r>
              <w:t>96.32</w:t>
            </w:r>
          </w:p>
        </w:tc>
        <w:tc>
          <w:tcPr>
            <w:tcW w:w="799" w:type="dxa"/>
            <w:vAlign w:val="center"/>
          </w:tcPr>
          <w:p w14:paraId="34743483">
            <w:pPr>
              <w:pStyle w:val="84"/>
              <w:rPr>
                <w:rFonts w:eastAsia="宋体"/>
              </w:rPr>
            </w:pPr>
            <w:r>
              <w:t>106.3</w:t>
            </w:r>
          </w:p>
        </w:tc>
        <w:tc>
          <w:tcPr>
            <w:tcW w:w="800" w:type="dxa"/>
            <w:vAlign w:val="center"/>
          </w:tcPr>
          <w:p w14:paraId="445F82B1">
            <w:pPr>
              <w:pStyle w:val="84"/>
              <w:rPr>
                <w:rFonts w:eastAsia="宋体"/>
              </w:rPr>
            </w:pPr>
            <w:r>
              <w:t>106.3</w:t>
            </w:r>
          </w:p>
        </w:tc>
        <w:tc>
          <w:tcPr>
            <w:tcW w:w="800" w:type="dxa"/>
            <w:vAlign w:val="center"/>
          </w:tcPr>
          <w:p w14:paraId="54E2AAFE">
            <w:pPr>
              <w:pStyle w:val="84"/>
              <w:rPr>
                <w:rFonts w:eastAsia="宋体"/>
              </w:rPr>
            </w:pPr>
            <w:r>
              <w:t>74.56</w:t>
            </w:r>
          </w:p>
        </w:tc>
        <w:tc>
          <w:tcPr>
            <w:tcW w:w="799" w:type="dxa"/>
            <w:vAlign w:val="center"/>
          </w:tcPr>
          <w:p w14:paraId="3B9C5DFE">
            <w:pPr>
              <w:pStyle w:val="84"/>
              <w:rPr>
                <w:rFonts w:eastAsia="宋体"/>
              </w:rPr>
            </w:pPr>
            <w:r>
              <w:t>43.03</w:t>
            </w:r>
          </w:p>
        </w:tc>
        <w:tc>
          <w:tcPr>
            <w:tcW w:w="800" w:type="dxa"/>
            <w:vAlign w:val="center"/>
          </w:tcPr>
          <w:p w14:paraId="65FD93C7">
            <w:pPr>
              <w:pStyle w:val="84"/>
              <w:rPr>
                <w:rFonts w:eastAsia="宋体"/>
              </w:rPr>
            </w:pPr>
            <w:r>
              <w:t>28.61</w:t>
            </w:r>
          </w:p>
        </w:tc>
        <w:tc>
          <w:tcPr>
            <w:tcW w:w="799" w:type="dxa"/>
            <w:vAlign w:val="center"/>
          </w:tcPr>
          <w:p w14:paraId="653EF691">
            <w:pPr>
              <w:pStyle w:val="84"/>
              <w:rPr>
                <w:rFonts w:eastAsia="宋体"/>
              </w:rPr>
            </w:pPr>
            <w:r>
              <w:t>20.71</w:t>
            </w:r>
          </w:p>
        </w:tc>
        <w:tc>
          <w:tcPr>
            <w:tcW w:w="800" w:type="dxa"/>
            <w:vAlign w:val="center"/>
          </w:tcPr>
          <w:p w14:paraId="50C6B62E">
            <w:pPr>
              <w:pStyle w:val="84"/>
              <w:rPr>
                <w:rFonts w:eastAsia="宋体"/>
              </w:rPr>
            </w:pPr>
            <w:r>
              <w:t>0</w:t>
            </w:r>
          </w:p>
        </w:tc>
        <w:tc>
          <w:tcPr>
            <w:tcW w:w="800" w:type="dxa"/>
            <w:vAlign w:val="center"/>
          </w:tcPr>
          <w:p w14:paraId="44E80737">
            <w:pPr>
              <w:pStyle w:val="84"/>
              <w:rPr>
                <w:rFonts w:eastAsia="宋体"/>
              </w:rPr>
            </w:pPr>
            <w:r>
              <w:t>0</w:t>
            </w:r>
          </w:p>
        </w:tc>
        <w:tc>
          <w:tcPr>
            <w:tcW w:w="799" w:type="dxa"/>
            <w:vAlign w:val="center"/>
          </w:tcPr>
          <w:p w14:paraId="34751162">
            <w:pPr>
              <w:pStyle w:val="84"/>
              <w:rPr>
                <w:rFonts w:eastAsia="宋体"/>
              </w:rPr>
            </w:pPr>
            <w:r>
              <w:t>0</w:t>
            </w:r>
          </w:p>
        </w:tc>
        <w:tc>
          <w:tcPr>
            <w:tcW w:w="800" w:type="dxa"/>
            <w:vAlign w:val="center"/>
          </w:tcPr>
          <w:p w14:paraId="08435935">
            <w:pPr>
              <w:pStyle w:val="84"/>
              <w:rPr>
                <w:rFonts w:eastAsia="宋体"/>
              </w:rPr>
            </w:pPr>
            <w:r>
              <w:t>17.97</w:t>
            </w:r>
          </w:p>
        </w:tc>
        <w:tc>
          <w:tcPr>
            <w:tcW w:w="800" w:type="dxa"/>
            <w:vAlign w:val="center"/>
          </w:tcPr>
          <w:p w14:paraId="1EBA69CC">
            <w:pPr>
              <w:pStyle w:val="84"/>
              <w:rPr>
                <w:rFonts w:eastAsia="宋体"/>
              </w:rPr>
            </w:pPr>
            <w:r>
              <w:t xml:space="preserve">45.76 </w:t>
            </w:r>
          </w:p>
        </w:tc>
      </w:tr>
      <w:tr w14:paraId="64DC3A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14:paraId="2B0EE099">
            <w:pPr>
              <w:ind w:firstLine="0" w:firstLineChars="0"/>
              <w:jc w:val="center"/>
              <w:rPr>
                <w:rFonts w:eastAsia="仿宋"/>
                <w:sz w:val="21"/>
                <w:szCs w:val="21"/>
              </w:rPr>
            </w:pPr>
          </w:p>
        </w:tc>
        <w:tc>
          <w:tcPr>
            <w:tcW w:w="1751" w:type="dxa"/>
            <w:vAlign w:val="center"/>
          </w:tcPr>
          <w:p w14:paraId="69EABE57">
            <w:pPr>
              <w:spacing w:line="240" w:lineRule="auto"/>
              <w:ind w:firstLine="0" w:firstLineChars="0"/>
              <w:jc w:val="center"/>
              <w:rPr>
                <w:rFonts w:eastAsia="仿宋"/>
                <w:sz w:val="21"/>
                <w:szCs w:val="21"/>
              </w:rPr>
            </w:pPr>
            <w:r>
              <w:rPr>
                <w:rFonts w:hint="eastAsia" w:eastAsia="仿宋"/>
                <w:sz w:val="21"/>
                <w:szCs w:val="21"/>
              </w:rPr>
              <w:t>弃水量</w:t>
            </w:r>
          </w:p>
        </w:tc>
        <w:tc>
          <w:tcPr>
            <w:tcW w:w="799" w:type="dxa"/>
            <w:vAlign w:val="center"/>
          </w:tcPr>
          <w:p w14:paraId="16645EE8">
            <w:pPr>
              <w:pStyle w:val="84"/>
              <w:rPr>
                <w:rFonts w:eastAsia="宋体"/>
              </w:rPr>
            </w:pPr>
            <w:r>
              <w:t>0</w:t>
            </w:r>
          </w:p>
        </w:tc>
        <w:tc>
          <w:tcPr>
            <w:tcW w:w="800" w:type="dxa"/>
            <w:vAlign w:val="center"/>
          </w:tcPr>
          <w:p w14:paraId="79957FD7">
            <w:pPr>
              <w:pStyle w:val="84"/>
              <w:rPr>
                <w:rFonts w:eastAsia="宋体"/>
              </w:rPr>
            </w:pPr>
            <w:r>
              <w:t>0</w:t>
            </w:r>
          </w:p>
        </w:tc>
        <w:tc>
          <w:tcPr>
            <w:tcW w:w="799" w:type="dxa"/>
            <w:vAlign w:val="center"/>
          </w:tcPr>
          <w:p w14:paraId="37EF7CA8">
            <w:pPr>
              <w:pStyle w:val="84"/>
              <w:rPr>
                <w:rFonts w:eastAsia="宋体"/>
              </w:rPr>
            </w:pPr>
            <w:r>
              <w:t>6.14</w:t>
            </w:r>
          </w:p>
        </w:tc>
        <w:tc>
          <w:tcPr>
            <w:tcW w:w="800" w:type="dxa"/>
            <w:vAlign w:val="center"/>
          </w:tcPr>
          <w:p w14:paraId="19A3BB30">
            <w:pPr>
              <w:pStyle w:val="84"/>
              <w:rPr>
                <w:rFonts w:eastAsia="宋体"/>
              </w:rPr>
            </w:pPr>
            <w:r>
              <w:t>27.5</w:t>
            </w:r>
          </w:p>
        </w:tc>
        <w:tc>
          <w:tcPr>
            <w:tcW w:w="800" w:type="dxa"/>
            <w:vAlign w:val="center"/>
          </w:tcPr>
          <w:p w14:paraId="4BCD7F3B">
            <w:pPr>
              <w:pStyle w:val="84"/>
              <w:rPr>
                <w:rFonts w:eastAsia="宋体"/>
              </w:rPr>
            </w:pPr>
            <w:r>
              <w:t>0</w:t>
            </w:r>
          </w:p>
        </w:tc>
        <w:tc>
          <w:tcPr>
            <w:tcW w:w="799" w:type="dxa"/>
            <w:vAlign w:val="center"/>
          </w:tcPr>
          <w:p w14:paraId="158D64D0">
            <w:pPr>
              <w:pStyle w:val="84"/>
              <w:rPr>
                <w:rFonts w:eastAsia="宋体"/>
              </w:rPr>
            </w:pPr>
            <w:r>
              <w:t>0</w:t>
            </w:r>
          </w:p>
        </w:tc>
        <w:tc>
          <w:tcPr>
            <w:tcW w:w="800" w:type="dxa"/>
            <w:vAlign w:val="center"/>
          </w:tcPr>
          <w:p w14:paraId="4E3558DD">
            <w:pPr>
              <w:pStyle w:val="84"/>
              <w:rPr>
                <w:rFonts w:eastAsia="宋体"/>
              </w:rPr>
            </w:pPr>
            <w:r>
              <w:t>0</w:t>
            </w:r>
          </w:p>
        </w:tc>
        <w:tc>
          <w:tcPr>
            <w:tcW w:w="799" w:type="dxa"/>
            <w:vAlign w:val="center"/>
          </w:tcPr>
          <w:p w14:paraId="5DF20155">
            <w:pPr>
              <w:pStyle w:val="84"/>
              <w:rPr>
                <w:rFonts w:eastAsia="宋体"/>
              </w:rPr>
            </w:pPr>
            <w:r>
              <w:t>0</w:t>
            </w:r>
          </w:p>
        </w:tc>
        <w:tc>
          <w:tcPr>
            <w:tcW w:w="800" w:type="dxa"/>
            <w:vAlign w:val="center"/>
          </w:tcPr>
          <w:p w14:paraId="315248F4">
            <w:pPr>
              <w:pStyle w:val="84"/>
              <w:rPr>
                <w:rFonts w:eastAsia="宋体"/>
              </w:rPr>
            </w:pPr>
            <w:r>
              <w:t>15.25</w:t>
            </w:r>
          </w:p>
        </w:tc>
        <w:tc>
          <w:tcPr>
            <w:tcW w:w="800" w:type="dxa"/>
            <w:vAlign w:val="center"/>
          </w:tcPr>
          <w:p w14:paraId="5C839B60">
            <w:pPr>
              <w:pStyle w:val="84"/>
              <w:rPr>
                <w:rFonts w:eastAsia="宋体"/>
              </w:rPr>
            </w:pPr>
            <w:r>
              <w:t>11.85</w:t>
            </w:r>
          </w:p>
        </w:tc>
        <w:tc>
          <w:tcPr>
            <w:tcW w:w="799" w:type="dxa"/>
            <w:vAlign w:val="center"/>
          </w:tcPr>
          <w:p w14:paraId="22E28625">
            <w:pPr>
              <w:pStyle w:val="84"/>
              <w:rPr>
                <w:rFonts w:eastAsia="宋体"/>
              </w:rPr>
            </w:pPr>
            <w:r>
              <w:t>4.48</w:t>
            </w:r>
          </w:p>
        </w:tc>
        <w:tc>
          <w:tcPr>
            <w:tcW w:w="800" w:type="dxa"/>
            <w:vAlign w:val="center"/>
          </w:tcPr>
          <w:p w14:paraId="31117AD9">
            <w:pPr>
              <w:pStyle w:val="84"/>
              <w:rPr>
                <w:rFonts w:eastAsia="宋体"/>
              </w:rPr>
            </w:pPr>
            <w:r>
              <w:t>0</w:t>
            </w:r>
          </w:p>
        </w:tc>
        <w:tc>
          <w:tcPr>
            <w:tcW w:w="800" w:type="dxa"/>
            <w:vAlign w:val="center"/>
          </w:tcPr>
          <w:p w14:paraId="264799FA">
            <w:pPr>
              <w:pStyle w:val="84"/>
              <w:rPr>
                <w:rFonts w:eastAsia="宋体"/>
              </w:rPr>
            </w:pPr>
            <w:r>
              <w:t xml:space="preserve">5.44 </w:t>
            </w:r>
          </w:p>
        </w:tc>
      </w:tr>
      <w:tr w14:paraId="45DEB1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restart"/>
            <w:vAlign w:val="center"/>
          </w:tcPr>
          <w:p w14:paraId="6D5D7A93">
            <w:pPr>
              <w:spacing w:line="240" w:lineRule="auto"/>
              <w:ind w:firstLine="0" w:firstLineChars="0"/>
              <w:jc w:val="center"/>
              <w:rPr>
                <w:rFonts w:eastAsia="仿宋"/>
                <w:spacing w:val="-19"/>
                <w:sz w:val="21"/>
                <w:szCs w:val="21"/>
              </w:rPr>
            </w:pPr>
            <w:r>
              <w:rPr>
                <w:rFonts w:eastAsia="仿宋"/>
                <w:spacing w:val="-19"/>
                <w:sz w:val="21"/>
                <w:szCs w:val="21"/>
              </w:rPr>
              <w:t>P=90%</w:t>
            </w:r>
          </w:p>
          <w:p w14:paraId="7A5D3FAF">
            <w:pPr>
              <w:spacing w:line="240" w:lineRule="auto"/>
              <w:ind w:firstLine="0" w:firstLineChars="0"/>
              <w:jc w:val="center"/>
              <w:rPr>
                <w:rFonts w:eastAsia="仿宋"/>
                <w:spacing w:val="-19"/>
                <w:sz w:val="21"/>
                <w:szCs w:val="21"/>
              </w:rPr>
            </w:pPr>
            <w:r>
              <w:rPr>
                <w:rFonts w:eastAsia="仿宋"/>
                <w:spacing w:val="-19"/>
                <w:sz w:val="21"/>
                <w:szCs w:val="21"/>
              </w:rPr>
              <w:t>（枯水年）</w:t>
            </w:r>
          </w:p>
        </w:tc>
        <w:tc>
          <w:tcPr>
            <w:tcW w:w="1751" w:type="dxa"/>
            <w:vAlign w:val="center"/>
          </w:tcPr>
          <w:p w14:paraId="109DFA56">
            <w:pPr>
              <w:pStyle w:val="84"/>
            </w:pPr>
            <w:r>
              <w:t>上游天然来水量</w:t>
            </w:r>
          </w:p>
        </w:tc>
        <w:tc>
          <w:tcPr>
            <w:tcW w:w="799" w:type="dxa"/>
            <w:vAlign w:val="center"/>
          </w:tcPr>
          <w:p w14:paraId="003FA478">
            <w:pPr>
              <w:pStyle w:val="84"/>
              <w:rPr>
                <w:rFonts w:eastAsia="宋体"/>
              </w:rPr>
            </w:pPr>
            <w:r>
              <w:t>26.5</w:t>
            </w:r>
          </w:p>
        </w:tc>
        <w:tc>
          <w:tcPr>
            <w:tcW w:w="800" w:type="dxa"/>
            <w:vAlign w:val="center"/>
          </w:tcPr>
          <w:p w14:paraId="45620242">
            <w:pPr>
              <w:pStyle w:val="84"/>
              <w:rPr>
                <w:rFonts w:eastAsia="宋体"/>
              </w:rPr>
            </w:pPr>
            <w:r>
              <w:t>64.4</w:t>
            </w:r>
          </w:p>
        </w:tc>
        <w:tc>
          <w:tcPr>
            <w:tcW w:w="799" w:type="dxa"/>
            <w:vAlign w:val="center"/>
          </w:tcPr>
          <w:p w14:paraId="23A503D2">
            <w:pPr>
              <w:pStyle w:val="84"/>
              <w:rPr>
                <w:rFonts w:eastAsia="宋体"/>
              </w:rPr>
            </w:pPr>
            <w:r>
              <w:t>175</w:t>
            </w:r>
          </w:p>
        </w:tc>
        <w:tc>
          <w:tcPr>
            <w:tcW w:w="800" w:type="dxa"/>
            <w:vAlign w:val="center"/>
          </w:tcPr>
          <w:p w14:paraId="0D71C3BF">
            <w:pPr>
              <w:pStyle w:val="84"/>
              <w:rPr>
                <w:rFonts w:eastAsia="宋体"/>
              </w:rPr>
            </w:pPr>
            <w:r>
              <w:t>68.1</w:t>
            </w:r>
          </w:p>
        </w:tc>
        <w:tc>
          <w:tcPr>
            <w:tcW w:w="800" w:type="dxa"/>
            <w:vAlign w:val="center"/>
          </w:tcPr>
          <w:p w14:paraId="19CF6810">
            <w:pPr>
              <w:pStyle w:val="84"/>
              <w:rPr>
                <w:rFonts w:eastAsia="宋体"/>
              </w:rPr>
            </w:pPr>
            <w:r>
              <w:t>44.7</w:t>
            </w:r>
          </w:p>
        </w:tc>
        <w:tc>
          <w:tcPr>
            <w:tcW w:w="799" w:type="dxa"/>
            <w:vAlign w:val="center"/>
          </w:tcPr>
          <w:p w14:paraId="582634A4">
            <w:pPr>
              <w:pStyle w:val="84"/>
              <w:rPr>
                <w:rFonts w:eastAsia="宋体"/>
              </w:rPr>
            </w:pPr>
            <w:r>
              <w:t>31.2</w:t>
            </w:r>
          </w:p>
        </w:tc>
        <w:tc>
          <w:tcPr>
            <w:tcW w:w="800" w:type="dxa"/>
            <w:vAlign w:val="center"/>
          </w:tcPr>
          <w:p w14:paraId="5357B7E3">
            <w:pPr>
              <w:pStyle w:val="84"/>
              <w:rPr>
                <w:rFonts w:eastAsia="宋体"/>
              </w:rPr>
            </w:pPr>
            <w:r>
              <w:t>22.9</w:t>
            </w:r>
          </w:p>
        </w:tc>
        <w:tc>
          <w:tcPr>
            <w:tcW w:w="799" w:type="dxa"/>
            <w:vAlign w:val="center"/>
          </w:tcPr>
          <w:p w14:paraId="5240915B">
            <w:pPr>
              <w:pStyle w:val="84"/>
              <w:rPr>
                <w:rFonts w:eastAsia="宋体"/>
              </w:rPr>
            </w:pPr>
            <w:r>
              <w:t>18.4</w:t>
            </w:r>
          </w:p>
        </w:tc>
        <w:tc>
          <w:tcPr>
            <w:tcW w:w="800" w:type="dxa"/>
            <w:vAlign w:val="center"/>
          </w:tcPr>
          <w:p w14:paraId="0CAAD55D">
            <w:pPr>
              <w:pStyle w:val="84"/>
              <w:rPr>
                <w:rFonts w:eastAsia="宋体"/>
              </w:rPr>
            </w:pPr>
            <w:r>
              <w:t>14.1</w:t>
            </w:r>
          </w:p>
        </w:tc>
        <w:tc>
          <w:tcPr>
            <w:tcW w:w="800" w:type="dxa"/>
            <w:vAlign w:val="center"/>
          </w:tcPr>
          <w:p w14:paraId="4712E6E7">
            <w:pPr>
              <w:pStyle w:val="84"/>
              <w:rPr>
                <w:rFonts w:eastAsia="宋体"/>
              </w:rPr>
            </w:pPr>
            <w:r>
              <w:t>9.26</w:t>
            </w:r>
          </w:p>
        </w:tc>
        <w:tc>
          <w:tcPr>
            <w:tcW w:w="799" w:type="dxa"/>
            <w:vAlign w:val="center"/>
          </w:tcPr>
          <w:p w14:paraId="72897733">
            <w:pPr>
              <w:pStyle w:val="84"/>
              <w:rPr>
                <w:rFonts w:eastAsia="宋体"/>
              </w:rPr>
            </w:pPr>
            <w:r>
              <w:t>5.37</w:t>
            </w:r>
          </w:p>
        </w:tc>
        <w:tc>
          <w:tcPr>
            <w:tcW w:w="800" w:type="dxa"/>
            <w:vAlign w:val="center"/>
          </w:tcPr>
          <w:p w14:paraId="15868AD5">
            <w:pPr>
              <w:pStyle w:val="84"/>
              <w:rPr>
                <w:rFonts w:eastAsia="宋体"/>
              </w:rPr>
            </w:pPr>
            <w:r>
              <w:t>13.1</w:t>
            </w:r>
          </w:p>
        </w:tc>
        <w:tc>
          <w:tcPr>
            <w:tcW w:w="800" w:type="dxa"/>
            <w:vAlign w:val="center"/>
          </w:tcPr>
          <w:p w14:paraId="5042810F">
            <w:pPr>
              <w:pStyle w:val="84"/>
              <w:rPr>
                <w:rFonts w:eastAsia="宋体"/>
              </w:rPr>
            </w:pPr>
            <w:r>
              <w:t xml:space="preserve">41.09 </w:t>
            </w:r>
          </w:p>
        </w:tc>
      </w:tr>
      <w:tr w14:paraId="0A862C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14:paraId="693CF386">
            <w:pPr>
              <w:ind w:firstLine="0" w:firstLineChars="0"/>
              <w:jc w:val="center"/>
              <w:rPr>
                <w:rFonts w:eastAsia="仿宋"/>
                <w:sz w:val="21"/>
                <w:szCs w:val="21"/>
              </w:rPr>
            </w:pPr>
          </w:p>
        </w:tc>
        <w:tc>
          <w:tcPr>
            <w:tcW w:w="1751" w:type="dxa"/>
            <w:vAlign w:val="center"/>
          </w:tcPr>
          <w:p w14:paraId="08F0FC85">
            <w:pPr>
              <w:pStyle w:val="84"/>
            </w:pPr>
            <w:r>
              <w:rPr>
                <w:rFonts w:hint="eastAsia"/>
              </w:rPr>
              <w:t>灌溉用水量</w:t>
            </w:r>
          </w:p>
        </w:tc>
        <w:tc>
          <w:tcPr>
            <w:tcW w:w="799" w:type="dxa"/>
            <w:vAlign w:val="center"/>
          </w:tcPr>
          <w:p w14:paraId="216D22D1">
            <w:pPr>
              <w:pStyle w:val="84"/>
              <w:rPr>
                <w:rFonts w:eastAsia="宋体"/>
              </w:rPr>
            </w:pPr>
            <w:r>
              <w:t>1.13</w:t>
            </w:r>
          </w:p>
        </w:tc>
        <w:tc>
          <w:tcPr>
            <w:tcW w:w="800" w:type="dxa"/>
            <w:vAlign w:val="center"/>
          </w:tcPr>
          <w:p w14:paraId="024FF3AD">
            <w:pPr>
              <w:pStyle w:val="84"/>
              <w:rPr>
                <w:rFonts w:eastAsia="宋体"/>
              </w:rPr>
            </w:pPr>
            <w:r>
              <w:t>0.18</w:t>
            </w:r>
          </w:p>
        </w:tc>
        <w:tc>
          <w:tcPr>
            <w:tcW w:w="799" w:type="dxa"/>
            <w:vAlign w:val="center"/>
          </w:tcPr>
          <w:p w14:paraId="3C51F98E">
            <w:pPr>
              <w:pStyle w:val="84"/>
              <w:rPr>
                <w:rFonts w:eastAsia="宋体"/>
              </w:rPr>
            </w:pPr>
            <w:r>
              <w:t>0.56</w:t>
            </w:r>
          </w:p>
        </w:tc>
        <w:tc>
          <w:tcPr>
            <w:tcW w:w="800" w:type="dxa"/>
            <w:vAlign w:val="center"/>
          </w:tcPr>
          <w:p w14:paraId="27B2E663">
            <w:pPr>
              <w:pStyle w:val="84"/>
              <w:rPr>
                <w:rFonts w:eastAsia="宋体"/>
              </w:rPr>
            </w:pPr>
            <w:r>
              <w:t>0.2</w:t>
            </w:r>
          </w:p>
        </w:tc>
        <w:tc>
          <w:tcPr>
            <w:tcW w:w="800" w:type="dxa"/>
            <w:vAlign w:val="center"/>
          </w:tcPr>
          <w:p w14:paraId="43052C88">
            <w:pPr>
              <w:pStyle w:val="84"/>
              <w:rPr>
                <w:rFonts w:eastAsia="宋体"/>
              </w:rPr>
            </w:pPr>
            <w:r>
              <w:t>0.04</w:t>
            </w:r>
          </w:p>
        </w:tc>
        <w:tc>
          <w:tcPr>
            <w:tcW w:w="799" w:type="dxa"/>
            <w:vAlign w:val="center"/>
          </w:tcPr>
          <w:p w14:paraId="70D5C5BD">
            <w:pPr>
              <w:pStyle w:val="84"/>
              <w:rPr>
                <w:rFonts w:eastAsia="宋体"/>
              </w:rPr>
            </w:pPr>
            <w:r>
              <w:t>0.37</w:t>
            </w:r>
          </w:p>
        </w:tc>
        <w:tc>
          <w:tcPr>
            <w:tcW w:w="800" w:type="dxa"/>
            <w:vAlign w:val="center"/>
          </w:tcPr>
          <w:p w14:paraId="480FBE24">
            <w:pPr>
              <w:pStyle w:val="84"/>
              <w:rPr>
                <w:rFonts w:eastAsia="宋体"/>
              </w:rPr>
            </w:pPr>
            <w:r>
              <w:t>0.69</w:t>
            </w:r>
          </w:p>
        </w:tc>
        <w:tc>
          <w:tcPr>
            <w:tcW w:w="799" w:type="dxa"/>
            <w:vAlign w:val="center"/>
          </w:tcPr>
          <w:p w14:paraId="16039B78">
            <w:pPr>
              <w:pStyle w:val="84"/>
              <w:rPr>
                <w:rFonts w:eastAsia="宋体"/>
              </w:rPr>
            </w:pPr>
            <w:r>
              <w:t>0.79</w:t>
            </w:r>
          </w:p>
        </w:tc>
        <w:tc>
          <w:tcPr>
            <w:tcW w:w="800" w:type="dxa"/>
            <w:vAlign w:val="center"/>
          </w:tcPr>
          <w:p w14:paraId="751F948E">
            <w:pPr>
              <w:pStyle w:val="84"/>
              <w:rPr>
                <w:rFonts w:eastAsia="宋体"/>
              </w:rPr>
            </w:pPr>
            <w:r>
              <w:t>1.05</w:t>
            </w:r>
          </w:p>
        </w:tc>
        <w:tc>
          <w:tcPr>
            <w:tcW w:w="800" w:type="dxa"/>
            <w:vAlign w:val="center"/>
          </w:tcPr>
          <w:p w14:paraId="3E12849B">
            <w:pPr>
              <w:pStyle w:val="84"/>
              <w:rPr>
                <w:rFonts w:eastAsia="宋体"/>
              </w:rPr>
            </w:pPr>
            <w:r>
              <w:t>0.85</w:t>
            </w:r>
          </w:p>
        </w:tc>
        <w:tc>
          <w:tcPr>
            <w:tcW w:w="799" w:type="dxa"/>
            <w:vAlign w:val="center"/>
          </w:tcPr>
          <w:p w14:paraId="181B3126">
            <w:pPr>
              <w:pStyle w:val="84"/>
              <w:rPr>
                <w:rFonts w:eastAsia="宋体"/>
              </w:rPr>
            </w:pPr>
            <w:r>
              <w:t>1.21</w:t>
            </w:r>
          </w:p>
        </w:tc>
        <w:tc>
          <w:tcPr>
            <w:tcW w:w="800" w:type="dxa"/>
            <w:vAlign w:val="center"/>
          </w:tcPr>
          <w:p w14:paraId="6A9468F4">
            <w:pPr>
              <w:pStyle w:val="84"/>
              <w:rPr>
                <w:rFonts w:eastAsia="宋体"/>
              </w:rPr>
            </w:pPr>
            <w:r>
              <w:t>4.63</w:t>
            </w:r>
          </w:p>
        </w:tc>
        <w:tc>
          <w:tcPr>
            <w:tcW w:w="800" w:type="dxa"/>
            <w:vAlign w:val="center"/>
          </w:tcPr>
          <w:p w14:paraId="22DE4AE3">
            <w:pPr>
              <w:pStyle w:val="84"/>
              <w:rPr>
                <w:rFonts w:eastAsia="宋体"/>
              </w:rPr>
            </w:pPr>
            <w:r>
              <w:t xml:space="preserve">0.98 </w:t>
            </w:r>
          </w:p>
        </w:tc>
      </w:tr>
      <w:tr w14:paraId="4EF097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14:paraId="55824438">
            <w:pPr>
              <w:ind w:firstLine="0" w:firstLineChars="0"/>
              <w:jc w:val="center"/>
              <w:rPr>
                <w:rFonts w:eastAsia="仿宋"/>
                <w:sz w:val="21"/>
                <w:szCs w:val="21"/>
              </w:rPr>
            </w:pPr>
          </w:p>
        </w:tc>
        <w:tc>
          <w:tcPr>
            <w:tcW w:w="1751" w:type="dxa"/>
            <w:vAlign w:val="center"/>
          </w:tcPr>
          <w:p w14:paraId="120BDDD1">
            <w:pPr>
              <w:spacing w:line="240" w:lineRule="auto"/>
              <w:ind w:firstLine="0" w:firstLineChars="0"/>
              <w:jc w:val="center"/>
              <w:rPr>
                <w:rFonts w:eastAsia="仿宋"/>
                <w:sz w:val="21"/>
                <w:szCs w:val="21"/>
              </w:rPr>
            </w:pPr>
            <w:r>
              <w:rPr>
                <w:rFonts w:eastAsia="仿宋"/>
                <w:sz w:val="21"/>
                <w:szCs w:val="21"/>
              </w:rPr>
              <w:t>可供水量</w:t>
            </w:r>
          </w:p>
        </w:tc>
        <w:tc>
          <w:tcPr>
            <w:tcW w:w="799" w:type="dxa"/>
            <w:vAlign w:val="center"/>
          </w:tcPr>
          <w:p w14:paraId="0E51649E">
            <w:pPr>
              <w:pStyle w:val="84"/>
              <w:rPr>
                <w:rFonts w:eastAsia="宋体"/>
              </w:rPr>
            </w:pPr>
            <w:r>
              <w:t>25.37</w:t>
            </w:r>
          </w:p>
        </w:tc>
        <w:tc>
          <w:tcPr>
            <w:tcW w:w="800" w:type="dxa"/>
            <w:vAlign w:val="center"/>
          </w:tcPr>
          <w:p w14:paraId="020E2FD2">
            <w:pPr>
              <w:pStyle w:val="84"/>
              <w:rPr>
                <w:rFonts w:eastAsia="宋体"/>
              </w:rPr>
            </w:pPr>
            <w:r>
              <w:t>64.22</w:t>
            </w:r>
          </w:p>
        </w:tc>
        <w:tc>
          <w:tcPr>
            <w:tcW w:w="799" w:type="dxa"/>
            <w:vAlign w:val="center"/>
          </w:tcPr>
          <w:p w14:paraId="7C53F456">
            <w:pPr>
              <w:pStyle w:val="84"/>
              <w:rPr>
                <w:rFonts w:eastAsia="宋体"/>
              </w:rPr>
            </w:pPr>
            <w:r>
              <w:t>174.44</w:t>
            </w:r>
          </w:p>
        </w:tc>
        <w:tc>
          <w:tcPr>
            <w:tcW w:w="800" w:type="dxa"/>
            <w:vAlign w:val="center"/>
          </w:tcPr>
          <w:p w14:paraId="1F015D15">
            <w:pPr>
              <w:pStyle w:val="84"/>
              <w:rPr>
                <w:rFonts w:eastAsia="宋体"/>
              </w:rPr>
            </w:pPr>
            <w:r>
              <w:t>67.9</w:t>
            </w:r>
          </w:p>
        </w:tc>
        <w:tc>
          <w:tcPr>
            <w:tcW w:w="800" w:type="dxa"/>
            <w:vAlign w:val="center"/>
          </w:tcPr>
          <w:p w14:paraId="0579794A">
            <w:pPr>
              <w:pStyle w:val="84"/>
              <w:rPr>
                <w:rFonts w:eastAsia="宋体"/>
              </w:rPr>
            </w:pPr>
            <w:r>
              <w:t>44.66</w:t>
            </w:r>
          </w:p>
        </w:tc>
        <w:tc>
          <w:tcPr>
            <w:tcW w:w="799" w:type="dxa"/>
            <w:vAlign w:val="center"/>
          </w:tcPr>
          <w:p w14:paraId="60E83A16">
            <w:pPr>
              <w:pStyle w:val="84"/>
              <w:rPr>
                <w:rFonts w:eastAsia="宋体"/>
              </w:rPr>
            </w:pPr>
            <w:r>
              <w:t>30.83</w:t>
            </w:r>
          </w:p>
        </w:tc>
        <w:tc>
          <w:tcPr>
            <w:tcW w:w="800" w:type="dxa"/>
            <w:vAlign w:val="center"/>
          </w:tcPr>
          <w:p w14:paraId="60D1E894">
            <w:pPr>
              <w:pStyle w:val="84"/>
              <w:rPr>
                <w:rFonts w:eastAsia="宋体"/>
              </w:rPr>
            </w:pPr>
            <w:r>
              <w:t>22.21</w:t>
            </w:r>
          </w:p>
        </w:tc>
        <w:tc>
          <w:tcPr>
            <w:tcW w:w="799" w:type="dxa"/>
            <w:vAlign w:val="center"/>
          </w:tcPr>
          <w:p w14:paraId="245021CC">
            <w:pPr>
              <w:pStyle w:val="84"/>
              <w:rPr>
                <w:rFonts w:eastAsia="宋体"/>
              </w:rPr>
            </w:pPr>
            <w:r>
              <w:t>17.61</w:t>
            </w:r>
          </w:p>
        </w:tc>
        <w:tc>
          <w:tcPr>
            <w:tcW w:w="800" w:type="dxa"/>
            <w:vAlign w:val="center"/>
          </w:tcPr>
          <w:p w14:paraId="72CFAF82">
            <w:pPr>
              <w:pStyle w:val="84"/>
              <w:rPr>
                <w:rFonts w:eastAsia="宋体"/>
              </w:rPr>
            </w:pPr>
            <w:r>
              <w:t>13.05</w:t>
            </w:r>
          </w:p>
        </w:tc>
        <w:tc>
          <w:tcPr>
            <w:tcW w:w="800" w:type="dxa"/>
            <w:vAlign w:val="center"/>
          </w:tcPr>
          <w:p w14:paraId="10590F32">
            <w:pPr>
              <w:pStyle w:val="84"/>
              <w:rPr>
                <w:rFonts w:eastAsia="宋体"/>
              </w:rPr>
            </w:pPr>
            <w:r>
              <w:t>8.41</w:t>
            </w:r>
          </w:p>
        </w:tc>
        <w:tc>
          <w:tcPr>
            <w:tcW w:w="799" w:type="dxa"/>
            <w:vAlign w:val="center"/>
          </w:tcPr>
          <w:p w14:paraId="6E41E118">
            <w:pPr>
              <w:pStyle w:val="84"/>
              <w:rPr>
                <w:rFonts w:eastAsia="宋体"/>
              </w:rPr>
            </w:pPr>
            <w:r>
              <w:t>4.16</w:t>
            </w:r>
          </w:p>
        </w:tc>
        <w:tc>
          <w:tcPr>
            <w:tcW w:w="800" w:type="dxa"/>
            <w:vAlign w:val="center"/>
          </w:tcPr>
          <w:p w14:paraId="09E582DF">
            <w:pPr>
              <w:pStyle w:val="84"/>
              <w:rPr>
                <w:rFonts w:eastAsia="宋体"/>
              </w:rPr>
            </w:pPr>
            <w:r>
              <w:t>8.47</w:t>
            </w:r>
          </w:p>
        </w:tc>
        <w:tc>
          <w:tcPr>
            <w:tcW w:w="800" w:type="dxa"/>
            <w:vAlign w:val="center"/>
          </w:tcPr>
          <w:p w14:paraId="2E68FB02">
            <w:pPr>
              <w:pStyle w:val="84"/>
              <w:rPr>
                <w:rFonts w:eastAsia="宋体"/>
              </w:rPr>
            </w:pPr>
            <w:r>
              <w:t xml:space="preserve">40.11 </w:t>
            </w:r>
          </w:p>
        </w:tc>
      </w:tr>
      <w:tr w14:paraId="66D435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14:paraId="1400B3AE">
            <w:pPr>
              <w:ind w:firstLine="0" w:firstLineChars="0"/>
              <w:jc w:val="center"/>
              <w:rPr>
                <w:rFonts w:eastAsia="仿宋"/>
                <w:sz w:val="21"/>
                <w:szCs w:val="21"/>
              </w:rPr>
            </w:pPr>
          </w:p>
        </w:tc>
        <w:tc>
          <w:tcPr>
            <w:tcW w:w="1751" w:type="dxa"/>
            <w:vAlign w:val="center"/>
          </w:tcPr>
          <w:p w14:paraId="45D87D8E">
            <w:pPr>
              <w:spacing w:line="240" w:lineRule="auto"/>
              <w:ind w:firstLine="0" w:firstLineChars="0"/>
              <w:jc w:val="center"/>
              <w:rPr>
                <w:rFonts w:eastAsia="仿宋"/>
                <w:sz w:val="21"/>
                <w:szCs w:val="21"/>
              </w:rPr>
            </w:pPr>
            <w:r>
              <w:rPr>
                <w:rFonts w:eastAsia="仿宋"/>
                <w:sz w:val="21"/>
                <w:szCs w:val="21"/>
              </w:rPr>
              <w:t>发电用水量</w:t>
            </w:r>
          </w:p>
        </w:tc>
        <w:tc>
          <w:tcPr>
            <w:tcW w:w="799" w:type="dxa"/>
            <w:vAlign w:val="center"/>
          </w:tcPr>
          <w:p w14:paraId="6A6513F5">
            <w:pPr>
              <w:pStyle w:val="84"/>
              <w:rPr>
                <w:rFonts w:eastAsia="宋体"/>
              </w:rPr>
            </w:pPr>
            <w:r>
              <w:t>25.37</w:t>
            </w:r>
          </w:p>
        </w:tc>
        <w:tc>
          <w:tcPr>
            <w:tcW w:w="800" w:type="dxa"/>
            <w:vAlign w:val="center"/>
          </w:tcPr>
          <w:p w14:paraId="5CEF576C">
            <w:pPr>
              <w:pStyle w:val="84"/>
              <w:rPr>
                <w:rFonts w:eastAsia="宋体"/>
              </w:rPr>
            </w:pPr>
            <w:r>
              <w:t>64.22</w:t>
            </w:r>
          </w:p>
        </w:tc>
        <w:tc>
          <w:tcPr>
            <w:tcW w:w="799" w:type="dxa"/>
            <w:vAlign w:val="center"/>
          </w:tcPr>
          <w:p w14:paraId="5A2EBF21">
            <w:pPr>
              <w:pStyle w:val="84"/>
              <w:rPr>
                <w:rFonts w:eastAsia="宋体"/>
              </w:rPr>
            </w:pPr>
            <w:r>
              <w:t>106.3</w:t>
            </w:r>
          </w:p>
        </w:tc>
        <w:tc>
          <w:tcPr>
            <w:tcW w:w="800" w:type="dxa"/>
            <w:vAlign w:val="center"/>
          </w:tcPr>
          <w:p w14:paraId="63B165B5">
            <w:pPr>
              <w:pStyle w:val="84"/>
              <w:rPr>
                <w:rFonts w:eastAsia="宋体"/>
              </w:rPr>
            </w:pPr>
            <w:r>
              <w:t>67.9</w:t>
            </w:r>
          </w:p>
        </w:tc>
        <w:tc>
          <w:tcPr>
            <w:tcW w:w="800" w:type="dxa"/>
            <w:vAlign w:val="center"/>
          </w:tcPr>
          <w:p w14:paraId="0D1F9E8C">
            <w:pPr>
              <w:pStyle w:val="84"/>
              <w:rPr>
                <w:rFonts w:eastAsia="宋体"/>
              </w:rPr>
            </w:pPr>
            <w:r>
              <w:t>44.66</w:t>
            </w:r>
          </w:p>
        </w:tc>
        <w:tc>
          <w:tcPr>
            <w:tcW w:w="799" w:type="dxa"/>
            <w:vAlign w:val="center"/>
          </w:tcPr>
          <w:p w14:paraId="2465DF4C">
            <w:pPr>
              <w:pStyle w:val="84"/>
              <w:rPr>
                <w:rFonts w:eastAsia="宋体"/>
              </w:rPr>
            </w:pPr>
            <w:r>
              <w:t>30.83</w:t>
            </w:r>
          </w:p>
        </w:tc>
        <w:tc>
          <w:tcPr>
            <w:tcW w:w="800" w:type="dxa"/>
            <w:vAlign w:val="center"/>
          </w:tcPr>
          <w:p w14:paraId="6CCFB0C4">
            <w:pPr>
              <w:pStyle w:val="84"/>
              <w:rPr>
                <w:rFonts w:eastAsia="宋体"/>
              </w:rPr>
            </w:pPr>
            <w:r>
              <w:t>22.21</w:t>
            </w:r>
          </w:p>
        </w:tc>
        <w:tc>
          <w:tcPr>
            <w:tcW w:w="799" w:type="dxa"/>
            <w:vAlign w:val="center"/>
          </w:tcPr>
          <w:p w14:paraId="279E56F2">
            <w:pPr>
              <w:pStyle w:val="84"/>
              <w:rPr>
                <w:rFonts w:eastAsia="宋体"/>
              </w:rPr>
            </w:pPr>
            <w:r>
              <w:t>17.61</w:t>
            </w:r>
          </w:p>
        </w:tc>
        <w:tc>
          <w:tcPr>
            <w:tcW w:w="800" w:type="dxa"/>
            <w:vAlign w:val="center"/>
          </w:tcPr>
          <w:p w14:paraId="28171D62">
            <w:pPr>
              <w:pStyle w:val="84"/>
              <w:rPr>
                <w:rFonts w:eastAsia="宋体"/>
              </w:rPr>
            </w:pPr>
            <w:r>
              <w:t>0</w:t>
            </w:r>
          </w:p>
        </w:tc>
        <w:tc>
          <w:tcPr>
            <w:tcW w:w="800" w:type="dxa"/>
            <w:vAlign w:val="center"/>
          </w:tcPr>
          <w:p w14:paraId="0AF80739">
            <w:pPr>
              <w:pStyle w:val="84"/>
              <w:rPr>
                <w:rFonts w:eastAsia="宋体"/>
              </w:rPr>
            </w:pPr>
            <w:r>
              <w:t>0</w:t>
            </w:r>
          </w:p>
        </w:tc>
        <w:tc>
          <w:tcPr>
            <w:tcW w:w="799" w:type="dxa"/>
            <w:vAlign w:val="center"/>
          </w:tcPr>
          <w:p w14:paraId="2C5167E3">
            <w:pPr>
              <w:pStyle w:val="84"/>
              <w:rPr>
                <w:rFonts w:eastAsia="宋体"/>
              </w:rPr>
            </w:pPr>
            <w:r>
              <w:t>0</w:t>
            </w:r>
          </w:p>
        </w:tc>
        <w:tc>
          <w:tcPr>
            <w:tcW w:w="800" w:type="dxa"/>
            <w:vAlign w:val="center"/>
          </w:tcPr>
          <w:p w14:paraId="7F3B8E5C">
            <w:pPr>
              <w:pStyle w:val="84"/>
              <w:rPr>
                <w:rFonts w:eastAsia="宋体"/>
              </w:rPr>
            </w:pPr>
            <w:r>
              <w:t>0</w:t>
            </w:r>
          </w:p>
        </w:tc>
        <w:tc>
          <w:tcPr>
            <w:tcW w:w="800" w:type="dxa"/>
            <w:vAlign w:val="center"/>
          </w:tcPr>
          <w:p w14:paraId="72FA6FB8">
            <w:pPr>
              <w:pStyle w:val="84"/>
              <w:rPr>
                <w:rFonts w:eastAsia="宋体"/>
              </w:rPr>
            </w:pPr>
            <w:r>
              <w:t xml:space="preserve">31.59 </w:t>
            </w:r>
          </w:p>
        </w:tc>
      </w:tr>
      <w:tr w14:paraId="7CAF42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14:paraId="78C7BD8A">
            <w:pPr>
              <w:ind w:firstLine="0" w:firstLineChars="0"/>
              <w:jc w:val="center"/>
              <w:rPr>
                <w:rFonts w:eastAsia="仿宋"/>
                <w:sz w:val="21"/>
                <w:szCs w:val="21"/>
              </w:rPr>
            </w:pPr>
          </w:p>
        </w:tc>
        <w:tc>
          <w:tcPr>
            <w:tcW w:w="1751" w:type="dxa"/>
            <w:vAlign w:val="center"/>
          </w:tcPr>
          <w:p w14:paraId="4453F947">
            <w:pPr>
              <w:spacing w:line="240" w:lineRule="auto"/>
              <w:ind w:firstLine="0" w:firstLineChars="0"/>
              <w:jc w:val="center"/>
              <w:rPr>
                <w:rFonts w:eastAsia="仿宋"/>
                <w:sz w:val="21"/>
                <w:szCs w:val="21"/>
              </w:rPr>
            </w:pPr>
            <w:r>
              <w:rPr>
                <w:rFonts w:hint="eastAsia" w:eastAsia="仿宋"/>
                <w:sz w:val="21"/>
                <w:szCs w:val="21"/>
              </w:rPr>
              <w:t>弃水量</w:t>
            </w:r>
          </w:p>
        </w:tc>
        <w:tc>
          <w:tcPr>
            <w:tcW w:w="799" w:type="dxa"/>
            <w:vAlign w:val="center"/>
          </w:tcPr>
          <w:p w14:paraId="077BBEF1">
            <w:pPr>
              <w:pStyle w:val="84"/>
              <w:rPr>
                <w:rFonts w:eastAsia="宋体"/>
              </w:rPr>
            </w:pPr>
            <w:r>
              <w:t>0</w:t>
            </w:r>
          </w:p>
        </w:tc>
        <w:tc>
          <w:tcPr>
            <w:tcW w:w="800" w:type="dxa"/>
            <w:vAlign w:val="center"/>
          </w:tcPr>
          <w:p w14:paraId="538244F2">
            <w:pPr>
              <w:pStyle w:val="84"/>
              <w:rPr>
                <w:rFonts w:eastAsia="宋体"/>
              </w:rPr>
            </w:pPr>
            <w:r>
              <w:t>0</w:t>
            </w:r>
          </w:p>
        </w:tc>
        <w:tc>
          <w:tcPr>
            <w:tcW w:w="799" w:type="dxa"/>
            <w:vAlign w:val="center"/>
          </w:tcPr>
          <w:p w14:paraId="1B537A92">
            <w:pPr>
              <w:pStyle w:val="84"/>
              <w:rPr>
                <w:rFonts w:eastAsia="宋体"/>
              </w:rPr>
            </w:pPr>
            <w:r>
              <w:t>68.14</w:t>
            </w:r>
          </w:p>
        </w:tc>
        <w:tc>
          <w:tcPr>
            <w:tcW w:w="800" w:type="dxa"/>
            <w:vAlign w:val="center"/>
          </w:tcPr>
          <w:p w14:paraId="7540BF20">
            <w:pPr>
              <w:pStyle w:val="84"/>
              <w:rPr>
                <w:rFonts w:eastAsia="宋体"/>
              </w:rPr>
            </w:pPr>
            <w:r>
              <w:t>0</w:t>
            </w:r>
          </w:p>
        </w:tc>
        <w:tc>
          <w:tcPr>
            <w:tcW w:w="800" w:type="dxa"/>
            <w:vAlign w:val="center"/>
          </w:tcPr>
          <w:p w14:paraId="789FCEB1">
            <w:pPr>
              <w:pStyle w:val="84"/>
              <w:rPr>
                <w:rFonts w:eastAsia="宋体"/>
              </w:rPr>
            </w:pPr>
            <w:r>
              <w:t>0</w:t>
            </w:r>
          </w:p>
        </w:tc>
        <w:tc>
          <w:tcPr>
            <w:tcW w:w="799" w:type="dxa"/>
            <w:vAlign w:val="center"/>
          </w:tcPr>
          <w:p w14:paraId="2E81680A">
            <w:pPr>
              <w:pStyle w:val="84"/>
              <w:rPr>
                <w:rFonts w:eastAsia="宋体"/>
              </w:rPr>
            </w:pPr>
            <w:r>
              <w:t>0</w:t>
            </w:r>
          </w:p>
        </w:tc>
        <w:tc>
          <w:tcPr>
            <w:tcW w:w="800" w:type="dxa"/>
            <w:vAlign w:val="center"/>
          </w:tcPr>
          <w:p w14:paraId="667157B1">
            <w:pPr>
              <w:pStyle w:val="84"/>
              <w:rPr>
                <w:rFonts w:eastAsia="宋体"/>
              </w:rPr>
            </w:pPr>
            <w:r>
              <w:t>0</w:t>
            </w:r>
          </w:p>
        </w:tc>
        <w:tc>
          <w:tcPr>
            <w:tcW w:w="799" w:type="dxa"/>
            <w:vAlign w:val="center"/>
          </w:tcPr>
          <w:p w14:paraId="4DB57A61">
            <w:pPr>
              <w:pStyle w:val="84"/>
              <w:rPr>
                <w:rFonts w:eastAsia="宋体"/>
              </w:rPr>
            </w:pPr>
            <w:r>
              <w:t>0</w:t>
            </w:r>
          </w:p>
        </w:tc>
        <w:tc>
          <w:tcPr>
            <w:tcW w:w="800" w:type="dxa"/>
            <w:vAlign w:val="center"/>
          </w:tcPr>
          <w:p w14:paraId="7C93928F">
            <w:pPr>
              <w:pStyle w:val="84"/>
              <w:rPr>
                <w:rFonts w:eastAsia="宋体"/>
              </w:rPr>
            </w:pPr>
            <w:r>
              <w:t>13.05</w:t>
            </w:r>
          </w:p>
        </w:tc>
        <w:tc>
          <w:tcPr>
            <w:tcW w:w="800" w:type="dxa"/>
            <w:vAlign w:val="center"/>
          </w:tcPr>
          <w:p w14:paraId="4A8F2C57">
            <w:pPr>
              <w:pStyle w:val="84"/>
              <w:rPr>
                <w:rFonts w:eastAsia="宋体"/>
              </w:rPr>
            </w:pPr>
            <w:r>
              <w:t>8.41</w:t>
            </w:r>
          </w:p>
        </w:tc>
        <w:tc>
          <w:tcPr>
            <w:tcW w:w="799" w:type="dxa"/>
            <w:vAlign w:val="center"/>
          </w:tcPr>
          <w:p w14:paraId="64C89331">
            <w:pPr>
              <w:pStyle w:val="84"/>
              <w:rPr>
                <w:rFonts w:eastAsia="宋体"/>
              </w:rPr>
            </w:pPr>
            <w:r>
              <w:t>4.16</w:t>
            </w:r>
          </w:p>
        </w:tc>
        <w:tc>
          <w:tcPr>
            <w:tcW w:w="800" w:type="dxa"/>
            <w:vAlign w:val="center"/>
          </w:tcPr>
          <w:p w14:paraId="457DFC3F">
            <w:pPr>
              <w:pStyle w:val="84"/>
              <w:rPr>
                <w:rFonts w:eastAsia="宋体"/>
              </w:rPr>
            </w:pPr>
            <w:r>
              <w:t>8.47</w:t>
            </w:r>
          </w:p>
        </w:tc>
        <w:tc>
          <w:tcPr>
            <w:tcW w:w="800" w:type="dxa"/>
            <w:vAlign w:val="center"/>
          </w:tcPr>
          <w:p w14:paraId="19E8AF15">
            <w:pPr>
              <w:pStyle w:val="84"/>
              <w:rPr>
                <w:rFonts w:eastAsia="宋体"/>
              </w:rPr>
            </w:pPr>
            <w:r>
              <w:t xml:space="preserve">8.52 </w:t>
            </w:r>
          </w:p>
        </w:tc>
      </w:tr>
    </w:tbl>
    <w:p w14:paraId="6184B136">
      <w:pPr>
        <w:widowControl/>
        <w:spacing w:line="240" w:lineRule="auto"/>
        <w:ind w:firstLine="0" w:firstLineChars="0"/>
        <w:jc w:val="left"/>
        <w:rPr>
          <w:rFonts w:eastAsia="黑体"/>
          <w:sz w:val="21"/>
          <w:szCs w:val="24"/>
        </w:rPr>
        <w:sectPr>
          <w:pgSz w:w="16838" w:h="11906" w:orient="landscape"/>
          <w:pgMar w:top="1800" w:right="1440" w:bottom="1800" w:left="1440" w:header="851" w:footer="992" w:gutter="0"/>
          <w:cols w:space="720" w:num="1"/>
          <w:docGrid w:linePitch="326" w:charSpace="0"/>
        </w:sectPr>
      </w:pPr>
    </w:p>
    <w:p w14:paraId="2A7F41B5">
      <w:pPr>
        <w:widowControl/>
        <w:ind w:firstLine="480"/>
        <w:jc w:val="left"/>
        <w:rPr>
          <w:rFonts w:eastAsia="黑体"/>
          <w:sz w:val="21"/>
          <w:szCs w:val="24"/>
        </w:rPr>
        <w:sectPr>
          <w:pgSz w:w="11906" w:h="16838"/>
          <w:pgMar w:top="1440" w:right="1800" w:bottom="1440" w:left="1800" w:header="851" w:footer="992" w:gutter="0"/>
          <w:cols w:space="720" w:num="1"/>
          <w:docGrid w:linePitch="326" w:charSpace="0"/>
        </w:sectPr>
      </w:pPr>
      <w:r>
        <w:rPr>
          <w:rFonts w:hint="eastAsia"/>
          <w:color w:val="FF0000"/>
        </w:rPr>
        <w:t>为了避免开发河段断流脱水，维持河道基本的生态功能，电站正常运行时考虑下放坝址处多年平均流量的30%作为生态用水，</w:t>
      </w:r>
      <w:r>
        <w:rPr>
          <w:rFonts w:hint="eastAsia"/>
        </w:rPr>
        <w:t>在采取生态下放措施后，电站现状水平年不同保证率下月平均流量分配情况见表6-2-7。</w:t>
      </w:r>
      <w:r>
        <w:rPr>
          <w:rFonts w:hint="eastAsia" w:cstheme="minorBidi"/>
        </w:rPr>
        <w:t>由该表可以看出，电站坝址多年平均来水量为52.8m</w:t>
      </w:r>
      <w:r>
        <w:rPr>
          <w:rFonts w:hint="eastAsia" w:cstheme="minorBidi"/>
          <w:vertAlign w:val="superscript"/>
        </w:rPr>
        <w:t>3</w:t>
      </w:r>
      <w:r>
        <w:rPr>
          <w:rFonts w:hint="eastAsia" w:cstheme="minorBidi"/>
        </w:rPr>
        <w:t>/s（16.651亿m</w:t>
      </w:r>
      <w:r>
        <w:rPr>
          <w:rFonts w:hint="eastAsia" w:cstheme="minorBidi"/>
          <w:vertAlign w:val="superscript"/>
        </w:rPr>
        <w:t>3</w:t>
      </w:r>
      <w:r>
        <w:rPr>
          <w:rFonts w:hint="eastAsia" w:cstheme="minorBidi"/>
        </w:rPr>
        <w:t>）</w:t>
      </w:r>
      <w:r>
        <w:rPr>
          <w:rFonts w:hint="eastAsia" w:cstheme="minorBidi"/>
          <w:color w:val="FF0000"/>
        </w:rPr>
        <w:t>；扣除灌溉用水量后，河道多年平均允许取水量为51.88m</w:t>
      </w:r>
      <w:r>
        <w:rPr>
          <w:rFonts w:hint="eastAsia" w:cstheme="minorBidi"/>
          <w:color w:val="FF0000"/>
          <w:vertAlign w:val="superscript"/>
        </w:rPr>
        <w:t>3</w:t>
      </w:r>
      <w:r>
        <w:rPr>
          <w:rFonts w:hint="eastAsia" w:cstheme="minorBidi"/>
          <w:color w:val="FF0000"/>
        </w:rPr>
        <w:t>/s（16.36亿m</w:t>
      </w:r>
      <w:r>
        <w:rPr>
          <w:rFonts w:hint="eastAsia" w:cstheme="minorBidi"/>
          <w:color w:val="FF0000"/>
          <w:vertAlign w:val="superscript"/>
        </w:rPr>
        <w:t>3</w:t>
      </w:r>
      <w:r>
        <w:rPr>
          <w:rFonts w:hint="eastAsia" w:cstheme="minorBidi"/>
          <w:color w:val="FF0000"/>
        </w:rPr>
        <w:t>）；而按拟建项目供水能力计算的多年平均发电用水量为44.03m</w:t>
      </w:r>
      <w:r>
        <w:rPr>
          <w:rFonts w:hint="eastAsia" w:cstheme="minorBidi"/>
          <w:color w:val="FF0000"/>
          <w:vertAlign w:val="superscript"/>
        </w:rPr>
        <w:t>3</w:t>
      </w:r>
      <w:r>
        <w:rPr>
          <w:rFonts w:hint="eastAsia" w:cstheme="minorBidi"/>
          <w:color w:val="FF0000"/>
        </w:rPr>
        <w:t>/s（13.88亿m</w:t>
      </w:r>
      <w:r>
        <w:rPr>
          <w:rFonts w:hint="eastAsia" w:cstheme="minorBidi"/>
          <w:color w:val="FF0000"/>
          <w:vertAlign w:val="superscript"/>
        </w:rPr>
        <w:t>3</w:t>
      </w:r>
      <w:r>
        <w:rPr>
          <w:rFonts w:hint="eastAsia" w:cstheme="minorBidi"/>
          <w:color w:val="FF0000"/>
        </w:rPr>
        <w:t>）。</w:t>
      </w:r>
      <w:r>
        <w:rPr>
          <w:rFonts w:hint="eastAsia"/>
          <w:color w:val="FF0000"/>
          <w:szCs w:val="24"/>
        </w:rPr>
        <w:t>此外，</w:t>
      </w:r>
      <w:r>
        <w:rPr>
          <w:color w:val="FF0000"/>
        </w:rPr>
        <w:t>考虑</w:t>
      </w:r>
      <w:r>
        <w:rPr>
          <w:rFonts w:hint="eastAsia"/>
          <w:color w:val="FF0000"/>
        </w:rPr>
        <w:t>扣除</w:t>
      </w:r>
      <w:r>
        <w:rPr>
          <w:rFonts w:hint="eastAsia" w:cstheme="minorBidi"/>
          <w:color w:val="FF0000"/>
        </w:rPr>
        <w:t>灌溉用水量</w:t>
      </w:r>
      <w:r>
        <w:rPr>
          <w:rFonts w:hint="eastAsia"/>
          <w:color w:val="FF0000"/>
        </w:rPr>
        <w:t>后</w:t>
      </w:r>
      <w:r>
        <w:rPr>
          <w:color w:val="FF0000"/>
        </w:rPr>
        <w:t>，</w:t>
      </w:r>
      <w:r>
        <w:rPr>
          <w:rFonts w:cstheme="minorBidi"/>
          <w:color w:val="FF0000"/>
        </w:rPr>
        <w:t>要满足电站发电要求所需的</w:t>
      </w:r>
      <w:r>
        <w:rPr>
          <w:rFonts w:hint="eastAsia" w:cstheme="minorBidi"/>
          <w:color w:val="FF0000"/>
        </w:rPr>
        <w:t>取水</w:t>
      </w:r>
      <w:r>
        <w:rPr>
          <w:rFonts w:cstheme="minorBidi"/>
          <w:color w:val="FF0000"/>
        </w:rPr>
        <w:t>量，</w:t>
      </w:r>
      <w:r>
        <w:rPr>
          <w:rFonts w:hint="eastAsia" w:cstheme="minorBidi"/>
          <w:color w:val="FF0000"/>
        </w:rPr>
        <w:t>在丰水年（P=10%），雨季7月～9月由于坝址天然来水量充沛，会有部分弃水排入减水河段，河道纳污能力较强，河道水质不会发生污染；而枯水期12月~翌年5月由于坝址上游天然来水量较少，不能满足单台机组发电所需的最小发电引流量（15.95m</w:t>
      </w:r>
      <w:r>
        <w:rPr>
          <w:rFonts w:hint="eastAsia" w:cstheme="minorBidi"/>
          <w:color w:val="FF0000"/>
          <w:vertAlign w:val="superscript"/>
        </w:rPr>
        <w:t>3</w:t>
      </w:r>
      <w:r>
        <w:rPr>
          <w:rFonts w:hint="eastAsia" w:cstheme="minorBidi"/>
          <w:color w:val="FF0000"/>
        </w:rPr>
        <w:t>/s）时则全部下放。因此在丰水年5~6月、10~翌年3月无弃水下放，其余月份均有弃水下放；在平水年（P=50%），5~7月、10月~翌年1月无弃水下放，其余月份均有弃水下放；在枯水年（P=90%），6月~7月、9月~翌年1月无弃水下放，其余月份均有弃水下放，且减水河段平均生态流</w:t>
      </w:r>
      <w:r>
        <w:rPr>
          <w:rFonts w:hint="eastAsia" w:cstheme="minorBidi"/>
          <w:color w:val="FF0000"/>
          <w:szCs w:val="24"/>
        </w:rPr>
        <w:t>量</w:t>
      </w:r>
      <w:r>
        <w:rPr>
          <w:color w:val="FF0000"/>
          <w:kern w:val="0"/>
          <w:szCs w:val="24"/>
        </w:rPr>
        <w:t>4.16</w:t>
      </w:r>
      <w:r>
        <w:rPr>
          <w:rFonts w:hint="eastAsia" w:cstheme="minorBidi"/>
          <w:color w:val="FF0000"/>
          <w:szCs w:val="24"/>
        </w:rPr>
        <w:t>m</w:t>
      </w:r>
      <w:r>
        <w:rPr>
          <w:rFonts w:hint="eastAsia" w:cstheme="minorBidi"/>
          <w:color w:val="FF0000"/>
          <w:szCs w:val="24"/>
          <w:vertAlign w:val="superscript"/>
        </w:rPr>
        <w:t>3</w:t>
      </w:r>
      <w:r>
        <w:rPr>
          <w:rFonts w:hint="eastAsia" w:cstheme="minorBidi"/>
          <w:color w:val="FF0000"/>
          <w:szCs w:val="24"/>
        </w:rPr>
        <w:t>/s~</w:t>
      </w:r>
      <w:r>
        <w:rPr>
          <w:color w:val="FF0000"/>
          <w:kern w:val="0"/>
          <w:szCs w:val="24"/>
        </w:rPr>
        <w:t>83.98</w:t>
      </w:r>
      <w:r>
        <w:rPr>
          <w:rFonts w:hint="eastAsia" w:cstheme="minorBidi"/>
          <w:color w:val="FF0000"/>
          <w:szCs w:val="24"/>
        </w:rPr>
        <w:t>m</w:t>
      </w:r>
      <w:r>
        <w:rPr>
          <w:rFonts w:hint="eastAsia" w:cstheme="minorBidi"/>
          <w:color w:val="FF0000"/>
          <w:szCs w:val="24"/>
          <w:vertAlign w:val="superscript"/>
        </w:rPr>
        <w:t>3</w:t>
      </w:r>
      <w:r>
        <w:rPr>
          <w:rFonts w:hint="eastAsia" w:cstheme="minorBidi"/>
          <w:color w:val="FF0000"/>
          <w:szCs w:val="24"/>
        </w:rPr>
        <w:t>/s，平均</w:t>
      </w:r>
      <w:r>
        <w:rPr>
          <w:rFonts w:hint="eastAsia"/>
          <w:color w:val="FF0000"/>
          <w:kern w:val="0"/>
          <w:szCs w:val="24"/>
        </w:rPr>
        <w:t>19.08</w:t>
      </w:r>
      <w:r>
        <w:rPr>
          <w:rFonts w:hint="eastAsia" w:cstheme="minorBidi"/>
          <w:color w:val="FF0000"/>
          <w:szCs w:val="24"/>
        </w:rPr>
        <w:t>m</w:t>
      </w:r>
      <w:r>
        <w:rPr>
          <w:rFonts w:hint="eastAsia" w:cstheme="minorBidi"/>
          <w:color w:val="FF0000"/>
          <w:szCs w:val="24"/>
          <w:vertAlign w:val="superscript"/>
        </w:rPr>
        <w:t>3</w:t>
      </w:r>
      <w:r>
        <w:rPr>
          <w:rFonts w:hint="eastAsia" w:cstheme="minorBidi"/>
          <w:color w:val="FF0000"/>
          <w:szCs w:val="24"/>
        </w:rPr>
        <w:t>/s。</w:t>
      </w:r>
    </w:p>
    <w:p w14:paraId="2E054E21">
      <w:pPr>
        <w:pStyle w:val="82"/>
        <w:framePr w:hSpace="0" w:wrap="auto" w:vAnchor="margin" w:hAnchor="text" w:xAlign="left" w:yAlign="inline"/>
      </w:pPr>
      <w:r>
        <w:t>表</w:t>
      </w:r>
      <w:r>
        <w:rPr>
          <w:rFonts w:hint="eastAsia"/>
        </w:rPr>
        <w:t>6</w:t>
      </w:r>
      <w:r>
        <w:t>-</w:t>
      </w:r>
      <w:r>
        <w:rPr>
          <w:rFonts w:hint="eastAsia"/>
        </w:rPr>
        <w:t>2-7 团结水电站</w:t>
      </w:r>
      <w:r>
        <w:t>坝址不同保证率可供水量</w:t>
      </w:r>
      <w:r>
        <w:rPr>
          <w:rFonts w:hint="eastAsia"/>
        </w:rPr>
        <w:t>情况</w:t>
      </w:r>
      <w:r>
        <w:t xml:space="preserve">表 </w:t>
      </w:r>
      <w:r>
        <w:rPr>
          <w:rFonts w:hint="eastAsia"/>
        </w:rPr>
        <w:t xml:space="preserve">  </w:t>
      </w:r>
      <w:r>
        <w:t>单位</w:t>
      </w:r>
      <w:r>
        <w:rPr>
          <w:rFonts w:hint="eastAsia"/>
        </w:rPr>
        <w:t>：</w:t>
      </w:r>
      <w:r>
        <w:t>m</w:t>
      </w:r>
      <w:r>
        <w:rPr>
          <w:vertAlign w:val="superscript"/>
        </w:rPr>
        <w:t>3</w:t>
      </w:r>
      <w:r>
        <w:t>/s</w:t>
      </w:r>
    </w:p>
    <w:tbl>
      <w:tblPr>
        <w:tblStyle w:val="56"/>
        <w:tblW w:w="1351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1930"/>
        <w:gridCol w:w="905"/>
        <w:gridCol w:w="808"/>
        <w:gridCol w:w="917"/>
        <w:gridCol w:w="917"/>
        <w:gridCol w:w="796"/>
        <w:gridCol w:w="796"/>
        <w:gridCol w:w="796"/>
        <w:gridCol w:w="796"/>
        <w:gridCol w:w="796"/>
        <w:gridCol w:w="796"/>
        <w:gridCol w:w="674"/>
        <w:gridCol w:w="796"/>
        <w:gridCol w:w="796"/>
      </w:tblGrid>
      <w:tr w14:paraId="6541A8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2" w:type="dxa"/>
            <w:shd w:val="clear" w:color="auto" w:fill="auto"/>
            <w:vAlign w:val="center"/>
          </w:tcPr>
          <w:p w14:paraId="71B0E316">
            <w:pPr>
              <w:widowControl/>
              <w:spacing w:line="240" w:lineRule="auto"/>
              <w:ind w:firstLine="0" w:firstLineChars="0"/>
              <w:jc w:val="center"/>
              <w:rPr>
                <w:rFonts w:ascii="仿宋" w:hAnsi="仿宋" w:eastAsia="仿宋" w:cs="宋体"/>
                <w:color w:val="FF0000"/>
                <w:kern w:val="0"/>
                <w:sz w:val="21"/>
                <w:szCs w:val="21"/>
              </w:rPr>
            </w:pPr>
            <w:r>
              <w:rPr>
                <w:rFonts w:hint="eastAsia" w:ascii="仿宋" w:hAnsi="仿宋" w:eastAsia="仿宋" w:cs="宋体"/>
                <w:color w:val="FF0000"/>
                <w:kern w:val="0"/>
                <w:sz w:val="21"/>
                <w:szCs w:val="21"/>
              </w:rPr>
              <w:t>保证率</w:t>
            </w:r>
          </w:p>
        </w:tc>
        <w:tc>
          <w:tcPr>
            <w:tcW w:w="1930" w:type="dxa"/>
            <w:shd w:val="clear" w:color="auto" w:fill="auto"/>
            <w:vAlign w:val="center"/>
          </w:tcPr>
          <w:p w14:paraId="0C646017">
            <w:pPr>
              <w:widowControl/>
              <w:spacing w:line="240" w:lineRule="auto"/>
              <w:ind w:firstLine="0" w:firstLineChars="0"/>
              <w:jc w:val="center"/>
              <w:rPr>
                <w:rFonts w:ascii="仿宋" w:hAnsi="仿宋" w:eastAsia="仿宋" w:cs="宋体"/>
                <w:color w:val="FF0000"/>
                <w:kern w:val="0"/>
                <w:sz w:val="21"/>
                <w:szCs w:val="21"/>
              </w:rPr>
            </w:pPr>
            <w:r>
              <w:rPr>
                <w:rFonts w:hint="eastAsia" w:ascii="仿宋" w:hAnsi="仿宋" w:eastAsia="仿宋" w:cs="宋体"/>
                <w:color w:val="FF0000"/>
                <w:kern w:val="0"/>
                <w:sz w:val="21"/>
                <w:szCs w:val="21"/>
              </w:rPr>
              <w:t>项目</w:t>
            </w:r>
          </w:p>
        </w:tc>
        <w:tc>
          <w:tcPr>
            <w:tcW w:w="905" w:type="dxa"/>
            <w:shd w:val="clear" w:color="auto" w:fill="auto"/>
            <w:vAlign w:val="center"/>
          </w:tcPr>
          <w:p w14:paraId="2936674E">
            <w:pPr>
              <w:widowControl/>
              <w:spacing w:line="240" w:lineRule="auto"/>
              <w:ind w:firstLine="0" w:firstLineChars="0"/>
              <w:jc w:val="center"/>
              <w:rPr>
                <w:color w:val="FF0000"/>
                <w:kern w:val="0"/>
                <w:sz w:val="21"/>
                <w:szCs w:val="21"/>
              </w:rPr>
            </w:pPr>
            <w:r>
              <w:rPr>
                <w:color w:val="FF0000"/>
                <w:kern w:val="0"/>
                <w:sz w:val="21"/>
                <w:szCs w:val="21"/>
              </w:rPr>
              <w:t>6</w:t>
            </w:r>
          </w:p>
        </w:tc>
        <w:tc>
          <w:tcPr>
            <w:tcW w:w="808" w:type="dxa"/>
            <w:shd w:val="clear" w:color="auto" w:fill="auto"/>
            <w:vAlign w:val="center"/>
          </w:tcPr>
          <w:p w14:paraId="0C7D7A42">
            <w:pPr>
              <w:widowControl/>
              <w:spacing w:line="240" w:lineRule="auto"/>
              <w:ind w:firstLine="0" w:firstLineChars="0"/>
              <w:jc w:val="center"/>
              <w:rPr>
                <w:color w:val="FF0000"/>
                <w:kern w:val="0"/>
                <w:sz w:val="21"/>
                <w:szCs w:val="21"/>
              </w:rPr>
            </w:pPr>
            <w:r>
              <w:rPr>
                <w:color w:val="FF0000"/>
                <w:kern w:val="0"/>
                <w:sz w:val="21"/>
                <w:szCs w:val="21"/>
              </w:rPr>
              <w:t>7</w:t>
            </w:r>
          </w:p>
        </w:tc>
        <w:tc>
          <w:tcPr>
            <w:tcW w:w="917" w:type="dxa"/>
            <w:shd w:val="clear" w:color="auto" w:fill="auto"/>
            <w:vAlign w:val="center"/>
          </w:tcPr>
          <w:p w14:paraId="44567C70">
            <w:pPr>
              <w:widowControl/>
              <w:spacing w:line="240" w:lineRule="auto"/>
              <w:ind w:firstLine="0" w:firstLineChars="0"/>
              <w:jc w:val="center"/>
              <w:rPr>
                <w:color w:val="FF0000"/>
                <w:kern w:val="0"/>
                <w:sz w:val="21"/>
                <w:szCs w:val="21"/>
              </w:rPr>
            </w:pPr>
            <w:r>
              <w:rPr>
                <w:color w:val="FF0000"/>
                <w:kern w:val="0"/>
                <w:sz w:val="21"/>
                <w:szCs w:val="21"/>
              </w:rPr>
              <w:t>8</w:t>
            </w:r>
          </w:p>
        </w:tc>
        <w:tc>
          <w:tcPr>
            <w:tcW w:w="917" w:type="dxa"/>
            <w:shd w:val="clear" w:color="auto" w:fill="auto"/>
            <w:vAlign w:val="center"/>
          </w:tcPr>
          <w:p w14:paraId="6477E4BB">
            <w:pPr>
              <w:widowControl/>
              <w:spacing w:line="240" w:lineRule="auto"/>
              <w:ind w:firstLine="0" w:firstLineChars="0"/>
              <w:jc w:val="center"/>
              <w:rPr>
                <w:color w:val="FF0000"/>
                <w:kern w:val="0"/>
                <w:sz w:val="21"/>
                <w:szCs w:val="21"/>
              </w:rPr>
            </w:pPr>
            <w:r>
              <w:rPr>
                <w:color w:val="FF0000"/>
                <w:kern w:val="0"/>
                <w:sz w:val="21"/>
                <w:szCs w:val="21"/>
              </w:rPr>
              <w:t>9</w:t>
            </w:r>
          </w:p>
        </w:tc>
        <w:tc>
          <w:tcPr>
            <w:tcW w:w="796" w:type="dxa"/>
            <w:shd w:val="clear" w:color="auto" w:fill="auto"/>
            <w:vAlign w:val="center"/>
          </w:tcPr>
          <w:p w14:paraId="52073743">
            <w:pPr>
              <w:widowControl/>
              <w:spacing w:line="240" w:lineRule="auto"/>
              <w:ind w:firstLine="0" w:firstLineChars="0"/>
              <w:jc w:val="center"/>
              <w:rPr>
                <w:color w:val="FF0000"/>
                <w:kern w:val="0"/>
                <w:sz w:val="21"/>
                <w:szCs w:val="21"/>
              </w:rPr>
            </w:pPr>
            <w:r>
              <w:rPr>
                <w:color w:val="FF0000"/>
                <w:kern w:val="0"/>
                <w:sz w:val="21"/>
                <w:szCs w:val="21"/>
              </w:rPr>
              <w:t>10</w:t>
            </w:r>
          </w:p>
        </w:tc>
        <w:tc>
          <w:tcPr>
            <w:tcW w:w="796" w:type="dxa"/>
            <w:shd w:val="clear" w:color="auto" w:fill="auto"/>
            <w:vAlign w:val="center"/>
          </w:tcPr>
          <w:p w14:paraId="6B90EB51">
            <w:pPr>
              <w:widowControl/>
              <w:spacing w:line="240" w:lineRule="auto"/>
              <w:ind w:firstLine="0" w:firstLineChars="0"/>
              <w:jc w:val="center"/>
              <w:rPr>
                <w:color w:val="FF0000"/>
                <w:kern w:val="0"/>
                <w:sz w:val="21"/>
                <w:szCs w:val="21"/>
              </w:rPr>
            </w:pPr>
            <w:r>
              <w:rPr>
                <w:color w:val="FF0000"/>
                <w:kern w:val="0"/>
                <w:sz w:val="21"/>
                <w:szCs w:val="21"/>
              </w:rPr>
              <w:t>11</w:t>
            </w:r>
          </w:p>
        </w:tc>
        <w:tc>
          <w:tcPr>
            <w:tcW w:w="796" w:type="dxa"/>
            <w:shd w:val="clear" w:color="auto" w:fill="auto"/>
            <w:vAlign w:val="center"/>
          </w:tcPr>
          <w:p w14:paraId="41D44127">
            <w:pPr>
              <w:widowControl/>
              <w:spacing w:line="240" w:lineRule="auto"/>
              <w:ind w:firstLine="0" w:firstLineChars="0"/>
              <w:jc w:val="center"/>
              <w:rPr>
                <w:color w:val="FF0000"/>
                <w:kern w:val="0"/>
                <w:sz w:val="21"/>
                <w:szCs w:val="21"/>
              </w:rPr>
            </w:pPr>
            <w:r>
              <w:rPr>
                <w:color w:val="FF0000"/>
                <w:kern w:val="0"/>
                <w:sz w:val="21"/>
                <w:szCs w:val="21"/>
              </w:rPr>
              <w:t>12</w:t>
            </w:r>
          </w:p>
        </w:tc>
        <w:tc>
          <w:tcPr>
            <w:tcW w:w="796" w:type="dxa"/>
            <w:shd w:val="clear" w:color="auto" w:fill="auto"/>
            <w:vAlign w:val="center"/>
          </w:tcPr>
          <w:p w14:paraId="50C9E141">
            <w:pPr>
              <w:widowControl/>
              <w:spacing w:line="240" w:lineRule="auto"/>
              <w:ind w:firstLine="0" w:firstLineChars="0"/>
              <w:jc w:val="center"/>
              <w:rPr>
                <w:color w:val="FF0000"/>
                <w:kern w:val="0"/>
                <w:sz w:val="21"/>
                <w:szCs w:val="21"/>
              </w:rPr>
            </w:pPr>
            <w:r>
              <w:rPr>
                <w:color w:val="FF0000"/>
                <w:kern w:val="0"/>
                <w:sz w:val="21"/>
                <w:szCs w:val="21"/>
              </w:rPr>
              <w:t>1</w:t>
            </w:r>
          </w:p>
        </w:tc>
        <w:tc>
          <w:tcPr>
            <w:tcW w:w="796" w:type="dxa"/>
            <w:shd w:val="clear" w:color="auto" w:fill="auto"/>
            <w:vAlign w:val="center"/>
          </w:tcPr>
          <w:p w14:paraId="12A2106F">
            <w:pPr>
              <w:widowControl/>
              <w:spacing w:line="240" w:lineRule="auto"/>
              <w:ind w:firstLine="0" w:firstLineChars="0"/>
              <w:jc w:val="center"/>
              <w:rPr>
                <w:color w:val="FF0000"/>
                <w:kern w:val="0"/>
                <w:sz w:val="21"/>
                <w:szCs w:val="21"/>
              </w:rPr>
            </w:pPr>
            <w:r>
              <w:rPr>
                <w:color w:val="FF0000"/>
                <w:kern w:val="0"/>
                <w:sz w:val="21"/>
                <w:szCs w:val="21"/>
              </w:rPr>
              <w:t>2</w:t>
            </w:r>
          </w:p>
        </w:tc>
        <w:tc>
          <w:tcPr>
            <w:tcW w:w="796" w:type="dxa"/>
            <w:shd w:val="clear" w:color="auto" w:fill="auto"/>
            <w:vAlign w:val="center"/>
          </w:tcPr>
          <w:p w14:paraId="57A94D23">
            <w:pPr>
              <w:widowControl/>
              <w:spacing w:line="240" w:lineRule="auto"/>
              <w:ind w:firstLine="0" w:firstLineChars="0"/>
              <w:jc w:val="center"/>
              <w:rPr>
                <w:color w:val="FF0000"/>
                <w:kern w:val="0"/>
                <w:sz w:val="21"/>
                <w:szCs w:val="21"/>
              </w:rPr>
            </w:pPr>
            <w:r>
              <w:rPr>
                <w:color w:val="FF0000"/>
                <w:kern w:val="0"/>
                <w:sz w:val="21"/>
                <w:szCs w:val="21"/>
              </w:rPr>
              <w:t>3</w:t>
            </w:r>
          </w:p>
        </w:tc>
        <w:tc>
          <w:tcPr>
            <w:tcW w:w="674" w:type="dxa"/>
            <w:shd w:val="clear" w:color="auto" w:fill="auto"/>
            <w:vAlign w:val="center"/>
          </w:tcPr>
          <w:p w14:paraId="2DDF78DF">
            <w:pPr>
              <w:widowControl/>
              <w:spacing w:line="240" w:lineRule="auto"/>
              <w:ind w:firstLine="0" w:firstLineChars="0"/>
              <w:jc w:val="center"/>
              <w:rPr>
                <w:color w:val="FF0000"/>
                <w:kern w:val="0"/>
                <w:sz w:val="21"/>
                <w:szCs w:val="21"/>
              </w:rPr>
            </w:pPr>
            <w:r>
              <w:rPr>
                <w:color w:val="FF0000"/>
                <w:kern w:val="0"/>
                <w:sz w:val="21"/>
                <w:szCs w:val="21"/>
              </w:rPr>
              <w:t>4</w:t>
            </w:r>
          </w:p>
        </w:tc>
        <w:tc>
          <w:tcPr>
            <w:tcW w:w="796" w:type="dxa"/>
            <w:shd w:val="clear" w:color="auto" w:fill="auto"/>
            <w:vAlign w:val="center"/>
          </w:tcPr>
          <w:p w14:paraId="363A4354">
            <w:pPr>
              <w:widowControl/>
              <w:spacing w:line="240" w:lineRule="auto"/>
              <w:ind w:firstLine="0" w:firstLineChars="0"/>
              <w:jc w:val="center"/>
              <w:rPr>
                <w:color w:val="FF0000"/>
                <w:kern w:val="0"/>
                <w:sz w:val="21"/>
                <w:szCs w:val="21"/>
              </w:rPr>
            </w:pPr>
            <w:r>
              <w:rPr>
                <w:color w:val="FF0000"/>
                <w:kern w:val="0"/>
                <w:sz w:val="21"/>
                <w:szCs w:val="21"/>
              </w:rPr>
              <w:t>5</w:t>
            </w:r>
          </w:p>
        </w:tc>
        <w:tc>
          <w:tcPr>
            <w:tcW w:w="796" w:type="dxa"/>
            <w:shd w:val="clear" w:color="auto" w:fill="auto"/>
            <w:vAlign w:val="center"/>
          </w:tcPr>
          <w:p w14:paraId="261779AD">
            <w:pPr>
              <w:widowControl/>
              <w:spacing w:line="240" w:lineRule="auto"/>
              <w:ind w:firstLine="0" w:firstLineChars="0"/>
              <w:jc w:val="center"/>
              <w:rPr>
                <w:rFonts w:ascii="仿宋" w:hAnsi="仿宋" w:eastAsia="仿宋" w:cs="宋体"/>
                <w:color w:val="FF0000"/>
                <w:kern w:val="0"/>
                <w:sz w:val="21"/>
                <w:szCs w:val="21"/>
              </w:rPr>
            </w:pPr>
            <w:r>
              <w:rPr>
                <w:rFonts w:hint="eastAsia" w:ascii="仿宋" w:hAnsi="仿宋" w:eastAsia="仿宋" w:cs="宋体"/>
                <w:color w:val="FF0000"/>
                <w:kern w:val="0"/>
                <w:sz w:val="21"/>
                <w:szCs w:val="21"/>
              </w:rPr>
              <w:t>平均</w:t>
            </w:r>
          </w:p>
        </w:tc>
      </w:tr>
      <w:tr w14:paraId="1E82B8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2" w:type="dxa"/>
            <w:vMerge w:val="restart"/>
            <w:shd w:val="clear" w:color="auto" w:fill="auto"/>
            <w:vAlign w:val="center"/>
          </w:tcPr>
          <w:p w14:paraId="4B8414EA">
            <w:pPr>
              <w:widowControl/>
              <w:spacing w:line="240" w:lineRule="auto"/>
              <w:ind w:firstLine="0" w:firstLineChars="0"/>
              <w:jc w:val="center"/>
              <w:rPr>
                <w:color w:val="FF0000"/>
                <w:kern w:val="0"/>
                <w:sz w:val="21"/>
                <w:szCs w:val="21"/>
              </w:rPr>
            </w:pPr>
            <w:r>
              <w:rPr>
                <w:color w:val="FF0000"/>
                <w:kern w:val="0"/>
                <w:sz w:val="21"/>
                <w:szCs w:val="21"/>
              </w:rPr>
              <w:t>P=10%</w:t>
            </w:r>
          </w:p>
        </w:tc>
        <w:tc>
          <w:tcPr>
            <w:tcW w:w="1930" w:type="dxa"/>
            <w:shd w:val="clear" w:color="auto" w:fill="auto"/>
            <w:vAlign w:val="center"/>
          </w:tcPr>
          <w:p w14:paraId="75530FDF">
            <w:pPr>
              <w:widowControl/>
              <w:spacing w:line="240" w:lineRule="auto"/>
              <w:ind w:firstLine="0" w:firstLineChars="0"/>
              <w:jc w:val="center"/>
              <w:rPr>
                <w:rFonts w:ascii="仿宋" w:hAnsi="仿宋" w:eastAsia="仿宋" w:cs="宋体"/>
                <w:color w:val="FF0000"/>
                <w:kern w:val="0"/>
                <w:sz w:val="21"/>
                <w:szCs w:val="21"/>
              </w:rPr>
            </w:pPr>
            <w:r>
              <w:rPr>
                <w:rFonts w:hint="eastAsia" w:ascii="仿宋" w:hAnsi="仿宋" w:eastAsia="仿宋" w:cs="宋体"/>
                <w:color w:val="FF0000"/>
                <w:kern w:val="0"/>
                <w:sz w:val="21"/>
                <w:szCs w:val="21"/>
              </w:rPr>
              <w:t>上游天然来水量</w:t>
            </w:r>
          </w:p>
        </w:tc>
        <w:tc>
          <w:tcPr>
            <w:tcW w:w="905" w:type="dxa"/>
            <w:shd w:val="clear" w:color="auto" w:fill="auto"/>
            <w:vAlign w:val="center"/>
          </w:tcPr>
          <w:p w14:paraId="2A0100DC">
            <w:pPr>
              <w:widowControl/>
              <w:spacing w:line="240" w:lineRule="auto"/>
              <w:ind w:firstLine="0" w:firstLineChars="0"/>
              <w:jc w:val="center"/>
              <w:rPr>
                <w:color w:val="FF0000"/>
                <w:kern w:val="0"/>
                <w:sz w:val="21"/>
                <w:szCs w:val="21"/>
              </w:rPr>
            </w:pPr>
            <w:r>
              <w:rPr>
                <w:color w:val="FF0000"/>
                <w:kern w:val="0"/>
                <w:sz w:val="21"/>
                <w:szCs w:val="21"/>
              </w:rPr>
              <w:t>68.3</w:t>
            </w:r>
          </w:p>
        </w:tc>
        <w:tc>
          <w:tcPr>
            <w:tcW w:w="808" w:type="dxa"/>
            <w:shd w:val="clear" w:color="auto" w:fill="auto"/>
            <w:vAlign w:val="center"/>
          </w:tcPr>
          <w:p w14:paraId="7FAAA706">
            <w:pPr>
              <w:widowControl/>
              <w:spacing w:line="240" w:lineRule="auto"/>
              <w:ind w:firstLine="0" w:firstLineChars="0"/>
              <w:jc w:val="center"/>
              <w:rPr>
                <w:color w:val="FF0000"/>
                <w:kern w:val="0"/>
                <w:sz w:val="21"/>
                <w:szCs w:val="21"/>
              </w:rPr>
            </w:pPr>
            <w:r>
              <w:rPr>
                <w:color w:val="FF0000"/>
                <w:kern w:val="0"/>
                <w:sz w:val="21"/>
                <w:szCs w:val="21"/>
              </w:rPr>
              <w:t>126</w:t>
            </w:r>
          </w:p>
        </w:tc>
        <w:tc>
          <w:tcPr>
            <w:tcW w:w="917" w:type="dxa"/>
            <w:shd w:val="clear" w:color="auto" w:fill="auto"/>
            <w:vAlign w:val="center"/>
          </w:tcPr>
          <w:p w14:paraId="2954C4F6">
            <w:pPr>
              <w:widowControl/>
              <w:spacing w:line="240" w:lineRule="auto"/>
              <w:ind w:firstLine="0" w:firstLineChars="0"/>
              <w:jc w:val="center"/>
              <w:rPr>
                <w:color w:val="FF0000"/>
                <w:kern w:val="0"/>
                <w:sz w:val="21"/>
                <w:szCs w:val="21"/>
              </w:rPr>
            </w:pPr>
            <w:r>
              <w:rPr>
                <w:color w:val="FF0000"/>
                <w:kern w:val="0"/>
                <w:sz w:val="21"/>
                <w:szCs w:val="21"/>
              </w:rPr>
              <w:t>175</w:t>
            </w:r>
          </w:p>
        </w:tc>
        <w:tc>
          <w:tcPr>
            <w:tcW w:w="917" w:type="dxa"/>
            <w:shd w:val="clear" w:color="auto" w:fill="auto"/>
            <w:vAlign w:val="center"/>
          </w:tcPr>
          <w:p w14:paraId="24CBCE7F">
            <w:pPr>
              <w:widowControl/>
              <w:spacing w:line="240" w:lineRule="auto"/>
              <w:ind w:firstLine="0" w:firstLineChars="0"/>
              <w:jc w:val="center"/>
              <w:rPr>
                <w:color w:val="FF0000"/>
                <w:kern w:val="0"/>
                <w:sz w:val="21"/>
                <w:szCs w:val="21"/>
              </w:rPr>
            </w:pPr>
            <w:r>
              <w:rPr>
                <w:color w:val="FF0000"/>
                <w:kern w:val="0"/>
                <w:sz w:val="21"/>
                <w:szCs w:val="21"/>
              </w:rPr>
              <w:t>127</w:t>
            </w:r>
          </w:p>
        </w:tc>
        <w:tc>
          <w:tcPr>
            <w:tcW w:w="796" w:type="dxa"/>
            <w:shd w:val="clear" w:color="auto" w:fill="auto"/>
            <w:vAlign w:val="center"/>
          </w:tcPr>
          <w:p w14:paraId="08A2DAE0">
            <w:pPr>
              <w:widowControl/>
              <w:spacing w:line="240" w:lineRule="auto"/>
              <w:ind w:firstLine="0" w:firstLineChars="0"/>
              <w:jc w:val="center"/>
              <w:rPr>
                <w:color w:val="FF0000"/>
                <w:kern w:val="0"/>
                <w:sz w:val="21"/>
                <w:szCs w:val="21"/>
              </w:rPr>
            </w:pPr>
            <w:r>
              <w:rPr>
                <w:color w:val="FF0000"/>
                <w:kern w:val="0"/>
                <w:sz w:val="21"/>
                <w:szCs w:val="21"/>
              </w:rPr>
              <w:t>97.1</w:t>
            </w:r>
          </w:p>
        </w:tc>
        <w:tc>
          <w:tcPr>
            <w:tcW w:w="796" w:type="dxa"/>
            <w:shd w:val="clear" w:color="auto" w:fill="auto"/>
            <w:vAlign w:val="center"/>
          </w:tcPr>
          <w:p w14:paraId="7DF8ECA9">
            <w:pPr>
              <w:widowControl/>
              <w:spacing w:line="240" w:lineRule="auto"/>
              <w:ind w:firstLine="0" w:firstLineChars="0"/>
              <w:jc w:val="center"/>
              <w:rPr>
                <w:color w:val="FF0000"/>
                <w:kern w:val="0"/>
                <w:sz w:val="21"/>
                <w:szCs w:val="21"/>
              </w:rPr>
            </w:pPr>
            <w:r>
              <w:rPr>
                <w:color w:val="FF0000"/>
                <w:kern w:val="0"/>
                <w:sz w:val="21"/>
                <w:szCs w:val="21"/>
              </w:rPr>
              <w:t>55</w:t>
            </w:r>
          </w:p>
        </w:tc>
        <w:tc>
          <w:tcPr>
            <w:tcW w:w="796" w:type="dxa"/>
            <w:shd w:val="clear" w:color="auto" w:fill="auto"/>
            <w:vAlign w:val="center"/>
          </w:tcPr>
          <w:p w14:paraId="6A142E10">
            <w:pPr>
              <w:widowControl/>
              <w:spacing w:line="240" w:lineRule="auto"/>
              <w:ind w:firstLine="0" w:firstLineChars="0"/>
              <w:jc w:val="center"/>
              <w:rPr>
                <w:color w:val="FF0000"/>
                <w:kern w:val="0"/>
                <w:sz w:val="21"/>
                <w:szCs w:val="21"/>
              </w:rPr>
            </w:pPr>
            <w:r>
              <w:rPr>
                <w:color w:val="FF0000"/>
                <w:kern w:val="0"/>
                <w:sz w:val="21"/>
                <w:szCs w:val="21"/>
              </w:rPr>
              <w:t>34.4</w:t>
            </w:r>
          </w:p>
        </w:tc>
        <w:tc>
          <w:tcPr>
            <w:tcW w:w="796" w:type="dxa"/>
            <w:shd w:val="clear" w:color="auto" w:fill="auto"/>
            <w:vAlign w:val="center"/>
          </w:tcPr>
          <w:p w14:paraId="5A026E91">
            <w:pPr>
              <w:widowControl/>
              <w:spacing w:line="240" w:lineRule="auto"/>
              <w:ind w:firstLine="0" w:firstLineChars="0"/>
              <w:jc w:val="center"/>
              <w:rPr>
                <w:color w:val="FF0000"/>
                <w:kern w:val="0"/>
                <w:sz w:val="21"/>
                <w:szCs w:val="21"/>
              </w:rPr>
            </w:pPr>
            <w:r>
              <w:rPr>
                <w:color w:val="FF0000"/>
                <w:kern w:val="0"/>
                <w:sz w:val="21"/>
                <w:szCs w:val="21"/>
              </w:rPr>
              <w:t>29.6</w:t>
            </w:r>
          </w:p>
        </w:tc>
        <w:tc>
          <w:tcPr>
            <w:tcW w:w="796" w:type="dxa"/>
            <w:shd w:val="clear" w:color="auto" w:fill="auto"/>
            <w:vAlign w:val="center"/>
          </w:tcPr>
          <w:p w14:paraId="528EB703">
            <w:pPr>
              <w:widowControl/>
              <w:spacing w:line="240" w:lineRule="auto"/>
              <w:ind w:firstLine="0" w:firstLineChars="0"/>
              <w:jc w:val="center"/>
              <w:rPr>
                <w:color w:val="FF0000"/>
                <w:kern w:val="0"/>
                <w:sz w:val="21"/>
                <w:szCs w:val="21"/>
              </w:rPr>
            </w:pPr>
            <w:r>
              <w:rPr>
                <w:color w:val="FF0000"/>
                <w:kern w:val="0"/>
                <w:sz w:val="21"/>
                <w:szCs w:val="21"/>
              </w:rPr>
              <w:t>23</w:t>
            </w:r>
          </w:p>
        </w:tc>
        <w:tc>
          <w:tcPr>
            <w:tcW w:w="796" w:type="dxa"/>
            <w:shd w:val="clear" w:color="auto" w:fill="auto"/>
            <w:vAlign w:val="center"/>
          </w:tcPr>
          <w:p w14:paraId="256C96CD">
            <w:pPr>
              <w:widowControl/>
              <w:spacing w:line="240" w:lineRule="auto"/>
              <w:ind w:firstLine="0" w:firstLineChars="0"/>
              <w:jc w:val="center"/>
              <w:rPr>
                <w:color w:val="FF0000"/>
                <w:kern w:val="0"/>
                <w:sz w:val="21"/>
                <w:szCs w:val="21"/>
              </w:rPr>
            </w:pPr>
            <w:r>
              <w:rPr>
                <w:color w:val="FF0000"/>
                <w:kern w:val="0"/>
                <w:sz w:val="21"/>
                <w:szCs w:val="21"/>
              </w:rPr>
              <w:t>16.7</w:t>
            </w:r>
          </w:p>
        </w:tc>
        <w:tc>
          <w:tcPr>
            <w:tcW w:w="674" w:type="dxa"/>
            <w:shd w:val="clear" w:color="auto" w:fill="auto"/>
            <w:vAlign w:val="center"/>
          </w:tcPr>
          <w:p w14:paraId="2D10D48E">
            <w:pPr>
              <w:widowControl/>
              <w:spacing w:line="240" w:lineRule="auto"/>
              <w:ind w:firstLine="0" w:firstLineChars="0"/>
              <w:jc w:val="center"/>
              <w:rPr>
                <w:color w:val="FF0000"/>
                <w:kern w:val="0"/>
                <w:sz w:val="21"/>
                <w:szCs w:val="21"/>
              </w:rPr>
            </w:pPr>
            <w:r>
              <w:rPr>
                <w:color w:val="FF0000"/>
                <w:kern w:val="0"/>
                <w:sz w:val="21"/>
                <w:szCs w:val="21"/>
              </w:rPr>
              <w:t>8.22</w:t>
            </w:r>
          </w:p>
        </w:tc>
        <w:tc>
          <w:tcPr>
            <w:tcW w:w="796" w:type="dxa"/>
            <w:shd w:val="clear" w:color="auto" w:fill="auto"/>
            <w:vAlign w:val="center"/>
          </w:tcPr>
          <w:p w14:paraId="4D32C777">
            <w:pPr>
              <w:widowControl/>
              <w:spacing w:line="240" w:lineRule="auto"/>
              <w:ind w:firstLine="0" w:firstLineChars="0"/>
              <w:jc w:val="center"/>
              <w:rPr>
                <w:color w:val="FF0000"/>
                <w:kern w:val="0"/>
                <w:sz w:val="21"/>
                <w:szCs w:val="21"/>
              </w:rPr>
            </w:pPr>
            <w:r>
              <w:rPr>
                <w:color w:val="FF0000"/>
                <w:kern w:val="0"/>
                <w:sz w:val="21"/>
                <w:szCs w:val="21"/>
              </w:rPr>
              <w:t>23.5</w:t>
            </w:r>
          </w:p>
        </w:tc>
        <w:tc>
          <w:tcPr>
            <w:tcW w:w="796" w:type="dxa"/>
            <w:shd w:val="clear" w:color="auto" w:fill="auto"/>
            <w:vAlign w:val="center"/>
          </w:tcPr>
          <w:p w14:paraId="52D3E7C0">
            <w:pPr>
              <w:pStyle w:val="84"/>
              <w:rPr>
                <w:rFonts w:eastAsia="宋体"/>
                <w:color w:val="FF0000"/>
              </w:rPr>
            </w:pPr>
            <w:r>
              <w:rPr>
                <w:color w:val="FF0000"/>
              </w:rPr>
              <w:t xml:space="preserve">65.32 </w:t>
            </w:r>
          </w:p>
        </w:tc>
      </w:tr>
      <w:tr w14:paraId="1E48A2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2" w:type="dxa"/>
            <w:vMerge w:val="continue"/>
            <w:shd w:val="clear" w:color="auto" w:fill="auto"/>
            <w:vAlign w:val="center"/>
          </w:tcPr>
          <w:p w14:paraId="40397BD3">
            <w:pPr>
              <w:spacing w:line="240" w:lineRule="auto"/>
              <w:ind w:firstLine="0" w:firstLineChars="0"/>
              <w:jc w:val="center"/>
              <w:rPr>
                <w:rFonts w:ascii="宋体" w:hAnsi="宋体" w:cs="宋体"/>
                <w:color w:val="FF0000"/>
                <w:kern w:val="0"/>
                <w:sz w:val="21"/>
                <w:szCs w:val="21"/>
              </w:rPr>
            </w:pPr>
          </w:p>
        </w:tc>
        <w:tc>
          <w:tcPr>
            <w:tcW w:w="1930" w:type="dxa"/>
            <w:shd w:val="clear" w:color="auto" w:fill="auto"/>
            <w:vAlign w:val="center"/>
          </w:tcPr>
          <w:p w14:paraId="1823160F">
            <w:pPr>
              <w:widowControl/>
              <w:spacing w:line="240" w:lineRule="auto"/>
              <w:ind w:firstLine="0" w:firstLineChars="0"/>
              <w:jc w:val="center"/>
              <w:rPr>
                <w:rFonts w:ascii="仿宋" w:hAnsi="仿宋" w:eastAsia="仿宋" w:cs="宋体"/>
                <w:color w:val="FF0000"/>
                <w:kern w:val="0"/>
                <w:sz w:val="21"/>
                <w:szCs w:val="21"/>
              </w:rPr>
            </w:pPr>
            <w:r>
              <w:rPr>
                <w:rFonts w:hint="eastAsia" w:ascii="仿宋" w:hAnsi="仿宋" w:eastAsia="仿宋" w:cs="宋体"/>
                <w:color w:val="FF0000"/>
                <w:kern w:val="0"/>
                <w:sz w:val="21"/>
                <w:szCs w:val="21"/>
              </w:rPr>
              <w:t>灌溉用水量</w:t>
            </w:r>
          </w:p>
        </w:tc>
        <w:tc>
          <w:tcPr>
            <w:tcW w:w="905" w:type="dxa"/>
            <w:shd w:val="clear" w:color="auto" w:fill="auto"/>
            <w:vAlign w:val="center"/>
          </w:tcPr>
          <w:p w14:paraId="610B8CB3">
            <w:pPr>
              <w:widowControl/>
              <w:spacing w:line="240" w:lineRule="auto"/>
              <w:ind w:firstLine="0" w:firstLineChars="0"/>
              <w:jc w:val="center"/>
              <w:rPr>
                <w:color w:val="FF0000"/>
                <w:kern w:val="0"/>
                <w:sz w:val="21"/>
                <w:szCs w:val="21"/>
              </w:rPr>
            </w:pPr>
            <w:r>
              <w:rPr>
                <w:color w:val="FF0000"/>
                <w:kern w:val="0"/>
                <w:sz w:val="21"/>
                <w:szCs w:val="21"/>
              </w:rPr>
              <w:t>1.13</w:t>
            </w:r>
          </w:p>
        </w:tc>
        <w:tc>
          <w:tcPr>
            <w:tcW w:w="808" w:type="dxa"/>
            <w:shd w:val="clear" w:color="auto" w:fill="auto"/>
            <w:vAlign w:val="center"/>
          </w:tcPr>
          <w:p w14:paraId="0C5D9C21">
            <w:pPr>
              <w:widowControl/>
              <w:spacing w:line="240" w:lineRule="auto"/>
              <w:ind w:firstLine="0" w:firstLineChars="0"/>
              <w:jc w:val="center"/>
              <w:rPr>
                <w:color w:val="FF0000"/>
                <w:kern w:val="0"/>
                <w:sz w:val="21"/>
                <w:szCs w:val="21"/>
              </w:rPr>
            </w:pPr>
            <w:r>
              <w:rPr>
                <w:color w:val="FF0000"/>
                <w:kern w:val="0"/>
                <w:sz w:val="21"/>
                <w:szCs w:val="21"/>
              </w:rPr>
              <w:t>0.18</w:t>
            </w:r>
          </w:p>
        </w:tc>
        <w:tc>
          <w:tcPr>
            <w:tcW w:w="917" w:type="dxa"/>
            <w:shd w:val="clear" w:color="auto" w:fill="auto"/>
            <w:vAlign w:val="center"/>
          </w:tcPr>
          <w:p w14:paraId="20CB2E84">
            <w:pPr>
              <w:widowControl/>
              <w:spacing w:line="240" w:lineRule="auto"/>
              <w:ind w:firstLine="0" w:firstLineChars="0"/>
              <w:jc w:val="center"/>
              <w:rPr>
                <w:color w:val="FF0000"/>
                <w:kern w:val="0"/>
                <w:sz w:val="21"/>
                <w:szCs w:val="21"/>
              </w:rPr>
            </w:pPr>
            <w:r>
              <w:rPr>
                <w:color w:val="FF0000"/>
                <w:kern w:val="0"/>
                <w:sz w:val="21"/>
                <w:szCs w:val="21"/>
              </w:rPr>
              <w:t>0.56</w:t>
            </w:r>
          </w:p>
        </w:tc>
        <w:tc>
          <w:tcPr>
            <w:tcW w:w="917" w:type="dxa"/>
            <w:shd w:val="clear" w:color="auto" w:fill="auto"/>
            <w:vAlign w:val="center"/>
          </w:tcPr>
          <w:p w14:paraId="717C4AEA">
            <w:pPr>
              <w:widowControl/>
              <w:spacing w:line="240" w:lineRule="auto"/>
              <w:ind w:firstLine="0" w:firstLineChars="0"/>
              <w:jc w:val="center"/>
              <w:rPr>
                <w:color w:val="FF0000"/>
                <w:kern w:val="0"/>
                <w:sz w:val="21"/>
                <w:szCs w:val="21"/>
              </w:rPr>
            </w:pPr>
            <w:r>
              <w:rPr>
                <w:color w:val="FF0000"/>
                <w:kern w:val="0"/>
                <w:sz w:val="21"/>
                <w:szCs w:val="21"/>
              </w:rPr>
              <w:t>0.18</w:t>
            </w:r>
          </w:p>
        </w:tc>
        <w:tc>
          <w:tcPr>
            <w:tcW w:w="796" w:type="dxa"/>
            <w:shd w:val="clear" w:color="auto" w:fill="auto"/>
            <w:vAlign w:val="center"/>
          </w:tcPr>
          <w:p w14:paraId="2079F283">
            <w:pPr>
              <w:widowControl/>
              <w:spacing w:line="240" w:lineRule="auto"/>
              <w:ind w:firstLine="0" w:firstLineChars="0"/>
              <w:jc w:val="center"/>
              <w:rPr>
                <w:color w:val="FF0000"/>
                <w:kern w:val="0"/>
                <w:sz w:val="21"/>
                <w:szCs w:val="21"/>
              </w:rPr>
            </w:pPr>
            <w:r>
              <w:rPr>
                <w:color w:val="FF0000"/>
                <w:kern w:val="0"/>
                <w:sz w:val="21"/>
                <w:szCs w:val="21"/>
              </w:rPr>
              <w:t>0.18</w:t>
            </w:r>
          </w:p>
        </w:tc>
        <w:tc>
          <w:tcPr>
            <w:tcW w:w="796" w:type="dxa"/>
            <w:shd w:val="clear" w:color="auto" w:fill="auto"/>
            <w:vAlign w:val="center"/>
          </w:tcPr>
          <w:p w14:paraId="4E0024DC">
            <w:pPr>
              <w:widowControl/>
              <w:spacing w:line="240" w:lineRule="auto"/>
              <w:ind w:firstLine="0" w:firstLineChars="0"/>
              <w:jc w:val="center"/>
              <w:rPr>
                <w:color w:val="FF0000"/>
                <w:kern w:val="0"/>
                <w:sz w:val="21"/>
                <w:szCs w:val="21"/>
              </w:rPr>
            </w:pPr>
            <w:r>
              <w:rPr>
                <w:color w:val="FF0000"/>
                <w:kern w:val="0"/>
                <w:sz w:val="21"/>
                <w:szCs w:val="21"/>
              </w:rPr>
              <w:t>0.37</w:t>
            </w:r>
          </w:p>
        </w:tc>
        <w:tc>
          <w:tcPr>
            <w:tcW w:w="796" w:type="dxa"/>
            <w:shd w:val="clear" w:color="auto" w:fill="auto"/>
            <w:vAlign w:val="center"/>
          </w:tcPr>
          <w:p w14:paraId="0C311E05">
            <w:pPr>
              <w:widowControl/>
              <w:spacing w:line="240" w:lineRule="auto"/>
              <w:ind w:firstLine="0" w:firstLineChars="0"/>
              <w:jc w:val="center"/>
              <w:rPr>
                <w:color w:val="FF0000"/>
                <w:kern w:val="0"/>
                <w:sz w:val="21"/>
                <w:szCs w:val="21"/>
              </w:rPr>
            </w:pPr>
            <w:r>
              <w:rPr>
                <w:color w:val="FF0000"/>
                <w:kern w:val="0"/>
                <w:sz w:val="21"/>
                <w:szCs w:val="21"/>
              </w:rPr>
              <w:t>0.69</w:t>
            </w:r>
          </w:p>
        </w:tc>
        <w:tc>
          <w:tcPr>
            <w:tcW w:w="796" w:type="dxa"/>
            <w:shd w:val="clear" w:color="auto" w:fill="auto"/>
            <w:vAlign w:val="center"/>
          </w:tcPr>
          <w:p w14:paraId="4548B40C">
            <w:pPr>
              <w:widowControl/>
              <w:spacing w:line="240" w:lineRule="auto"/>
              <w:ind w:firstLine="0" w:firstLineChars="0"/>
              <w:jc w:val="center"/>
              <w:rPr>
                <w:color w:val="FF0000"/>
                <w:kern w:val="0"/>
                <w:sz w:val="21"/>
                <w:szCs w:val="21"/>
              </w:rPr>
            </w:pPr>
            <w:r>
              <w:rPr>
                <w:color w:val="FF0000"/>
                <w:kern w:val="0"/>
                <w:sz w:val="21"/>
                <w:szCs w:val="21"/>
              </w:rPr>
              <w:t>0.79</w:t>
            </w:r>
          </w:p>
        </w:tc>
        <w:tc>
          <w:tcPr>
            <w:tcW w:w="796" w:type="dxa"/>
            <w:shd w:val="clear" w:color="auto" w:fill="auto"/>
            <w:vAlign w:val="center"/>
          </w:tcPr>
          <w:p w14:paraId="76B7A775">
            <w:pPr>
              <w:widowControl/>
              <w:spacing w:line="240" w:lineRule="auto"/>
              <w:ind w:firstLine="0" w:firstLineChars="0"/>
              <w:jc w:val="center"/>
              <w:rPr>
                <w:color w:val="FF0000"/>
                <w:kern w:val="0"/>
                <w:sz w:val="21"/>
                <w:szCs w:val="21"/>
              </w:rPr>
            </w:pPr>
            <w:r>
              <w:rPr>
                <w:color w:val="FF0000"/>
                <w:kern w:val="0"/>
                <w:sz w:val="21"/>
                <w:szCs w:val="21"/>
              </w:rPr>
              <w:t>1.05</w:t>
            </w:r>
          </w:p>
        </w:tc>
        <w:tc>
          <w:tcPr>
            <w:tcW w:w="796" w:type="dxa"/>
            <w:shd w:val="clear" w:color="auto" w:fill="auto"/>
            <w:vAlign w:val="center"/>
          </w:tcPr>
          <w:p w14:paraId="28D7CE1B">
            <w:pPr>
              <w:widowControl/>
              <w:spacing w:line="240" w:lineRule="auto"/>
              <w:ind w:firstLine="0" w:firstLineChars="0"/>
              <w:jc w:val="center"/>
              <w:rPr>
                <w:color w:val="FF0000"/>
                <w:kern w:val="0"/>
                <w:sz w:val="21"/>
                <w:szCs w:val="21"/>
              </w:rPr>
            </w:pPr>
            <w:r>
              <w:rPr>
                <w:color w:val="FF0000"/>
                <w:kern w:val="0"/>
                <w:sz w:val="21"/>
                <w:szCs w:val="21"/>
              </w:rPr>
              <w:t>0.85</w:t>
            </w:r>
          </w:p>
        </w:tc>
        <w:tc>
          <w:tcPr>
            <w:tcW w:w="674" w:type="dxa"/>
            <w:shd w:val="clear" w:color="auto" w:fill="auto"/>
            <w:vAlign w:val="center"/>
          </w:tcPr>
          <w:p w14:paraId="2EFA868F">
            <w:pPr>
              <w:widowControl/>
              <w:spacing w:line="240" w:lineRule="auto"/>
              <w:ind w:firstLine="0" w:firstLineChars="0"/>
              <w:jc w:val="center"/>
              <w:rPr>
                <w:color w:val="FF0000"/>
                <w:kern w:val="0"/>
                <w:sz w:val="21"/>
                <w:szCs w:val="21"/>
              </w:rPr>
            </w:pPr>
            <w:r>
              <w:rPr>
                <w:color w:val="FF0000"/>
                <w:kern w:val="0"/>
                <w:sz w:val="21"/>
                <w:szCs w:val="21"/>
              </w:rPr>
              <w:t>1.21</w:t>
            </w:r>
          </w:p>
        </w:tc>
        <w:tc>
          <w:tcPr>
            <w:tcW w:w="796" w:type="dxa"/>
            <w:shd w:val="clear" w:color="auto" w:fill="auto"/>
            <w:vAlign w:val="center"/>
          </w:tcPr>
          <w:p w14:paraId="2C975980">
            <w:pPr>
              <w:widowControl/>
              <w:spacing w:line="240" w:lineRule="auto"/>
              <w:ind w:firstLine="0" w:firstLineChars="0"/>
              <w:jc w:val="center"/>
              <w:rPr>
                <w:color w:val="FF0000"/>
                <w:kern w:val="0"/>
                <w:sz w:val="21"/>
                <w:szCs w:val="21"/>
              </w:rPr>
            </w:pPr>
            <w:r>
              <w:rPr>
                <w:color w:val="FF0000"/>
                <w:kern w:val="0"/>
                <w:sz w:val="21"/>
                <w:szCs w:val="21"/>
              </w:rPr>
              <w:t>4.63</w:t>
            </w:r>
          </w:p>
        </w:tc>
        <w:tc>
          <w:tcPr>
            <w:tcW w:w="796" w:type="dxa"/>
            <w:shd w:val="clear" w:color="auto" w:fill="auto"/>
            <w:vAlign w:val="center"/>
          </w:tcPr>
          <w:p w14:paraId="04D394CE">
            <w:pPr>
              <w:pStyle w:val="84"/>
              <w:rPr>
                <w:rFonts w:eastAsia="宋体"/>
                <w:color w:val="FF0000"/>
              </w:rPr>
            </w:pPr>
            <w:r>
              <w:rPr>
                <w:color w:val="FF0000"/>
              </w:rPr>
              <w:t xml:space="preserve">0.99 </w:t>
            </w:r>
          </w:p>
        </w:tc>
      </w:tr>
      <w:tr w14:paraId="08C8D1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2" w:type="dxa"/>
            <w:vMerge w:val="continue"/>
            <w:shd w:val="clear" w:color="auto" w:fill="auto"/>
            <w:vAlign w:val="center"/>
          </w:tcPr>
          <w:p w14:paraId="001C163D">
            <w:pPr>
              <w:spacing w:line="240" w:lineRule="auto"/>
              <w:ind w:firstLine="0" w:firstLineChars="0"/>
              <w:jc w:val="center"/>
              <w:rPr>
                <w:rFonts w:ascii="宋体" w:hAnsi="宋体" w:cs="宋体"/>
                <w:color w:val="FF0000"/>
                <w:kern w:val="0"/>
                <w:sz w:val="21"/>
                <w:szCs w:val="21"/>
              </w:rPr>
            </w:pPr>
          </w:p>
        </w:tc>
        <w:tc>
          <w:tcPr>
            <w:tcW w:w="1930" w:type="dxa"/>
            <w:shd w:val="clear" w:color="auto" w:fill="auto"/>
            <w:vAlign w:val="center"/>
          </w:tcPr>
          <w:p w14:paraId="43A83743">
            <w:pPr>
              <w:widowControl/>
              <w:spacing w:line="240" w:lineRule="auto"/>
              <w:ind w:firstLine="0" w:firstLineChars="0"/>
              <w:jc w:val="center"/>
              <w:rPr>
                <w:rFonts w:ascii="仿宋" w:hAnsi="仿宋" w:eastAsia="仿宋" w:cs="宋体"/>
                <w:color w:val="FF0000"/>
                <w:kern w:val="0"/>
                <w:sz w:val="21"/>
                <w:szCs w:val="21"/>
              </w:rPr>
            </w:pPr>
            <w:r>
              <w:rPr>
                <w:rFonts w:hint="eastAsia" w:ascii="仿宋" w:hAnsi="仿宋" w:eastAsia="仿宋" w:cs="宋体"/>
                <w:color w:val="FF0000"/>
                <w:kern w:val="0"/>
                <w:sz w:val="21"/>
                <w:szCs w:val="21"/>
              </w:rPr>
              <w:t>可供水量</w:t>
            </w:r>
          </w:p>
        </w:tc>
        <w:tc>
          <w:tcPr>
            <w:tcW w:w="905" w:type="dxa"/>
            <w:shd w:val="clear" w:color="auto" w:fill="auto"/>
            <w:vAlign w:val="center"/>
          </w:tcPr>
          <w:p w14:paraId="269590CA">
            <w:pPr>
              <w:widowControl/>
              <w:spacing w:line="240" w:lineRule="auto"/>
              <w:ind w:firstLine="0" w:firstLineChars="0"/>
              <w:jc w:val="center"/>
              <w:rPr>
                <w:color w:val="FF0000"/>
                <w:kern w:val="0"/>
                <w:sz w:val="21"/>
                <w:szCs w:val="21"/>
              </w:rPr>
            </w:pPr>
            <w:r>
              <w:rPr>
                <w:color w:val="FF0000"/>
                <w:kern w:val="0"/>
                <w:sz w:val="21"/>
                <w:szCs w:val="21"/>
              </w:rPr>
              <w:t>67.17</w:t>
            </w:r>
          </w:p>
        </w:tc>
        <w:tc>
          <w:tcPr>
            <w:tcW w:w="808" w:type="dxa"/>
            <w:shd w:val="clear" w:color="auto" w:fill="auto"/>
            <w:vAlign w:val="center"/>
          </w:tcPr>
          <w:p w14:paraId="2619C40E">
            <w:pPr>
              <w:widowControl/>
              <w:spacing w:line="240" w:lineRule="auto"/>
              <w:ind w:firstLine="0" w:firstLineChars="0"/>
              <w:jc w:val="center"/>
              <w:rPr>
                <w:color w:val="FF0000"/>
                <w:kern w:val="0"/>
                <w:sz w:val="21"/>
                <w:szCs w:val="21"/>
              </w:rPr>
            </w:pPr>
            <w:r>
              <w:rPr>
                <w:color w:val="FF0000"/>
                <w:kern w:val="0"/>
                <w:sz w:val="21"/>
                <w:szCs w:val="21"/>
              </w:rPr>
              <w:t>125.82</w:t>
            </w:r>
          </w:p>
        </w:tc>
        <w:tc>
          <w:tcPr>
            <w:tcW w:w="917" w:type="dxa"/>
            <w:shd w:val="clear" w:color="auto" w:fill="auto"/>
            <w:vAlign w:val="center"/>
          </w:tcPr>
          <w:p w14:paraId="139657C6">
            <w:pPr>
              <w:widowControl/>
              <w:spacing w:line="240" w:lineRule="auto"/>
              <w:ind w:firstLine="0" w:firstLineChars="0"/>
              <w:jc w:val="center"/>
              <w:rPr>
                <w:color w:val="FF0000"/>
                <w:kern w:val="0"/>
                <w:sz w:val="21"/>
                <w:szCs w:val="21"/>
              </w:rPr>
            </w:pPr>
            <w:r>
              <w:rPr>
                <w:color w:val="FF0000"/>
                <w:kern w:val="0"/>
                <w:sz w:val="21"/>
                <w:szCs w:val="21"/>
              </w:rPr>
              <w:t>174.44</w:t>
            </w:r>
          </w:p>
        </w:tc>
        <w:tc>
          <w:tcPr>
            <w:tcW w:w="917" w:type="dxa"/>
            <w:shd w:val="clear" w:color="auto" w:fill="auto"/>
            <w:vAlign w:val="center"/>
          </w:tcPr>
          <w:p w14:paraId="3EBFC12D">
            <w:pPr>
              <w:widowControl/>
              <w:spacing w:line="240" w:lineRule="auto"/>
              <w:ind w:firstLine="0" w:firstLineChars="0"/>
              <w:jc w:val="center"/>
              <w:rPr>
                <w:color w:val="FF0000"/>
                <w:kern w:val="0"/>
                <w:sz w:val="21"/>
                <w:szCs w:val="21"/>
              </w:rPr>
            </w:pPr>
            <w:r>
              <w:rPr>
                <w:color w:val="FF0000"/>
                <w:kern w:val="0"/>
                <w:sz w:val="21"/>
                <w:szCs w:val="21"/>
              </w:rPr>
              <w:t>126.82</w:t>
            </w:r>
          </w:p>
        </w:tc>
        <w:tc>
          <w:tcPr>
            <w:tcW w:w="796" w:type="dxa"/>
            <w:shd w:val="clear" w:color="auto" w:fill="auto"/>
            <w:vAlign w:val="center"/>
          </w:tcPr>
          <w:p w14:paraId="5227471B">
            <w:pPr>
              <w:widowControl/>
              <w:spacing w:line="240" w:lineRule="auto"/>
              <w:ind w:firstLine="0" w:firstLineChars="0"/>
              <w:jc w:val="center"/>
              <w:rPr>
                <w:color w:val="FF0000"/>
                <w:kern w:val="0"/>
                <w:sz w:val="21"/>
                <w:szCs w:val="21"/>
              </w:rPr>
            </w:pPr>
            <w:r>
              <w:rPr>
                <w:color w:val="FF0000"/>
                <w:kern w:val="0"/>
                <w:sz w:val="21"/>
                <w:szCs w:val="21"/>
              </w:rPr>
              <w:t>96.92</w:t>
            </w:r>
          </w:p>
        </w:tc>
        <w:tc>
          <w:tcPr>
            <w:tcW w:w="796" w:type="dxa"/>
            <w:shd w:val="clear" w:color="auto" w:fill="auto"/>
            <w:vAlign w:val="center"/>
          </w:tcPr>
          <w:p w14:paraId="3CD3FEF3">
            <w:pPr>
              <w:widowControl/>
              <w:spacing w:line="240" w:lineRule="auto"/>
              <w:ind w:firstLine="0" w:firstLineChars="0"/>
              <w:jc w:val="center"/>
              <w:rPr>
                <w:color w:val="FF0000"/>
                <w:kern w:val="0"/>
                <w:sz w:val="21"/>
                <w:szCs w:val="21"/>
              </w:rPr>
            </w:pPr>
            <w:r>
              <w:rPr>
                <w:color w:val="FF0000"/>
                <w:kern w:val="0"/>
                <w:sz w:val="21"/>
                <w:szCs w:val="21"/>
              </w:rPr>
              <w:t>54.63</w:t>
            </w:r>
          </w:p>
        </w:tc>
        <w:tc>
          <w:tcPr>
            <w:tcW w:w="796" w:type="dxa"/>
            <w:shd w:val="clear" w:color="auto" w:fill="auto"/>
            <w:vAlign w:val="center"/>
          </w:tcPr>
          <w:p w14:paraId="2DCE6B54">
            <w:pPr>
              <w:widowControl/>
              <w:spacing w:line="240" w:lineRule="auto"/>
              <w:ind w:firstLine="0" w:firstLineChars="0"/>
              <w:jc w:val="center"/>
              <w:rPr>
                <w:color w:val="FF0000"/>
                <w:kern w:val="0"/>
                <w:sz w:val="21"/>
                <w:szCs w:val="21"/>
              </w:rPr>
            </w:pPr>
            <w:r>
              <w:rPr>
                <w:color w:val="FF0000"/>
                <w:kern w:val="0"/>
                <w:sz w:val="21"/>
                <w:szCs w:val="21"/>
              </w:rPr>
              <w:t>33.71</w:t>
            </w:r>
          </w:p>
        </w:tc>
        <w:tc>
          <w:tcPr>
            <w:tcW w:w="796" w:type="dxa"/>
            <w:shd w:val="clear" w:color="auto" w:fill="auto"/>
            <w:vAlign w:val="center"/>
          </w:tcPr>
          <w:p w14:paraId="21C7119A">
            <w:pPr>
              <w:widowControl/>
              <w:spacing w:line="240" w:lineRule="auto"/>
              <w:ind w:firstLine="0" w:firstLineChars="0"/>
              <w:jc w:val="center"/>
              <w:rPr>
                <w:color w:val="FF0000"/>
                <w:kern w:val="0"/>
                <w:sz w:val="21"/>
                <w:szCs w:val="21"/>
              </w:rPr>
            </w:pPr>
            <w:r>
              <w:rPr>
                <w:color w:val="FF0000"/>
                <w:kern w:val="0"/>
                <w:sz w:val="21"/>
                <w:szCs w:val="21"/>
              </w:rPr>
              <w:t>28.81</w:t>
            </w:r>
          </w:p>
        </w:tc>
        <w:tc>
          <w:tcPr>
            <w:tcW w:w="796" w:type="dxa"/>
            <w:shd w:val="clear" w:color="auto" w:fill="auto"/>
            <w:vAlign w:val="center"/>
          </w:tcPr>
          <w:p w14:paraId="310EC04D">
            <w:pPr>
              <w:widowControl/>
              <w:spacing w:line="240" w:lineRule="auto"/>
              <w:ind w:firstLine="0" w:firstLineChars="0"/>
              <w:jc w:val="center"/>
              <w:rPr>
                <w:color w:val="FF0000"/>
                <w:kern w:val="0"/>
                <w:sz w:val="21"/>
                <w:szCs w:val="21"/>
              </w:rPr>
            </w:pPr>
            <w:r>
              <w:rPr>
                <w:color w:val="FF0000"/>
                <w:kern w:val="0"/>
                <w:sz w:val="21"/>
                <w:szCs w:val="21"/>
              </w:rPr>
              <w:t>21.95</w:t>
            </w:r>
          </w:p>
        </w:tc>
        <w:tc>
          <w:tcPr>
            <w:tcW w:w="796" w:type="dxa"/>
            <w:shd w:val="clear" w:color="auto" w:fill="auto"/>
            <w:vAlign w:val="center"/>
          </w:tcPr>
          <w:p w14:paraId="5E69C8C9">
            <w:pPr>
              <w:widowControl/>
              <w:spacing w:line="240" w:lineRule="auto"/>
              <w:ind w:firstLine="0" w:firstLineChars="0"/>
              <w:jc w:val="center"/>
              <w:rPr>
                <w:color w:val="FF0000"/>
                <w:kern w:val="0"/>
                <w:sz w:val="21"/>
                <w:szCs w:val="21"/>
              </w:rPr>
            </w:pPr>
            <w:r>
              <w:rPr>
                <w:color w:val="FF0000"/>
                <w:kern w:val="0"/>
                <w:sz w:val="21"/>
                <w:szCs w:val="21"/>
              </w:rPr>
              <w:t>15.85</w:t>
            </w:r>
          </w:p>
        </w:tc>
        <w:tc>
          <w:tcPr>
            <w:tcW w:w="674" w:type="dxa"/>
            <w:shd w:val="clear" w:color="auto" w:fill="auto"/>
            <w:vAlign w:val="center"/>
          </w:tcPr>
          <w:p w14:paraId="1BBE0F38">
            <w:pPr>
              <w:widowControl/>
              <w:spacing w:line="240" w:lineRule="auto"/>
              <w:ind w:firstLine="0" w:firstLineChars="0"/>
              <w:jc w:val="center"/>
              <w:rPr>
                <w:color w:val="FF0000"/>
                <w:kern w:val="0"/>
                <w:sz w:val="21"/>
                <w:szCs w:val="21"/>
              </w:rPr>
            </w:pPr>
            <w:r>
              <w:rPr>
                <w:color w:val="FF0000"/>
                <w:kern w:val="0"/>
                <w:sz w:val="21"/>
                <w:szCs w:val="21"/>
              </w:rPr>
              <w:t>7.01</w:t>
            </w:r>
          </w:p>
        </w:tc>
        <w:tc>
          <w:tcPr>
            <w:tcW w:w="796" w:type="dxa"/>
            <w:shd w:val="clear" w:color="auto" w:fill="auto"/>
            <w:vAlign w:val="center"/>
          </w:tcPr>
          <w:p w14:paraId="0173CA82">
            <w:pPr>
              <w:widowControl/>
              <w:spacing w:line="240" w:lineRule="auto"/>
              <w:ind w:firstLine="0" w:firstLineChars="0"/>
              <w:jc w:val="center"/>
              <w:rPr>
                <w:color w:val="FF0000"/>
                <w:kern w:val="0"/>
                <w:sz w:val="21"/>
                <w:szCs w:val="21"/>
              </w:rPr>
            </w:pPr>
            <w:r>
              <w:rPr>
                <w:color w:val="FF0000"/>
                <w:kern w:val="0"/>
                <w:sz w:val="21"/>
                <w:szCs w:val="21"/>
              </w:rPr>
              <w:t>18.87</w:t>
            </w:r>
          </w:p>
        </w:tc>
        <w:tc>
          <w:tcPr>
            <w:tcW w:w="796" w:type="dxa"/>
            <w:shd w:val="clear" w:color="auto" w:fill="auto"/>
            <w:vAlign w:val="center"/>
          </w:tcPr>
          <w:p w14:paraId="1811410B">
            <w:pPr>
              <w:pStyle w:val="84"/>
              <w:rPr>
                <w:rFonts w:eastAsia="宋体"/>
                <w:color w:val="FF0000"/>
              </w:rPr>
            </w:pPr>
            <w:r>
              <w:rPr>
                <w:color w:val="FF0000"/>
              </w:rPr>
              <w:t xml:space="preserve">64.33 </w:t>
            </w:r>
          </w:p>
        </w:tc>
      </w:tr>
      <w:tr w14:paraId="60919C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2" w:type="dxa"/>
            <w:vMerge w:val="continue"/>
            <w:shd w:val="clear" w:color="auto" w:fill="auto"/>
            <w:vAlign w:val="center"/>
          </w:tcPr>
          <w:p w14:paraId="6D37F8AF">
            <w:pPr>
              <w:spacing w:line="240" w:lineRule="auto"/>
              <w:ind w:firstLine="0" w:firstLineChars="0"/>
              <w:jc w:val="center"/>
              <w:rPr>
                <w:rFonts w:ascii="宋体" w:hAnsi="宋体" w:cs="宋体"/>
                <w:color w:val="FF0000"/>
                <w:kern w:val="0"/>
                <w:sz w:val="21"/>
                <w:szCs w:val="21"/>
              </w:rPr>
            </w:pPr>
          </w:p>
        </w:tc>
        <w:tc>
          <w:tcPr>
            <w:tcW w:w="1930" w:type="dxa"/>
            <w:shd w:val="clear" w:color="auto" w:fill="auto"/>
            <w:vAlign w:val="center"/>
          </w:tcPr>
          <w:p w14:paraId="0DB9737B">
            <w:pPr>
              <w:widowControl/>
              <w:spacing w:line="240" w:lineRule="auto"/>
              <w:ind w:firstLine="0" w:firstLineChars="0"/>
              <w:jc w:val="center"/>
              <w:rPr>
                <w:rFonts w:ascii="仿宋" w:hAnsi="仿宋" w:eastAsia="仿宋" w:cs="宋体"/>
                <w:color w:val="FF0000"/>
                <w:kern w:val="0"/>
                <w:sz w:val="21"/>
                <w:szCs w:val="21"/>
              </w:rPr>
            </w:pPr>
            <w:r>
              <w:rPr>
                <w:rFonts w:hint="eastAsia" w:ascii="仿宋" w:hAnsi="仿宋" w:eastAsia="仿宋" w:cs="宋体"/>
                <w:color w:val="FF0000"/>
                <w:kern w:val="0"/>
                <w:sz w:val="21"/>
                <w:szCs w:val="21"/>
              </w:rPr>
              <w:t>发电用水量</w:t>
            </w:r>
          </w:p>
        </w:tc>
        <w:tc>
          <w:tcPr>
            <w:tcW w:w="905" w:type="dxa"/>
            <w:shd w:val="clear" w:color="auto" w:fill="auto"/>
            <w:vAlign w:val="center"/>
          </w:tcPr>
          <w:p w14:paraId="2DAE8372">
            <w:pPr>
              <w:widowControl/>
              <w:spacing w:line="240" w:lineRule="auto"/>
              <w:ind w:firstLine="0" w:firstLineChars="0"/>
              <w:jc w:val="center"/>
              <w:rPr>
                <w:color w:val="FF0000"/>
                <w:kern w:val="0"/>
                <w:sz w:val="21"/>
                <w:szCs w:val="21"/>
              </w:rPr>
            </w:pPr>
            <w:r>
              <w:rPr>
                <w:color w:val="FF0000"/>
                <w:kern w:val="0"/>
                <w:sz w:val="21"/>
                <w:szCs w:val="21"/>
              </w:rPr>
              <w:t>67.17</w:t>
            </w:r>
          </w:p>
        </w:tc>
        <w:tc>
          <w:tcPr>
            <w:tcW w:w="808" w:type="dxa"/>
            <w:shd w:val="clear" w:color="auto" w:fill="auto"/>
            <w:vAlign w:val="center"/>
          </w:tcPr>
          <w:p w14:paraId="11671655">
            <w:pPr>
              <w:widowControl/>
              <w:spacing w:line="240" w:lineRule="auto"/>
              <w:ind w:firstLine="0" w:firstLineChars="0"/>
              <w:jc w:val="center"/>
              <w:rPr>
                <w:color w:val="FF0000"/>
                <w:kern w:val="0"/>
                <w:sz w:val="21"/>
                <w:szCs w:val="21"/>
              </w:rPr>
            </w:pPr>
            <w:r>
              <w:rPr>
                <w:color w:val="FF0000"/>
                <w:kern w:val="0"/>
                <w:sz w:val="21"/>
                <w:szCs w:val="21"/>
              </w:rPr>
              <w:t>106.3</w:t>
            </w:r>
          </w:p>
        </w:tc>
        <w:tc>
          <w:tcPr>
            <w:tcW w:w="917" w:type="dxa"/>
            <w:shd w:val="clear" w:color="auto" w:fill="auto"/>
            <w:vAlign w:val="center"/>
          </w:tcPr>
          <w:p w14:paraId="299AAFDB">
            <w:pPr>
              <w:widowControl/>
              <w:spacing w:line="240" w:lineRule="auto"/>
              <w:ind w:firstLine="0" w:firstLineChars="0"/>
              <w:jc w:val="center"/>
              <w:rPr>
                <w:color w:val="FF0000"/>
                <w:kern w:val="0"/>
                <w:sz w:val="21"/>
                <w:szCs w:val="21"/>
              </w:rPr>
            </w:pPr>
            <w:r>
              <w:rPr>
                <w:color w:val="FF0000"/>
                <w:kern w:val="0"/>
                <w:sz w:val="21"/>
                <w:szCs w:val="21"/>
              </w:rPr>
              <w:t>106.3</w:t>
            </w:r>
          </w:p>
        </w:tc>
        <w:tc>
          <w:tcPr>
            <w:tcW w:w="917" w:type="dxa"/>
            <w:shd w:val="clear" w:color="auto" w:fill="auto"/>
            <w:vAlign w:val="center"/>
          </w:tcPr>
          <w:p w14:paraId="3A66E0A0">
            <w:pPr>
              <w:widowControl/>
              <w:spacing w:line="240" w:lineRule="auto"/>
              <w:ind w:firstLine="0" w:firstLineChars="0"/>
              <w:jc w:val="center"/>
              <w:rPr>
                <w:color w:val="FF0000"/>
                <w:kern w:val="0"/>
                <w:sz w:val="21"/>
                <w:szCs w:val="21"/>
              </w:rPr>
            </w:pPr>
            <w:r>
              <w:rPr>
                <w:color w:val="FF0000"/>
                <w:kern w:val="0"/>
                <w:sz w:val="21"/>
                <w:szCs w:val="21"/>
              </w:rPr>
              <w:t>106.3</w:t>
            </w:r>
          </w:p>
        </w:tc>
        <w:tc>
          <w:tcPr>
            <w:tcW w:w="796" w:type="dxa"/>
            <w:shd w:val="clear" w:color="auto" w:fill="auto"/>
            <w:vAlign w:val="center"/>
          </w:tcPr>
          <w:p w14:paraId="67405B97">
            <w:pPr>
              <w:widowControl/>
              <w:spacing w:line="240" w:lineRule="auto"/>
              <w:ind w:firstLine="0" w:firstLineChars="0"/>
              <w:jc w:val="center"/>
              <w:rPr>
                <w:color w:val="FF0000"/>
                <w:kern w:val="0"/>
                <w:sz w:val="21"/>
                <w:szCs w:val="21"/>
              </w:rPr>
            </w:pPr>
            <w:r>
              <w:rPr>
                <w:color w:val="FF0000"/>
                <w:kern w:val="0"/>
                <w:sz w:val="21"/>
                <w:szCs w:val="21"/>
              </w:rPr>
              <w:t>96.92</w:t>
            </w:r>
          </w:p>
        </w:tc>
        <w:tc>
          <w:tcPr>
            <w:tcW w:w="796" w:type="dxa"/>
            <w:shd w:val="clear" w:color="auto" w:fill="auto"/>
            <w:vAlign w:val="center"/>
          </w:tcPr>
          <w:p w14:paraId="27660A2A">
            <w:pPr>
              <w:widowControl/>
              <w:spacing w:line="240" w:lineRule="auto"/>
              <w:ind w:firstLine="0" w:firstLineChars="0"/>
              <w:jc w:val="center"/>
              <w:rPr>
                <w:color w:val="FF0000"/>
                <w:kern w:val="0"/>
                <w:sz w:val="21"/>
                <w:szCs w:val="21"/>
              </w:rPr>
            </w:pPr>
            <w:r>
              <w:rPr>
                <w:color w:val="FF0000"/>
                <w:kern w:val="0"/>
                <w:sz w:val="21"/>
                <w:szCs w:val="21"/>
              </w:rPr>
              <w:t>54.63</w:t>
            </w:r>
          </w:p>
        </w:tc>
        <w:tc>
          <w:tcPr>
            <w:tcW w:w="796" w:type="dxa"/>
            <w:shd w:val="clear" w:color="auto" w:fill="auto"/>
            <w:vAlign w:val="center"/>
          </w:tcPr>
          <w:p w14:paraId="19BC45B3">
            <w:pPr>
              <w:widowControl/>
              <w:spacing w:line="240" w:lineRule="auto"/>
              <w:ind w:firstLine="0" w:firstLineChars="0"/>
              <w:jc w:val="center"/>
              <w:rPr>
                <w:color w:val="FF0000"/>
                <w:kern w:val="0"/>
                <w:sz w:val="21"/>
                <w:szCs w:val="21"/>
              </w:rPr>
            </w:pPr>
            <w:r>
              <w:rPr>
                <w:color w:val="FF0000"/>
                <w:kern w:val="0"/>
                <w:sz w:val="21"/>
                <w:szCs w:val="21"/>
              </w:rPr>
              <w:t>33.71</w:t>
            </w:r>
          </w:p>
        </w:tc>
        <w:tc>
          <w:tcPr>
            <w:tcW w:w="796" w:type="dxa"/>
            <w:shd w:val="clear" w:color="auto" w:fill="auto"/>
            <w:vAlign w:val="center"/>
          </w:tcPr>
          <w:p w14:paraId="342D8771">
            <w:pPr>
              <w:widowControl/>
              <w:spacing w:line="240" w:lineRule="auto"/>
              <w:ind w:firstLine="0" w:firstLineChars="0"/>
              <w:jc w:val="center"/>
              <w:rPr>
                <w:color w:val="FF0000"/>
                <w:kern w:val="0"/>
                <w:sz w:val="21"/>
                <w:szCs w:val="21"/>
              </w:rPr>
            </w:pPr>
            <w:r>
              <w:rPr>
                <w:color w:val="FF0000"/>
                <w:kern w:val="0"/>
                <w:sz w:val="21"/>
                <w:szCs w:val="21"/>
              </w:rPr>
              <w:t>28.81</w:t>
            </w:r>
          </w:p>
        </w:tc>
        <w:tc>
          <w:tcPr>
            <w:tcW w:w="796" w:type="dxa"/>
            <w:shd w:val="clear" w:color="auto" w:fill="auto"/>
            <w:vAlign w:val="center"/>
          </w:tcPr>
          <w:p w14:paraId="5642575E">
            <w:pPr>
              <w:widowControl/>
              <w:spacing w:line="240" w:lineRule="auto"/>
              <w:ind w:firstLine="0" w:firstLineChars="0"/>
              <w:jc w:val="center"/>
              <w:rPr>
                <w:color w:val="FF0000"/>
                <w:kern w:val="0"/>
                <w:sz w:val="21"/>
                <w:szCs w:val="21"/>
              </w:rPr>
            </w:pPr>
            <w:r>
              <w:rPr>
                <w:color w:val="FF0000"/>
                <w:kern w:val="0"/>
                <w:sz w:val="21"/>
                <w:szCs w:val="21"/>
              </w:rPr>
              <w:t>21.95</w:t>
            </w:r>
          </w:p>
        </w:tc>
        <w:tc>
          <w:tcPr>
            <w:tcW w:w="796" w:type="dxa"/>
            <w:shd w:val="clear" w:color="auto" w:fill="auto"/>
            <w:vAlign w:val="center"/>
          </w:tcPr>
          <w:p w14:paraId="77A21B77">
            <w:pPr>
              <w:widowControl/>
              <w:spacing w:line="240" w:lineRule="auto"/>
              <w:ind w:firstLine="0" w:firstLineChars="0"/>
              <w:jc w:val="center"/>
              <w:rPr>
                <w:color w:val="FF0000"/>
                <w:kern w:val="0"/>
                <w:sz w:val="21"/>
                <w:szCs w:val="21"/>
              </w:rPr>
            </w:pPr>
            <w:r>
              <w:rPr>
                <w:color w:val="FF0000"/>
                <w:kern w:val="0"/>
                <w:sz w:val="21"/>
                <w:szCs w:val="21"/>
              </w:rPr>
              <w:t>15.85</w:t>
            </w:r>
          </w:p>
        </w:tc>
        <w:tc>
          <w:tcPr>
            <w:tcW w:w="674" w:type="dxa"/>
            <w:shd w:val="clear" w:color="auto" w:fill="auto"/>
            <w:vAlign w:val="center"/>
          </w:tcPr>
          <w:p w14:paraId="53527C83">
            <w:pPr>
              <w:widowControl/>
              <w:spacing w:line="240" w:lineRule="auto"/>
              <w:ind w:firstLine="0" w:firstLineChars="0"/>
              <w:jc w:val="center"/>
              <w:rPr>
                <w:color w:val="FF0000"/>
                <w:kern w:val="0"/>
                <w:sz w:val="21"/>
                <w:szCs w:val="21"/>
              </w:rPr>
            </w:pPr>
            <w:r>
              <w:rPr>
                <w:color w:val="FF0000"/>
                <w:kern w:val="0"/>
                <w:sz w:val="21"/>
                <w:szCs w:val="21"/>
              </w:rPr>
              <w:t>0</w:t>
            </w:r>
          </w:p>
        </w:tc>
        <w:tc>
          <w:tcPr>
            <w:tcW w:w="796" w:type="dxa"/>
            <w:shd w:val="clear" w:color="auto" w:fill="auto"/>
            <w:vAlign w:val="center"/>
          </w:tcPr>
          <w:p w14:paraId="6841E599">
            <w:pPr>
              <w:widowControl/>
              <w:spacing w:line="240" w:lineRule="auto"/>
              <w:ind w:firstLine="0" w:firstLineChars="0"/>
              <w:jc w:val="center"/>
              <w:rPr>
                <w:color w:val="FF0000"/>
                <w:kern w:val="0"/>
                <w:sz w:val="21"/>
                <w:szCs w:val="21"/>
              </w:rPr>
            </w:pPr>
            <w:r>
              <w:rPr>
                <w:color w:val="FF0000"/>
                <w:kern w:val="0"/>
                <w:sz w:val="21"/>
                <w:szCs w:val="21"/>
              </w:rPr>
              <w:t>18.87</w:t>
            </w:r>
          </w:p>
        </w:tc>
        <w:tc>
          <w:tcPr>
            <w:tcW w:w="796" w:type="dxa"/>
            <w:shd w:val="clear" w:color="auto" w:fill="auto"/>
            <w:vAlign w:val="center"/>
          </w:tcPr>
          <w:p w14:paraId="3763D0F1">
            <w:pPr>
              <w:pStyle w:val="84"/>
              <w:rPr>
                <w:rFonts w:eastAsia="宋体"/>
                <w:color w:val="FF0000"/>
              </w:rPr>
            </w:pPr>
            <w:r>
              <w:rPr>
                <w:color w:val="FF0000"/>
              </w:rPr>
              <w:t xml:space="preserve">54.73 </w:t>
            </w:r>
          </w:p>
        </w:tc>
      </w:tr>
      <w:tr w14:paraId="400904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2" w:type="dxa"/>
            <w:vMerge w:val="continue"/>
            <w:shd w:val="clear" w:color="auto" w:fill="auto"/>
            <w:vAlign w:val="center"/>
          </w:tcPr>
          <w:p w14:paraId="5FDC5861">
            <w:pPr>
              <w:spacing w:line="240" w:lineRule="auto"/>
              <w:ind w:firstLine="0" w:firstLineChars="0"/>
              <w:jc w:val="center"/>
              <w:rPr>
                <w:rFonts w:ascii="宋体" w:hAnsi="宋体" w:cs="宋体"/>
                <w:color w:val="FF0000"/>
                <w:kern w:val="0"/>
                <w:sz w:val="21"/>
                <w:szCs w:val="21"/>
              </w:rPr>
            </w:pPr>
          </w:p>
        </w:tc>
        <w:tc>
          <w:tcPr>
            <w:tcW w:w="1930" w:type="dxa"/>
            <w:shd w:val="clear" w:color="auto" w:fill="auto"/>
            <w:vAlign w:val="center"/>
          </w:tcPr>
          <w:p w14:paraId="65830497">
            <w:pPr>
              <w:widowControl/>
              <w:spacing w:line="240" w:lineRule="auto"/>
              <w:ind w:firstLine="0" w:firstLineChars="0"/>
              <w:jc w:val="center"/>
              <w:rPr>
                <w:rFonts w:ascii="仿宋" w:hAnsi="仿宋" w:eastAsia="仿宋" w:cs="宋体"/>
                <w:color w:val="FF0000"/>
                <w:kern w:val="0"/>
                <w:sz w:val="21"/>
                <w:szCs w:val="21"/>
              </w:rPr>
            </w:pPr>
            <w:r>
              <w:rPr>
                <w:rFonts w:hint="eastAsia" w:ascii="仿宋" w:hAnsi="仿宋" w:eastAsia="仿宋" w:cs="宋体"/>
                <w:color w:val="FF0000"/>
                <w:kern w:val="0"/>
                <w:sz w:val="21"/>
                <w:szCs w:val="21"/>
              </w:rPr>
              <w:t>弃水量</w:t>
            </w:r>
          </w:p>
        </w:tc>
        <w:tc>
          <w:tcPr>
            <w:tcW w:w="905" w:type="dxa"/>
            <w:shd w:val="clear" w:color="auto" w:fill="auto"/>
            <w:vAlign w:val="center"/>
          </w:tcPr>
          <w:p w14:paraId="37BF2D74">
            <w:pPr>
              <w:widowControl/>
              <w:spacing w:line="240" w:lineRule="auto"/>
              <w:ind w:firstLine="0" w:firstLineChars="0"/>
              <w:jc w:val="center"/>
              <w:rPr>
                <w:color w:val="FF0000"/>
                <w:kern w:val="0"/>
                <w:sz w:val="21"/>
                <w:szCs w:val="21"/>
              </w:rPr>
            </w:pPr>
            <w:r>
              <w:rPr>
                <w:color w:val="FF0000"/>
                <w:kern w:val="0"/>
                <w:sz w:val="21"/>
                <w:szCs w:val="21"/>
              </w:rPr>
              <w:t>0</w:t>
            </w:r>
          </w:p>
        </w:tc>
        <w:tc>
          <w:tcPr>
            <w:tcW w:w="808" w:type="dxa"/>
            <w:shd w:val="clear" w:color="auto" w:fill="auto"/>
            <w:vAlign w:val="center"/>
          </w:tcPr>
          <w:p w14:paraId="6740F96E">
            <w:pPr>
              <w:widowControl/>
              <w:spacing w:line="240" w:lineRule="auto"/>
              <w:ind w:firstLine="0" w:firstLineChars="0"/>
              <w:jc w:val="center"/>
              <w:rPr>
                <w:color w:val="FF0000"/>
                <w:kern w:val="0"/>
                <w:sz w:val="21"/>
                <w:szCs w:val="21"/>
              </w:rPr>
            </w:pPr>
            <w:r>
              <w:rPr>
                <w:color w:val="FF0000"/>
                <w:kern w:val="0"/>
                <w:sz w:val="21"/>
                <w:szCs w:val="21"/>
              </w:rPr>
              <w:t>19.52</w:t>
            </w:r>
          </w:p>
        </w:tc>
        <w:tc>
          <w:tcPr>
            <w:tcW w:w="917" w:type="dxa"/>
            <w:shd w:val="clear" w:color="auto" w:fill="auto"/>
            <w:vAlign w:val="center"/>
          </w:tcPr>
          <w:p w14:paraId="14450E9B">
            <w:pPr>
              <w:widowControl/>
              <w:spacing w:line="240" w:lineRule="auto"/>
              <w:ind w:firstLine="0" w:firstLineChars="0"/>
              <w:jc w:val="center"/>
              <w:rPr>
                <w:color w:val="FF0000"/>
                <w:kern w:val="0"/>
                <w:sz w:val="21"/>
                <w:szCs w:val="21"/>
              </w:rPr>
            </w:pPr>
            <w:r>
              <w:rPr>
                <w:color w:val="FF0000"/>
                <w:kern w:val="0"/>
                <w:sz w:val="21"/>
                <w:szCs w:val="21"/>
              </w:rPr>
              <w:t>68.14</w:t>
            </w:r>
          </w:p>
        </w:tc>
        <w:tc>
          <w:tcPr>
            <w:tcW w:w="917" w:type="dxa"/>
            <w:shd w:val="clear" w:color="auto" w:fill="auto"/>
            <w:vAlign w:val="center"/>
          </w:tcPr>
          <w:p w14:paraId="53A9BFE4">
            <w:pPr>
              <w:widowControl/>
              <w:spacing w:line="240" w:lineRule="auto"/>
              <w:ind w:firstLine="0" w:firstLineChars="0"/>
              <w:jc w:val="center"/>
              <w:rPr>
                <w:color w:val="FF0000"/>
                <w:kern w:val="0"/>
                <w:sz w:val="21"/>
                <w:szCs w:val="21"/>
              </w:rPr>
            </w:pPr>
            <w:r>
              <w:rPr>
                <w:color w:val="FF0000"/>
                <w:kern w:val="0"/>
                <w:sz w:val="21"/>
                <w:szCs w:val="21"/>
              </w:rPr>
              <w:t>20.52</w:t>
            </w:r>
          </w:p>
        </w:tc>
        <w:tc>
          <w:tcPr>
            <w:tcW w:w="796" w:type="dxa"/>
            <w:shd w:val="clear" w:color="auto" w:fill="auto"/>
            <w:vAlign w:val="center"/>
          </w:tcPr>
          <w:p w14:paraId="6737320C">
            <w:pPr>
              <w:widowControl/>
              <w:spacing w:line="240" w:lineRule="auto"/>
              <w:ind w:firstLine="0" w:firstLineChars="0"/>
              <w:jc w:val="center"/>
              <w:rPr>
                <w:color w:val="FF0000"/>
                <w:kern w:val="0"/>
                <w:sz w:val="21"/>
                <w:szCs w:val="21"/>
              </w:rPr>
            </w:pPr>
            <w:r>
              <w:rPr>
                <w:color w:val="FF0000"/>
                <w:kern w:val="0"/>
                <w:sz w:val="21"/>
                <w:szCs w:val="21"/>
              </w:rPr>
              <w:t>0</w:t>
            </w:r>
          </w:p>
        </w:tc>
        <w:tc>
          <w:tcPr>
            <w:tcW w:w="796" w:type="dxa"/>
            <w:shd w:val="clear" w:color="auto" w:fill="auto"/>
            <w:vAlign w:val="center"/>
          </w:tcPr>
          <w:p w14:paraId="442E2352">
            <w:pPr>
              <w:widowControl/>
              <w:spacing w:line="240" w:lineRule="auto"/>
              <w:ind w:firstLine="0" w:firstLineChars="0"/>
              <w:jc w:val="center"/>
              <w:rPr>
                <w:color w:val="FF0000"/>
                <w:kern w:val="0"/>
                <w:sz w:val="21"/>
                <w:szCs w:val="21"/>
              </w:rPr>
            </w:pPr>
            <w:r>
              <w:rPr>
                <w:color w:val="FF0000"/>
                <w:kern w:val="0"/>
                <w:sz w:val="21"/>
                <w:szCs w:val="21"/>
              </w:rPr>
              <w:t>0</w:t>
            </w:r>
          </w:p>
        </w:tc>
        <w:tc>
          <w:tcPr>
            <w:tcW w:w="796" w:type="dxa"/>
            <w:shd w:val="clear" w:color="auto" w:fill="auto"/>
            <w:vAlign w:val="center"/>
          </w:tcPr>
          <w:p w14:paraId="0D6522E0">
            <w:pPr>
              <w:widowControl/>
              <w:spacing w:line="240" w:lineRule="auto"/>
              <w:ind w:firstLine="0" w:firstLineChars="0"/>
              <w:jc w:val="center"/>
              <w:rPr>
                <w:color w:val="FF0000"/>
                <w:kern w:val="0"/>
                <w:sz w:val="21"/>
                <w:szCs w:val="21"/>
              </w:rPr>
            </w:pPr>
            <w:r>
              <w:rPr>
                <w:color w:val="FF0000"/>
                <w:kern w:val="0"/>
                <w:sz w:val="21"/>
                <w:szCs w:val="21"/>
              </w:rPr>
              <w:t>0</w:t>
            </w:r>
          </w:p>
        </w:tc>
        <w:tc>
          <w:tcPr>
            <w:tcW w:w="796" w:type="dxa"/>
            <w:shd w:val="clear" w:color="auto" w:fill="auto"/>
            <w:vAlign w:val="center"/>
          </w:tcPr>
          <w:p w14:paraId="7E11FAA7">
            <w:pPr>
              <w:widowControl/>
              <w:spacing w:line="240" w:lineRule="auto"/>
              <w:ind w:firstLine="0" w:firstLineChars="0"/>
              <w:jc w:val="center"/>
              <w:rPr>
                <w:color w:val="FF0000"/>
                <w:kern w:val="0"/>
                <w:sz w:val="21"/>
                <w:szCs w:val="21"/>
              </w:rPr>
            </w:pPr>
            <w:r>
              <w:rPr>
                <w:color w:val="FF0000"/>
                <w:kern w:val="0"/>
                <w:sz w:val="21"/>
                <w:szCs w:val="21"/>
              </w:rPr>
              <w:t>0</w:t>
            </w:r>
          </w:p>
        </w:tc>
        <w:tc>
          <w:tcPr>
            <w:tcW w:w="796" w:type="dxa"/>
            <w:shd w:val="clear" w:color="auto" w:fill="auto"/>
            <w:vAlign w:val="center"/>
          </w:tcPr>
          <w:p w14:paraId="5D280C5F">
            <w:pPr>
              <w:widowControl/>
              <w:spacing w:line="240" w:lineRule="auto"/>
              <w:ind w:firstLine="0" w:firstLineChars="0"/>
              <w:jc w:val="center"/>
              <w:rPr>
                <w:color w:val="FF0000"/>
                <w:kern w:val="0"/>
                <w:sz w:val="21"/>
                <w:szCs w:val="21"/>
              </w:rPr>
            </w:pPr>
            <w:r>
              <w:rPr>
                <w:color w:val="FF0000"/>
                <w:kern w:val="0"/>
                <w:sz w:val="21"/>
                <w:szCs w:val="21"/>
              </w:rPr>
              <w:t>0</w:t>
            </w:r>
          </w:p>
        </w:tc>
        <w:tc>
          <w:tcPr>
            <w:tcW w:w="796" w:type="dxa"/>
            <w:shd w:val="clear" w:color="auto" w:fill="auto"/>
            <w:vAlign w:val="center"/>
          </w:tcPr>
          <w:p w14:paraId="09AE2A84">
            <w:pPr>
              <w:widowControl/>
              <w:spacing w:line="240" w:lineRule="auto"/>
              <w:ind w:firstLine="0" w:firstLineChars="0"/>
              <w:jc w:val="center"/>
              <w:rPr>
                <w:color w:val="FF0000"/>
                <w:kern w:val="0"/>
                <w:sz w:val="21"/>
                <w:szCs w:val="21"/>
              </w:rPr>
            </w:pPr>
            <w:r>
              <w:rPr>
                <w:color w:val="FF0000"/>
                <w:kern w:val="0"/>
                <w:sz w:val="21"/>
                <w:szCs w:val="21"/>
              </w:rPr>
              <w:t>0</w:t>
            </w:r>
          </w:p>
        </w:tc>
        <w:tc>
          <w:tcPr>
            <w:tcW w:w="674" w:type="dxa"/>
            <w:shd w:val="clear" w:color="auto" w:fill="auto"/>
            <w:vAlign w:val="center"/>
          </w:tcPr>
          <w:p w14:paraId="08930B4E">
            <w:pPr>
              <w:widowControl/>
              <w:spacing w:line="240" w:lineRule="auto"/>
              <w:ind w:firstLine="0" w:firstLineChars="0"/>
              <w:jc w:val="center"/>
              <w:rPr>
                <w:color w:val="FF0000"/>
                <w:kern w:val="0"/>
                <w:sz w:val="21"/>
                <w:szCs w:val="21"/>
              </w:rPr>
            </w:pPr>
            <w:r>
              <w:rPr>
                <w:color w:val="FF0000"/>
                <w:kern w:val="0"/>
                <w:sz w:val="21"/>
                <w:szCs w:val="21"/>
              </w:rPr>
              <w:t>7.01</w:t>
            </w:r>
          </w:p>
        </w:tc>
        <w:tc>
          <w:tcPr>
            <w:tcW w:w="796" w:type="dxa"/>
            <w:shd w:val="clear" w:color="auto" w:fill="auto"/>
            <w:vAlign w:val="center"/>
          </w:tcPr>
          <w:p w14:paraId="469DC325">
            <w:pPr>
              <w:widowControl/>
              <w:spacing w:line="240" w:lineRule="auto"/>
              <w:ind w:firstLine="0" w:firstLineChars="0"/>
              <w:jc w:val="center"/>
              <w:rPr>
                <w:color w:val="FF0000"/>
                <w:kern w:val="0"/>
                <w:sz w:val="21"/>
                <w:szCs w:val="21"/>
              </w:rPr>
            </w:pPr>
            <w:r>
              <w:rPr>
                <w:color w:val="FF0000"/>
                <w:kern w:val="0"/>
                <w:sz w:val="21"/>
                <w:szCs w:val="21"/>
              </w:rPr>
              <w:t>0</w:t>
            </w:r>
          </w:p>
        </w:tc>
        <w:tc>
          <w:tcPr>
            <w:tcW w:w="796" w:type="dxa"/>
            <w:shd w:val="clear" w:color="auto" w:fill="auto"/>
            <w:vAlign w:val="center"/>
          </w:tcPr>
          <w:p w14:paraId="3E032587">
            <w:pPr>
              <w:pStyle w:val="84"/>
              <w:rPr>
                <w:rFonts w:eastAsia="宋体"/>
                <w:color w:val="FF0000"/>
              </w:rPr>
            </w:pPr>
            <w:r>
              <w:rPr>
                <w:color w:val="FF0000"/>
              </w:rPr>
              <w:t xml:space="preserve">9.60 </w:t>
            </w:r>
          </w:p>
        </w:tc>
      </w:tr>
      <w:tr w14:paraId="23C7B9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2" w:type="dxa"/>
            <w:vMerge w:val="continue"/>
            <w:shd w:val="clear" w:color="auto" w:fill="auto"/>
            <w:vAlign w:val="center"/>
          </w:tcPr>
          <w:p w14:paraId="7BD5EF88">
            <w:pPr>
              <w:widowControl/>
              <w:spacing w:line="240" w:lineRule="auto"/>
              <w:ind w:firstLine="0" w:firstLineChars="0"/>
              <w:jc w:val="center"/>
              <w:rPr>
                <w:rFonts w:ascii="宋体" w:hAnsi="宋体" w:cs="宋体"/>
                <w:color w:val="FF0000"/>
                <w:kern w:val="0"/>
                <w:sz w:val="21"/>
                <w:szCs w:val="21"/>
              </w:rPr>
            </w:pPr>
          </w:p>
        </w:tc>
        <w:tc>
          <w:tcPr>
            <w:tcW w:w="1930" w:type="dxa"/>
            <w:shd w:val="clear" w:color="auto" w:fill="auto"/>
            <w:vAlign w:val="center"/>
          </w:tcPr>
          <w:p w14:paraId="04C87101">
            <w:pPr>
              <w:widowControl/>
              <w:spacing w:line="240" w:lineRule="auto"/>
              <w:ind w:firstLine="0" w:firstLineChars="0"/>
              <w:jc w:val="center"/>
              <w:rPr>
                <w:rFonts w:ascii="仿宋" w:hAnsi="仿宋" w:eastAsia="仿宋" w:cs="宋体"/>
                <w:color w:val="FF0000"/>
                <w:kern w:val="0"/>
                <w:sz w:val="21"/>
                <w:szCs w:val="21"/>
              </w:rPr>
            </w:pPr>
            <w:r>
              <w:rPr>
                <w:rFonts w:hint="eastAsia" w:ascii="仿宋" w:hAnsi="仿宋" w:eastAsia="仿宋" w:cs="宋体"/>
                <w:color w:val="FF0000"/>
                <w:kern w:val="0"/>
                <w:sz w:val="21"/>
                <w:szCs w:val="21"/>
              </w:rPr>
              <w:t>减水河段生态流量</w:t>
            </w:r>
          </w:p>
        </w:tc>
        <w:tc>
          <w:tcPr>
            <w:tcW w:w="905" w:type="dxa"/>
            <w:shd w:val="clear" w:color="auto" w:fill="auto"/>
            <w:vAlign w:val="center"/>
          </w:tcPr>
          <w:p w14:paraId="69788FDE">
            <w:pPr>
              <w:widowControl/>
              <w:spacing w:line="240" w:lineRule="auto"/>
              <w:ind w:firstLine="0" w:firstLineChars="0"/>
              <w:jc w:val="center"/>
              <w:rPr>
                <w:color w:val="FF0000"/>
                <w:kern w:val="0"/>
                <w:sz w:val="21"/>
                <w:szCs w:val="21"/>
              </w:rPr>
            </w:pPr>
            <w:r>
              <w:rPr>
                <w:color w:val="FF0000"/>
                <w:kern w:val="0"/>
                <w:sz w:val="21"/>
                <w:szCs w:val="21"/>
              </w:rPr>
              <w:t>15.84</w:t>
            </w:r>
          </w:p>
        </w:tc>
        <w:tc>
          <w:tcPr>
            <w:tcW w:w="808" w:type="dxa"/>
            <w:shd w:val="clear" w:color="auto" w:fill="auto"/>
            <w:vAlign w:val="center"/>
          </w:tcPr>
          <w:p w14:paraId="361A22A4">
            <w:pPr>
              <w:widowControl/>
              <w:spacing w:line="240" w:lineRule="auto"/>
              <w:ind w:firstLine="0" w:firstLineChars="0"/>
              <w:jc w:val="center"/>
              <w:rPr>
                <w:color w:val="FF0000"/>
                <w:kern w:val="0"/>
                <w:sz w:val="21"/>
                <w:szCs w:val="21"/>
              </w:rPr>
            </w:pPr>
            <w:r>
              <w:rPr>
                <w:color w:val="FF0000"/>
                <w:kern w:val="0"/>
                <w:sz w:val="21"/>
                <w:szCs w:val="21"/>
              </w:rPr>
              <w:t>35.36</w:t>
            </w:r>
          </w:p>
        </w:tc>
        <w:tc>
          <w:tcPr>
            <w:tcW w:w="917" w:type="dxa"/>
            <w:shd w:val="clear" w:color="auto" w:fill="auto"/>
            <w:vAlign w:val="center"/>
          </w:tcPr>
          <w:p w14:paraId="1FE96C5D">
            <w:pPr>
              <w:widowControl/>
              <w:spacing w:line="240" w:lineRule="auto"/>
              <w:ind w:firstLine="0" w:firstLineChars="0"/>
              <w:jc w:val="center"/>
              <w:rPr>
                <w:color w:val="FF0000"/>
                <w:kern w:val="0"/>
                <w:sz w:val="21"/>
                <w:szCs w:val="21"/>
              </w:rPr>
            </w:pPr>
            <w:r>
              <w:rPr>
                <w:color w:val="FF0000"/>
                <w:kern w:val="0"/>
                <w:sz w:val="21"/>
                <w:szCs w:val="21"/>
              </w:rPr>
              <w:t>83.98</w:t>
            </w:r>
          </w:p>
        </w:tc>
        <w:tc>
          <w:tcPr>
            <w:tcW w:w="917" w:type="dxa"/>
            <w:shd w:val="clear" w:color="auto" w:fill="auto"/>
            <w:vAlign w:val="center"/>
          </w:tcPr>
          <w:p w14:paraId="637495AA">
            <w:pPr>
              <w:widowControl/>
              <w:spacing w:line="240" w:lineRule="auto"/>
              <w:ind w:firstLine="0" w:firstLineChars="0"/>
              <w:jc w:val="center"/>
              <w:rPr>
                <w:color w:val="FF0000"/>
                <w:kern w:val="0"/>
                <w:sz w:val="21"/>
                <w:szCs w:val="21"/>
              </w:rPr>
            </w:pPr>
            <w:r>
              <w:rPr>
                <w:color w:val="FF0000"/>
                <w:kern w:val="0"/>
                <w:sz w:val="21"/>
                <w:szCs w:val="21"/>
              </w:rPr>
              <w:t>36.36</w:t>
            </w:r>
          </w:p>
        </w:tc>
        <w:tc>
          <w:tcPr>
            <w:tcW w:w="796" w:type="dxa"/>
            <w:shd w:val="clear" w:color="auto" w:fill="auto"/>
            <w:vAlign w:val="center"/>
          </w:tcPr>
          <w:p w14:paraId="5E5D9B55">
            <w:pPr>
              <w:widowControl/>
              <w:spacing w:line="240" w:lineRule="auto"/>
              <w:ind w:firstLine="0" w:firstLineChars="0"/>
              <w:jc w:val="center"/>
              <w:rPr>
                <w:color w:val="FF0000"/>
                <w:kern w:val="0"/>
                <w:sz w:val="21"/>
                <w:szCs w:val="21"/>
              </w:rPr>
            </w:pPr>
            <w:r>
              <w:rPr>
                <w:color w:val="FF0000"/>
                <w:kern w:val="0"/>
                <w:sz w:val="21"/>
                <w:szCs w:val="21"/>
              </w:rPr>
              <w:t>15.84</w:t>
            </w:r>
          </w:p>
        </w:tc>
        <w:tc>
          <w:tcPr>
            <w:tcW w:w="796" w:type="dxa"/>
            <w:shd w:val="clear" w:color="auto" w:fill="auto"/>
            <w:vAlign w:val="center"/>
          </w:tcPr>
          <w:p w14:paraId="6C0714D0">
            <w:pPr>
              <w:widowControl/>
              <w:spacing w:line="240" w:lineRule="auto"/>
              <w:ind w:firstLine="0" w:firstLineChars="0"/>
              <w:jc w:val="center"/>
              <w:rPr>
                <w:color w:val="FF0000"/>
                <w:kern w:val="0"/>
                <w:sz w:val="21"/>
                <w:szCs w:val="21"/>
              </w:rPr>
            </w:pPr>
            <w:r>
              <w:rPr>
                <w:color w:val="FF0000"/>
                <w:kern w:val="0"/>
                <w:sz w:val="21"/>
                <w:szCs w:val="21"/>
              </w:rPr>
              <w:t>15.84</w:t>
            </w:r>
          </w:p>
        </w:tc>
        <w:tc>
          <w:tcPr>
            <w:tcW w:w="796" w:type="dxa"/>
            <w:shd w:val="clear" w:color="auto" w:fill="auto"/>
            <w:vAlign w:val="center"/>
          </w:tcPr>
          <w:p w14:paraId="4B9C072B">
            <w:pPr>
              <w:widowControl/>
              <w:spacing w:line="240" w:lineRule="auto"/>
              <w:ind w:firstLine="0" w:firstLineChars="0"/>
              <w:jc w:val="center"/>
              <w:rPr>
                <w:color w:val="FF0000"/>
                <w:kern w:val="0"/>
                <w:sz w:val="21"/>
                <w:szCs w:val="21"/>
              </w:rPr>
            </w:pPr>
            <w:r>
              <w:rPr>
                <w:color w:val="FF0000"/>
                <w:kern w:val="0"/>
                <w:sz w:val="21"/>
                <w:szCs w:val="21"/>
              </w:rPr>
              <w:t>15.84</w:t>
            </w:r>
          </w:p>
        </w:tc>
        <w:tc>
          <w:tcPr>
            <w:tcW w:w="796" w:type="dxa"/>
            <w:shd w:val="clear" w:color="auto" w:fill="auto"/>
            <w:vAlign w:val="center"/>
          </w:tcPr>
          <w:p w14:paraId="2D0DAE49">
            <w:pPr>
              <w:widowControl/>
              <w:spacing w:line="240" w:lineRule="auto"/>
              <w:ind w:firstLine="0" w:firstLineChars="0"/>
              <w:jc w:val="center"/>
              <w:rPr>
                <w:color w:val="FF0000"/>
                <w:kern w:val="0"/>
                <w:sz w:val="21"/>
                <w:szCs w:val="21"/>
              </w:rPr>
            </w:pPr>
            <w:r>
              <w:rPr>
                <w:color w:val="FF0000"/>
                <w:kern w:val="0"/>
                <w:sz w:val="21"/>
                <w:szCs w:val="21"/>
              </w:rPr>
              <w:t>15.84</w:t>
            </w:r>
          </w:p>
        </w:tc>
        <w:tc>
          <w:tcPr>
            <w:tcW w:w="796" w:type="dxa"/>
            <w:shd w:val="clear" w:color="auto" w:fill="auto"/>
            <w:vAlign w:val="center"/>
          </w:tcPr>
          <w:p w14:paraId="60E2C031">
            <w:pPr>
              <w:widowControl/>
              <w:spacing w:line="240" w:lineRule="auto"/>
              <w:ind w:firstLine="0" w:firstLineChars="0"/>
              <w:jc w:val="center"/>
              <w:rPr>
                <w:color w:val="FF0000"/>
                <w:kern w:val="0"/>
                <w:sz w:val="21"/>
                <w:szCs w:val="21"/>
              </w:rPr>
            </w:pPr>
            <w:r>
              <w:rPr>
                <w:color w:val="FF0000"/>
                <w:kern w:val="0"/>
                <w:sz w:val="21"/>
                <w:szCs w:val="21"/>
              </w:rPr>
              <w:t>15.84</w:t>
            </w:r>
          </w:p>
        </w:tc>
        <w:tc>
          <w:tcPr>
            <w:tcW w:w="796" w:type="dxa"/>
            <w:shd w:val="clear" w:color="auto" w:fill="auto"/>
            <w:vAlign w:val="center"/>
          </w:tcPr>
          <w:p w14:paraId="103A7CCA">
            <w:pPr>
              <w:widowControl/>
              <w:spacing w:line="240" w:lineRule="auto"/>
              <w:ind w:firstLine="0" w:firstLineChars="0"/>
              <w:jc w:val="center"/>
              <w:rPr>
                <w:color w:val="FF0000"/>
                <w:kern w:val="0"/>
                <w:sz w:val="21"/>
                <w:szCs w:val="21"/>
              </w:rPr>
            </w:pPr>
            <w:r>
              <w:rPr>
                <w:color w:val="FF0000"/>
                <w:kern w:val="0"/>
                <w:sz w:val="21"/>
                <w:szCs w:val="21"/>
              </w:rPr>
              <w:t>15.84</w:t>
            </w:r>
          </w:p>
        </w:tc>
        <w:tc>
          <w:tcPr>
            <w:tcW w:w="674" w:type="dxa"/>
            <w:shd w:val="clear" w:color="auto" w:fill="auto"/>
            <w:vAlign w:val="center"/>
          </w:tcPr>
          <w:p w14:paraId="042BB5D5">
            <w:pPr>
              <w:widowControl/>
              <w:spacing w:line="240" w:lineRule="auto"/>
              <w:ind w:firstLine="0" w:firstLineChars="0"/>
              <w:jc w:val="center"/>
              <w:rPr>
                <w:color w:val="FF0000"/>
                <w:kern w:val="0"/>
                <w:sz w:val="21"/>
                <w:szCs w:val="21"/>
              </w:rPr>
            </w:pPr>
            <w:r>
              <w:rPr>
                <w:color w:val="FF0000"/>
                <w:kern w:val="0"/>
                <w:sz w:val="21"/>
                <w:szCs w:val="21"/>
              </w:rPr>
              <w:t>7.01</w:t>
            </w:r>
          </w:p>
        </w:tc>
        <w:tc>
          <w:tcPr>
            <w:tcW w:w="796" w:type="dxa"/>
            <w:shd w:val="clear" w:color="auto" w:fill="auto"/>
            <w:vAlign w:val="center"/>
          </w:tcPr>
          <w:p w14:paraId="43E5EBDD">
            <w:pPr>
              <w:widowControl/>
              <w:spacing w:line="240" w:lineRule="auto"/>
              <w:ind w:firstLine="0" w:firstLineChars="0"/>
              <w:jc w:val="center"/>
              <w:rPr>
                <w:color w:val="FF0000"/>
                <w:kern w:val="0"/>
                <w:sz w:val="21"/>
                <w:szCs w:val="21"/>
              </w:rPr>
            </w:pPr>
            <w:r>
              <w:rPr>
                <w:color w:val="FF0000"/>
                <w:kern w:val="0"/>
                <w:sz w:val="21"/>
                <w:szCs w:val="21"/>
              </w:rPr>
              <w:t>15.84</w:t>
            </w:r>
          </w:p>
        </w:tc>
        <w:tc>
          <w:tcPr>
            <w:tcW w:w="796" w:type="dxa"/>
            <w:shd w:val="clear" w:color="auto" w:fill="auto"/>
            <w:vAlign w:val="center"/>
          </w:tcPr>
          <w:p w14:paraId="5B821BAE">
            <w:pPr>
              <w:pStyle w:val="84"/>
              <w:rPr>
                <w:rFonts w:eastAsia="宋体"/>
                <w:color w:val="FF0000"/>
              </w:rPr>
            </w:pPr>
            <w:r>
              <w:rPr>
                <w:color w:val="FF0000"/>
              </w:rPr>
              <w:t xml:space="preserve">24.12 </w:t>
            </w:r>
          </w:p>
        </w:tc>
      </w:tr>
      <w:tr w14:paraId="3F014E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2" w:type="dxa"/>
            <w:vMerge w:val="restart"/>
            <w:shd w:val="clear" w:color="auto" w:fill="auto"/>
            <w:vAlign w:val="center"/>
          </w:tcPr>
          <w:p w14:paraId="6D6017E1">
            <w:pPr>
              <w:widowControl/>
              <w:spacing w:line="240" w:lineRule="auto"/>
              <w:ind w:firstLine="0" w:firstLineChars="0"/>
              <w:jc w:val="center"/>
              <w:rPr>
                <w:color w:val="FF0000"/>
                <w:kern w:val="0"/>
                <w:sz w:val="21"/>
                <w:szCs w:val="21"/>
              </w:rPr>
            </w:pPr>
            <w:r>
              <w:rPr>
                <w:color w:val="FF0000"/>
                <w:kern w:val="0"/>
                <w:sz w:val="21"/>
                <w:szCs w:val="21"/>
              </w:rPr>
              <w:t>P=50%</w:t>
            </w:r>
          </w:p>
        </w:tc>
        <w:tc>
          <w:tcPr>
            <w:tcW w:w="1930" w:type="dxa"/>
            <w:shd w:val="clear" w:color="auto" w:fill="auto"/>
            <w:vAlign w:val="center"/>
          </w:tcPr>
          <w:p w14:paraId="50EB4DE1">
            <w:pPr>
              <w:widowControl/>
              <w:spacing w:line="240" w:lineRule="auto"/>
              <w:ind w:firstLine="0" w:firstLineChars="0"/>
              <w:jc w:val="center"/>
              <w:rPr>
                <w:rFonts w:ascii="仿宋" w:hAnsi="仿宋" w:eastAsia="仿宋" w:cs="宋体"/>
                <w:color w:val="FF0000"/>
                <w:kern w:val="0"/>
                <w:sz w:val="21"/>
                <w:szCs w:val="21"/>
              </w:rPr>
            </w:pPr>
            <w:r>
              <w:rPr>
                <w:rFonts w:hint="eastAsia" w:ascii="仿宋" w:hAnsi="仿宋" w:eastAsia="仿宋" w:cs="宋体"/>
                <w:color w:val="FF0000"/>
                <w:kern w:val="0"/>
                <w:sz w:val="21"/>
                <w:szCs w:val="21"/>
              </w:rPr>
              <w:t>上游天然来水量</w:t>
            </w:r>
          </w:p>
        </w:tc>
        <w:tc>
          <w:tcPr>
            <w:tcW w:w="905" w:type="dxa"/>
            <w:shd w:val="clear" w:color="auto" w:fill="auto"/>
            <w:vAlign w:val="center"/>
          </w:tcPr>
          <w:p w14:paraId="6A69A289">
            <w:pPr>
              <w:widowControl/>
              <w:spacing w:line="240" w:lineRule="auto"/>
              <w:ind w:firstLine="0" w:firstLineChars="0"/>
              <w:jc w:val="center"/>
              <w:rPr>
                <w:color w:val="FF0000"/>
                <w:kern w:val="0"/>
                <w:sz w:val="21"/>
                <w:szCs w:val="21"/>
              </w:rPr>
            </w:pPr>
            <w:r>
              <w:rPr>
                <w:color w:val="FF0000"/>
                <w:kern w:val="0"/>
                <w:sz w:val="21"/>
                <w:szCs w:val="21"/>
              </w:rPr>
              <w:t>56.5</w:t>
            </w:r>
          </w:p>
        </w:tc>
        <w:tc>
          <w:tcPr>
            <w:tcW w:w="808" w:type="dxa"/>
            <w:shd w:val="clear" w:color="auto" w:fill="auto"/>
            <w:vAlign w:val="center"/>
          </w:tcPr>
          <w:p w14:paraId="4118979F">
            <w:pPr>
              <w:widowControl/>
              <w:spacing w:line="240" w:lineRule="auto"/>
              <w:ind w:firstLine="0" w:firstLineChars="0"/>
              <w:jc w:val="center"/>
              <w:rPr>
                <w:color w:val="FF0000"/>
                <w:kern w:val="0"/>
                <w:sz w:val="21"/>
                <w:szCs w:val="21"/>
              </w:rPr>
            </w:pPr>
            <w:r>
              <w:rPr>
                <w:color w:val="FF0000"/>
                <w:kern w:val="0"/>
                <w:sz w:val="21"/>
                <w:szCs w:val="21"/>
              </w:rPr>
              <w:t>96.5</w:t>
            </w:r>
          </w:p>
        </w:tc>
        <w:tc>
          <w:tcPr>
            <w:tcW w:w="917" w:type="dxa"/>
            <w:shd w:val="clear" w:color="auto" w:fill="auto"/>
            <w:vAlign w:val="center"/>
          </w:tcPr>
          <w:p w14:paraId="0DB21254">
            <w:pPr>
              <w:widowControl/>
              <w:spacing w:line="240" w:lineRule="auto"/>
              <w:ind w:firstLine="0" w:firstLineChars="0"/>
              <w:jc w:val="center"/>
              <w:rPr>
                <w:color w:val="FF0000"/>
                <w:kern w:val="0"/>
                <w:sz w:val="21"/>
                <w:szCs w:val="21"/>
              </w:rPr>
            </w:pPr>
            <w:r>
              <w:rPr>
                <w:color w:val="FF0000"/>
                <w:kern w:val="0"/>
                <w:sz w:val="21"/>
                <w:szCs w:val="21"/>
              </w:rPr>
              <w:t>113</w:t>
            </w:r>
          </w:p>
        </w:tc>
        <w:tc>
          <w:tcPr>
            <w:tcW w:w="917" w:type="dxa"/>
            <w:shd w:val="clear" w:color="auto" w:fill="auto"/>
            <w:vAlign w:val="center"/>
          </w:tcPr>
          <w:p w14:paraId="6FACA101">
            <w:pPr>
              <w:widowControl/>
              <w:spacing w:line="240" w:lineRule="auto"/>
              <w:ind w:firstLine="0" w:firstLineChars="0"/>
              <w:jc w:val="center"/>
              <w:rPr>
                <w:color w:val="FF0000"/>
                <w:kern w:val="0"/>
                <w:sz w:val="21"/>
                <w:szCs w:val="21"/>
              </w:rPr>
            </w:pPr>
            <w:r>
              <w:rPr>
                <w:color w:val="FF0000"/>
                <w:kern w:val="0"/>
                <w:sz w:val="21"/>
                <w:szCs w:val="21"/>
              </w:rPr>
              <w:t>134</w:t>
            </w:r>
          </w:p>
        </w:tc>
        <w:tc>
          <w:tcPr>
            <w:tcW w:w="796" w:type="dxa"/>
            <w:shd w:val="clear" w:color="auto" w:fill="auto"/>
            <w:vAlign w:val="center"/>
          </w:tcPr>
          <w:p w14:paraId="76C235D8">
            <w:pPr>
              <w:widowControl/>
              <w:spacing w:line="240" w:lineRule="auto"/>
              <w:ind w:firstLine="0" w:firstLineChars="0"/>
              <w:jc w:val="center"/>
              <w:rPr>
                <w:color w:val="FF0000"/>
                <w:kern w:val="0"/>
                <w:sz w:val="21"/>
                <w:szCs w:val="21"/>
              </w:rPr>
            </w:pPr>
            <w:r>
              <w:rPr>
                <w:color w:val="FF0000"/>
                <w:kern w:val="0"/>
                <w:sz w:val="21"/>
                <w:szCs w:val="21"/>
              </w:rPr>
              <w:t>74.6</w:t>
            </w:r>
          </w:p>
        </w:tc>
        <w:tc>
          <w:tcPr>
            <w:tcW w:w="796" w:type="dxa"/>
            <w:shd w:val="clear" w:color="auto" w:fill="auto"/>
            <w:vAlign w:val="center"/>
          </w:tcPr>
          <w:p w14:paraId="5A35036F">
            <w:pPr>
              <w:widowControl/>
              <w:spacing w:line="240" w:lineRule="auto"/>
              <w:ind w:firstLine="0" w:firstLineChars="0"/>
              <w:jc w:val="center"/>
              <w:rPr>
                <w:color w:val="FF0000"/>
                <w:kern w:val="0"/>
                <w:sz w:val="21"/>
                <w:szCs w:val="21"/>
              </w:rPr>
            </w:pPr>
            <w:r>
              <w:rPr>
                <w:color w:val="FF0000"/>
                <w:kern w:val="0"/>
                <w:sz w:val="21"/>
                <w:szCs w:val="21"/>
              </w:rPr>
              <w:t>43.4</w:t>
            </w:r>
          </w:p>
        </w:tc>
        <w:tc>
          <w:tcPr>
            <w:tcW w:w="796" w:type="dxa"/>
            <w:shd w:val="clear" w:color="auto" w:fill="auto"/>
            <w:vAlign w:val="center"/>
          </w:tcPr>
          <w:p w14:paraId="47E4CA9C">
            <w:pPr>
              <w:widowControl/>
              <w:spacing w:line="240" w:lineRule="auto"/>
              <w:ind w:firstLine="0" w:firstLineChars="0"/>
              <w:jc w:val="center"/>
              <w:rPr>
                <w:color w:val="FF0000"/>
                <w:kern w:val="0"/>
                <w:sz w:val="21"/>
                <w:szCs w:val="21"/>
              </w:rPr>
            </w:pPr>
            <w:r>
              <w:rPr>
                <w:color w:val="FF0000"/>
                <w:kern w:val="0"/>
                <w:sz w:val="21"/>
                <w:szCs w:val="21"/>
              </w:rPr>
              <w:t>29.3</w:t>
            </w:r>
          </w:p>
        </w:tc>
        <w:tc>
          <w:tcPr>
            <w:tcW w:w="796" w:type="dxa"/>
            <w:shd w:val="clear" w:color="auto" w:fill="auto"/>
            <w:vAlign w:val="center"/>
          </w:tcPr>
          <w:p w14:paraId="18779732">
            <w:pPr>
              <w:widowControl/>
              <w:spacing w:line="240" w:lineRule="auto"/>
              <w:ind w:firstLine="0" w:firstLineChars="0"/>
              <w:jc w:val="center"/>
              <w:rPr>
                <w:color w:val="FF0000"/>
                <w:kern w:val="0"/>
                <w:sz w:val="21"/>
                <w:szCs w:val="21"/>
              </w:rPr>
            </w:pPr>
            <w:r>
              <w:rPr>
                <w:color w:val="FF0000"/>
                <w:kern w:val="0"/>
                <w:sz w:val="21"/>
                <w:szCs w:val="21"/>
              </w:rPr>
              <w:t>21.5</w:t>
            </w:r>
          </w:p>
        </w:tc>
        <w:tc>
          <w:tcPr>
            <w:tcW w:w="796" w:type="dxa"/>
            <w:shd w:val="clear" w:color="auto" w:fill="auto"/>
            <w:vAlign w:val="center"/>
          </w:tcPr>
          <w:p w14:paraId="102F7634">
            <w:pPr>
              <w:widowControl/>
              <w:spacing w:line="240" w:lineRule="auto"/>
              <w:ind w:firstLine="0" w:firstLineChars="0"/>
              <w:jc w:val="center"/>
              <w:rPr>
                <w:color w:val="FF0000"/>
                <w:kern w:val="0"/>
                <w:sz w:val="21"/>
                <w:szCs w:val="21"/>
              </w:rPr>
            </w:pPr>
            <w:r>
              <w:rPr>
                <w:color w:val="FF0000"/>
                <w:kern w:val="0"/>
                <w:sz w:val="21"/>
                <w:szCs w:val="21"/>
              </w:rPr>
              <w:t>16.3</w:t>
            </w:r>
          </w:p>
        </w:tc>
        <w:tc>
          <w:tcPr>
            <w:tcW w:w="796" w:type="dxa"/>
            <w:shd w:val="clear" w:color="auto" w:fill="auto"/>
            <w:vAlign w:val="center"/>
          </w:tcPr>
          <w:p w14:paraId="353F8111">
            <w:pPr>
              <w:widowControl/>
              <w:spacing w:line="240" w:lineRule="auto"/>
              <w:ind w:firstLine="0" w:firstLineChars="0"/>
              <w:jc w:val="center"/>
              <w:rPr>
                <w:color w:val="FF0000"/>
                <w:kern w:val="0"/>
                <w:sz w:val="21"/>
                <w:szCs w:val="21"/>
              </w:rPr>
            </w:pPr>
            <w:r>
              <w:rPr>
                <w:color w:val="FF0000"/>
                <w:kern w:val="0"/>
                <w:sz w:val="21"/>
                <w:szCs w:val="21"/>
              </w:rPr>
              <w:t>12.7</w:t>
            </w:r>
          </w:p>
        </w:tc>
        <w:tc>
          <w:tcPr>
            <w:tcW w:w="674" w:type="dxa"/>
            <w:shd w:val="clear" w:color="auto" w:fill="auto"/>
            <w:vAlign w:val="center"/>
          </w:tcPr>
          <w:p w14:paraId="1F1B6E0C">
            <w:pPr>
              <w:widowControl/>
              <w:spacing w:line="240" w:lineRule="auto"/>
              <w:ind w:firstLine="0" w:firstLineChars="0"/>
              <w:jc w:val="center"/>
              <w:rPr>
                <w:color w:val="FF0000"/>
                <w:kern w:val="0"/>
                <w:sz w:val="21"/>
                <w:szCs w:val="21"/>
              </w:rPr>
            </w:pPr>
            <w:r>
              <w:rPr>
                <w:color w:val="FF0000"/>
                <w:kern w:val="0"/>
                <w:sz w:val="21"/>
                <w:szCs w:val="21"/>
              </w:rPr>
              <w:t>5.69</w:t>
            </w:r>
          </w:p>
        </w:tc>
        <w:tc>
          <w:tcPr>
            <w:tcW w:w="796" w:type="dxa"/>
            <w:shd w:val="clear" w:color="auto" w:fill="auto"/>
            <w:vAlign w:val="center"/>
          </w:tcPr>
          <w:p w14:paraId="6E46789F">
            <w:pPr>
              <w:widowControl/>
              <w:spacing w:line="240" w:lineRule="auto"/>
              <w:ind w:firstLine="0" w:firstLineChars="0"/>
              <w:jc w:val="center"/>
              <w:rPr>
                <w:color w:val="FF0000"/>
                <w:kern w:val="0"/>
                <w:sz w:val="21"/>
                <w:szCs w:val="21"/>
              </w:rPr>
            </w:pPr>
            <w:r>
              <w:rPr>
                <w:color w:val="FF0000"/>
                <w:kern w:val="0"/>
                <w:sz w:val="21"/>
                <w:szCs w:val="21"/>
              </w:rPr>
              <w:t>22.6</w:t>
            </w:r>
          </w:p>
        </w:tc>
        <w:tc>
          <w:tcPr>
            <w:tcW w:w="796" w:type="dxa"/>
            <w:shd w:val="clear" w:color="auto" w:fill="auto"/>
            <w:vAlign w:val="center"/>
          </w:tcPr>
          <w:p w14:paraId="3D9B92FE">
            <w:pPr>
              <w:pStyle w:val="84"/>
              <w:rPr>
                <w:rFonts w:eastAsia="宋体"/>
                <w:color w:val="FF0000"/>
              </w:rPr>
            </w:pPr>
            <w:r>
              <w:rPr>
                <w:color w:val="FF0000"/>
              </w:rPr>
              <w:t xml:space="preserve">52.17 </w:t>
            </w:r>
          </w:p>
        </w:tc>
      </w:tr>
      <w:tr w14:paraId="0C4D54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2" w:type="dxa"/>
            <w:vMerge w:val="continue"/>
            <w:shd w:val="clear" w:color="auto" w:fill="auto"/>
            <w:vAlign w:val="center"/>
          </w:tcPr>
          <w:p w14:paraId="0BFEB712">
            <w:pPr>
              <w:spacing w:line="240" w:lineRule="auto"/>
              <w:ind w:firstLine="0" w:firstLineChars="0"/>
              <w:jc w:val="center"/>
              <w:rPr>
                <w:rFonts w:ascii="宋体" w:hAnsi="宋体" w:cs="宋体"/>
                <w:color w:val="FF0000"/>
                <w:kern w:val="0"/>
                <w:sz w:val="21"/>
                <w:szCs w:val="21"/>
              </w:rPr>
            </w:pPr>
          </w:p>
        </w:tc>
        <w:tc>
          <w:tcPr>
            <w:tcW w:w="1930" w:type="dxa"/>
            <w:shd w:val="clear" w:color="auto" w:fill="auto"/>
            <w:vAlign w:val="center"/>
          </w:tcPr>
          <w:p w14:paraId="43C1120F">
            <w:pPr>
              <w:widowControl/>
              <w:spacing w:line="240" w:lineRule="auto"/>
              <w:ind w:firstLine="0" w:firstLineChars="0"/>
              <w:jc w:val="center"/>
              <w:rPr>
                <w:rFonts w:ascii="仿宋" w:hAnsi="仿宋" w:eastAsia="仿宋" w:cs="宋体"/>
                <w:color w:val="FF0000"/>
                <w:kern w:val="0"/>
                <w:sz w:val="21"/>
                <w:szCs w:val="21"/>
              </w:rPr>
            </w:pPr>
            <w:r>
              <w:rPr>
                <w:rFonts w:hint="eastAsia" w:ascii="仿宋" w:hAnsi="仿宋" w:eastAsia="仿宋" w:cs="宋体"/>
                <w:color w:val="FF0000"/>
                <w:kern w:val="0"/>
                <w:sz w:val="21"/>
                <w:szCs w:val="21"/>
              </w:rPr>
              <w:t>灌溉用水量</w:t>
            </w:r>
          </w:p>
        </w:tc>
        <w:tc>
          <w:tcPr>
            <w:tcW w:w="905" w:type="dxa"/>
            <w:shd w:val="clear" w:color="auto" w:fill="auto"/>
            <w:vAlign w:val="center"/>
          </w:tcPr>
          <w:p w14:paraId="4B665255">
            <w:pPr>
              <w:widowControl/>
              <w:spacing w:line="240" w:lineRule="auto"/>
              <w:ind w:firstLine="0" w:firstLineChars="0"/>
              <w:jc w:val="center"/>
              <w:rPr>
                <w:color w:val="FF0000"/>
                <w:kern w:val="0"/>
                <w:sz w:val="21"/>
                <w:szCs w:val="21"/>
              </w:rPr>
            </w:pPr>
            <w:r>
              <w:rPr>
                <w:color w:val="FF0000"/>
                <w:kern w:val="0"/>
                <w:sz w:val="21"/>
                <w:szCs w:val="21"/>
              </w:rPr>
              <w:t>1.13</w:t>
            </w:r>
          </w:p>
        </w:tc>
        <w:tc>
          <w:tcPr>
            <w:tcW w:w="808" w:type="dxa"/>
            <w:shd w:val="clear" w:color="auto" w:fill="auto"/>
            <w:vAlign w:val="center"/>
          </w:tcPr>
          <w:p w14:paraId="0DD7F209">
            <w:pPr>
              <w:widowControl/>
              <w:spacing w:line="240" w:lineRule="auto"/>
              <w:ind w:firstLine="0" w:firstLineChars="0"/>
              <w:jc w:val="center"/>
              <w:rPr>
                <w:color w:val="FF0000"/>
                <w:kern w:val="0"/>
                <w:sz w:val="21"/>
                <w:szCs w:val="21"/>
              </w:rPr>
            </w:pPr>
            <w:r>
              <w:rPr>
                <w:color w:val="FF0000"/>
                <w:kern w:val="0"/>
                <w:sz w:val="21"/>
                <w:szCs w:val="21"/>
              </w:rPr>
              <w:t>0.18</w:t>
            </w:r>
          </w:p>
        </w:tc>
        <w:tc>
          <w:tcPr>
            <w:tcW w:w="917" w:type="dxa"/>
            <w:shd w:val="clear" w:color="auto" w:fill="auto"/>
            <w:vAlign w:val="center"/>
          </w:tcPr>
          <w:p w14:paraId="2D1E2048">
            <w:pPr>
              <w:widowControl/>
              <w:spacing w:line="240" w:lineRule="auto"/>
              <w:ind w:firstLine="0" w:firstLineChars="0"/>
              <w:jc w:val="center"/>
              <w:rPr>
                <w:color w:val="FF0000"/>
                <w:kern w:val="0"/>
                <w:sz w:val="21"/>
                <w:szCs w:val="21"/>
              </w:rPr>
            </w:pPr>
            <w:r>
              <w:rPr>
                <w:color w:val="FF0000"/>
                <w:kern w:val="0"/>
                <w:sz w:val="21"/>
                <w:szCs w:val="21"/>
              </w:rPr>
              <w:t>0.56</w:t>
            </w:r>
          </w:p>
        </w:tc>
        <w:tc>
          <w:tcPr>
            <w:tcW w:w="917" w:type="dxa"/>
            <w:shd w:val="clear" w:color="auto" w:fill="auto"/>
            <w:vAlign w:val="center"/>
          </w:tcPr>
          <w:p w14:paraId="780E5B94">
            <w:pPr>
              <w:widowControl/>
              <w:spacing w:line="240" w:lineRule="auto"/>
              <w:ind w:firstLine="0" w:firstLineChars="0"/>
              <w:jc w:val="center"/>
              <w:rPr>
                <w:color w:val="FF0000"/>
                <w:kern w:val="0"/>
                <w:sz w:val="21"/>
                <w:szCs w:val="21"/>
              </w:rPr>
            </w:pPr>
            <w:r>
              <w:rPr>
                <w:color w:val="FF0000"/>
                <w:kern w:val="0"/>
                <w:sz w:val="21"/>
                <w:szCs w:val="21"/>
              </w:rPr>
              <w:t>0.2</w:t>
            </w:r>
          </w:p>
        </w:tc>
        <w:tc>
          <w:tcPr>
            <w:tcW w:w="796" w:type="dxa"/>
            <w:shd w:val="clear" w:color="auto" w:fill="auto"/>
            <w:vAlign w:val="center"/>
          </w:tcPr>
          <w:p w14:paraId="277C2684">
            <w:pPr>
              <w:widowControl/>
              <w:spacing w:line="240" w:lineRule="auto"/>
              <w:ind w:firstLine="0" w:firstLineChars="0"/>
              <w:jc w:val="center"/>
              <w:rPr>
                <w:color w:val="FF0000"/>
                <w:kern w:val="0"/>
                <w:sz w:val="21"/>
                <w:szCs w:val="21"/>
              </w:rPr>
            </w:pPr>
            <w:r>
              <w:rPr>
                <w:color w:val="FF0000"/>
                <w:kern w:val="0"/>
                <w:sz w:val="21"/>
                <w:szCs w:val="21"/>
              </w:rPr>
              <w:t>0.04</w:t>
            </w:r>
          </w:p>
        </w:tc>
        <w:tc>
          <w:tcPr>
            <w:tcW w:w="796" w:type="dxa"/>
            <w:shd w:val="clear" w:color="auto" w:fill="auto"/>
            <w:vAlign w:val="center"/>
          </w:tcPr>
          <w:p w14:paraId="151C31B7">
            <w:pPr>
              <w:widowControl/>
              <w:spacing w:line="240" w:lineRule="auto"/>
              <w:ind w:firstLine="0" w:firstLineChars="0"/>
              <w:jc w:val="center"/>
              <w:rPr>
                <w:color w:val="FF0000"/>
                <w:kern w:val="0"/>
                <w:sz w:val="21"/>
                <w:szCs w:val="21"/>
              </w:rPr>
            </w:pPr>
            <w:r>
              <w:rPr>
                <w:color w:val="FF0000"/>
                <w:kern w:val="0"/>
                <w:sz w:val="21"/>
                <w:szCs w:val="21"/>
              </w:rPr>
              <w:t>0.37</w:t>
            </w:r>
          </w:p>
        </w:tc>
        <w:tc>
          <w:tcPr>
            <w:tcW w:w="796" w:type="dxa"/>
            <w:shd w:val="clear" w:color="auto" w:fill="auto"/>
            <w:vAlign w:val="center"/>
          </w:tcPr>
          <w:p w14:paraId="2DF0219A">
            <w:pPr>
              <w:widowControl/>
              <w:spacing w:line="240" w:lineRule="auto"/>
              <w:ind w:firstLine="0" w:firstLineChars="0"/>
              <w:jc w:val="center"/>
              <w:rPr>
                <w:color w:val="FF0000"/>
                <w:kern w:val="0"/>
                <w:sz w:val="21"/>
                <w:szCs w:val="21"/>
              </w:rPr>
            </w:pPr>
            <w:r>
              <w:rPr>
                <w:color w:val="FF0000"/>
                <w:kern w:val="0"/>
                <w:sz w:val="21"/>
                <w:szCs w:val="21"/>
              </w:rPr>
              <w:t>0.69</w:t>
            </w:r>
          </w:p>
        </w:tc>
        <w:tc>
          <w:tcPr>
            <w:tcW w:w="796" w:type="dxa"/>
            <w:shd w:val="clear" w:color="auto" w:fill="auto"/>
            <w:vAlign w:val="center"/>
          </w:tcPr>
          <w:p w14:paraId="5B9678DF">
            <w:pPr>
              <w:widowControl/>
              <w:spacing w:line="240" w:lineRule="auto"/>
              <w:ind w:firstLine="0" w:firstLineChars="0"/>
              <w:jc w:val="center"/>
              <w:rPr>
                <w:color w:val="FF0000"/>
                <w:kern w:val="0"/>
                <w:sz w:val="21"/>
                <w:szCs w:val="21"/>
              </w:rPr>
            </w:pPr>
            <w:r>
              <w:rPr>
                <w:color w:val="FF0000"/>
                <w:kern w:val="0"/>
                <w:sz w:val="21"/>
                <w:szCs w:val="21"/>
              </w:rPr>
              <w:t>0.79</w:t>
            </w:r>
          </w:p>
        </w:tc>
        <w:tc>
          <w:tcPr>
            <w:tcW w:w="796" w:type="dxa"/>
            <w:shd w:val="clear" w:color="auto" w:fill="auto"/>
            <w:vAlign w:val="center"/>
          </w:tcPr>
          <w:p w14:paraId="22660F41">
            <w:pPr>
              <w:widowControl/>
              <w:spacing w:line="240" w:lineRule="auto"/>
              <w:ind w:firstLine="0" w:firstLineChars="0"/>
              <w:jc w:val="center"/>
              <w:rPr>
                <w:color w:val="FF0000"/>
                <w:kern w:val="0"/>
                <w:sz w:val="21"/>
                <w:szCs w:val="21"/>
              </w:rPr>
            </w:pPr>
            <w:r>
              <w:rPr>
                <w:color w:val="FF0000"/>
                <w:kern w:val="0"/>
                <w:sz w:val="21"/>
                <w:szCs w:val="21"/>
              </w:rPr>
              <w:t>1.05</w:t>
            </w:r>
          </w:p>
        </w:tc>
        <w:tc>
          <w:tcPr>
            <w:tcW w:w="796" w:type="dxa"/>
            <w:shd w:val="clear" w:color="auto" w:fill="auto"/>
            <w:vAlign w:val="center"/>
          </w:tcPr>
          <w:p w14:paraId="1D544740">
            <w:pPr>
              <w:widowControl/>
              <w:spacing w:line="240" w:lineRule="auto"/>
              <w:ind w:firstLine="0" w:firstLineChars="0"/>
              <w:jc w:val="center"/>
              <w:rPr>
                <w:color w:val="FF0000"/>
                <w:kern w:val="0"/>
                <w:sz w:val="21"/>
                <w:szCs w:val="21"/>
              </w:rPr>
            </w:pPr>
            <w:r>
              <w:rPr>
                <w:color w:val="FF0000"/>
                <w:kern w:val="0"/>
                <w:sz w:val="21"/>
                <w:szCs w:val="21"/>
              </w:rPr>
              <w:t>0.85</w:t>
            </w:r>
          </w:p>
        </w:tc>
        <w:tc>
          <w:tcPr>
            <w:tcW w:w="674" w:type="dxa"/>
            <w:shd w:val="clear" w:color="auto" w:fill="auto"/>
            <w:vAlign w:val="center"/>
          </w:tcPr>
          <w:p w14:paraId="6113307D">
            <w:pPr>
              <w:widowControl/>
              <w:spacing w:line="240" w:lineRule="auto"/>
              <w:ind w:firstLine="0" w:firstLineChars="0"/>
              <w:jc w:val="center"/>
              <w:rPr>
                <w:color w:val="FF0000"/>
                <w:kern w:val="0"/>
                <w:sz w:val="21"/>
                <w:szCs w:val="21"/>
              </w:rPr>
            </w:pPr>
            <w:r>
              <w:rPr>
                <w:color w:val="FF0000"/>
                <w:kern w:val="0"/>
                <w:sz w:val="21"/>
                <w:szCs w:val="21"/>
              </w:rPr>
              <w:t>1.21</w:t>
            </w:r>
          </w:p>
        </w:tc>
        <w:tc>
          <w:tcPr>
            <w:tcW w:w="796" w:type="dxa"/>
            <w:shd w:val="clear" w:color="auto" w:fill="auto"/>
            <w:vAlign w:val="center"/>
          </w:tcPr>
          <w:p w14:paraId="4AA861FD">
            <w:pPr>
              <w:widowControl/>
              <w:spacing w:line="240" w:lineRule="auto"/>
              <w:ind w:firstLine="0" w:firstLineChars="0"/>
              <w:jc w:val="center"/>
              <w:rPr>
                <w:color w:val="FF0000"/>
                <w:kern w:val="0"/>
                <w:sz w:val="21"/>
                <w:szCs w:val="21"/>
              </w:rPr>
            </w:pPr>
            <w:r>
              <w:rPr>
                <w:color w:val="FF0000"/>
                <w:kern w:val="0"/>
                <w:sz w:val="21"/>
                <w:szCs w:val="21"/>
              </w:rPr>
              <w:t>4.63</w:t>
            </w:r>
          </w:p>
        </w:tc>
        <w:tc>
          <w:tcPr>
            <w:tcW w:w="796" w:type="dxa"/>
            <w:shd w:val="clear" w:color="auto" w:fill="auto"/>
            <w:vAlign w:val="center"/>
          </w:tcPr>
          <w:p w14:paraId="7F4451F7">
            <w:pPr>
              <w:pStyle w:val="84"/>
              <w:rPr>
                <w:rFonts w:eastAsia="宋体"/>
                <w:color w:val="FF0000"/>
              </w:rPr>
            </w:pPr>
            <w:r>
              <w:rPr>
                <w:color w:val="FF0000"/>
              </w:rPr>
              <w:t xml:space="preserve">0.98 </w:t>
            </w:r>
          </w:p>
        </w:tc>
      </w:tr>
      <w:tr w14:paraId="3F1FBD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2" w:type="dxa"/>
            <w:vMerge w:val="continue"/>
            <w:shd w:val="clear" w:color="auto" w:fill="auto"/>
            <w:vAlign w:val="center"/>
          </w:tcPr>
          <w:p w14:paraId="1037BE7A">
            <w:pPr>
              <w:spacing w:line="240" w:lineRule="auto"/>
              <w:ind w:firstLine="0" w:firstLineChars="0"/>
              <w:jc w:val="center"/>
              <w:rPr>
                <w:rFonts w:ascii="宋体" w:hAnsi="宋体" w:cs="宋体"/>
                <w:color w:val="FF0000"/>
                <w:kern w:val="0"/>
                <w:sz w:val="21"/>
                <w:szCs w:val="21"/>
              </w:rPr>
            </w:pPr>
          </w:p>
        </w:tc>
        <w:tc>
          <w:tcPr>
            <w:tcW w:w="1930" w:type="dxa"/>
            <w:shd w:val="clear" w:color="auto" w:fill="auto"/>
            <w:vAlign w:val="center"/>
          </w:tcPr>
          <w:p w14:paraId="3FE5F4D7">
            <w:pPr>
              <w:widowControl/>
              <w:spacing w:line="240" w:lineRule="auto"/>
              <w:ind w:firstLine="0" w:firstLineChars="0"/>
              <w:jc w:val="center"/>
              <w:rPr>
                <w:rFonts w:ascii="仿宋" w:hAnsi="仿宋" w:eastAsia="仿宋" w:cs="宋体"/>
                <w:color w:val="FF0000"/>
                <w:kern w:val="0"/>
                <w:sz w:val="21"/>
                <w:szCs w:val="21"/>
              </w:rPr>
            </w:pPr>
            <w:r>
              <w:rPr>
                <w:rFonts w:hint="eastAsia" w:ascii="仿宋" w:hAnsi="仿宋" w:eastAsia="仿宋" w:cs="宋体"/>
                <w:color w:val="FF0000"/>
                <w:kern w:val="0"/>
                <w:sz w:val="21"/>
                <w:szCs w:val="21"/>
              </w:rPr>
              <w:t>可供水量</w:t>
            </w:r>
          </w:p>
        </w:tc>
        <w:tc>
          <w:tcPr>
            <w:tcW w:w="905" w:type="dxa"/>
            <w:shd w:val="clear" w:color="auto" w:fill="auto"/>
            <w:vAlign w:val="center"/>
          </w:tcPr>
          <w:p w14:paraId="75C68045">
            <w:pPr>
              <w:widowControl/>
              <w:spacing w:line="240" w:lineRule="auto"/>
              <w:ind w:firstLine="0" w:firstLineChars="0"/>
              <w:jc w:val="center"/>
              <w:rPr>
                <w:color w:val="FF0000"/>
                <w:kern w:val="0"/>
                <w:sz w:val="21"/>
                <w:szCs w:val="21"/>
              </w:rPr>
            </w:pPr>
            <w:r>
              <w:rPr>
                <w:color w:val="FF0000"/>
                <w:kern w:val="0"/>
                <w:sz w:val="21"/>
                <w:szCs w:val="21"/>
              </w:rPr>
              <w:t>55.37</w:t>
            </w:r>
          </w:p>
        </w:tc>
        <w:tc>
          <w:tcPr>
            <w:tcW w:w="808" w:type="dxa"/>
            <w:shd w:val="clear" w:color="auto" w:fill="auto"/>
            <w:vAlign w:val="center"/>
          </w:tcPr>
          <w:p w14:paraId="162DEBBC">
            <w:pPr>
              <w:widowControl/>
              <w:spacing w:line="240" w:lineRule="auto"/>
              <w:ind w:firstLine="0" w:firstLineChars="0"/>
              <w:jc w:val="center"/>
              <w:rPr>
                <w:color w:val="FF0000"/>
                <w:kern w:val="0"/>
                <w:sz w:val="21"/>
                <w:szCs w:val="21"/>
              </w:rPr>
            </w:pPr>
            <w:r>
              <w:rPr>
                <w:color w:val="FF0000"/>
                <w:kern w:val="0"/>
                <w:sz w:val="21"/>
                <w:szCs w:val="21"/>
              </w:rPr>
              <w:t>96.32</w:t>
            </w:r>
          </w:p>
        </w:tc>
        <w:tc>
          <w:tcPr>
            <w:tcW w:w="917" w:type="dxa"/>
            <w:shd w:val="clear" w:color="auto" w:fill="auto"/>
            <w:vAlign w:val="center"/>
          </w:tcPr>
          <w:p w14:paraId="2A570CDC">
            <w:pPr>
              <w:widowControl/>
              <w:spacing w:line="240" w:lineRule="auto"/>
              <w:ind w:firstLine="0" w:firstLineChars="0"/>
              <w:jc w:val="center"/>
              <w:rPr>
                <w:color w:val="FF0000"/>
                <w:kern w:val="0"/>
                <w:sz w:val="21"/>
                <w:szCs w:val="21"/>
              </w:rPr>
            </w:pPr>
            <w:r>
              <w:rPr>
                <w:color w:val="FF0000"/>
                <w:kern w:val="0"/>
                <w:sz w:val="21"/>
                <w:szCs w:val="21"/>
              </w:rPr>
              <w:t>112.44</w:t>
            </w:r>
          </w:p>
        </w:tc>
        <w:tc>
          <w:tcPr>
            <w:tcW w:w="917" w:type="dxa"/>
            <w:shd w:val="clear" w:color="auto" w:fill="auto"/>
            <w:vAlign w:val="center"/>
          </w:tcPr>
          <w:p w14:paraId="0B5CEB87">
            <w:pPr>
              <w:widowControl/>
              <w:spacing w:line="240" w:lineRule="auto"/>
              <w:ind w:firstLine="0" w:firstLineChars="0"/>
              <w:jc w:val="center"/>
              <w:rPr>
                <w:color w:val="FF0000"/>
                <w:kern w:val="0"/>
                <w:sz w:val="21"/>
                <w:szCs w:val="21"/>
              </w:rPr>
            </w:pPr>
            <w:r>
              <w:rPr>
                <w:color w:val="FF0000"/>
                <w:kern w:val="0"/>
                <w:sz w:val="21"/>
                <w:szCs w:val="21"/>
              </w:rPr>
              <w:t>133.8</w:t>
            </w:r>
          </w:p>
        </w:tc>
        <w:tc>
          <w:tcPr>
            <w:tcW w:w="796" w:type="dxa"/>
            <w:shd w:val="clear" w:color="auto" w:fill="auto"/>
            <w:vAlign w:val="center"/>
          </w:tcPr>
          <w:p w14:paraId="1795FB5F">
            <w:pPr>
              <w:widowControl/>
              <w:spacing w:line="240" w:lineRule="auto"/>
              <w:ind w:firstLine="0" w:firstLineChars="0"/>
              <w:jc w:val="center"/>
              <w:rPr>
                <w:color w:val="FF0000"/>
                <w:kern w:val="0"/>
                <w:sz w:val="21"/>
                <w:szCs w:val="21"/>
              </w:rPr>
            </w:pPr>
            <w:r>
              <w:rPr>
                <w:color w:val="FF0000"/>
                <w:kern w:val="0"/>
                <w:sz w:val="21"/>
                <w:szCs w:val="21"/>
              </w:rPr>
              <w:t>74.56</w:t>
            </w:r>
          </w:p>
        </w:tc>
        <w:tc>
          <w:tcPr>
            <w:tcW w:w="796" w:type="dxa"/>
            <w:shd w:val="clear" w:color="auto" w:fill="auto"/>
            <w:vAlign w:val="center"/>
          </w:tcPr>
          <w:p w14:paraId="463314CF">
            <w:pPr>
              <w:widowControl/>
              <w:spacing w:line="240" w:lineRule="auto"/>
              <w:ind w:firstLine="0" w:firstLineChars="0"/>
              <w:jc w:val="center"/>
              <w:rPr>
                <w:color w:val="FF0000"/>
                <w:kern w:val="0"/>
                <w:sz w:val="21"/>
                <w:szCs w:val="21"/>
              </w:rPr>
            </w:pPr>
            <w:r>
              <w:rPr>
                <w:color w:val="FF0000"/>
                <w:kern w:val="0"/>
                <w:sz w:val="21"/>
                <w:szCs w:val="21"/>
              </w:rPr>
              <w:t>43.03</w:t>
            </w:r>
          </w:p>
        </w:tc>
        <w:tc>
          <w:tcPr>
            <w:tcW w:w="796" w:type="dxa"/>
            <w:shd w:val="clear" w:color="auto" w:fill="auto"/>
            <w:vAlign w:val="center"/>
          </w:tcPr>
          <w:p w14:paraId="6F2AA1F5">
            <w:pPr>
              <w:widowControl/>
              <w:spacing w:line="240" w:lineRule="auto"/>
              <w:ind w:firstLine="0" w:firstLineChars="0"/>
              <w:jc w:val="center"/>
              <w:rPr>
                <w:color w:val="FF0000"/>
                <w:kern w:val="0"/>
                <w:sz w:val="21"/>
                <w:szCs w:val="21"/>
              </w:rPr>
            </w:pPr>
            <w:r>
              <w:rPr>
                <w:color w:val="FF0000"/>
                <w:kern w:val="0"/>
                <w:sz w:val="21"/>
                <w:szCs w:val="21"/>
              </w:rPr>
              <w:t>28.61</w:t>
            </w:r>
          </w:p>
        </w:tc>
        <w:tc>
          <w:tcPr>
            <w:tcW w:w="796" w:type="dxa"/>
            <w:shd w:val="clear" w:color="auto" w:fill="auto"/>
            <w:vAlign w:val="center"/>
          </w:tcPr>
          <w:p w14:paraId="559D2911">
            <w:pPr>
              <w:widowControl/>
              <w:spacing w:line="240" w:lineRule="auto"/>
              <w:ind w:firstLine="0" w:firstLineChars="0"/>
              <w:jc w:val="center"/>
              <w:rPr>
                <w:color w:val="FF0000"/>
                <w:kern w:val="0"/>
                <w:sz w:val="21"/>
                <w:szCs w:val="21"/>
              </w:rPr>
            </w:pPr>
            <w:r>
              <w:rPr>
                <w:color w:val="FF0000"/>
                <w:kern w:val="0"/>
                <w:sz w:val="21"/>
                <w:szCs w:val="21"/>
              </w:rPr>
              <w:t>20.71</w:t>
            </w:r>
          </w:p>
        </w:tc>
        <w:tc>
          <w:tcPr>
            <w:tcW w:w="796" w:type="dxa"/>
            <w:shd w:val="clear" w:color="auto" w:fill="auto"/>
            <w:vAlign w:val="center"/>
          </w:tcPr>
          <w:p w14:paraId="50E562B2">
            <w:pPr>
              <w:widowControl/>
              <w:spacing w:line="240" w:lineRule="auto"/>
              <w:ind w:firstLine="0" w:firstLineChars="0"/>
              <w:jc w:val="center"/>
              <w:rPr>
                <w:color w:val="FF0000"/>
                <w:kern w:val="0"/>
                <w:sz w:val="21"/>
                <w:szCs w:val="21"/>
              </w:rPr>
            </w:pPr>
            <w:r>
              <w:rPr>
                <w:color w:val="FF0000"/>
                <w:kern w:val="0"/>
                <w:sz w:val="21"/>
                <w:szCs w:val="21"/>
              </w:rPr>
              <w:t>15.25</w:t>
            </w:r>
          </w:p>
        </w:tc>
        <w:tc>
          <w:tcPr>
            <w:tcW w:w="796" w:type="dxa"/>
            <w:shd w:val="clear" w:color="auto" w:fill="auto"/>
            <w:vAlign w:val="center"/>
          </w:tcPr>
          <w:p w14:paraId="31C64C10">
            <w:pPr>
              <w:widowControl/>
              <w:spacing w:line="240" w:lineRule="auto"/>
              <w:ind w:firstLine="0" w:firstLineChars="0"/>
              <w:jc w:val="center"/>
              <w:rPr>
                <w:color w:val="FF0000"/>
                <w:kern w:val="0"/>
                <w:sz w:val="21"/>
                <w:szCs w:val="21"/>
              </w:rPr>
            </w:pPr>
            <w:r>
              <w:rPr>
                <w:color w:val="FF0000"/>
                <w:kern w:val="0"/>
                <w:sz w:val="21"/>
                <w:szCs w:val="21"/>
              </w:rPr>
              <w:t>11.85</w:t>
            </w:r>
          </w:p>
        </w:tc>
        <w:tc>
          <w:tcPr>
            <w:tcW w:w="674" w:type="dxa"/>
            <w:shd w:val="clear" w:color="auto" w:fill="auto"/>
            <w:vAlign w:val="center"/>
          </w:tcPr>
          <w:p w14:paraId="3FD6772D">
            <w:pPr>
              <w:widowControl/>
              <w:spacing w:line="240" w:lineRule="auto"/>
              <w:ind w:firstLine="0" w:firstLineChars="0"/>
              <w:jc w:val="center"/>
              <w:rPr>
                <w:color w:val="FF0000"/>
                <w:kern w:val="0"/>
                <w:sz w:val="21"/>
                <w:szCs w:val="21"/>
              </w:rPr>
            </w:pPr>
            <w:r>
              <w:rPr>
                <w:color w:val="FF0000"/>
                <w:kern w:val="0"/>
                <w:sz w:val="21"/>
                <w:szCs w:val="21"/>
              </w:rPr>
              <w:t>4.48</w:t>
            </w:r>
          </w:p>
        </w:tc>
        <w:tc>
          <w:tcPr>
            <w:tcW w:w="796" w:type="dxa"/>
            <w:shd w:val="clear" w:color="auto" w:fill="auto"/>
            <w:vAlign w:val="center"/>
          </w:tcPr>
          <w:p w14:paraId="3DD83CE2">
            <w:pPr>
              <w:widowControl/>
              <w:spacing w:line="240" w:lineRule="auto"/>
              <w:ind w:firstLine="0" w:firstLineChars="0"/>
              <w:jc w:val="center"/>
              <w:rPr>
                <w:color w:val="FF0000"/>
                <w:kern w:val="0"/>
                <w:sz w:val="21"/>
                <w:szCs w:val="21"/>
              </w:rPr>
            </w:pPr>
            <w:r>
              <w:rPr>
                <w:color w:val="FF0000"/>
                <w:kern w:val="0"/>
                <w:sz w:val="21"/>
                <w:szCs w:val="21"/>
              </w:rPr>
              <w:t>17.97</w:t>
            </w:r>
          </w:p>
        </w:tc>
        <w:tc>
          <w:tcPr>
            <w:tcW w:w="796" w:type="dxa"/>
            <w:shd w:val="clear" w:color="auto" w:fill="auto"/>
            <w:vAlign w:val="center"/>
          </w:tcPr>
          <w:p w14:paraId="5429F571">
            <w:pPr>
              <w:pStyle w:val="84"/>
              <w:rPr>
                <w:rFonts w:eastAsia="宋体"/>
                <w:color w:val="FF0000"/>
              </w:rPr>
            </w:pPr>
            <w:r>
              <w:rPr>
                <w:color w:val="FF0000"/>
              </w:rPr>
              <w:t xml:space="preserve">51.20 </w:t>
            </w:r>
          </w:p>
        </w:tc>
      </w:tr>
      <w:tr w14:paraId="12A914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2" w:type="dxa"/>
            <w:vMerge w:val="continue"/>
            <w:shd w:val="clear" w:color="auto" w:fill="auto"/>
            <w:vAlign w:val="center"/>
          </w:tcPr>
          <w:p w14:paraId="51D4F13F">
            <w:pPr>
              <w:spacing w:line="240" w:lineRule="auto"/>
              <w:ind w:firstLine="0" w:firstLineChars="0"/>
              <w:jc w:val="center"/>
              <w:rPr>
                <w:rFonts w:ascii="宋体" w:hAnsi="宋体" w:cs="宋体"/>
                <w:color w:val="FF0000"/>
                <w:kern w:val="0"/>
                <w:sz w:val="21"/>
                <w:szCs w:val="21"/>
              </w:rPr>
            </w:pPr>
          </w:p>
        </w:tc>
        <w:tc>
          <w:tcPr>
            <w:tcW w:w="1930" w:type="dxa"/>
            <w:shd w:val="clear" w:color="auto" w:fill="auto"/>
            <w:vAlign w:val="center"/>
          </w:tcPr>
          <w:p w14:paraId="2582365E">
            <w:pPr>
              <w:widowControl/>
              <w:spacing w:line="240" w:lineRule="auto"/>
              <w:ind w:firstLine="0" w:firstLineChars="0"/>
              <w:jc w:val="center"/>
              <w:rPr>
                <w:rFonts w:ascii="仿宋" w:hAnsi="仿宋" w:eastAsia="仿宋" w:cs="宋体"/>
                <w:color w:val="FF0000"/>
                <w:kern w:val="0"/>
                <w:sz w:val="21"/>
                <w:szCs w:val="21"/>
              </w:rPr>
            </w:pPr>
            <w:r>
              <w:rPr>
                <w:rFonts w:hint="eastAsia" w:ascii="仿宋" w:hAnsi="仿宋" w:eastAsia="仿宋" w:cs="宋体"/>
                <w:color w:val="FF0000"/>
                <w:kern w:val="0"/>
                <w:sz w:val="21"/>
                <w:szCs w:val="21"/>
              </w:rPr>
              <w:t>发电用水量</w:t>
            </w:r>
          </w:p>
        </w:tc>
        <w:tc>
          <w:tcPr>
            <w:tcW w:w="905" w:type="dxa"/>
            <w:shd w:val="clear" w:color="auto" w:fill="auto"/>
            <w:vAlign w:val="center"/>
          </w:tcPr>
          <w:p w14:paraId="1EB1FCBB">
            <w:pPr>
              <w:widowControl/>
              <w:spacing w:line="240" w:lineRule="auto"/>
              <w:ind w:firstLine="0" w:firstLineChars="0"/>
              <w:jc w:val="center"/>
              <w:rPr>
                <w:color w:val="FF0000"/>
                <w:kern w:val="0"/>
                <w:sz w:val="21"/>
                <w:szCs w:val="21"/>
              </w:rPr>
            </w:pPr>
            <w:r>
              <w:rPr>
                <w:color w:val="FF0000"/>
                <w:kern w:val="0"/>
                <w:sz w:val="21"/>
                <w:szCs w:val="21"/>
              </w:rPr>
              <w:t>55.37</w:t>
            </w:r>
          </w:p>
        </w:tc>
        <w:tc>
          <w:tcPr>
            <w:tcW w:w="808" w:type="dxa"/>
            <w:shd w:val="clear" w:color="auto" w:fill="auto"/>
            <w:vAlign w:val="center"/>
          </w:tcPr>
          <w:p w14:paraId="4712B87D">
            <w:pPr>
              <w:widowControl/>
              <w:spacing w:line="240" w:lineRule="auto"/>
              <w:ind w:firstLine="0" w:firstLineChars="0"/>
              <w:jc w:val="center"/>
              <w:rPr>
                <w:color w:val="FF0000"/>
                <w:kern w:val="0"/>
                <w:sz w:val="21"/>
                <w:szCs w:val="21"/>
              </w:rPr>
            </w:pPr>
            <w:r>
              <w:rPr>
                <w:color w:val="FF0000"/>
                <w:kern w:val="0"/>
                <w:sz w:val="21"/>
                <w:szCs w:val="21"/>
              </w:rPr>
              <w:t>96.32</w:t>
            </w:r>
          </w:p>
        </w:tc>
        <w:tc>
          <w:tcPr>
            <w:tcW w:w="917" w:type="dxa"/>
            <w:shd w:val="clear" w:color="auto" w:fill="auto"/>
            <w:vAlign w:val="center"/>
          </w:tcPr>
          <w:p w14:paraId="1CF5020D">
            <w:pPr>
              <w:widowControl/>
              <w:spacing w:line="240" w:lineRule="auto"/>
              <w:ind w:firstLine="0" w:firstLineChars="0"/>
              <w:jc w:val="center"/>
              <w:rPr>
                <w:color w:val="FF0000"/>
                <w:kern w:val="0"/>
                <w:sz w:val="21"/>
                <w:szCs w:val="21"/>
              </w:rPr>
            </w:pPr>
            <w:r>
              <w:rPr>
                <w:color w:val="FF0000"/>
                <w:kern w:val="0"/>
                <w:sz w:val="21"/>
                <w:szCs w:val="21"/>
              </w:rPr>
              <w:t>106.3</w:t>
            </w:r>
          </w:p>
        </w:tc>
        <w:tc>
          <w:tcPr>
            <w:tcW w:w="917" w:type="dxa"/>
            <w:shd w:val="clear" w:color="auto" w:fill="auto"/>
            <w:vAlign w:val="center"/>
          </w:tcPr>
          <w:p w14:paraId="218744D6">
            <w:pPr>
              <w:widowControl/>
              <w:spacing w:line="240" w:lineRule="auto"/>
              <w:ind w:firstLine="0" w:firstLineChars="0"/>
              <w:jc w:val="center"/>
              <w:rPr>
                <w:color w:val="FF0000"/>
                <w:kern w:val="0"/>
                <w:sz w:val="21"/>
                <w:szCs w:val="21"/>
              </w:rPr>
            </w:pPr>
            <w:r>
              <w:rPr>
                <w:color w:val="FF0000"/>
                <w:kern w:val="0"/>
                <w:sz w:val="21"/>
                <w:szCs w:val="21"/>
              </w:rPr>
              <w:t>106.3</w:t>
            </w:r>
          </w:p>
        </w:tc>
        <w:tc>
          <w:tcPr>
            <w:tcW w:w="796" w:type="dxa"/>
            <w:shd w:val="clear" w:color="auto" w:fill="auto"/>
            <w:vAlign w:val="center"/>
          </w:tcPr>
          <w:p w14:paraId="65035DE1">
            <w:pPr>
              <w:widowControl/>
              <w:spacing w:line="240" w:lineRule="auto"/>
              <w:ind w:firstLine="0" w:firstLineChars="0"/>
              <w:jc w:val="center"/>
              <w:rPr>
                <w:color w:val="FF0000"/>
                <w:kern w:val="0"/>
                <w:sz w:val="21"/>
                <w:szCs w:val="21"/>
              </w:rPr>
            </w:pPr>
            <w:r>
              <w:rPr>
                <w:color w:val="FF0000"/>
                <w:kern w:val="0"/>
                <w:sz w:val="21"/>
                <w:szCs w:val="21"/>
              </w:rPr>
              <w:t>74.56</w:t>
            </w:r>
          </w:p>
        </w:tc>
        <w:tc>
          <w:tcPr>
            <w:tcW w:w="796" w:type="dxa"/>
            <w:shd w:val="clear" w:color="auto" w:fill="auto"/>
            <w:vAlign w:val="center"/>
          </w:tcPr>
          <w:p w14:paraId="479EA380">
            <w:pPr>
              <w:widowControl/>
              <w:spacing w:line="240" w:lineRule="auto"/>
              <w:ind w:firstLine="0" w:firstLineChars="0"/>
              <w:jc w:val="center"/>
              <w:rPr>
                <w:color w:val="FF0000"/>
                <w:kern w:val="0"/>
                <w:sz w:val="21"/>
                <w:szCs w:val="21"/>
              </w:rPr>
            </w:pPr>
            <w:r>
              <w:rPr>
                <w:color w:val="FF0000"/>
                <w:kern w:val="0"/>
                <w:sz w:val="21"/>
                <w:szCs w:val="21"/>
              </w:rPr>
              <w:t>43.03</w:t>
            </w:r>
          </w:p>
        </w:tc>
        <w:tc>
          <w:tcPr>
            <w:tcW w:w="796" w:type="dxa"/>
            <w:shd w:val="clear" w:color="auto" w:fill="auto"/>
            <w:vAlign w:val="center"/>
          </w:tcPr>
          <w:p w14:paraId="5F8C8763">
            <w:pPr>
              <w:widowControl/>
              <w:spacing w:line="240" w:lineRule="auto"/>
              <w:ind w:firstLine="0" w:firstLineChars="0"/>
              <w:jc w:val="center"/>
              <w:rPr>
                <w:color w:val="FF0000"/>
                <w:kern w:val="0"/>
                <w:sz w:val="21"/>
                <w:szCs w:val="21"/>
              </w:rPr>
            </w:pPr>
            <w:r>
              <w:rPr>
                <w:color w:val="FF0000"/>
                <w:kern w:val="0"/>
                <w:sz w:val="21"/>
                <w:szCs w:val="21"/>
              </w:rPr>
              <w:t>28.61</w:t>
            </w:r>
          </w:p>
        </w:tc>
        <w:tc>
          <w:tcPr>
            <w:tcW w:w="796" w:type="dxa"/>
            <w:shd w:val="clear" w:color="auto" w:fill="auto"/>
            <w:vAlign w:val="center"/>
          </w:tcPr>
          <w:p w14:paraId="0991FBE7">
            <w:pPr>
              <w:widowControl/>
              <w:spacing w:line="240" w:lineRule="auto"/>
              <w:ind w:firstLine="0" w:firstLineChars="0"/>
              <w:jc w:val="center"/>
              <w:rPr>
                <w:color w:val="FF0000"/>
                <w:kern w:val="0"/>
                <w:sz w:val="21"/>
                <w:szCs w:val="21"/>
              </w:rPr>
            </w:pPr>
            <w:r>
              <w:rPr>
                <w:color w:val="FF0000"/>
                <w:kern w:val="0"/>
                <w:sz w:val="21"/>
                <w:szCs w:val="21"/>
              </w:rPr>
              <w:t>20.71</w:t>
            </w:r>
          </w:p>
        </w:tc>
        <w:tc>
          <w:tcPr>
            <w:tcW w:w="796" w:type="dxa"/>
            <w:shd w:val="clear" w:color="auto" w:fill="auto"/>
            <w:vAlign w:val="center"/>
          </w:tcPr>
          <w:p w14:paraId="64FDC86E">
            <w:pPr>
              <w:widowControl/>
              <w:spacing w:line="240" w:lineRule="auto"/>
              <w:ind w:firstLine="0" w:firstLineChars="0"/>
              <w:jc w:val="center"/>
              <w:rPr>
                <w:color w:val="FF0000"/>
                <w:kern w:val="0"/>
                <w:sz w:val="21"/>
                <w:szCs w:val="21"/>
              </w:rPr>
            </w:pPr>
            <w:r>
              <w:rPr>
                <w:color w:val="FF0000"/>
                <w:kern w:val="0"/>
                <w:sz w:val="21"/>
                <w:szCs w:val="21"/>
              </w:rPr>
              <w:t>0</w:t>
            </w:r>
          </w:p>
        </w:tc>
        <w:tc>
          <w:tcPr>
            <w:tcW w:w="796" w:type="dxa"/>
            <w:shd w:val="clear" w:color="auto" w:fill="auto"/>
            <w:vAlign w:val="center"/>
          </w:tcPr>
          <w:p w14:paraId="54F0B7BA">
            <w:pPr>
              <w:widowControl/>
              <w:spacing w:line="240" w:lineRule="auto"/>
              <w:ind w:firstLine="0" w:firstLineChars="0"/>
              <w:jc w:val="center"/>
              <w:rPr>
                <w:color w:val="FF0000"/>
                <w:kern w:val="0"/>
                <w:sz w:val="21"/>
                <w:szCs w:val="21"/>
              </w:rPr>
            </w:pPr>
            <w:r>
              <w:rPr>
                <w:color w:val="FF0000"/>
                <w:kern w:val="0"/>
                <w:sz w:val="21"/>
                <w:szCs w:val="21"/>
              </w:rPr>
              <w:t>0</w:t>
            </w:r>
          </w:p>
        </w:tc>
        <w:tc>
          <w:tcPr>
            <w:tcW w:w="674" w:type="dxa"/>
            <w:shd w:val="clear" w:color="auto" w:fill="auto"/>
            <w:vAlign w:val="center"/>
          </w:tcPr>
          <w:p w14:paraId="27B376DD">
            <w:pPr>
              <w:widowControl/>
              <w:spacing w:line="240" w:lineRule="auto"/>
              <w:ind w:firstLine="0" w:firstLineChars="0"/>
              <w:jc w:val="center"/>
              <w:rPr>
                <w:color w:val="FF0000"/>
                <w:kern w:val="0"/>
                <w:sz w:val="21"/>
                <w:szCs w:val="21"/>
              </w:rPr>
            </w:pPr>
            <w:r>
              <w:rPr>
                <w:color w:val="FF0000"/>
                <w:kern w:val="0"/>
                <w:sz w:val="21"/>
                <w:szCs w:val="21"/>
              </w:rPr>
              <w:t>0</w:t>
            </w:r>
          </w:p>
        </w:tc>
        <w:tc>
          <w:tcPr>
            <w:tcW w:w="796" w:type="dxa"/>
            <w:shd w:val="clear" w:color="auto" w:fill="auto"/>
            <w:vAlign w:val="center"/>
          </w:tcPr>
          <w:p w14:paraId="49AE63D8">
            <w:pPr>
              <w:widowControl/>
              <w:spacing w:line="240" w:lineRule="auto"/>
              <w:ind w:firstLine="0" w:firstLineChars="0"/>
              <w:jc w:val="center"/>
              <w:rPr>
                <w:color w:val="FF0000"/>
                <w:kern w:val="0"/>
                <w:sz w:val="21"/>
                <w:szCs w:val="21"/>
              </w:rPr>
            </w:pPr>
            <w:r>
              <w:rPr>
                <w:color w:val="FF0000"/>
                <w:kern w:val="0"/>
                <w:sz w:val="21"/>
                <w:szCs w:val="21"/>
              </w:rPr>
              <w:t>17.97</w:t>
            </w:r>
          </w:p>
        </w:tc>
        <w:tc>
          <w:tcPr>
            <w:tcW w:w="796" w:type="dxa"/>
            <w:shd w:val="clear" w:color="auto" w:fill="auto"/>
            <w:vAlign w:val="center"/>
          </w:tcPr>
          <w:p w14:paraId="6693DD74">
            <w:pPr>
              <w:pStyle w:val="84"/>
              <w:rPr>
                <w:rFonts w:eastAsia="宋体"/>
                <w:color w:val="FF0000"/>
              </w:rPr>
            </w:pPr>
            <w:r>
              <w:rPr>
                <w:color w:val="FF0000"/>
              </w:rPr>
              <w:t xml:space="preserve">45.76 </w:t>
            </w:r>
          </w:p>
        </w:tc>
      </w:tr>
      <w:tr w14:paraId="3FA807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2" w:type="dxa"/>
            <w:vMerge w:val="continue"/>
            <w:shd w:val="clear" w:color="auto" w:fill="auto"/>
            <w:vAlign w:val="center"/>
          </w:tcPr>
          <w:p w14:paraId="3CACF216">
            <w:pPr>
              <w:spacing w:line="240" w:lineRule="auto"/>
              <w:ind w:firstLine="0" w:firstLineChars="0"/>
              <w:jc w:val="center"/>
              <w:rPr>
                <w:rFonts w:ascii="宋体" w:hAnsi="宋体" w:cs="宋体"/>
                <w:color w:val="FF0000"/>
                <w:kern w:val="0"/>
                <w:sz w:val="21"/>
                <w:szCs w:val="21"/>
              </w:rPr>
            </w:pPr>
          </w:p>
        </w:tc>
        <w:tc>
          <w:tcPr>
            <w:tcW w:w="1930" w:type="dxa"/>
            <w:shd w:val="clear" w:color="auto" w:fill="auto"/>
            <w:vAlign w:val="center"/>
          </w:tcPr>
          <w:p w14:paraId="45F107C5">
            <w:pPr>
              <w:widowControl/>
              <w:spacing w:line="240" w:lineRule="auto"/>
              <w:ind w:firstLine="0" w:firstLineChars="0"/>
              <w:jc w:val="center"/>
              <w:rPr>
                <w:rFonts w:ascii="仿宋" w:hAnsi="仿宋" w:eastAsia="仿宋" w:cs="宋体"/>
                <w:color w:val="FF0000"/>
                <w:kern w:val="0"/>
                <w:sz w:val="21"/>
                <w:szCs w:val="21"/>
              </w:rPr>
            </w:pPr>
            <w:r>
              <w:rPr>
                <w:rFonts w:hint="eastAsia" w:ascii="仿宋" w:hAnsi="仿宋" w:eastAsia="仿宋" w:cs="宋体"/>
                <w:color w:val="FF0000"/>
                <w:kern w:val="0"/>
                <w:sz w:val="21"/>
                <w:szCs w:val="21"/>
              </w:rPr>
              <w:t>弃水量</w:t>
            </w:r>
          </w:p>
        </w:tc>
        <w:tc>
          <w:tcPr>
            <w:tcW w:w="905" w:type="dxa"/>
            <w:shd w:val="clear" w:color="auto" w:fill="auto"/>
            <w:vAlign w:val="center"/>
          </w:tcPr>
          <w:p w14:paraId="2309E28F">
            <w:pPr>
              <w:widowControl/>
              <w:spacing w:line="240" w:lineRule="auto"/>
              <w:ind w:firstLine="0" w:firstLineChars="0"/>
              <w:jc w:val="center"/>
              <w:rPr>
                <w:color w:val="FF0000"/>
                <w:kern w:val="0"/>
                <w:sz w:val="21"/>
                <w:szCs w:val="21"/>
              </w:rPr>
            </w:pPr>
            <w:r>
              <w:rPr>
                <w:color w:val="FF0000"/>
                <w:kern w:val="0"/>
                <w:sz w:val="21"/>
                <w:szCs w:val="21"/>
              </w:rPr>
              <w:t>0</w:t>
            </w:r>
          </w:p>
        </w:tc>
        <w:tc>
          <w:tcPr>
            <w:tcW w:w="808" w:type="dxa"/>
            <w:shd w:val="clear" w:color="auto" w:fill="auto"/>
            <w:vAlign w:val="center"/>
          </w:tcPr>
          <w:p w14:paraId="7C7DDB5E">
            <w:pPr>
              <w:widowControl/>
              <w:spacing w:line="240" w:lineRule="auto"/>
              <w:ind w:firstLine="0" w:firstLineChars="0"/>
              <w:jc w:val="center"/>
              <w:rPr>
                <w:color w:val="FF0000"/>
                <w:kern w:val="0"/>
                <w:sz w:val="21"/>
                <w:szCs w:val="21"/>
              </w:rPr>
            </w:pPr>
            <w:r>
              <w:rPr>
                <w:color w:val="FF0000"/>
                <w:kern w:val="0"/>
                <w:sz w:val="21"/>
                <w:szCs w:val="21"/>
              </w:rPr>
              <w:t>0</w:t>
            </w:r>
          </w:p>
        </w:tc>
        <w:tc>
          <w:tcPr>
            <w:tcW w:w="917" w:type="dxa"/>
            <w:shd w:val="clear" w:color="auto" w:fill="auto"/>
            <w:vAlign w:val="center"/>
          </w:tcPr>
          <w:p w14:paraId="56478C47">
            <w:pPr>
              <w:widowControl/>
              <w:spacing w:line="240" w:lineRule="auto"/>
              <w:ind w:firstLine="0" w:firstLineChars="0"/>
              <w:jc w:val="center"/>
              <w:rPr>
                <w:color w:val="FF0000"/>
                <w:kern w:val="0"/>
                <w:sz w:val="21"/>
                <w:szCs w:val="21"/>
              </w:rPr>
            </w:pPr>
            <w:r>
              <w:rPr>
                <w:color w:val="FF0000"/>
                <w:kern w:val="0"/>
                <w:sz w:val="21"/>
                <w:szCs w:val="21"/>
              </w:rPr>
              <w:t>6.14</w:t>
            </w:r>
          </w:p>
        </w:tc>
        <w:tc>
          <w:tcPr>
            <w:tcW w:w="917" w:type="dxa"/>
            <w:shd w:val="clear" w:color="auto" w:fill="auto"/>
            <w:vAlign w:val="center"/>
          </w:tcPr>
          <w:p w14:paraId="552573AE">
            <w:pPr>
              <w:widowControl/>
              <w:spacing w:line="240" w:lineRule="auto"/>
              <w:ind w:firstLine="0" w:firstLineChars="0"/>
              <w:jc w:val="center"/>
              <w:rPr>
                <w:color w:val="FF0000"/>
                <w:kern w:val="0"/>
                <w:sz w:val="21"/>
                <w:szCs w:val="21"/>
              </w:rPr>
            </w:pPr>
            <w:r>
              <w:rPr>
                <w:color w:val="FF0000"/>
                <w:kern w:val="0"/>
                <w:sz w:val="21"/>
                <w:szCs w:val="21"/>
              </w:rPr>
              <w:t>27.5</w:t>
            </w:r>
          </w:p>
        </w:tc>
        <w:tc>
          <w:tcPr>
            <w:tcW w:w="796" w:type="dxa"/>
            <w:shd w:val="clear" w:color="auto" w:fill="auto"/>
            <w:vAlign w:val="center"/>
          </w:tcPr>
          <w:p w14:paraId="6EBF008D">
            <w:pPr>
              <w:widowControl/>
              <w:spacing w:line="240" w:lineRule="auto"/>
              <w:ind w:firstLine="0" w:firstLineChars="0"/>
              <w:jc w:val="center"/>
              <w:rPr>
                <w:color w:val="FF0000"/>
                <w:kern w:val="0"/>
                <w:sz w:val="21"/>
                <w:szCs w:val="21"/>
              </w:rPr>
            </w:pPr>
            <w:r>
              <w:rPr>
                <w:color w:val="FF0000"/>
                <w:kern w:val="0"/>
                <w:sz w:val="21"/>
                <w:szCs w:val="21"/>
              </w:rPr>
              <w:t>0</w:t>
            </w:r>
          </w:p>
        </w:tc>
        <w:tc>
          <w:tcPr>
            <w:tcW w:w="796" w:type="dxa"/>
            <w:shd w:val="clear" w:color="auto" w:fill="auto"/>
            <w:vAlign w:val="center"/>
          </w:tcPr>
          <w:p w14:paraId="34B5C163">
            <w:pPr>
              <w:widowControl/>
              <w:spacing w:line="240" w:lineRule="auto"/>
              <w:ind w:firstLine="0" w:firstLineChars="0"/>
              <w:jc w:val="center"/>
              <w:rPr>
                <w:color w:val="FF0000"/>
                <w:kern w:val="0"/>
                <w:sz w:val="21"/>
                <w:szCs w:val="21"/>
              </w:rPr>
            </w:pPr>
            <w:r>
              <w:rPr>
                <w:color w:val="FF0000"/>
                <w:kern w:val="0"/>
                <w:sz w:val="21"/>
                <w:szCs w:val="21"/>
              </w:rPr>
              <w:t>0</w:t>
            </w:r>
          </w:p>
        </w:tc>
        <w:tc>
          <w:tcPr>
            <w:tcW w:w="796" w:type="dxa"/>
            <w:shd w:val="clear" w:color="auto" w:fill="auto"/>
            <w:vAlign w:val="center"/>
          </w:tcPr>
          <w:p w14:paraId="3EA71386">
            <w:pPr>
              <w:widowControl/>
              <w:spacing w:line="240" w:lineRule="auto"/>
              <w:ind w:firstLine="0" w:firstLineChars="0"/>
              <w:jc w:val="center"/>
              <w:rPr>
                <w:color w:val="FF0000"/>
                <w:kern w:val="0"/>
                <w:sz w:val="21"/>
                <w:szCs w:val="21"/>
              </w:rPr>
            </w:pPr>
            <w:r>
              <w:rPr>
                <w:color w:val="FF0000"/>
                <w:kern w:val="0"/>
                <w:sz w:val="21"/>
                <w:szCs w:val="21"/>
              </w:rPr>
              <w:t>0</w:t>
            </w:r>
          </w:p>
        </w:tc>
        <w:tc>
          <w:tcPr>
            <w:tcW w:w="796" w:type="dxa"/>
            <w:shd w:val="clear" w:color="auto" w:fill="auto"/>
            <w:vAlign w:val="center"/>
          </w:tcPr>
          <w:p w14:paraId="35CC45F2">
            <w:pPr>
              <w:widowControl/>
              <w:spacing w:line="240" w:lineRule="auto"/>
              <w:ind w:firstLine="0" w:firstLineChars="0"/>
              <w:jc w:val="center"/>
              <w:rPr>
                <w:color w:val="FF0000"/>
                <w:kern w:val="0"/>
                <w:sz w:val="21"/>
                <w:szCs w:val="21"/>
              </w:rPr>
            </w:pPr>
            <w:r>
              <w:rPr>
                <w:color w:val="FF0000"/>
                <w:kern w:val="0"/>
                <w:sz w:val="21"/>
                <w:szCs w:val="21"/>
              </w:rPr>
              <w:t>0</w:t>
            </w:r>
          </w:p>
        </w:tc>
        <w:tc>
          <w:tcPr>
            <w:tcW w:w="796" w:type="dxa"/>
            <w:shd w:val="clear" w:color="auto" w:fill="auto"/>
            <w:vAlign w:val="center"/>
          </w:tcPr>
          <w:p w14:paraId="149D3C20">
            <w:pPr>
              <w:widowControl/>
              <w:spacing w:line="240" w:lineRule="auto"/>
              <w:ind w:firstLine="0" w:firstLineChars="0"/>
              <w:jc w:val="center"/>
              <w:rPr>
                <w:color w:val="FF0000"/>
                <w:kern w:val="0"/>
                <w:sz w:val="21"/>
                <w:szCs w:val="21"/>
              </w:rPr>
            </w:pPr>
            <w:r>
              <w:rPr>
                <w:color w:val="FF0000"/>
                <w:kern w:val="0"/>
                <w:sz w:val="21"/>
                <w:szCs w:val="21"/>
              </w:rPr>
              <w:t>15.25</w:t>
            </w:r>
          </w:p>
        </w:tc>
        <w:tc>
          <w:tcPr>
            <w:tcW w:w="796" w:type="dxa"/>
            <w:shd w:val="clear" w:color="auto" w:fill="auto"/>
            <w:vAlign w:val="center"/>
          </w:tcPr>
          <w:p w14:paraId="29B71BC8">
            <w:pPr>
              <w:widowControl/>
              <w:spacing w:line="240" w:lineRule="auto"/>
              <w:ind w:firstLine="0" w:firstLineChars="0"/>
              <w:jc w:val="center"/>
              <w:rPr>
                <w:color w:val="FF0000"/>
                <w:kern w:val="0"/>
                <w:sz w:val="21"/>
                <w:szCs w:val="21"/>
              </w:rPr>
            </w:pPr>
            <w:r>
              <w:rPr>
                <w:color w:val="FF0000"/>
                <w:kern w:val="0"/>
                <w:sz w:val="21"/>
                <w:szCs w:val="21"/>
              </w:rPr>
              <w:t>11.85</w:t>
            </w:r>
          </w:p>
        </w:tc>
        <w:tc>
          <w:tcPr>
            <w:tcW w:w="674" w:type="dxa"/>
            <w:shd w:val="clear" w:color="auto" w:fill="auto"/>
            <w:vAlign w:val="center"/>
          </w:tcPr>
          <w:p w14:paraId="3FA4981F">
            <w:pPr>
              <w:widowControl/>
              <w:spacing w:line="240" w:lineRule="auto"/>
              <w:ind w:firstLine="0" w:firstLineChars="0"/>
              <w:jc w:val="center"/>
              <w:rPr>
                <w:color w:val="FF0000"/>
                <w:kern w:val="0"/>
                <w:sz w:val="21"/>
                <w:szCs w:val="21"/>
              </w:rPr>
            </w:pPr>
            <w:r>
              <w:rPr>
                <w:color w:val="FF0000"/>
                <w:kern w:val="0"/>
                <w:sz w:val="21"/>
                <w:szCs w:val="21"/>
              </w:rPr>
              <w:t>4.48</w:t>
            </w:r>
          </w:p>
        </w:tc>
        <w:tc>
          <w:tcPr>
            <w:tcW w:w="796" w:type="dxa"/>
            <w:shd w:val="clear" w:color="auto" w:fill="auto"/>
            <w:vAlign w:val="center"/>
          </w:tcPr>
          <w:p w14:paraId="13A6BF9C">
            <w:pPr>
              <w:widowControl/>
              <w:spacing w:line="240" w:lineRule="auto"/>
              <w:ind w:firstLine="0" w:firstLineChars="0"/>
              <w:jc w:val="center"/>
              <w:rPr>
                <w:color w:val="FF0000"/>
                <w:kern w:val="0"/>
                <w:sz w:val="21"/>
                <w:szCs w:val="21"/>
              </w:rPr>
            </w:pPr>
            <w:r>
              <w:rPr>
                <w:color w:val="FF0000"/>
                <w:kern w:val="0"/>
                <w:sz w:val="21"/>
                <w:szCs w:val="21"/>
              </w:rPr>
              <w:t>0</w:t>
            </w:r>
          </w:p>
        </w:tc>
        <w:tc>
          <w:tcPr>
            <w:tcW w:w="796" w:type="dxa"/>
            <w:shd w:val="clear" w:color="auto" w:fill="auto"/>
            <w:vAlign w:val="center"/>
          </w:tcPr>
          <w:p w14:paraId="7192B6EC">
            <w:pPr>
              <w:pStyle w:val="84"/>
              <w:rPr>
                <w:rFonts w:eastAsia="宋体"/>
                <w:color w:val="FF0000"/>
              </w:rPr>
            </w:pPr>
            <w:r>
              <w:rPr>
                <w:color w:val="FF0000"/>
              </w:rPr>
              <w:t xml:space="preserve">5.44 </w:t>
            </w:r>
          </w:p>
        </w:tc>
      </w:tr>
      <w:tr w14:paraId="5C877B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2" w:type="dxa"/>
            <w:vMerge w:val="continue"/>
            <w:shd w:val="clear" w:color="auto" w:fill="auto"/>
            <w:vAlign w:val="center"/>
          </w:tcPr>
          <w:p w14:paraId="16B0CA74">
            <w:pPr>
              <w:widowControl/>
              <w:spacing w:line="240" w:lineRule="auto"/>
              <w:ind w:firstLine="0" w:firstLineChars="0"/>
              <w:jc w:val="center"/>
              <w:rPr>
                <w:rFonts w:ascii="宋体" w:hAnsi="宋体" w:cs="宋体"/>
                <w:color w:val="FF0000"/>
                <w:kern w:val="0"/>
                <w:sz w:val="21"/>
                <w:szCs w:val="21"/>
              </w:rPr>
            </w:pPr>
          </w:p>
        </w:tc>
        <w:tc>
          <w:tcPr>
            <w:tcW w:w="1930" w:type="dxa"/>
            <w:shd w:val="clear" w:color="auto" w:fill="auto"/>
            <w:vAlign w:val="center"/>
          </w:tcPr>
          <w:p w14:paraId="4C499E2C">
            <w:pPr>
              <w:widowControl/>
              <w:spacing w:line="240" w:lineRule="auto"/>
              <w:ind w:firstLine="0" w:firstLineChars="0"/>
              <w:jc w:val="center"/>
              <w:rPr>
                <w:rFonts w:ascii="仿宋" w:hAnsi="仿宋" w:eastAsia="仿宋" w:cs="宋体"/>
                <w:color w:val="FF0000"/>
                <w:kern w:val="0"/>
                <w:sz w:val="21"/>
                <w:szCs w:val="21"/>
              </w:rPr>
            </w:pPr>
            <w:r>
              <w:rPr>
                <w:rFonts w:hint="eastAsia" w:ascii="仿宋" w:hAnsi="仿宋" w:eastAsia="仿宋" w:cs="宋体"/>
                <w:color w:val="FF0000"/>
                <w:kern w:val="0"/>
                <w:sz w:val="21"/>
                <w:szCs w:val="21"/>
              </w:rPr>
              <w:t>减水河段生态流量</w:t>
            </w:r>
          </w:p>
        </w:tc>
        <w:tc>
          <w:tcPr>
            <w:tcW w:w="905" w:type="dxa"/>
            <w:shd w:val="clear" w:color="auto" w:fill="auto"/>
            <w:vAlign w:val="center"/>
          </w:tcPr>
          <w:p w14:paraId="1B3F486A">
            <w:pPr>
              <w:widowControl/>
              <w:spacing w:line="240" w:lineRule="auto"/>
              <w:ind w:firstLine="0" w:firstLineChars="0"/>
              <w:jc w:val="center"/>
              <w:rPr>
                <w:color w:val="FF0000"/>
                <w:kern w:val="0"/>
                <w:sz w:val="21"/>
                <w:szCs w:val="21"/>
              </w:rPr>
            </w:pPr>
            <w:r>
              <w:rPr>
                <w:color w:val="FF0000"/>
                <w:kern w:val="0"/>
                <w:sz w:val="21"/>
                <w:szCs w:val="21"/>
              </w:rPr>
              <w:t>15.84</w:t>
            </w:r>
          </w:p>
        </w:tc>
        <w:tc>
          <w:tcPr>
            <w:tcW w:w="808" w:type="dxa"/>
            <w:shd w:val="clear" w:color="auto" w:fill="auto"/>
            <w:vAlign w:val="center"/>
          </w:tcPr>
          <w:p w14:paraId="6D5B236B">
            <w:pPr>
              <w:widowControl/>
              <w:spacing w:line="240" w:lineRule="auto"/>
              <w:ind w:firstLine="0" w:firstLineChars="0"/>
              <w:jc w:val="center"/>
              <w:rPr>
                <w:color w:val="FF0000"/>
                <w:kern w:val="0"/>
                <w:sz w:val="21"/>
                <w:szCs w:val="21"/>
              </w:rPr>
            </w:pPr>
            <w:r>
              <w:rPr>
                <w:color w:val="FF0000"/>
                <w:kern w:val="0"/>
                <w:sz w:val="21"/>
                <w:szCs w:val="21"/>
              </w:rPr>
              <w:t>15.84</w:t>
            </w:r>
          </w:p>
        </w:tc>
        <w:tc>
          <w:tcPr>
            <w:tcW w:w="917" w:type="dxa"/>
            <w:shd w:val="clear" w:color="auto" w:fill="auto"/>
            <w:vAlign w:val="center"/>
          </w:tcPr>
          <w:p w14:paraId="4692E6BA">
            <w:pPr>
              <w:widowControl/>
              <w:spacing w:line="240" w:lineRule="auto"/>
              <w:ind w:firstLine="0" w:firstLineChars="0"/>
              <w:jc w:val="center"/>
              <w:rPr>
                <w:color w:val="FF0000"/>
                <w:kern w:val="0"/>
                <w:sz w:val="21"/>
                <w:szCs w:val="21"/>
              </w:rPr>
            </w:pPr>
            <w:r>
              <w:rPr>
                <w:color w:val="FF0000"/>
                <w:kern w:val="0"/>
                <w:sz w:val="21"/>
                <w:szCs w:val="21"/>
              </w:rPr>
              <w:t>21.98</w:t>
            </w:r>
          </w:p>
        </w:tc>
        <w:tc>
          <w:tcPr>
            <w:tcW w:w="917" w:type="dxa"/>
            <w:shd w:val="clear" w:color="auto" w:fill="auto"/>
            <w:vAlign w:val="center"/>
          </w:tcPr>
          <w:p w14:paraId="59ADD8DE">
            <w:pPr>
              <w:widowControl/>
              <w:spacing w:line="240" w:lineRule="auto"/>
              <w:ind w:firstLine="0" w:firstLineChars="0"/>
              <w:jc w:val="center"/>
              <w:rPr>
                <w:color w:val="FF0000"/>
                <w:kern w:val="0"/>
                <w:sz w:val="21"/>
                <w:szCs w:val="21"/>
              </w:rPr>
            </w:pPr>
            <w:r>
              <w:rPr>
                <w:color w:val="FF0000"/>
                <w:kern w:val="0"/>
                <w:sz w:val="21"/>
                <w:szCs w:val="21"/>
              </w:rPr>
              <w:t>43.34</w:t>
            </w:r>
          </w:p>
        </w:tc>
        <w:tc>
          <w:tcPr>
            <w:tcW w:w="796" w:type="dxa"/>
            <w:shd w:val="clear" w:color="auto" w:fill="auto"/>
            <w:vAlign w:val="center"/>
          </w:tcPr>
          <w:p w14:paraId="15B84990">
            <w:pPr>
              <w:widowControl/>
              <w:spacing w:line="240" w:lineRule="auto"/>
              <w:ind w:firstLine="0" w:firstLineChars="0"/>
              <w:jc w:val="center"/>
              <w:rPr>
                <w:color w:val="FF0000"/>
                <w:kern w:val="0"/>
                <w:sz w:val="21"/>
                <w:szCs w:val="21"/>
              </w:rPr>
            </w:pPr>
            <w:r>
              <w:rPr>
                <w:color w:val="FF0000"/>
                <w:kern w:val="0"/>
                <w:sz w:val="21"/>
                <w:szCs w:val="21"/>
              </w:rPr>
              <w:t>15.84</w:t>
            </w:r>
          </w:p>
        </w:tc>
        <w:tc>
          <w:tcPr>
            <w:tcW w:w="796" w:type="dxa"/>
            <w:shd w:val="clear" w:color="auto" w:fill="auto"/>
            <w:vAlign w:val="center"/>
          </w:tcPr>
          <w:p w14:paraId="3B3D9D90">
            <w:pPr>
              <w:widowControl/>
              <w:spacing w:line="240" w:lineRule="auto"/>
              <w:ind w:firstLine="0" w:firstLineChars="0"/>
              <w:jc w:val="center"/>
              <w:rPr>
                <w:color w:val="FF0000"/>
                <w:kern w:val="0"/>
                <w:sz w:val="21"/>
                <w:szCs w:val="21"/>
              </w:rPr>
            </w:pPr>
            <w:r>
              <w:rPr>
                <w:color w:val="FF0000"/>
                <w:kern w:val="0"/>
                <w:sz w:val="21"/>
                <w:szCs w:val="21"/>
              </w:rPr>
              <w:t>15.84</w:t>
            </w:r>
          </w:p>
        </w:tc>
        <w:tc>
          <w:tcPr>
            <w:tcW w:w="796" w:type="dxa"/>
            <w:shd w:val="clear" w:color="auto" w:fill="auto"/>
            <w:vAlign w:val="center"/>
          </w:tcPr>
          <w:p w14:paraId="7554E183">
            <w:pPr>
              <w:widowControl/>
              <w:spacing w:line="240" w:lineRule="auto"/>
              <w:ind w:firstLine="0" w:firstLineChars="0"/>
              <w:jc w:val="center"/>
              <w:rPr>
                <w:color w:val="FF0000"/>
                <w:kern w:val="0"/>
                <w:sz w:val="21"/>
                <w:szCs w:val="21"/>
              </w:rPr>
            </w:pPr>
            <w:r>
              <w:rPr>
                <w:color w:val="FF0000"/>
                <w:kern w:val="0"/>
                <w:sz w:val="21"/>
                <w:szCs w:val="21"/>
              </w:rPr>
              <w:t>15.84</w:t>
            </w:r>
          </w:p>
        </w:tc>
        <w:tc>
          <w:tcPr>
            <w:tcW w:w="796" w:type="dxa"/>
            <w:shd w:val="clear" w:color="auto" w:fill="auto"/>
            <w:vAlign w:val="center"/>
          </w:tcPr>
          <w:p w14:paraId="4DC9A69C">
            <w:pPr>
              <w:widowControl/>
              <w:spacing w:line="240" w:lineRule="auto"/>
              <w:ind w:firstLine="0" w:firstLineChars="0"/>
              <w:jc w:val="center"/>
              <w:rPr>
                <w:color w:val="FF0000"/>
                <w:kern w:val="0"/>
                <w:sz w:val="21"/>
                <w:szCs w:val="21"/>
              </w:rPr>
            </w:pPr>
            <w:r>
              <w:rPr>
                <w:color w:val="FF0000"/>
                <w:kern w:val="0"/>
                <w:sz w:val="21"/>
                <w:szCs w:val="21"/>
              </w:rPr>
              <w:t>15.84</w:t>
            </w:r>
          </w:p>
        </w:tc>
        <w:tc>
          <w:tcPr>
            <w:tcW w:w="796" w:type="dxa"/>
            <w:shd w:val="clear" w:color="auto" w:fill="auto"/>
            <w:vAlign w:val="center"/>
          </w:tcPr>
          <w:p w14:paraId="6B23B5BF">
            <w:pPr>
              <w:widowControl/>
              <w:spacing w:line="240" w:lineRule="auto"/>
              <w:ind w:firstLine="0" w:firstLineChars="0"/>
              <w:jc w:val="center"/>
              <w:rPr>
                <w:color w:val="FF0000"/>
                <w:kern w:val="0"/>
                <w:sz w:val="21"/>
                <w:szCs w:val="21"/>
              </w:rPr>
            </w:pPr>
            <w:r>
              <w:rPr>
                <w:color w:val="FF0000"/>
                <w:kern w:val="0"/>
                <w:sz w:val="21"/>
                <w:szCs w:val="21"/>
              </w:rPr>
              <w:t>15.25</w:t>
            </w:r>
          </w:p>
        </w:tc>
        <w:tc>
          <w:tcPr>
            <w:tcW w:w="796" w:type="dxa"/>
            <w:shd w:val="clear" w:color="auto" w:fill="auto"/>
            <w:vAlign w:val="center"/>
          </w:tcPr>
          <w:p w14:paraId="6A0EB917">
            <w:pPr>
              <w:widowControl/>
              <w:spacing w:line="240" w:lineRule="auto"/>
              <w:ind w:firstLine="0" w:firstLineChars="0"/>
              <w:jc w:val="center"/>
              <w:rPr>
                <w:color w:val="FF0000"/>
                <w:kern w:val="0"/>
                <w:sz w:val="21"/>
                <w:szCs w:val="21"/>
              </w:rPr>
            </w:pPr>
            <w:r>
              <w:rPr>
                <w:color w:val="FF0000"/>
                <w:kern w:val="0"/>
                <w:sz w:val="21"/>
                <w:szCs w:val="21"/>
              </w:rPr>
              <w:t>11.85</w:t>
            </w:r>
          </w:p>
        </w:tc>
        <w:tc>
          <w:tcPr>
            <w:tcW w:w="674" w:type="dxa"/>
            <w:shd w:val="clear" w:color="auto" w:fill="auto"/>
            <w:vAlign w:val="center"/>
          </w:tcPr>
          <w:p w14:paraId="5CD1E067">
            <w:pPr>
              <w:widowControl/>
              <w:spacing w:line="240" w:lineRule="auto"/>
              <w:ind w:firstLine="0" w:firstLineChars="0"/>
              <w:jc w:val="center"/>
              <w:rPr>
                <w:color w:val="FF0000"/>
                <w:kern w:val="0"/>
                <w:sz w:val="21"/>
                <w:szCs w:val="21"/>
              </w:rPr>
            </w:pPr>
            <w:r>
              <w:rPr>
                <w:color w:val="FF0000"/>
                <w:kern w:val="0"/>
                <w:sz w:val="21"/>
                <w:szCs w:val="21"/>
              </w:rPr>
              <w:t>4.48</w:t>
            </w:r>
          </w:p>
        </w:tc>
        <w:tc>
          <w:tcPr>
            <w:tcW w:w="796" w:type="dxa"/>
            <w:shd w:val="clear" w:color="auto" w:fill="auto"/>
            <w:vAlign w:val="center"/>
          </w:tcPr>
          <w:p w14:paraId="31C708BE">
            <w:pPr>
              <w:widowControl/>
              <w:spacing w:line="240" w:lineRule="auto"/>
              <w:ind w:firstLine="0" w:firstLineChars="0"/>
              <w:jc w:val="center"/>
              <w:rPr>
                <w:color w:val="FF0000"/>
                <w:kern w:val="0"/>
                <w:sz w:val="21"/>
                <w:szCs w:val="21"/>
              </w:rPr>
            </w:pPr>
            <w:r>
              <w:rPr>
                <w:color w:val="FF0000"/>
                <w:kern w:val="0"/>
                <w:sz w:val="21"/>
                <w:szCs w:val="21"/>
              </w:rPr>
              <w:t>15.84</w:t>
            </w:r>
          </w:p>
        </w:tc>
        <w:tc>
          <w:tcPr>
            <w:tcW w:w="796" w:type="dxa"/>
            <w:shd w:val="clear" w:color="auto" w:fill="auto"/>
            <w:vAlign w:val="center"/>
          </w:tcPr>
          <w:p w14:paraId="1E200F55">
            <w:pPr>
              <w:pStyle w:val="84"/>
              <w:rPr>
                <w:rFonts w:eastAsia="宋体"/>
                <w:color w:val="FF0000"/>
              </w:rPr>
            </w:pPr>
            <w:r>
              <w:rPr>
                <w:color w:val="FF0000"/>
              </w:rPr>
              <w:t xml:space="preserve">17.32 </w:t>
            </w:r>
          </w:p>
        </w:tc>
      </w:tr>
      <w:tr w14:paraId="5B0A2D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2" w:type="dxa"/>
            <w:vMerge w:val="restart"/>
            <w:shd w:val="clear" w:color="auto" w:fill="auto"/>
            <w:vAlign w:val="center"/>
          </w:tcPr>
          <w:p w14:paraId="5AB42B6B">
            <w:pPr>
              <w:widowControl/>
              <w:spacing w:line="240" w:lineRule="auto"/>
              <w:ind w:firstLine="0" w:firstLineChars="0"/>
              <w:jc w:val="center"/>
              <w:rPr>
                <w:color w:val="FF0000"/>
                <w:kern w:val="0"/>
                <w:sz w:val="21"/>
                <w:szCs w:val="21"/>
              </w:rPr>
            </w:pPr>
            <w:r>
              <w:rPr>
                <w:color w:val="FF0000"/>
                <w:kern w:val="0"/>
                <w:sz w:val="21"/>
                <w:szCs w:val="21"/>
              </w:rPr>
              <w:t>P=90%</w:t>
            </w:r>
          </w:p>
        </w:tc>
        <w:tc>
          <w:tcPr>
            <w:tcW w:w="1930" w:type="dxa"/>
            <w:shd w:val="clear" w:color="auto" w:fill="auto"/>
            <w:vAlign w:val="center"/>
          </w:tcPr>
          <w:p w14:paraId="073CA3B9">
            <w:pPr>
              <w:widowControl/>
              <w:spacing w:line="240" w:lineRule="auto"/>
              <w:ind w:firstLine="0" w:firstLineChars="0"/>
              <w:jc w:val="center"/>
              <w:rPr>
                <w:rFonts w:ascii="仿宋" w:hAnsi="仿宋" w:eastAsia="仿宋" w:cs="宋体"/>
                <w:color w:val="FF0000"/>
                <w:kern w:val="0"/>
                <w:sz w:val="21"/>
                <w:szCs w:val="21"/>
              </w:rPr>
            </w:pPr>
            <w:r>
              <w:rPr>
                <w:rFonts w:hint="eastAsia" w:ascii="仿宋" w:hAnsi="仿宋" w:eastAsia="仿宋" w:cs="宋体"/>
                <w:color w:val="FF0000"/>
                <w:kern w:val="0"/>
                <w:sz w:val="21"/>
                <w:szCs w:val="21"/>
              </w:rPr>
              <w:t>上游天然来水量</w:t>
            </w:r>
          </w:p>
        </w:tc>
        <w:tc>
          <w:tcPr>
            <w:tcW w:w="905" w:type="dxa"/>
            <w:shd w:val="clear" w:color="auto" w:fill="auto"/>
            <w:vAlign w:val="center"/>
          </w:tcPr>
          <w:p w14:paraId="639CB908">
            <w:pPr>
              <w:widowControl/>
              <w:spacing w:line="240" w:lineRule="auto"/>
              <w:ind w:firstLine="0" w:firstLineChars="0"/>
              <w:jc w:val="center"/>
              <w:rPr>
                <w:color w:val="FF0000"/>
                <w:kern w:val="0"/>
                <w:sz w:val="21"/>
                <w:szCs w:val="21"/>
              </w:rPr>
            </w:pPr>
            <w:r>
              <w:rPr>
                <w:color w:val="FF0000"/>
                <w:kern w:val="0"/>
                <w:sz w:val="21"/>
                <w:szCs w:val="21"/>
              </w:rPr>
              <w:t>26.5</w:t>
            </w:r>
          </w:p>
        </w:tc>
        <w:tc>
          <w:tcPr>
            <w:tcW w:w="808" w:type="dxa"/>
            <w:shd w:val="clear" w:color="auto" w:fill="auto"/>
            <w:vAlign w:val="center"/>
          </w:tcPr>
          <w:p w14:paraId="749D08CE">
            <w:pPr>
              <w:widowControl/>
              <w:spacing w:line="240" w:lineRule="auto"/>
              <w:ind w:firstLine="0" w:firstLineChars="0"/>
              <w:jc w:val="center"/>
              <w:rPr>
                <w:color w:val="FF0000"/>
                <w:kern w:val="0"/>
                <w:sz w:val="21"/>
                <w:szCs w:val="21"/>
              </w:rPr>
            </w:pPr>
            <w:r>
              <w:rPr>
                <w:color w:val="FF0000"/>
                <w:kern w:val="0"/>
                <w:sz w:val="21"/>
                <w:szCs w:val="21"/>
              </w:rPr>
              <w:t>64.4</w:t>
            </w:r>
          </w:p>
        </w:tc>
        <w:tc>
          <w:tcPr>
            <w:tcW w:w="917" w:type="dxa"/>
            <w:shd w:val="clear" w:color="auto" w:fill="auto"/>
            <w:vAlign w:val="center"/>
          </w:tcPr>
          <w:p w14:paraId="759047AA">
            <w:pPr>
              <w:widowControl/>
              <w:spacing w:line="240" w:lineRule="auto"/>
              <w:ind w:firstLine="0" w:firstLineChars="0"/>
              <w:jc w:val="center"/>
              <w:rPr>
                <w:color w:val="FF0000"/>
                <w:kern w:val="0"/>
                <w:sz w:val="21"/>
                <w:szCs w:val="21"/>
              </w:rPr>
            </w:pPr>
            <w:r>
              <w:rPr>
                <w:color w:val="FF0000"/>
                <w:kern w:val="0"/>
                <w:sz w:val="21"/>
                <w:szCs w:val="21"/>
              </w:rPr>
              <w:t>175</w:t>
            </w:r>
          </w:p>
        </w:tc>
        <w:tc>
          <w:tcPr>
            <w:tcW w:w="917" w:type="dxa"/>
            <w:shd w:val="clear" w:color="auto" w:fill="auto"/>
            <w:vAlign w:val="center"/>
          </w:tcPr>
          <w:p w14:paraId="33450F43">
            <w:pPr>
              <w:widowControl/>
              <w:spacing w:line="240" w:lineRule="auto"/>
              <w:ind w:firstLine="0" w:firstLineChars="0"/>
              <w:jc w:val="center"/>
              <w:rPr>
                <w:color w:val="FF0000"/>
                <w:kern w:val="0"/>
                <w:sz w:val="21"/>
                <w:szCs w:val="21"/>
              </w:rPr>
            </w:pPr>
            <w:r>
              <w:rPr>
                <w:color w:val="FF0000"/>
                <w:kern w:val="0"/>
                <w:sz w:val="21"/>
                <w:szCs w:val="21"/>
              </w:rPr>
              <w:t>68.1</w:t>
            </w:r>
          </w:p>
        </w:tc>
        <w:tc>
          <w:tcPr>
            <w:tcW w:w="796" w:type="dxa"/>
            <w:shd w:val="clear" w:color="auto" w:fill="auto"/>
            <w:vAlign w:val="center"/>
          </w:tcPr>
          <w:p w14:paraId="57B51800">
            <w:pPr>
              <w:widowControl/>
              <w:spacing w:line="240" w:lineRule="auto"/>
              <w:ind w:firstLine="0" w:firstLineChars="0"/>
              <w:jc w:val="center"/>
              <w:rPr>
                <w:color w:val="FF0000"/>
                <w:kern w:val="0"/>
                <w:sz w:val="21"/>
                <w:szCs w:val="21"/>
              </w:rPr>
            </w:pPr>
            <w:r>
              <w:rPr>
                <w:color w:val="FF0000"/>
                <w:kern w:val="0"/>
                <w:sz w:val="21"/>
                <w:szCs w:val="21"/>
              </w:rPr>
              <w:t>44.7</w:t>
            </w:r>
          </w:p>
        </w:tc>
        <w:tc>
          <w:tcPr>
            <w:tcW w:w="796" w:type="dxa"/>
            <w:shd w:val="clear" w:color="auto" w:fill="auto"/>
            <w:vAlign w:val="center"/>
          </w:tcPr>
          <w:p w14:paraId="65E4E4DB">
            <w:pPr>
              <w:widowControl/>
              <w:spacing w:line="240" w:lineRule="auto"/>
              <w:ind w:firstLine="0" w:firstLineChars="0"/>
              <w:jc w:val="center"/>
              <w:rPr>
                <w:color w:val="FF0000"/>
                <w:kern w:val="0"/>
                <w:sz w:val="21"/>
                <w:szCs w:val="21"/>
              </w:rPr>
            </w:pPr>
            <w:r>
              <w:rPr>
                <w:color w:val="FF0000"/>
                <w:kern w:val="0"/>
                <w:sz w:val="21"/>
                <w:szCs w:val="21"/>
              </w:rPr>
              <w:t>31.2</w:t>
            </w:r>
          </w:p>
        </w:tc>
        <w:tc>
          <w:tcPr>
            <w:tcW w:w="796" w:type="dxa"/>
            <w:shd w:val="clear" w:color="auto" w:fill="auto"/>
            <w:vAlign w:val="center"/>
          </w:tcPr>
          <w:p w14:paraId="316B82C5">
            <w:pPr>
              <w:widowControl/>
              <w:spacing w:line="240" w:lineRule="auto"/>
              <w:ind w:firstLine="0" w:firstLineChars="0"/>
              <w:jc w:val="center"/>
              <w:rPr>
                <w:color w:val="FF0000"/>
                <w:kern w:val="0"/>
                <w:sz w:val="21"/>
                <w:szCs w:val="21"/>
              </w:rPr>
            </w:pPr>
            <w:r>
              <w:rPr>
                <w:color w:val="FF0000"/>
                <w:kern w:val="0"/>
                <w:sz w:val="21"/>
                <w:szCs w:val="21"/>
              </w:rPr>
              <w:t>22.9</w:t>
            </w:r>
          </w:p>
        </w:tc>
        <w:tc>
          <w:tcPr>
            <w:tcW w:w="796" w:type="dxa"/>
            <w:shd w:val="clear" w:color="auto" w:fill="auto"/>
            <w:vAlign w:val="center"/>
          </w:tcPr>
          <w:p w14:paraId="64A200E6">
            <w:pPr>
              <w:widowControl/>
              <w:spacing w:line="240" w:lineRule="auto"/>
              <w:ind w:firstLine="0" w:firstLineChars="0"/>
              <w:jc w:val="center"/>
              <w:rPr>
                <w:color w:val="FF0000"/>
                <w:kern w:val="0"/>
                <w:sz w:val="21"/>
                <w:szCs w:val="21"/>
              </w:rPr>
            </w:pPr>
            <w:r>
              <w:rPr>
                <w:color w:val="FF0000"/>
                <w:kern w:val="0"/>
                <w:sz w:val="21"/>
                <w:szCs w:val="21"/>
              </w:rPr>
              <w:t>18.4</w:t>
            </w:r>
          </w:p>
        </w:tc>
        <w:tc>
          <w:tcPr>
            <w:tcW w:w="796" w:type="dxa"/>
            <w:shd w:val="clear" w:color="auto" w:fill="auto"/>
            <w:vAlign w:val="center"/>
          </w:tcPr>
          <w:p w14:paraId="4261C093">
            <w:pPr>
              <w:widowControl/>
              <w:spacing w:line="240" w:lineRule="auto"/>
              <w:ind w:firstLine="0" w:firstLineChars="0"/>
              <w:jc w:val="center"/>
              <w:rPr>
                <w:color w:val="FF0000"/>
                <w:kern w:val="0"/>
                <w:sz w:val="21"/>
                <w:szCs w:val="21"/>
              </w:rPr>
            </w:pPr>
            <w:r>
              <w:rPr>
                <w:color w:val="FF0000"/>
                <w:kern w:val="0"/>
                <w:sz w:val="21"/>
                <w:szCs w:val="21"/>
              </w:rPr>
              <w:t>14.1</w:t>
            </w:r>
          </w:p>
        </w:tc>
        <w:tc>
          <w:tcPr>
            <w:tcW w:w="796" w:type="dxa"/>
            <w:shd w:val="clear" w:color="auto" w:fill="auto"/>
            <w:vAlign w:val="center"/>
          </w:tcPr>
          <w:p w14:paraId="76C4D105">
            <w:pPr>
              <w:widowControl/>
              <w:spacing w:line="240" w:lineRule="auto"/>
              <w:ind w:firstLine="0" w:firstLineChars="0"/>
              <w:jc w:val="center"/>
              <w:rPr>
                <w:color w:val="FF0000"/>
                <w:kern w:val="0"/>
                <w:sz w:val="21"/>
                <w:szCs w:val="21"/>
              </w:rPr>
            </w:pPr>
            <w:r>
              <w:rPr>
                <w:color w:val="FF0000"/>
                <w:kern w:val="0"/>
                <w:sz w:val="21"/>
                <w:szCs w:val="21"/>
              </w:rPr>
              <w:t>9.26</w:t>
            </w:r>
          </w:p>
        </w:tc>
        <w:tc>
          <w:tcPr>
            <w:tcW w:w="674" w:type="dxa"/>
            <w:shd w:val="clear" w:color="auto" w:fill="auto"/>
            <w:vAlign w:val="center"/>
          </w:tcPr>
          <w:p w14:paraId="7D8B2194">
            <w:pPr>
              <w:widowControl/>
              <w:spacing w:line="240" w:lineRule="auto"/>
              <w:ind w:firstLine="0" w:firstLineChars="0"/>
              <w:jc w:val="center"/>
              <w:rPr>
                <w:color w:val="FF0000"/>
                <w:kern w:val="0"/>
                <w:sz w:val="21"/>
                <w:szCs w:val="21"/>
              </w:rPr>
            </w:pPr>
            <w:r>
              <w:rPr>
                <w:color w:val="FF0000"/>
                <w:kern w:val="0"/>
                <w:sz w:val="21"/>
                <w:szCs w:val="21"/>
              </w:rPr>
              <w:t>5.37</w:t>
            </w:r>
          </w:p>
        </w:tc>
        <w:tc>
          <w:tcPr>
            <w:tcW w:w="796" w:type="dxa"/>
            <w:shd w:val="clear" w:color="auto" w:fill="auto"/>
            <w:vAlign w:val="center"/>
          </w:tcPr>
          <w:p w14:paraId="5D924842">
            <w:pPr>
              <w:widowControl/>
              <w:spacing w:line="240" w:lineRule="auto"/>
              <w:ind w:firstLine="0" w:firstLineChars="0"/>
              <w:jc w:val="center"/>
              <w:rPr>
                <w:color w:val="FF0000"/>
                <w:kern w:val="0"/>
                <w:sz w:val="21"/>
                <w:szCs w:val="21"/>
              </w:rPr>
            </w:pPr>
            <w:r>
              <w:rPr>
                <w:color w:val="FF0000"/>
                <w:kern w:val="0"/>
                <w:sz w:val="21"/>
                <w:szCs w:val="21"/>
              </w:rPr>
              <w:t>13.1</w:t>
            </w:r>
          </w:p>
        </w:tc>
        <w:tc>
          <w:tcPr>
            <w:tcW w:w="796" w:type="dxa"/>
            <w:shd w:val="clear" w:color="auto" w:fill="auto"/>
            <w:vAlign w:val="center"/>
          </w:tcPr>
          <w:p w14:paraId="425FA8CA">
            <w:pPr>
              <w:pStyle w:val="84"/>
              <w:rPr>
                <w:rFonts w:eastAsia="宋体"/>
                <w:color w:val="FF0000"/>
              </w:rPr>
            </w:pPr>
            <w:r>
              <w:rPr>
                <w:color w:val="FF0000"/>
              </w:rPr>
              <w:t xml:space="preserve">41.09 </w:t>
            </w:r>
          </w:p>
        </w:tc>
      </w:tr>
      <w:tr w14:paraId="299DA5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2" w:type="dxa"/>
            <w:vMerge w:val="continue"/>
            <w:shd w:val="clear" w:color="auto" w:fill="auto"/>
            <w:vAlign w:val="center"/>
          </w:tcPr>
          <w:p w14:paraId="7BE488B4">
            <w:pPr>
              <w:spacing w:line="240" w:lineRule="auto"/>
              <w:ind w:firstLine="0" w:firstLineChars="0"/>
              <w:jc w:val="center"/>
              <w:rPr>
                <w:rFonts w:ascii="宋体" w:hAnsi="宋体" w:cs="宋体"/>
                <w:color w:val="FF0000"/>
                <w:kern w:val="0"/>
                <w:sz w:val="21"/>
                <w:szCs w:val="21"/>
              </w:rPr>
            </w:pPr>
          </w:p>
        </w:tc>
        <w:tc>
          <w:tcPr>
            <w:tcW w:w="1930" w:type="dxa"/>
            <w:shd w:val="clear" w:color="auto" w:fill="auto"/>
            <w:vAlign w:val="center"/>
          </w:tcPr>
          <w:p w14:paraId="636E45A5">
            <w:pPr>
              <w:widowControl/>
              <w:spacing w:line="240" w:lineRule="auto"/>
              <w:ind w:firstLine="0" w:firstLineChars="0"/>
              <w:jc w:val="center"/>
              <w:rPr>
                <w:rFonts w:ascii="仿宋" w:hAnsi="仿宋" w:eastAsia="仿宋" w:cs="宋体"/>
                <w:color w:val="FF0000"/>
                <w:kern w:val="0"/>
                <w:sz w:val="21"/>
                <w:szCs w:val="21"/>
              </w:rPr>
            </w:pPr>
            <w:r>
              <w:rPr>
                <w:rFonts w:hint="eastAsia" w:ascii="仿宋" w:hAnsi="仿宋" w:eastAsia="仿宋" w:cs="宋体"/>
                <w:color w:val="FF0000"/>
                <w:kern w:val="0"/>
                <w:sz w:val="21"/>
                <w:szCs w:val="21"/>
              </w:rPr>
              <w:t>灌溉用水量</w:t>
            </w:r>
          </w:p>
        </w:tc>
        <w:tc>
          <w:tcPr>
            <w:tcW w:w="905" w:type="dxa"/>
            <w:shd w:val="clear" w:color="auto" w:fill="auto"/>
            <w:vAlign w:val="center"/>
          </w:tcPr>
          <w:p w14:paraId="23213D27">
            <w:pPr>
              <w:widowControl/>
              <w:spacing w:line="240" w:lineRule="auto"/>
              <w:ind w:firstLine="0" w:firstLineChars="0"/>
              <w:jc w:val="center"/>
              <w:rPr>
                <w:color w:val="FF0000"/>
                <w:kern w:val="0"/>
                <w:sz w:val="21"/>
                <w:szCs w:val="21"/>
              </w:rPr>
            </w:pPr>
            <w:r>
              <w:rPr>
                <w:color w:val="FF0000"/>
                <w:kern w:val="0"/>
                <w:sz w:val="21"/>
                <w:szCs w:val="21"/>
              </w:rPr>
              <w:t>1.13</w:t>
            </w:r>
          </w:p>
        </w:tc>
        <w:tc>
          <w:tcPr>
            <w:tcW w:w="808" w:type="dxa"/>
            <w:shd w:val="clear" w:color="auto" w:fill="auto"/>
            <w:vAlign w:val="center"/>
          </w:tcPr>
          <w:p w14:paraId="1D9534FF">
            <w:pPr>
              <w:widowControl/>
              <w:spacing w:line="240" w:lineRule="auto"/>
              <w:ind w:firstLine="0" w:firstLineChars="0"/>
              <w:jc w:val="center"/>
              <w:rPr>
                <w:color w:val="FF0000"/>
                <w:kern w:val="0"/>
                <w:sz w:val="21"/>
                <w:szCs w:val="21"/>
              </w:rPr>
            </w:pPr>
            <w:r>
              <w:rPr>
                <w:color w:val="FF0000"/>
                <w:kern w:val="0"/>
                <w:sz w:val="21"/>
                <w:szCs w:val="21"/>
              </w:rPr>
              <w:t>0.18</w:t>
            </w:r>
          </w:p>
        </w:tc>
        <w:tc>
          <w:tcPr>
            <w:tcW w:w="917" w:type="dxa"/>
            <w:shd w:val="clear" w:color="auto" w:fill="auto"/>
            <w:vAlign w:val="center"/>
          </w:tcPr>
          <w:p w14:paraId="50684C10">
            <w:pPr>
              <w:widowControl/>
              <w:spacing w:line="240" w:lineRule="auto"/>
              <w:ind w:firstLine="0" w:firstLineChars="0"/>
              <w:jc w:val="center"/>
              <w:rPr>
                <w:color w:val="FF0000"/>
                <w:kern w:val="0"/>
                <w:sz w:val="21"/>
                <w:szCs w:val="21"/>
              </w:rPr>
            </w:pPr>
            <w:r>
              <w:rPr>
                <w:color w:val="FF0000"/>
                <w:kern w:val="0"/>
                <w:sz w:val="21"/>
                <w:szCs w:val="21"/>
              </w:rPr>
              <w:t>0.56</w:t>
            </w:r>
          </w:p>
        </w:tc>
        <w:tc>
          <w:tcPr>
            <w:tcW w:w="917" w:type="dxa"/>
            <w:shd w:val="clear" w:color="auto" w:fill="auto"/>
            <w:vAlign w:val="center"/>
          </w:tcPr>
          <w:p w14:paraId="3D293274">
            <w:pPr>
              <w:widowControl/>
              <w:spacing w:line="240" w:lineRule="auto"/>
              <w:ind w:firstLine="0" w:firstLineChars="0"/>
              <w:jc w:val="center"/>
              <w:rPr>
                <w:color w:val="FF0000"/>
                <w:kern w:val="0"/>
                <w:sz w:val="21"/>
                <w:szCs w:val="21"/>
              </w:rPr>
            </w:pPr>
            <w:r>
              <w:rPr>
                <w:color w:val="FF0000"/>
                <w:kern w:val="0"/>
                <w:sz w:val="21"/>
                <w:szCs w:val="21"/>
              </w:rPr>
              <w:t>0.2</w:t>
            </w:r>
          </w:p>
        </w:tc>
        <w:tc>
          <w:tcPr>
            <w:tcW w:w="796" w:type="dxa"/>
            <w:shd w:val="clear" w:color="auto" w:fill="auto"/>
            <w:vAlign w:val="center"/>
          </w:tcPr>
          <w:p w14:paraId="222AFC73">
            <w:pPr>
              <w:widowControl/>
              <w:spacing w:line="240" w:lineRule="auto"/>
              <w:ind w:firstLine="0" w:firstLineChars="0"/>
              <w:jc w:val="center"/>
              <w:rPr>
                <w:color w:val="FF0000"/>
                <w:kern w:val="0"/>
                <w:sz w:val="21"/>
                <w:szCs w:val="21"/>
              </w:rPr>
            </w:pPr>
            <w:r>
              <w:rPr>
                <w:color w:val="FF0000"/>
                <w:kern w:val="0"/>
                <w:sz w:val="21"/>
                <w:szCs w:val="21"/>
              </w:rPr>
              <w:t>0.04</w:t>
            </w:r>
          </w:p>
        </w:tc>
        <w:tc>
          <w:tcPr>
            <w:tcW w:w="796" w:type="dxa"/>
            <w:shd w:val="clear" w:color="auto" w:fill="auto"/>
            <w:vAlign w:val="center"/>
          </w:tcPr>
          <w:p w14:paraId="79943F00">
            <w:pPr>
              <w:widowControl/>
              <w:spacing w:line="240" w:lineRule="auto"/>
              <w:ind w:firstLine="0" w:firstLineChars="0"/>
              <w:jc w:val="center"/>
              <w:rPr>
                <w:color w:val="FF0000"/>
                <w:kern w:val="0"/>
                <w:sz w:val="21"/>
                <w:szCs w:val="21"/>
              </w:rPr>
            </w:pPr>
            <w:r>
              <w:rPr>
                <w:color w:val="FF0000"/>
                <w:kern w:val="0"/>
                <w:sz w:val="21"/>
                <w:szCs w:val="21"/>
              </w:rPr>
              <w:t>0.37</w:t>
            </w:r>
          </w:p>
        </w:tc>
        <w:tc>
          <w:tcPr>
            <w:tcW w:w="796" w:type="dxa"/>
            <w:shd w:val="clear" w:color="auto" w:fill="auto"/>
            <w:vAlign w:val="center"/>
          </w:tcPr>
          <w:p w14:paraId="3292B47F">
            <w:pPr>
              <w:widowControl/>
              <w:spacing w:line="240" w:lineRule="auto"/>
              <w:ind w:firstLine="0" w:firstLineChars="0"/>
              <w:jc w:val="center"/>
              <w:rPr>
                <w:color w:val="FF0000"/>
                <w:kern w:val="0"/>
                <w:sz w:val="21"/>
                <w:szCs w:val="21"/>
              </w:rPr>
            </w:pPr>
            <w:r>
              <w:rPr>
                <w:color w:val="FF0000"/>
                <w:kern w:val="0"/>
                <w:sz w:val="21"/>
                <w:szCs w:val="21"/>
              </w:rPr>
              <w:t>0.69</w:t>
            </w:r>
          </w:p>
        </w:tc>
        <w:tc>
          <w:tcPr>
            <w:tcW w:w="796" w:type="dxa"/>
            <w:shd w:val="clear" w:color="auto" w:fill="auto"/>
            <w:vAlign w:val="center"/>
          </w:tcPr>
          <w:p w14:paraId="7E6A63BD">
            <w:pPr>
              <w:widowControl/>
              <w:spacing w:line="240" w:lineRule="auto"/>
              <w:ind w:firstLine="0" w:firstLineChars="0"/>
              <w:jc w:val="center"/>
              <w:rPr>
                <w:color w:val="FF0000"/>
                <w:kern w:val="0"/>
                <w:sz w:val="21"/>
                <w:szCs w:val="21"/>
              </w:rPr>
            </w:pPr>
            <w:r>
              <w:rPr>
                <w:color w:val="FF0000"/>
                <w:kern w:val="0"/>
                <w:sz w:val="21"/>
                <w:szCs w:val="21"/>
              </w:rPr>
              <w:t>0.79</w:t>
            </w:r>
          </w:p>
        </w:tc>
        <w:tc>
          <w:tcPr>
            <w:tcW w:w="796" w:type="dxa"/>
            <w:shd w:val="clear" w:color="auto" w:fill="auto"/>
            <w:vAlign w:val="center"/>
          </w:tcPr>
          <w:p w14:paraId="2AFF0FBC">
            <w:pPr>
              <w:widowControl/>
              <w:spacing w:line="240" w:lineRule="auto"/>
              <w:ind w:firstLine="0" w:firstLineChars="0"/>
              <w:jc w:val="center"/>
              <w:rPr>
                <w:color w:val="FF0000"/>
                <w:kern w:val="0"/>
                <w:sz w:val="21"/>
                <w:szCs w:val="21"/>
              </w:rPr>
            </w:pPr>
            <w:r>
              <w:rPr>
                <w:color w:val="FF0000"/>
                <w:kern w:val="0"/>
                <w:sz w:val="21"/>
                <w:szCs w:val="21"/>
              </w:rPr>
              <w:t>1.05</w:t>
            </w:r>
          </w:p>
        </w:tc>
        <w:tc>
          <w:tcPr>
            <w:tcW w:w="796" w:type="dxa"/>
            <w:shd w:val="clear" w:color="auto" w:fill="auto"/>
            <w:vAlign w:val="center"/>
          </w:tcPr>
          <w:p w14:paraId="58C00EDF">
            <w:pPr>
              <w:widowControl/>
              <w:spacing w:line="240" w:lineRule="auto"/>
              <w:ind w:firstLine="0" w:firstLineChars="0"/>
              <w:jc w:val="center"/>
              <w:rPr>
                <w:color w:val="FF0000"/>
                <w:kern w:val="0"/>
                <w:sz w:val="21"/>
                <w:szCs w:val="21"/>
              </w:rPr>
            </w:pPr>
            <w:r>
              <w:rPr>
                <w:color w:val="FF0000"/>
                <w:kern w:val="0"/>
                <w:sz w:val="21"/>
                <w:szCs w:val="21"/>
              </w:rPr>
              <w:t>0.85</w:t>
            </w:r>
          </w:p>
        </w:tc>
        <w:tc>
          <w:tcPr>
            <w:tcW w:w="674" w:type="dxa"/>
            <w:shd w:val="clear" w:color="auto" w:fill="auto"/>
            <w:vAlign w:val="center"/>
          </w:tcPr>
          <w:p w14:paraId="604BA6C7">
            <w:pPr>
              <w:widowControl/>
              <w:spacing w:line="240" w:lineRule="auto"/>
              <w:ind w:firstLine="0" w:firstLineChars="0"/>
              <w:jc w:val="center"/>
              <w:rPr>
                <w:color w:val="FF0000"/>
                <w:kern w:val="0"/>
                <w:sz w:val="21"/>
                <w:szCs w:val="21"/>
              </w:rPr>
            </w:pPr>
            <w:r>
              <w:rPr>
                <w:color w:val="FF0000"/>
                <w:kern w:val="0"/>
                <w:sz w:val="21"/>
                <w:szCs w:val="21"/>
              </w:rPr>
              <w:t>1.21</w:t>
            </w:r>
          </w:p>
        </w:tc>
        <w:tc>
          <w:tcPr>
            <w:tcW w:w="796" w:type="dxa"/>
            <w:shd w:val="clear" w:color="auto" w:fill="auto"/>
            <w:vAlign w:val="center"/>
          </w:tcPr>
          <w:p w14:paraId="78A3FEF7">
            <w:pPr>
              <w:widowControl/>
              <w:spacing w:line="240" w:lineRule="auto"/>
              <w:ind w:firstLine="0" w:firstLineChars="0"/>
              <w:jc w:val="center"/>
              <w:rPr>
                <w:color w:val="FF0000"/>
                <w:kern w:val="0"/>
                <w:sz w:val="21"/>
                <w:szCs w:val="21"/>
              </w:rPr>
            </w:pPr>
            <w:r>
              <w:rPr>
                <w:color w:val="FF0000"/>
                <w:kern w:val="0"/>
                <w:sz w:val="21"/>
                <w:szCs w:val="21"/>
              </w:rPr>
              <w:t>4.63</w:t>
            </w:r>
          </w:p>
        </w:tc>
        <w:tc>
          <w:tcPr>
            <w:tcW w:w="796" w:type="dxa"/>
            <w:shd w:val="clear" w:color="auto" w:fill="auto"/>
            <w:vAlign w:val="center"/>
          </w:tcPr>
          <w:p w14:paraId="2787AFFD">
            <w:pPr>
              <w:pStyle w:val="84"/>
              <w:rPr>
                <w:rFonts w:eastAsia="宋体"/>
                <w:color w:val="FF0000"/>
              </w:rPr>
            </w:pPr>
            <w:r>
              <w:rPr>
                <w:color w:val="FF0000"/>
              </w:rPr>
              <w:t xml:space="preserve">0.98 </w:t>
            </w:r>
          </w:p>
        </w:tc>
      </w:tr>
      <w:tr w14:paraId="697B00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2" w:type="dxa"/>
            <w:vMerge w:val="continue"/>
            <w:shd w:val="clear" w:color="auto" w:fill="auto"/>
            <w:vAlign w:val="center"/>
          </w:tcPr>
          <w:p w14:paraId="4EA0DAD3">
            <w:pPr>
              <w:spacing w:line="240" w:lineRule="auto"/>
              <w:ind w:firstLine="0" w:firstLineChars="0"/>
              <w:jc w:val="center"/>
              <w:rPr>
                <w:rFonts w:ascii="宋体" w:hAnsi="宋体" w:cs="宋体"/>
                <w:color w:val="FF0000"/>
                <w:kern w:val="0"/>
                <w:sz w:val="21"/>
                <w:szCs w:val="21"/>
              </w:rPr>
            </w:pPr>
          </w:p>
        </w:tc>
        <w:tc>
          <w:tcPr>
            <w:tcW w:w="1930" w:type="dxa"/>
            <w:shd w:val="clear" w:color="auto" w:fill="auto"/>
            <w:vAlign w:val="center"/>
          </w:tcPr>
          <w:p w14:paraId="35B71B41">
            <w:pPr>
              <w:widowControl/>
              <w:spacing w:line="240" w:lineRule="auto"/>
              <w:ind w:firstLine="0" w:firstLineChars="0"/>
              <w:jc w:val="center"/>
              <w:rPr>
                <w:rFonts w:ascii="仿宋" w:hAnsi="仿宋" w:eastAsia="仿宋" w:cs="宋体"/>
                <w:color w:val="FF0000"/>
                <w:kern w:val="0"/>
                <w:sz w:val="21"/>
                <w:szCs w:val="21"/>
              </w:rPr>
            </w:pPr>
            <w:r>
              <w:rPr>
                <w:rFonts w:hint="eastAsia" w:ascii="仿宋" w:hAnsi="仿宋" w:eastAsia="仿宋" w:cs="宋体"/>
                <w:color w:val="FF0000"/>
                <w:kern w:val="0"/>
                <w:sz w:val="21"/>
                <w:szCs w:val="21"/>
              </w:rPr>
              <w:t>可供水量</w:t>
            </w:r>
          </w:p>
        </w:tc>
        <w:tc>
          <w:tcPr>
            <w:tcW w:w="905" w:type="dxa"/>
            <w:shd w:val="clear" w:color="auto" w:fill="auto"/>
            <w:vAlign w:val="center"/>
          </w:tcPr>
          <w:p w14:paraId="194E8C08">
            <w:pPr>
              <w:widowControl/>
              <w:spacing w:line="240" w:lineRule="auto"/>
              <w:ind w:firstLine="0" w:firstLineChars="0"/>
              <w:jc w:val="center"/>
              <w:rPr>
                <w:color w:val="FF0000"/>
                <w:kern w:val="0"/>
                <w:sz w:val="21"/>
                <w:szCs w:val="21"/>
              </w:rPr>
            </w:pPr>
            <w:r>
              <w:rPr>
                <w:color w:val="FF0000"/>
                <w:kern w:val="0"/>
                <w:sz w:val="21"/>
                <w:szCs w:val="21"/>
              </w:rPr>
              <w:t>25.37</w:t>
            </w:r>
          </w:p>
        </w:tc>
        <w:tc>
          <w:tcPr>
            <w:tcW w:w="808" w:type="dxa"/>
            <w:shd w:val="clear" w:color="auto" w:fill="auto"/>
            <w:vAlign w:val="center"/>
          </w:tcPr>
          <w:p w14:paraId="6FEC4151">
            <w:pPr>
              <w:widowControl/>
              <w:spacing w:line="240" w:lineRule="auto"/>
              <w:ind w:firstLine="0" w:firstLineChars="0"/>
              <w:jc w:val="center"/>
              <w:rPr>
                <w:color w:val="FF0000"/>
                <w:kern w:val="0"/>
                <w:sz w:val="21"/>
                <w:szCs w:val="21"/>
              </w:rPr>
            </w:pPr>
            <w:r>
              <w:rPr>
                <w:color w:val="FF0000"/>
                <w:kern w:val="0"/>
                <w:sz w:val="21"/>
                <w:szCs w:val="21"/>
              </w:rPr>
              <w:t>64.22</w:t>
            </w:r>
          </w:p>
        </w:tc>
        <w:tc>
          <w:tcPr>
            <w:tcW w:w="917" w:type="dxa"/>
            <w:shd w:val="clear" w:color="auto" w:fill="auto"/>
            <w:vAlign w:val="center"/>
          </w:tcPr>
          <w:p w14:paraId="08B2837C">
            <w:pPr>
              <w:widowControl/>
              <w:spacing w:line="240" w:lineRule="auto"/>
              <w:ind w:firstLine="0" w:firstLineChars="0"/>
              <w:jc w:val="center"/>
              <w:rPr>
                <w:color w:val="FF0000"/>
                <w:kern w:val="0"/>
                <w:sz w:val="21"/>
                <w:szCs w:val="21"/>
              </w:rPr>
            </w:pPr>
            <w:r>
              <w:rPr>
                <w:color w:val="FF0000"/>
                <w:kern w:val="0"/>
                <w:sz w:val="21"/>
                <w:szCs w:val="21"/>
              </w:rPr>
              <w:t>174.44</w:t>
            </w:r>
          </w:p>
        </w:tc>
        <w:tc>
          <w:tcPr>
            <w:tcW w:w="917" w:type="dxa"/>
            <w:shd w:val="clear" w:color="auto" w:fill="auto"/>
            <w:vAlign w:val="center"/>
          </w:tcPr>
          <w:p w14:paraId="18500B28">
            <w:pPr>
              <w:widowControl/>
              <w:spacing w:line="240" w:lineRule="auto"/>
              <w:ind w:firstLine="0" w:firstLineChars="0"/>
              <w:jc w:val="center"/>
              <w:rPr>
                <w:color w:val="FF0000"/>
                <w:kern w:val="0"/>
                <w:sz w:val="21"/>
                <w:szCs w:val="21"/>
              </w:rPr>
            </w:pPr>
            <w:r>
              <w:rPr>
                <w:color w:val="FF0000"/>
                <w:kern w:val="0"/>
                <w:sz w:val="21"/>
                <w:szCs w:val="21"/>
              </w:rPr>
              <w:t>67.9</w:t>
            </w:r>
          </w:p>
        </w:tc>
        <w:tc>
          <w:tcPr>
            <w:tcW w:w="796" w:type="dxa"/>
            <w:shd w:val="clear" w:color="auto" w:fill="auto"/>
            <w:vAlign w:val="center"/>
          </w:tcPr>
          <w:p w14:paraId="080F51A5">
            <w:pPr>
              <w:widowControl/>
              <w:spacing w:line="240" w:lineRule="auto"/>
              <w:ind w:firstLine="0" w:firstLineChars="0"/>
              <w:jc w:val="center"/>
              <w:rPr>
                <w:color w:val="FF0000"/>
                <w:kern w:val="0"/>
                <w:sz w:val="21"/>
                <w:szCs w:val="21"/>
              </w:rPr>
            </w:pPr>
            <w:r>
              <w:rPr>
                <w:color w:val="FF0000"/>
                <w:kern w:val="0"/>
                <w:sz w:val="21"/>
                <w:szCs w:val="21"/>
              </w:rPr>
              <w:t>44.66</w:t>
            </w:r>
          </w:p>
        </w:tc>
        <w:tc>
          <w:tcPr>
            <w:tcW w:w="796" w:type="dxa"/>
            <w:shd w:val="clear" w:color="auto" w:fill="auto"/>
            <w:vAlign w:val="center"/>
          </w:tcPr>
          <w:p w14:paraId="425EF88C">
            <w:pPr>
              <w:widowControl/>
              <w:spacing w:line="240" w:lineRule="auto"/>
              <w:ind w:firstLine="0" w:firstLineChars="0"/>
              <w:jc w:val="center"/>
              <w:rPr>
                <w:color w:val="FF0000"/>
                <w:kern w:val="0"/>
                <w:sz w:val="21"/>
                <w:szCs w:val="21"/>
              </w:rPr>
            </w:pPr>
            <w:r>
              <w:rPr>
                <w:color w:val="FF0000"/>
                <w:kern w:val="0"/>
                <w:sz w:val="21"/>
                <w:szCs w:val="21"/>
              </w:rPr>
              <w:t>30.83</w:t>
            </w:r>
          </w:p>
        </w:tc>
        <w:tc>
          <w:tcPr>
            <w:tcW w:w="796" w:type="dxa"/>
            <w:shd w:val="clear" w:color="auto" w:fill="auto"/>
            <w:vAlign w:val="center"/>
          </w:tcPr>
          <w:p w14:paraId="6E80857C">
            <w:pPr>
              <w:widowControl/>
              <w:spacing w:line="240" w:lineRule="auto"/>
              <w:ind w:firstLine="0" w:firstLineChars="0"/>
              <w:jc w:val="center"/>
              <w:rPr>
                <w:color w:val="FF0000"/>
                <w:kern w:val="0"/>
                <w:sz w:val="21"/>
                <w:szCs w:val="21"/>
              </w:rPr>
            </w:pPr>
            <w:r>
              <w:rPr>
                <w:color w:val="FF0000"/>
                <w:kern w:val="0"/>
                <w:sz w:val="21"/>
                <w:szCs w:val="21"/>
              </w:rPr>
              <w:t>22.21</w:t>
            </w:r>
          </w:p>
        </w:tc>
        <w:tc>
          <w:tcPr>
            <w:tcW w:w="796" w:type="dxa"/>
            <w:shd w:val="clear" w:color="auto" w:fill="auto"/>
            <w:vAlign w:val="center"/>
          </w:tcPr>
          <w:p w14:paraId="5C1583F2">
            <w:pPr>
              <w:widowControl/>
              <w:spacing w:line="240" w:lineRule="auto"/>
              <w:ind w:firstLine="0" w:firstLineChars="0"/>
              <w:jc w:val="center"/>
              <w:rPr>
                <w:color w:val="FF0000"/>
                <w:kern w:val="0"/>
                <w:sz w:val="21"/>
                <w:szCs w:val="21"/>
              </w:rPr>
            </w:pPr>
            <w:r>
              <w:rPr>
                <w:color w:val="FF0000"/>
                <w:kern w:val="0"/>
                <w:sz w:val="21"/>
                <w:szCs w:val="21"/>
              </w:rPr>
              <w:t>17.61</w:t>
            </w:r>
          </w:p>
        </w:tc>
        <w:tc>
          <w:tcPr>
            <w:tcW w:w="796" w:type="dxa"/>
            <w:shd w:val="clear" w:color="auto" w:fill="auto"/>
            <w:vAlign w:val="center"/>
          </w:tcPr>
          <w:p w14:paraId="0A9E1391">
            <w:pPr>
              <w:widowControl/>
              <w:spacing w:line="240" w:lineRule="auto"/>
              <w:ind w:firstLine="0" w:firstLineChars="0"/>
              <w:jc w:val="center"/>
              <w:rPr>
                <w:color w:val="FF0000"/>
                <w:kern w:val="0"/>
                <w:sz w:val="21"/>
                <w:szCs w:val="21"/>
              </w:rPr>
            </w:pPr>
            <w:r>
              <w:rPr>
                <w:color w:val="FF0000"/>
                <w:kern w:val="0"/>
                <w:sz w:val="21"/>
                <w:szCs w:val="21"/>
              </w:rPr>
              <w:t>13.05</w:t>
            </w:r>
          </w:p>
        </w:tc>
        <w:tc>
          <w:tcPr>
            <w:tcW w:w="796" w:type="dxa"/>
            <w:shd w:val="clear" w:color="auto" w:fill="auto"/>
            <w:vAlign w:val="center"/>
          </w:tcPr>
          <w:p w14:paraId="1A4E000C">
            <w:pPr>
              <w:widowControl/>
              <w:spacing w:line="240" w:lineRule="auto"/>
              <w:ind w:firstLine="0" w:firstLineChars="0"/>
              <w:jc w:val="center"/>
              <w:rPr>
                <w:color w:val="FF0000"/>
                <w:kern w:val="0"/>
                <w:sz w:val="21"/>
                <w:szCs w:val="21"/>
              </w:rPr>
            </w:pPr>
            <w:r>
              <w:rPr>
                <w:color w:val="FF0000"/>
                <w:kern w:val="0"/>
                <w:sz w:val="21"/>
                <w:szCs w:val="21"/>
              </w:rPr>
              <w:t>8.41</w:t>
            </w:r>
          </w:p>
        </w:tc>
        <w:tc>
          <w:tcPr>
            <w:tcW w:w="674" w:type="dxa"/>
            <w:shd w:val="clear" w:color="auto" w:fill="auto"/>
            <w:vAlign w:val="center"/>
          </w:tcPr>
          <w:p w14:paraId="7FC5E91B">
            <w:pPr>
              <w:widowControl/>
              <w:spacing w:line="240" w:lineRule="auto"/>
              <w:ind w:firstLine="0" w:firstLineChars="0"/>
              <w:jc w:val="center"/>
              <w:rPr>
                <w:color w:val="FF0000"/>
                <w:kern w:val="0"/>
                <w:sz w:val="21"/>
                <w:szCs w:val="21"/>
              </w:rPr>
            </w:pPr>
            <w:r>
              <w:rPr>
                <w:color w:val="FF0000"/>
                <w:kern w:val="0"/>
                <w:sz w:val="21"/>
                <w:szCs w:val="21"/>
              </w:rPr>
              <w:t>4.16</w:t>
            </w:r>
          </w:p>
        </w:tc>
        <w:tc>
          <w:tcPr>
            <w:tcW w:w="796" w:type="dxa"/>
            <w:shd w:val="clear" w:color="auto" w:fill="auto"/>
            <w:vAlign w:val="center"/>
          </w:tcPr>
          <w:p w14:paraId="40A04D8A">
            <w:pPr>
              <w:widowControl/>
              <w:spacing w:line="240" w:lineRule="auto"/>
              <w:ind w:firstLine="0" w:firstLineChars="0"/>
              <w:jc w:val="center"/>
              <w:rPr>
                <w:color w:val="FF0000"/>
                <w:kern w:val="0"/>
                <w:sz w:val="21"/>
                <w:szCs w:val="21"/>
              </w:rPr>
            </w:pPr>
            <w:r>
              <w:rPr>
                <w:color w:val="FF0000"/>
                <w:kern w:val="0"/>
                <w:sz w:val="21"/>
                <w:szCs w:val="21"/>
              </w:rPr>
              <w:t>8.47</w:t>
            </w:r>
          </w:p>
        </w:tc>
        <w:tc>
          <w:tcPr>
            <w:tcW w:w="796" w:type="dxa"/>
            <w:shd w:val="clear" w:color="auto" w:fill="auto"/>
            <w:vAlign w:val="center"/>
          </w:tcPr>
          <w:p w14:paraId="512DE07E">
            <w:pPr>
              <w:pStyle w:val="84"/>
              <w:rPr>
                <w:rFonts w:eastAsia="宋体"/>
                <w:color w:val="FF0000"/>
              </w:rPr>
            </w:pPr>
            <w:r>
              <w:rPr>
                <w:color w:val="FF0000"/>
              </w:rPr>
              <w:t xml:space="preserve">40.11 </w:t>
            </w:r>
          </w:p>
        </w:tc>
      </w:tr>
      <w:tr w14:paraId="6FB382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2" w:type="dxa"/>
            <w:vMerge w:val="continue"/>
            <w:shd w:val="clear" w:color="auto" w:fill="auto"/>
            <w:vAlign w:val="center"/>
          </w:tcPr>
          <w:p w14:paraId="744CA9FD">
            <w:pPr>
              <w:spacing w:line="240" w:lineRule="auto"/>
              <w:ind w:firstLine="0" w:firstLineChars="0"/>
              <w:jc w:val="center"/>
              <w:rPr>
                <w:rFonts w:ascii="宋体" w:hAnsi="宋体" w:cs="宋体"/>
                <w:color w:val="FF0000"/>
                <w:kern w:val="0"/>
                <w:sz w:val="21"/>
                <w:szCs w:val="21"/>
              </w:rPr>
            </w:pPr>
          </w:p>
        </w:tc>
        <w:tc>
          <w:tcPr>
            <w:tcW w:w="1930" w:type="dxa"/>
            <w:shd w:val="clear" w:color="auto" w:fill="auto"/>
            <w:vAlign w:val="center"/>
          </w:tcPr>
          <w:p w14:paraId="1399D14E">
            <w:pPr>
              <w:widowControl/>
              <w:spacing w:line="240" w:lineRule="auto"/>
              <w:ind w:firstLine="0" w:firstLineChars="0"/>
              <w:jc w:val="center"/>
              <w:rPr>
                <w:rFonts w:ascii="仿宋" w:hAnsi="仿宋" w:eastAsia="仿宋" w:cs="宋体"/>
                <w:color w:val="FF0000"/>
                <w:kern w:val="0"/>
                <w:sz w:val="21"/>
                <w:szCs w:val="21"/>
              </w:rPr>
            </w:pPr>
            <w:r>
              <w:rPr>
                <w:rFonts w:hint="eastAsia" w:ascii="仿宋" w:hAnsi="仿宋" w:eastAsia="仿宋" w:cs="宋体"/>
                <w:color w:val="FF0000"/>
                <w:kern w:val="0"/>
                <w:sz w:val="21"/>
                <w:szCs w:val="21"/>
              </w:rPr>
              <w:t>发电用水量</w:t>
            </w:r>
          </w:p>
        </w:tc>
        <w:tc>
          <w:tcPr>
            <w:tcW w:w="905" w:type="dxa"/>
            <w:shd w:val="clear" w:color="auto" w:fill="auto"/>
            <w:vAlign w:val="center"/>
          </w:tcPr>
          <w:p w14:paraId="5F21F3B2">
            <w:pPr>
              <w:widowControl/>
              <w:spacing w:line="240" w:lineRule="auto"/>
              <w:ind w:firstLine="0" w:firstLineChars="0"/>
              <w:jc w:val="center"/>
              <w:rPr>
                <w:color w:val="FF0000"/>
                <w:kern w:val="0"/>
                <w:sz w:val="21"/>
                <w:szCs w:val="21"/>
              </w:rPr>
            </w:pPr>
            <w:r>
              <w:rPr>
                <w:color w:val="FF0000"/>
                <w:kern w:val="0"/>
                <w:sz w:val="21"/>
                <w:szCs w:val="21"/>
              </w:rPr>
              <w:t>25.37</w:t>
            </w:r>
          </w:p>
        </w:tc>
        <w:tc>
          <w:tcPr>
            <w:tcW w:w="808" w:type="dxa"/>
            <w:shd w:val="clear" w:color="auto" w:fill="auto"/>
            <w:vAlign w:val="center"/>
          </w:tcPr>
          <w:p w14:paraId="4789C475">
            <w:pPr>
              <w:widowControl/>
              <w:spacing w:line="240" w:lineRule="auto"/>
              <w:ind w:firstLine="0" w:firstLineChars="0"/>
              <w:jc w:val="center"/>
              <w:rPr>
                <w:color w:val="FF0000"/>
                <w:kern w:val="0"/>
                <w:sz w:val="21"/>
                <w:szCs w:val="21"/>
              </w:rPr>
            </w:pPr>
            <w:r>
              <w:rPr>
                <w:color w:val="FF0000"/>
                <w:kern w:val="0"/>
                <w:sz w:val="21"/>
                <w:szCs w:val="21"/>
              </w:rPr>
              <w:t>64.22</w:t>
            </w:r>
          </w:p>
        </w:tc>
        <w:tc>
          <w:tcPr>
            <w:tcW w:w="917" w:type="dxa"/>
            <w:shd w:val="clear" w:color="auto" w:fill="auto"/>
            <w:vAlign w:val="center"/>
          </w:tcPr>
          <w:p w14:paraId="52D40625">
            <w:pPr>
              <w:widowControl/>
              <w:spacing w:line="240" w:lineRule="auto"/>
              <w:ind w:firstLine="0" w:firstLineChars="0"/>
              <w:jc w:val="center"/>
              <w:rPr>
                <w:color w:val="FF0000"/>
                <w:kern w:val="0"/>
                <w:sz w:val="21"/>
                <w:szCs w:val="21"/>
              </w:rPr>
            </w:pPr>
            <w:r>
              <w:rPr>
                <w:color w:val="FF0000"/>
                <w:kern w:val="0"/>
                <w:sz w:val="21"/>
                <w:szCs w:val="21"/>
              </w:rPr>
              <w:t>106.3</w:t>
            </w:r>
          </w:p>
        </w:tc>
        <w:tc>
          <w:tcPr>
            <w:tcW w:w="917" w:type="dxa"/>
            <w:shd w:val="clear" w:color="auto" w:fill="auto"/>
            <w:vAlign w:val="center"/>
          </w:tcPr>
          <w:p w14:paraId="5B740B3B">
            <w:pPr>
              <w:widowControl/>
              <w:spacing w:line="240" w:lineRule="auto"/>
              <w:ind w:firstLine="0" w:firstLineChars="0"/>
              <w:jc w:val="center"/>
              <w:rPr>
                <w:color w:val="FF0000"/>
                <w:kern w:val="0"/>
                <w:sz w:val="21"/>
                <w:szCs w:val="21"/>
              </w:rPr>
            </w:pPr>
            <w:r>
              <w:rPr>
                <w:color w:val="FF0000"/>
                <w:kern w:val="0"/>
                <w:sz w:val="21"/>
                <w:szCs w:val="21"/>
              </w:rPr>
              <w:t>67.9</w:t>
            </w:r>
          </w:p>
        </w:tc>
        <w:tc>
          <w:tcPr>
            <w:tcW w:w="796" w:type="dxa"/>
            <w:shd w:val="clear" w:color="auto" w:fill="auto"/>
            <w:vAlign w:val="center"/>
          </w:tcPr>
          <w:p w14:paraId="50786F50">
            <w:pPr>
              <w:widowControl/>
              <w:spacing w:line="240" w:lineRule="auto"/>
              <w:ind w:firstLine="0" w:firstLineChars="0"/>
              <w:jc w:val="center"/>
              <w:rPr>
                <w:color w:val="FF0000"/>
                <w:kern w:val="0"/>
                <w:sz w:val="21"/>
                <w:szCs w:val="21"/>
              </w:rPr>
            </w:pPr>
            <w:r>
              <w:rPr>
                <w:color w:val="FF0000"/>
                <w:kern w:val="0"/>
                <w:sz w:val="21"/>
                <w:szCs w:val="21"/>
              </w:rPr>
              <w:t>44.66</w:t>
            </w:r>
          </w:p>
        </w:tc>
        <w:tc>
          <w:tcPr>
            <w:tcW w:w="796" w:type="dxa"/>
            <w:shd w:val="clear" w:color="auto" w:fill="auto"/>
            <w:vAlign w:val="center"/>
          </w:tcPr>
          <w:p w14:paraId="3FB79CC7">
            <w:pPr>
              <w:widowControl/>
              <w:spacing w:line="240" w:lineRule="auto"/>
              <w:ind w:firstLine="0" w:firstLineChars="0"/>
              <w:jc w:val="center"/>
              <w:rPr>
                <w:color w:val="FF0000"/>
                <w:kern w:val="0"/>
                <w:sz w:val="21"/>
                <w:szCs w:val="21"/>
              </w:rPr>
            </w:pPr>
            <w:r>
              <w:rPr>
                <w:color w:val="FF0000"/>
                <w:kern w:val="0"/>
                <w:sz w:val="21"/>
                <w:szCs w:val="21"/>
              </w:rPr>
              <w:t>30.83</w:t>
            </w:r>
          </w:p>
        </w:tc>
        <w:tc>
          <w:tcPr>
            <w:tcW w:w="796" w:type="dxa"/>
            <w:shd w:val="clear" w:color="auto" w:fill="auto"/>
            <w:vAlign w:val="center"/>
          </w:tcPr>
          <w:p w14:paraId="6591496E">
            <w:pPr>
              <w:widowControl/>
              <w:spacing w:line="240" w:lineRule="auto"/>
              <w:ind w:firstLine="0" w:firstLineChars="0"/>
              <w:jc w:val="center"/>
              <w:rPr>
                <w:color w:val="FF0000"/>
                <w:kern w:val="0"/>
                <w:sz w:val="21"/>
                <w:szCs w:val="21"/>
              </w:rPr>
            </w:pPr>
            <w:r>
              <w:rPr>
                <w:color w:val="FF0000"/>
                <w:kern w:val="0"/>
                <w:sz w:val="21"/>
                <w:szCs w:val="21"/>
              </w:rPr>
              <w:t>22.21</w:t>
            </w:r>
          </w:p>
        </w:tc>
        <w:tc>
          <w:tcPr>
            <w:tcW w:w="796" w:type="dxa"/>
            <w:shd w:val="clear" w:color="auto" w:fill="auto"/>
            <w:vAlign w:val="center"/>
          </w:tcPr>
          <w:p w14:paraId="294B38DB">
            <w:pPr>
              <w:widowControl/>
              <w:spacing w:line="240" w:lineRule="auto"/>
              <w:ind w:firstLine="0" w:firstLineChars="0"/>
              <w:jc w:val="center"/>
              <w:rPr>
                <w:color w:val="FF0000"/>
                <w:kern w:val="0"/>
                <w:sz w:val="21"/>
                <w:szCs w:val="21"/>
              </w:rPr>
            </w:pPr>
            <w:r>
              <w:rPr>
                <w:color w:val="FF0000"/>
                <w:kern w:val="0"/>
                <w:sz w:val="21"/>
                <w:szCs w:val="21"/>
              </w:rPr>
              <w:t>17.61</w:t>
            </w:r>
          </w:p>
        </w:tc>
        <w:tc>
          <w:tcPr>
            <w:tcW w:w="796" w:type="dxa"/>
            <w:shd w:val="clear" w:color="auto" w:fill="auto"/>
            <w:vAlign w:val="center"/>
          </w:tcPr>
          <w:p w14:paraId="1258B879">
            <w:pPr>
              <w:widowControl/>
              <w:spacing w:line="240" w:lineRule="auto"/>
              <w:ind w:firstLine="0" w:firstLineChars="0"/>
              <w:jc w:val="center"/>
              <w:rPr>
                <w:color w:val="FF0000"/>
                <w:kern w:val="0"/>
                <w:sz w:val="21"/>
                <w:szCs w:val="21"/>
              </w:rPr>
            </w:pPr>
            <w:r>
              <w:rPr>
                <w:color w:val="FF0000"/>
                <w:kern w:val="0"/>
                <w:sz w:val="21"/>
                <w:szCs w:val="21"/>
              </w:rPr>
              <w:t>0</w:t>
            </w:r>
          </w:p>
        </w:tc>
        <w:tc>
          <w:tcPr>
            <w:tcW w:w="796" w:type="dxa"/>
            <w:shd w:val="clear" w:color="auto" w:fill="auto"/>
            <w:vAlign w:val="center"/>
          </w:tcPr>
          <w:p w14:paraId="4493892B">
            <w:pPr>
              <w:widowControl/>
              <w:spacing w:line="240" w:lineRule="auto"/>
              <w:ind w:firstLine="0" w:firstLineChars="0"/>
              <w:jc w:val="center"/>
              <w:rPr>
                <w:color w:val="FF0000"/>
                <w:kern w:val="0"/>
                <w:sz w:val="21"/>
                <w:szCs w:val="21"/>
              </w:rPr>
            </w:pPr>
            <w:r>
              <w:rPr>
                <w:color w:val="FF0000"/>
                <w:kern w:val="0"/>
                <w:sz w:val="21"/>
                <w:szCs w:val="21"/>
              </w:rPr>
              <w:t>0</w:t>
            </w:r>
          </w:p>
        </w:tc>
        <w:tc>
          <w:tcPr>
            <w:tcW w:w="674" w:type="dxa"/>
            <w:shd w:val="clear" w:color="auto" w:fill="auto"/>
            <w:vAlign w:val="center"/>
          </w:tcPr>
          <w:p w14:paraId="53A8986F">
            <w:pPr>
              <w:widowControl/>
              <w:spacing w:line="240" w:lineRule="auto"/>
              <w:ind w:firstLine="0" w:firstLineChars="0"/>
              <w:jc w:val="center"/>
              <w:rPr>
                <w:color w:val="FF0000"/>
                <w:kern w:val="0"/>
                <w:sz w:val="21"/>
                <w:szCs w:val="21"/>
              </w:rPr>
            </w:pPr>
            <w:r>
              <w:rPr>
                <w:color w:val="FF0000"/>
                <w:kern w:val="0"/>
                <w:sz w:val="21"/>
                <w:szCs w:val="21"/>
              </w:rPr>
              <w:t>0</w:t>
            </w:r>
          </w:p>
        </w:tc>
        <w:tc>
          <w:tcPr>
            <w:tcW w:w="796" w:type="dxa"/>
            <w:shd w:val="clear" w:color="auto" w:fill="auto"/>
            <w:vAlign w:val="center"/>
          </w:tcPr>
          <w:p w14:paraId="5AD7127B">
            <w:pPr>
              <w:widowControl/>
              <w:spacing w:line="240" w:lineRule="auto"/>
              <w:ind w:firstLine="0" w:firstLineChars="0"/>
              <w:jc w:val="center"/>
              <w:rPr>
                <w:color w:val="FF0000"/>
                <w:kern w:val="0"/>
                <w:sz w:val="21"/>
                <w:szCs w:val="21"/>
              </w:rPr>
            </w:pPr>
            <w:r>
              <w:rPr>
                <w:color w:val="FF0000"/>
                <w:kern w:val="0"/>
                <w:sz w:val="21"/>
                <w:szCs w:val="21"/>
              </w:rPr>
              <w:t>0</w:t>
            </w:r>
          </w:p>
        </w:tc>
        <w:tc>
          <w:tcPr>
            <w:tcW w:w="796" w:type="dxa"/>
            <w:shd w:val="clear" w:color="auto" w:fill="auto"/>
            <w:vAlign w:val="center"/>
          </w:tcPr>
          <w:p w14:paraId="3978B71F">
            <w:pPr>
              <w:pStyle w:val="84"/>
              <w:rPr>
                <w:rFonts w:eastAsia="宋体"/>
                <w:color w:val="FF0000"/>
              </w:rPr>
            </w:pPr>
            <w:r>
              <w:rPr>
                <w:color w:val="FF0000"/>
              </w:rPr>
              <w:t xml:space="preserve">31.59 </w:t>
            </w:r>
          </w:p>
        </w:tc>
      </w:tr>
      <w:tr w14:paraId="4FA4DC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2" w:type="dxa"/>
            <w:vMerge w:val="continue"/>
            <w:shd w:val="clear" w:color="auto" w:fill="auto"/>
            <w:vAlign w:val="center"/>
          </w:tcPr>
          <w:p w14:paraId="5DFB1429">
            <w:pPr>
              <w:spacing w:line="240" w:lineRule="auto"/>
              <w:ind w:firstLine="0" w:firstLineChars="0"/>
              <w:jc w:val="center"/>
              <w:rPr>
                <w:rFonts w:ascii="宋体" w:hAnsi="宋体" w:cs="宋体"/>
                <w:color w:val="FF0000"/>
                <w:kern w:val="0"/>
                <w:sz w:val="21"/>
                <w:szCs w:val="21"/>
              </w:rPr>
            </w:pPr>
          </w:p>
        </w:tc>
        <w:tc>
          <w:tcPr>
            <w:tcW w:w="1930" w:type="dxa"/>
            <w:shd w:val="clear" w:color="auto" w:fill="auto"/>
            <w:vAlign w:val="center"/>
          </w:tcPr>
          <w:p w14:paraId="6EF95FDF">
            <w:pPr>
              <w:widowControl/>
              <w:spacing w:line="240" w:lineRule="auto"/>
              <w:ind w:firstLine="0" w:firstLineChars="0"/>
              <w:jc w:val="center"/>
              <w:rPr>
                <w:rFonts w:ascii="仿宋" w:hAnsi="仿宋" w:eastAsia="仿宋" w:cs="宋体"/>
                <w:color w:val="FF0000"/>
                <w:kern w:val="0"/>
                <w:sz w:val="21"/>
                <w:szCs w:val="21"/>
              </w:rPr>
            </w:pPr>
            <w:r>
              <w:rPr>
                <w:rFonts w:hint="eastAsia" w:ascii="仿宋" w:hAnsi="仿宋" w:eastAsia="仿宋" w:cs="宋体"/>
                <w:color w:val="FF0000"/>
                <w:kern w:val="0"/>
                <w:sz w:val="21"/>
                <w:szCs w:val="21"/>
              </w:rPr>
              <w:t>弃水量</w:t>
            </w:r>
          </w:p>
        </w:tc>
        <w:tc>
          <w:tcPr>
            <w:tcW w:w="905" w:type="dxa"/>
            <w:shd w:val="clear" w:color="auto" w:fill="auto"/>
            <w:vAlign w:val="center"/>
          </w:tcPr>
          <w:p w14:paraId="2E9F7F24">
            <w:pPr>
              <w:widowControl/>
              <w:spacing w:line="240" w:lineRule="auto"/>
              <w:ind w:firstLine="0" w:firstLineChars="0"/>
              <w:jc w:val="center"/>
              <w:rPr>
                <w:color w:val="FF0000"/>
                <w:kern w:val="0"/>
                <w:sz w:val="21"/>
                <w:szCs w:val="21"/>
              </w:rPr>
            </w:pPr>
            <w:r>
              <w:rPr>
                <w:color w:val="FF0000"/>
                <w:kern w:val="0"/>
                <w:sz w:val="21"/>
                <w:szCs w:val="21"/>
              </w:rPr>
              <w:t>0</w:t>
            </w:r>
          </w:p>
        </w:tc>
        <w:tc>
          <w:tcPr>
            <w:tcW w:w="808" w:type="dxa"/>
            <w:shd w:val="clear" w:color="auto" w:fill="auto"/>
            <w:vAlign w:val="center"/>
          </w:tcPr>
          <w:p w14:paraId="1BA69918">
            <w:pPr>
              <w:widowControl/>
              <w:spacing w:line="240" w:lineRule="auto"/>
              <w:ind w:firstLine="0" w:firstLineChars="0"/>
              <w:jc w:val="center"/>
              <w:rPr>
                <w:color w:val="FF0000"/>
                <w:kern w:val="0"/>
                <w:sz w:val="21"/>
                <w:szCs w:val="21"/>
              </w:rPr>
            </w:pPr>
            <w:r>
              <w:rPr>
                <w:color w:val="FF0000"/>
                <w:kern w:val="0"/>
                <w:sz w:val="21"/>
                <w:szCs w:val="21"/>
              </w:rPr>
              <w:t>0</w:t>
            </w:r>
          </w:p>
        </w:tc>
        <w:tc>
          <w:tcPr>
            <w:tcW w:w="917" w:type="dxa"/>
            <w:shd w:val="clear" w:color="auto" w:fill="auto"/>
            <w:vAlign w:val="center"/>
          </w:tcPr>
          <w:p w14:paraId="457B2B99">
            <w:pPr>
              <w:widowControl/>
              <w:spacing w:line="240" w:lineRule="auto"/>
              <w:ind w:firstLine="0" w:firstLineChars="0"/>
              <w:jc w:val="center"/>
              <w:rPr>
                <w:color w:val="FF0000"/>
                <w:kern w:val="0"/>
                <w:sz w:val="21"/>
                <w:szCs w:val="21"/>
              </w:rPr>
            </w:pPr>
            <w:r>
              <w:rPr>
                <w:color w:val="FF0000"/>
                <w:kern w:val="0"/>
                <w:sz w:val="21"/>
                <w:szCs w:val="21"/>
              </w:rPr>
              <w:t>68.14</w:t>
            </w:r>
          </w:p>
        </w:tc>
        <w:tc>
          <w:tcPr>
            <w:tcW w:w="917" w:type="dxa"/>
            <w:shd w:val="clear" w:color="auto" w:fill="auto"/>
            <w:vAlign w:val="center"/>
          </w:tcPr>
          <w:p w14:paraId="2D67D461">
            <w:pPr>
              <w:widowControl/>
              <w:spacing w:line="240" w:lineRule="auto"/>
              <w:ind w:firstLine="0" w:firstLineChars="0"/>
              <w:jc w:val="center"/>
              <w:rPr>
                <w:color w:val="FF0000"/>
                <w:kern w:val="0"/>
                <w:sz w:val="21"/>
                <w:szCs w:val="21"/>
              </w:rPr>
            </w:pPr>
            <w:r>
              <w:rPr>
                <w:color w:val="FF0000"/>
                <w:kern w:val="0"/>
                <w:sz w:val="21"/>
                <w:szCs w:val="21"/>
              </w:rPr>
              <w:t>0</w:t>
            </w:r>
          </w:p>
        </w:tc>
        <w:tc>
          <w:tcPr>
            <w:tcW w:w="796" w:type="dxa"/>
            <w:shd w:val="clear" w:color="auto" w:fill="auto"/>
            <w:vAlign w:val="center"/>
          </w:tcPr>
          <w:p w14:paraId="03D31631">
            <w:pPr>
              <w:widowControl/>
              <w:spacing w:line="240" w:lineRule="auto"/>
              <w:ind w:firstLine="0" w:firstLineChars="0"/>
              <w:jc w:val="center"/>
              <w:rPr>
                <w:color w:val="FF0000"/>
                <w:kern w:val="0"/>
                <w:sz w:val="21"/>
                <w:szCs w:val="21"/>
              </w:rPr>
            </w:pPr>
            <w:r>
              <w:rPr>
                <w:color w:val="FF0000"/>
                <w:kern w:val="0"/>
                <w:sz w:val="21"/>
                <w:szCs w:val="21"/>
              </w:rPr>
              <w:t>0</w:t>
            </w:r>
          </w:p>
        </w:tc>
        <w:tc>
          <w:tcPr>
            <w:tcW w:w="796" w:type="dxa"/>
            <w:shd w:val="clear" w:color="auto" w:fill="auto"/>
            <w:vAlign w:val="center"/>
          </w:tcPr>
          <w:p w14:paraId="4DC119EB">
            <w:pPr>
              <w:widowControl/>
              <w:spacing w:line="240" w:lineRule="auto"/>
              <w:ind w:firstLine="0" w:firstLineChars="0"/>
              <w:jc w:val="center"/>
              <w:rPr>
                <w:color w:val="FF0000"/>
                <w:kern w:val="0"/>
                <w:sz w:val="21"/>
                <w:szCs w:val="21"/>
              </w:rPr>
            </w:pPr>
            <w:r>
              <w:rPr>
                <w:color w:val="FF0000"/>
                <w:kern w:val="0"/>
                <w:sz w:val="21"/>
                <w:szCs w:val="21"/>
              </w:rPr>
              <w:t>0</w:t>
            </w:r>
          </w:p>
        </w:tc>
        <w:tc>
          <w:tcPr>
            <w:tcW w:w="796" w:type="dxa"/>
            <w:shd w:val="clear" w:color="auto" w:fill="auto"/>
            <w:vAlign w:val="center"/>
          </w:tcPr>
          <w:p w14:paraId="64540650">
            <w:pPr>
              <w:widowControl/>
              <w:spacing w:line="240" w:lineRule="auto"/>
              <w:ind w:firstLine="0" w:firstLineChars="0"/>
              <w:jc w:val="center"/>
              <w:rPr>
                <w:color w:val="FF0000"/>
                <w:kern w:val="0"/>
                <w:sz w:val="21"/>
                <w:szCs w:val="21"/>
              </w:rPr>
            </w:pPr>
            <w:r>
              <w:rPr>
                <w:color w:val="FF0000"/>
                <w:kern w:val="0"/>
                <w:sz w:val="21"/>
                <w:szCs w:val="21"/>
              </w:rPr>
              <w:t>0</w:t>
            </w:r>
          </w:p>
        </w:tc>
        <w:tc>
          <w:tcPr>
            <w:tcW w:w="796" w:type="dxa"/>
            <w:shd w:val="clear" w:color="auto" w:fill="auto"/>
            <w:vAlign w:val="center"/>
          </w:tcPr>
          <w:p w14:paraId="06E6AEB2">
            <w:pPr>
              <w:widowControl/>
              <w:spacing w:line="240" w:lineRule="auto"/>
              <w:ind w:firstLine="0" w:firstLineChars="0"/>
              <w:jc w:val="center"/>
              <w:rPr>
                <w:color w:val="FF0000"/>
                <w:kern w:val="0"/>
                <w:sz w:val="21"/>
                <w:szCs w:val="21"/>
              </w:rPr>
            </w:pPr>
            <w:r>
              <w:rPr>
                <w:color w:val="FF0000"/>
                <w:kern w:val="0"/>
                <w:sz w:val="21"/>
                <w:szCs w:val="21"/>
              </w:rPr>
              <w:t>0</w:t>
            </w:r>
          </w:p>
        </w:tc>
        <w:tc>
          <w:tcPr>
            <w:tcW w:w="796" w:type="dxa"/>
            <w:shd w:val="clear" w:color="auto" w:fill="auto"/>
            <w:vAlign w:val="center"/>
          </w:tcPr>
          <w:p w14:paraId="0B44DA58">
            <w:pPr>
              <w:widowControl/>
              <w:spacing w:line="240" w:lineRule="auto"/>
              <w:ind w:firstLine="0" w:firstLineChars="0"/>
              <w:jc w:val="center"/>
              <w:rPr>
                <w:color w:val="FF0000"/>
                <w:kern w:val="0"/>
                <w:sz w:val="21"/>
                <w:szCs w:val="21"/>
              </w:rPr>
            </w:pPr>
            <w:r>
              <w:rPr>
                <w:color w:val="FF0000"/>
                <w:kern w:val="0"/>
                <w:sz w:val="21"/>
                <w:szCs w:val="21"/>
              </w:rPr>
              <w:t>13.05</w:t>
            </w:r>
          </w:p>
        </w:tc>
        <w:tc>
          <w:tcPr>
            <w:tcW w:w="796" w:type="dxa"/>
            <w:shd w:val="clear" w:color="auto" w:fill="auto"/>
            <w:vAlign w:val="center"/>
          </w:tcPr>
          <w:p w14:paraId="0604AA56">
            <w:pPr>
              <w:widowControl/>
              <w:spacing w:line="240" w:lineRule="auto"/>
              <w:ind w:firstLine="0" w:firstLineChars="0"/>
              <w:jc w:val="center"/>
              <w:rPr>
                <w:color w:val="FF0000"/>
                <w:kern w:val="0"/>
                <w:sz w:val="21"/>
                <w:szCs w:val="21"/>
              </w:rPr>
            </w:pPr>
            <w:r>
              <w:rPr>
                <w:color w:val="FF0000"/>
                <w:kern w:val="0"/>
                <w:sz w:val="21"/>
                <w:szCs w:val="21"/>
              </w:rPr>
              <w:t>8.41</w:t>
            </w:r>
          </w:p>
        </w:tc>
        <w:tc>
          <w:tcPr>
            <w:tcW w:w="674" w:type="dxa"/>
            <w:shd w:val="clear" w:color="auto" w:fill="auto"/>
            <w:vAlign w:val="center"/>
          </w:tcPr>
          <w:p w14:paraId="4DC49E3B">
            <w:pPr>
              <w:widowControl/>
              <w:spacing w:line="240" w:lineRule="auto"/>
              <w:ind w:firstLine="0" w:firstLineChars="0"/>
              <w:jc w:val="center"/>
              <w:rPr>
                <w:color w:val="FF0000"/>
                <w:kern w:val="0"/>
                <w:sz w:val="21"/>
                <w:szCs w:val="21"/>
              </w:rPr>
            </w:pPr>
            <w:r>
              <w:rPr>
                <w:color w:val="FF0000"/>
                <w:kern w:val="0"/>
                <w:sz w:val="21"/>
                <w:szCs w:val="21"/>
              </w:rPr>
              <w:t>4.16</w:t>
            </w:r>
          </w:p>
        </w:tc>
        <w:tc>
          <w:tcPr>
            <w:tcW w:w="796" w:type="dxa"/>
            <w:shd w:val="clear" w:color="auto" w:fill="auto"/>
            <w:vAlign w:val="center"/>
          </w:tcPr>
          <w:p w14:paraId="18474C2F">
            <w:pPr>
              <w:widowControl/>
              <w:spacing w:line="240" w:lineRule="auto"/>
              <w:ind w:firstLine="0" w:firstLineChars="0"/>
              <w:jc w:val="center"/>
              <w:rPr>
                <w:color w:val="FF0000"/>
                <w:kern w:val="0"/>
                <w:sz w:val="21"/>
                <w:szCs w:val="21"/>
              </w:rPr>
            </w:pPr>
            <w:r>
              <w:rPr>
                <w:color w:val="FF0000"/>
                <w:kern w:val="0"/>
                <w:sz w:val="21"/>
                <w:szCs w:val="21"/>
              </w:rPr>
              <w:t>8.47</w:t>
            </w:r>
          </w:p>
        </w:tc>
        <w:tc>
          <w:tcPr>
            <w:tcW w:w="796" w:type="dxa"/>
            <w:shd w:val="clear" w:color="auto" w:fill="auto"/>
            <w:vAlign w:val="center"/>
          </w:tcPr>
          <w:p w14:paraId="381E49ED">
            <w:pPr>
              <w:pStyle w:val="84"/>
              <w:rPr>
                <w:rFonts w:eastAsia="宋体"/>
                <w:color w:val="FF0000"/>
              </w:rPr>
            </w:pPr>
            <w:r>
              <w:rPr>
                <w:color w:val="FF0000"/>
              </w:rPr>
              <w:t xml:space="preserve">8.52 </w:t>
            </w:r>
          </w:p>
        </w:tc>
      </w:tr>
      <w:tr w14:paraId="3A6005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2" w:type="dxa"/>
            <w:vMerge w:val="continue"/>
            <w:shd w:val="clear" w:color="auto" w:fill="auto"/>
            <w:vAlign w:val="center"/>
          </w:tcPr>
          <w:p w14:paraId="0AF4889F">
            <w:pPr>
              <w:widowControl/>
              <w:spacing w:line="240" w:lineRule="auto"/>
              <w:ind w:firstLine="0" w:firstLineChars="0"/>
              <w:jc w:val="center"/>
              <w:rPr>
                <w:rFonts w:ascii="宋体" w:hAnsi="宋体" w:cs="宋体"/>
                <w:color w:val="FF0000"/>
                <w:kern w:val="0"/>
                <w:sz w:val="21"/>
                <w:szCs w:val="21"/>
              </w:rPr>
            </w:pPr>
          </w:p>
        </w:tc>
        <w:tc>
          <w:tcPr>
            <w:tcW w:w="1930" w:type="dxa"/>
            <w:shd w:val="clear" w:color="auto" w:fill="auto"/>
            <w:vAlign w:val="center"/>
          </w:tcPr>
          <w:p w14:paraId="2445926D">
            <w:pPr>
              <w:widowControl/>
              <w:spacing w:line="240" w:lineRule="auto"/>
              <w:ind w:firstLine="0" w:firstLineChars="0"/>
              <w:jc w:val="center"/>
              <w:rPr>
                <w:rFonts w:ascii="仿宋" w:hAnsi="仿宋" w:eastAsia="仿宋" w:cs="宋体"/>
                <w:color w:val="FF0000"/>
                <w:kern w:val="0"/>
                <w:sz w:val="21"/>
                <w:szCs w:val="21"/>
              </w:rPr>
            </w:pPr>
            <w:r>
              <w:rPr>
                <w:rFonts w:hint="eastAsia" w:ascii="仿宋" w:hAnsi="仿宋" w:eastAsia="仿宋" w:cs="宋体"/>
                <w:color w:val="FF0000"/>
                <w:kern w:val="0"/>
                <w:sz w:val="21"/>
                <w:szCs w:val="21"/>
              </w:rPr>
              <w:t>减水河段生态流量</w:t>
            </w:r>
          </w:p>
        </w:tc>
        <w:tc>
          <w:tcPr>
            <w:tcW w:w="905" w:type="dxa"/>
            <w:shd w:val="clear" w:color="auto" w:fill="auto"/>
            <w:vAlign w:val="center"/>
          </w:tcPr>
          <w:p w14:paraId="2BBBD18B">
            <w:pPr>
              <w:widowControl/>
              <w:spacing w:line="240" w:lineRule="auto"/>
              <w:ind w:firstLine="0" w:firstLineChars="0"/>
              <w:jc w:val="center"/>
              <w:rPr>
                <w:color w:val="FF0000"/>
                <w:kern w:val="0"/>
                <w:sz w:val="21"/>
                <w:szCs w:val="21"/>
              </w:rPr>
            </w:pPr>
            <w:r>
              <w:rPr>
                <w:color w:val="FF0000"/>
                <w:kern w:val="0"/>
                <w:sz w:val="21"/>
                <w:szCs w:val="21"/>
              </w:rPr>
              <w:t>15.84</w:t>
            </w:r>
          </w:p>
        </w:tc>
        <w:tc>
          <w:tcPr>
            <w:tcW w:w="808" w:type="dxa"/>
            <w:shd w:val="clear" w:color="auto" w:fill="auto"/>
            <w:vAlign w:val="center"/>
          </w:tcPr>
          <w:p w14:paraId="69386B54">
            <w:pPr>
              <w:widowControl/>
              <w:spacing w:line="240" w:lineRule="auto"/>
              <w:ind w:firstLine="0" w:firstLineChars="0"/>
              <w:jc w:val="center"/>
              <w:rPr>
                <w:color w:val="FF0000"/>
                <w:kern w:val="0"/>
                <w:sz w:val="21"/>
                <w:szCs w:val="21"/>
              </w:rPr>
            </w:pPr>
            <w:r>
              <w:rPr>
                <w:color w:val="FF0000"/>
                <w:kern w:val="0"/>
                <w:sz w:val="21"/>
                <w:szCs w:val="21"/>
              </w:rPr>
              <w:t>15.84</w:t>
            </w:r>
          </w:p>
        </w:tc>
        <w:tc>
          <w:tcPr>
            <w:tcW w:w="917" w:type="dxa"/>
            <w:shd w:val="clear" w:color="auto" w:fill="auto"/>
            <w:vAlign w:val="center"/>
          </w:tcPr>
          <w:p w14:paraId="7F76EEF7">
            <w:pPr>
              <w:widowControl/>
              <w:spacing w:line="240" w:lineRule="auto"/>
              <w:ind w:firstLine="0" w:firstLineChars="0"/>
              <w:jc w:val="center"/>
              <w:rPr>
                <w:color w:val="FF0000"/>
                <w:kern w:val="0"/>
                <w:sz w:val="21"/>
                <w:szCs w:val="21"/>
              </w:rPr>
            </w:pPr>
            <w:r>
              <w:rPr>
                <w:color w:val="FF0000"/>
                <w:kern w:val="0"/>
                <w:sz w:val="21"/>
                <w:szCs w:val="21"/>
              </w:rPr>
              <w:t>83.98</w:t>
            </w:r>
          </w:p>
        </w:tc>
        <w:tc>
          <w:tcPr>
            <w:tcW w:w="917" w:type="dxa"/>
            <w:shd w:val="clear" w:color="auto" w:fill="auto"/>
            <w:vAlign w:val="center"/>
          </w:tcPr>
          <w:p w14:paraId="01CB1EFE">
            <w:pPr>
              <w:widowControl/>
              <w:spacing w:line="240" w:lineRule="auto"/>
              <w:ind w:firstLine="0" w:firstLineChars="0"/>
              <w:jc w:val="center"/>
              <w:rPr>
                <w:color w:val="FF0000"/>
                <w:kern w:val="0"/>
                <w:sz w:val="21"/>
                <w:szCs w:val="21"/>
              </w:rPr>
            </w:pPr>
            <w:r>
              <w:rPr>
                <w:color w:val="FF0000"/>
                <w:kern w:val="0"/>
                <w:sz w:val="21"/>
                <w:szCs w:val="21"/>
              </w:rPr>
              <w:t>15.84</w:t>
            </w:r>
          </w:p>
        </w:tc>
        <w:tc>
          <w:tcPr>
            <w:tcW w:w="796" w:type="dxa"/>
            <w:shd w:val="clear" w:color="auto" w:fill="auto"/>
            <w:vAlign w:val="center"/>
          </w:tcPr>
          <w:p w14:paraId="71A410C6">
            <w:pPr>
              <w:widowControl/>
              <w:spacing w:line="240" w:lineRule="auto"/>
              <w:ind w:firstLine="0" w:firstLineChars="0"/>
              <w:jc w:val="center"/>
              <w:rPr>
                <w:color w:val="FF0000"/>
                <w:kern w:val="0"/>
                <w:sz w:val="21"/>
                <w:szCs w:val="21"/>
              </w:rPr>
            </w:pPr>
            <w:r>
              <w:rPr>
                <w:color w:val="FF0000"/>
                <w:kern w:val="0"/>
                <w:sz w:val="21"/>
                <w:szCs w:val="21"/>
              </w:rPr>
              <w:t>15.84</w:t>
            </w:r>
          </w:p>
        </w:tc>
        <w:tc>
          <w:tcPr>
            <w:tcW w:w="796" w:type="dxa"/>
            <w:shd w:val="clear" w:color="auto" w:fill="auto"/>
            <w:vAlign w:val="center"/>
          </w:tcPr>
          <w:p w14:paraId="176D7E3E">
            <w:pPr>
              <w:widowControl/>
              <w:spacing w:line="240" w:lineRule="auto"/>
              <w:ind w:firstLine="0" w:firstLineChars="0"/>
              <w:jc w:val="center"/>
              <w:rPr>
                <w:color w:val="FF0000"/>
                <w:kern w:val="0"/>
                <w:sz w:val="21"/>
                <w:szCs w:val="21"/>
              </w:rPr>
            </w:pPr>
            <w:r>
              <w:rPr>
                <w:color w:val="FF0000"/>
                <w:kern w:val="0"/>
                <w:sz w:val="21"/>
                <w:szCs w:val="21"/>
              </w:rPr>
              <w:t>15.84</w:t>
            </w:r>
          </w:p>
        </w:tc>
        <w:tc>
          <w:tcPr>
            <w:tcW w:w="796" w:type="dxa"/>
            <w:shd w:val="clear" w:color="auto" w:fill="auto"/>
            <w:vAlign w:val="center"/>
          </w:tcPr>
          <w:p w14:paraId="162A20AA">
            <w:pPr>
              <w:widowControl/>
              <w:spacing w:line="240" w:lineRule="auto"/>
              <w:ind w:firstLine="0" w:firstLineChars="0"/>
              <w:jc w:val="center"/>
              <w:rPr>
                <w:color w:val="FF0000"/>
                <w:kern w:val="0"/>
                <w:sz w:val="21"/>
                <w:szCs w:val="21"/>
              </w:rPr>
            </w:pPr>
            <w:r>
              <w:rPr>
                <w:color w:val="FF0000"/>
                <w:kern w:val="0"/>
                <w:sz w:val="21"/>
                <w:szCs w:val="21"/>
              </w:rPr>
              <w:t>15.84</w:t>
            </w:r>
          </w:p>
        </w:tc>
        <w:tc>
          <w:tcPr>
            <w:tcW w:w="796" w:type="dxa"/>
            <w:shd w:val="clear" w:color="auto" w:fill="auto"/>
            <w:vAlign w:val="center"/>
          </w:tcPr>
          <w:p w14:paraId="302114CD">
            <w:pPr>
              <w:widowControl/>
              <w:spacing w:line="240" w:lineRule="auto"/>
              <w:ind w:firstLine="0" w:firstLineChars="0"/>
              <w:jc w:val="center"/>
              <w:rPr>
                <w:color w:val="FF0000"/>
                <w:kern w:val="0"/>
                <w:sz w:val="21"/>
                <w:szCs w:val="21"/>
              </w:rPr>
            </w:pPr>
            <w:r>
              <w:rPr>
                <w:color w:val="FF0000"/>
                <w:kern w:val="0"/>
                <w:sz w:val="21"/>
                <w:szCs w:val="21"/>
              </w:rPr>
              <w:t>15.84</w:t>
            </w:r>
          </w:p>
        </w:tc>
        <w:tc>
          <w:tcPr>
            <w:tcW w:w="796" w:type="dxa"/>
            <w:shd w:val="clear" w:color="auto" w:fill="auto"/>
            <w:vAlign w:val="center"/>
          </w:tcPr>
          <w:p w14:paraId="5425510B">
            <w:pPr>
              <w:widowControl/>
              <w:spacing w:line="240" w:lineRule="auto"/>
              <w:ind w:firstLine="0" w:firstLineChars="0"/>
              <w:jc w:val="center"/>
              <w:rPr>
                <w:color w:val="FF0000"/>
                <w:kern w:val="0"/>
                <w:sz w:val="21"/>
                <w:szCs w:val="21"/>
              </w:rPr>
            </w:pPr>
            <w:r>
              <w:rPr>
                <w:color w:val="FF0000"/>
                <w:kern w:val="0"/>
                <w:sz w:val="21"/>
                <w:szCs w:val="21"/>
              </w:rPr>
              <w:t>13.05</w:t>
            </w:r>
          </w:p>
        </w:tc>
        <w:tc>
          <w:tcPr>
            <w:tcW w:w="796" w:type="dxa"/>
            <w:shd w:val="clear" w:color="auto" w:fill="auto"/>
            <w:vAlign w:val="center"/>
          </w:tcPr>
          <w:p w14:paraId="674C974E">
            <w:pPr>
              <w:widowControl/>
              <w:spacing w:line="240" w:lineRule="auto"/>
              <w:ind w:firstLine="0" w:firstLineChars="0"/>
              <w:jc w:val="center"/>
              <w:rPr>
                <w:color w:val="FF0000"/>
                <w:kern w:val="0"/>
                <w:sz w:val="21"/>
                <w:szCs w:val="21"/>
              </w:rPr>
            </w:pPr>
            <w:r>
              <w:rPr>
                <w:color w:val="FF0000"/>
                <w:kern w:val="0"/>
                <w:sz w:val="21"/>
                <w:szCs w:val="21"/>
              </w:rPr>
              <w:t>8.41</w:t>
            </w:r>
          </w:p>
        </w:tc>
        <w:tc>
          <w:tcPr>
            <w:tcW w:w="674" w:type="dxa"/>
            <w:shd w:val="clear" w:color="auto" w:fill="auto"/>
            <w:vAlign w:val="center"/>
          </w:tcPr>
          <w:p w14:paraId="42C8C76B">
            <w:pPr>
              <w:widowControl/>
              <w:spacing w:line="240" w:lineRule="auto"/>
              <w:ind w:firstLine="0" w:firstLineChars="0"/>
              <w:jc w:val="center"/>
              <w:rPr>
                <w:color w:val="FF0000"/>
                <w:kern w:val="0"/>
                <w:sz w:val="21"/>
                <w:szCs w:val="21"/>
              </w:rPr>
            </w:pPr>
            <w:r>
              <w:rPr>
                <w:color w:val="FF0000"/>
                <w:kern w:val="0"/>
                <w:sz w:val="21"/>
                <w:szCs w:val="21"/>
              </w:rPr>
              <w:t>4.16</w:t>
            </w:r>
          </w:p>
        </w:tc>
        <w:tc>
          <w:tcPr>
            <w:tcW w:w="796" w:type="dxa"/>
            <w:shd w:val="clear" w:color="auto" w:fill="auto"/>
            <w:vAlign w:val="center"/>
          </w:tcPr>
          <w:p w14:paraId="2EC6435D">
            <w:pPr>
              <w:widowControl/>
              <w:spacing w:line="240" w:lineRule="auto"/>
              <w:ind w:firstLine="0" w:firstLineChars="0"/>
              <w:jc w:val="center"/>
              <w:rPr>
                <w:color w:val="FF0000"/>
                <w:kern w:val="0"/>
                <w:sz w:val="21"/>
                <w:szCs w:val="21"/>
              </w:rPr>
            </w:pPr>
            <w:r>
              <w:rPr>
                <w:color w:val="FF0000"/>
                <w:kern w:val="0"/>
                <w:sz w:val="21"/>
                <w:szCs w:val="21"/>
              </w:rPr>
              <w:t>8.47</w:t>
            </w:r>
          </w:p>
        </w:tc>
        <w:tc>
          <w:tcPr>
            <w:tcW w:w="796" w:type="dxa"/>
            <w:shd w:val="clear" w:color="auto" w:fill="auto"/>
            <w:vAlign w:val="center"/>
          </w:tcPr>
          <w:p w14:paraId="785F10F6">
            <w:pPr>
              <w:pStyle w:val="84"/>
              <w:rPr>
                <w:rFonts w:eastAsia="宋体"/>
                <w:color w:val="FF0000"/>
              </w:rPr>
            </w:pPr>
            <w:r>
              <w:rPr>
                <w:rFonts w:hint="eastAsia"/>
                <w:color w:val="FF0000"/>
              </w:rPr>
              <w:t>19.08</w:t>
            </w:r>
            <w:r>
              <w:rPr>
                <w:color w:val="FF0000"/>
              </w:rPr>
              <w:t xml:space="preserve"> </w:t>
            </w:r>
          </w:p>
        </w:tc>
      </w:tr>
    </w:tbl>
    <w:p w14:paraId="6952F76C">
      <w:pPr>
        <w:snapToGrid w:val="0"/>
        <w:ind w:firstLine="0" w:firstLineChars="0"/>
        <w:jc w:val="center"/>
        <w:rPr>
          <w:b/>
          <w:szCs w:val="24"/>
          <w:highlight w:val="green"/>
        </w:rPr>
      </w:pPr>
    </w:p>
    <w:p w14:paraId="07F9D8A7">
      <w:pPr>
        <w:snapToGrid w:val="0"/>
        <w:ind w:firstLine="0" w:firstLineChars="0"/>
        <w:jc w:val="center"/>
        <w:rPr>
          <w:b/>
          <w:szCs w:val="24"/>
          <w:highlight w:val="green"/>
        </w:rPr>
        <w:sectPr>
          <w:pgSz w:w="16838" w:h="11906" w:orient="landscape"/>
          <w:pgMar w:top="1800" w:right="1440" w:bottom="1800" w:left="1440" w:header="851" w:footer="992" w:gutter="0"/>
          <w:cols w:space="720" w:num="1"/>
          <w:docGrid w:linePitch="326" w:charSpace="0"/>
        </w:sectPr>
      </w:pPr>
    </w:p>
    <w:p w14:paraId="01386339">
      <w:pPr>
        <w:ind w:firstLine="480"/>
        <w:rPr>
          <w:rFonts w:hAnsi="宋体"/>
          <w:color w:val="FF0000"/>
          <w:szCs w:val="24"/>
        </w:rPr>
      </w:pPr>
      <w:bookmarkStart w:id="680" w:name="_Toc443655458"/>
      <w:bookmarkStart w:id="681" w:name="_Toc397428364"/>
      <w:bookmarkStart w:id="682" w:name="_Toc454046559"/>
      <w:r>
        <w:rPr>
          <w:rFonts w:hint="eastAsia" w:cstheme="minorBidi"/>
          <w:color w:val="FF0000"/>
        </w:rPr>
        <w:t>综上，电站正常运行发电时，通过</w:t>
      </w:r>
      <w:r>
        <w:rPr>
          <w:rFonts w:hint="eastAsia"/>
          <w:color w:val="FF0000"/>
        </w:rPr>
        <w:t>尾水渠后设置的消力池将部分尾水引至坝址附近排入芒市河内，作为减水河段的正常生态用水，水量约为坝址断面多年平均流量的30%，即</w:t>
      </w:r>
      <w:r>
        <w:rPr>
          <w:rFonts w:hint="eastAsia"/>
          <w:color w:val="FF0000"/>
          <w:szCs w:val="24"/>
        </w:rPr>
        <w:t>15.84</w:t>
      </w:r>
      <w:r>
        <w:rPr>
          <w:color w:val="FF0000"/>
          <w:szCs w:val="24"/>
        </w:rPr>
        <w:t>m</w:t>
      </w:r>
      <w:r>
        <w:rPr>
          <w:color w:val="FF0000"/>
          <w:szCs w:val="24"/>
          <w:vertAlign w:val="superscript"/>
        </w:rPr>
        <w:t>3</w:t>
      </w:r>
      <w:r>
        <w:rPr>
          <w:color w:val="FF0000"/>
          <w:szCs w:val="24"/>
        </w:rPr>
        <w:t>/s</w:t>
      </w:r>
      <w:r>
        <w:rPr>
          <w:rFonts w:hint="eastAsia"/>
          <w:color w:val="FF0000"/>
          <w:szCs w:val="24"/>
        </w:rPr>
        <w:t>。</w:t>
      </w:r>
      <w:r>
        <w:rPr>
          <w:rFonts w:hint="eastAsia" w:cstheme="minorBidi"/>
          <w:color w:val="FF0000"/>
        </w:rPr>
        <w:t>电站发电尾水完全汇合后，河流水量又大幅度增加，水量接近天然状态（与本项目未建设时水量一致），对尾水口下游无任何影响；当电站检修或停运时，坝下河段由生态放流管下放的最小流量为5.28</w:t>
      </w:r>
      <w:r>
        <w:rPr>
          <w:rFonts w:hint="eastAsia"/>
          <w:color w:val="FF0000"/>
        </w:rPr>
        <w:t>m</w:t>
      </w:r>
      <w:r>
        <w:rPr>
          <w:rFonts w:hint="eastAsia"/>
          <w:color w:val="FF0000"/>
          <w:vertAlign w:val="superscript"/>
        </w:rPr>
        <w:t>3</w:t>
      </w:r>
      <w:r>
        <w:rPr>
          <w:rFonts w:hint="eastAsia"/>
          <w:color w:val="FF0000"/>
        </w:rPr>
        <w:t>/s</w:t>
      </w:r>
      <w:r>
        <w:rPr>
          <w:rFonts w:hint="eastAsia" w:cstheme="minorBidi"/>
          <w:color w:val="FF0000"/>
        </w:rPr>
        <w:t>，仅能</w:t>
      </w:r>
      <w:r>
        <w:rPr>
          <w:rFonts w:hint="eastAsia"/>
          <w:color w:val="FF0000"/>
        </w:rPr>
        <w:t>满足河道水环境良性循环需求</w:t>
      </w:r>
      <w:r>
        <w:rPr>
          <w:rFonts w:hint="eastAsia" w:cstheme="minorBidi"/>
          <w:color w:val="FF0000"/>
        </w:rPr>
        <w:t>。但根据项目水资源论证报告，下游遮放大沟</w:t>
      </w:r>
      <w:r>
        <w:rPr>
          <w:rFonts w:hint="eastAsia" w:hAnsi="宋体"/>
          <w:color w:val="FF0000"/>
          <w:szCs w:val="24"/>
        </w:rPr>
        <w:t>在3~5月份需1</w:t>
      </w:r>
      <w:r>
        <w:rPr>
          <w:rFonts w:hint="eastAsia"/>
          <w:color w:val="FF0000"/>
        </w:rPr>
        <w:t>m</w:t>
      </w:r>
      <w:r>
        <w:rPr>
          <w:rFonts w:hint="eastAsia"/>
          <w:color w:val="FF0000"/>
          <w:vertAlign w:val="superscript"/>
        </w:rPr>
        <w:t>3</w:t>
      </w:r>
      <w:r>
        <w:rPr>
          <w:rFonts w:hint="eastAsia"/>
          <w:color w:val="FF0000"/>
        </w:rPr>
        <w:t>/s的灌溉用水。</w:t>
      </w:r>
      <w:r>
        <w:rPr>
          <w:rFonts w:hint="eastAsia" w:cstheme="minorBidi"/>
          <w:color w:val="FF0000"/>
        </w:rPr>
        <w:t>因此，电站应尽量避免在</w:t>
      </w:r>
      <w:r>
        <w:rPr>
          <w:rFonts w:hint="eastAsia" w:hAnsi="宋体"/>
          <w:color w:val="FF0000"/>
          <w:szCs w:val="24"/>
        </w:rPr>
        <w:t>3~5月份进行机组检修，如若确实无法调节，则应考虑由</w:t>
      </w:r>
      <w:r>
        <w:rPr>
          <w:rFonts w:hint="eastAsia" w:cstheme="minorBidi"/>
          <w:color w:val="FF0000"/>
        </w:rPr>
        <w:t>生态放流管</w:t>
      </w:r>
      <w:r>
        <w:rPr>
          <w:rFonts w:hint="eastAsia" w:hAnsi="宋体"/>
          <w:color w:val="FF0000"/>
          <w:szCs w:val="24"/>
        </w:rPr>
        <w:t>按不小于6.28m</w:t>
      </w:r>
      <w:r>
        <w:rPr>
          <w:rFonts w:hint="eastAsia" w:hAnsi="宋体"/>
          <w:color w:val="FF0000"/>
          <w:szCs w:val="24"/>
          <w:vertAlign w:val="superscript"/>
        </w:rPr>
        <w:t>3</w:t>
      </w:r>
      <w:r>
        <w:rPr>
          <w:rFonts w:hint="eastAsia" w:hAnsi="宋体"/>
          <w:color w:val="FF0000"/>
          <w:szCs w:val="24"/>
        </w:rPr>
        <w:t>/s的流量进行下泄，以满足下游灌溉需求和河道最小生态环境用水需求。</w:t>
      </w:r>
      <w:r>
        <w:rPr>
          <w:color w:val="FF0000"/>
        </w:rPr>
        <w:t>当天然来水流量小于规定下泄最小生态流量</w:t>
      </w:r>
      <w:r>
        <w:rPr>
          <w:rFonts w:hint="eastAsia"/>
          <w:color w:val="FF0000"/>
          <w:szCs w:val="24"/>
        </w:rPr>
        <w:t>5.28m</w:t>
      </w:r>
      <w:r>
        <w:rPr>
          <w:rFonts w:hint="eastAsia"/>
          <w:color w:val="FF0000"/>
          <w:szCs w:val="24"/>
          <w:vertAlign w:val="superscript"/>
        </w:rPr>
        <w:t>3</w:t>
      </w:r>
      <w:r>
        <w:rPr>
          <w:rFonts w:hint="eastAsia"/>
          <w:color w:val="FF0000"/>
          <w:szCs w:val="24"/>
        </w:rPr>
        <w:t>/s</w:t>
      </w:r>
      <w:r>
        <w:rPr>
          <w:color w:val="FF0000"/>
        </w:rPr>
        <w:t>时，</w:t>
      </w:r>
      <w:r>
        <w:rPr>
          <w:rFonts w:hint="eastAsia"/>
          <w:color w:val="FF0000"/>
        </w:rPr>
        <w:t>则电站不进行取水发电，将上游来水全部用于芒里大沟灌溉和下游河道需水</w:t>
      </w:r>
      <w:r>
        <w:rPr>
          <w:rFonts w:hint="eastAsia"/>
          <w:color w:val="FF0000"/>
          <w:szCs w:val="24"/>
        </w:rPr>
        <w:t>；当上游芒里电站检修时，本电站应将上游来水全部通过</w:t>
      </w:r>
      <w:r>
        <w:rPr>
          <w:rFonts w:hint="eastAsia" w:cstheme="minorBidi"/>
          <w:color w:val="FF0000"/>
        </w:rPr>
        <w:t>生态放流管</w:t>
      </w:r>
      <w:r>
        <w:rPr>
          <w:rFonts w:hint="eastAsia"/>
          <w:color w:val="FF0000"/>
          <w:szCs w:val="24"/>
        </w:rPr>
        <w:t>下放至坝址下游河道中。</w:t>
      </w:r>
    </w:p>
    <w:p w14:paraId="16807496">
      <w:pPr>
        <w:pStyle w:val="113"/>
      </w:pPr>
      <w:bookmarkStart w:id="683" w:name="_Toc508642487"/>
      <w:r>
        <w:rPr>
          <w:rFonts w:hint="eastAsia"/>
        </w:rPr>
        <w:t>6.2.3地下水环境影响分析</w:t>
      </w:r>
      <w:bookmarkEnd w:id="683"/>
    </w:p>
    <w:p w14:paraId="232DED74">
      <w:pPr>
        <w:ind w:firstLine="480"/>
        <w:rPr>
          <w:rFonts w:eastAsiaTheme="minorEastAsia" w:cstheme="minorBidi"/>
          <w:color w:val="FF0000"/>
          <w:szCs w:val="24"/>
        </w:rPr>
      </w:pPr>
      <w:r>
        <w:rPr>
          <w:rFonts w:eastAsiaTheme="minorEastAsia" w:cstheme="minorBidi"/>
          <w:color w:val="FF0000"/>
          <w:szCs w:val="24"/>
        </w:rPr>
        <w:t>经现场调查及查阅资料，</w:t>
      </w:r>
      <w:r>
        <w:rPr>
          <w:rFonts w:hint="eastAsia"/>
          <w:color w:val="FF0000"/>
          <w:kern w:val="144"/>
          <w:szCs w:val="20"/>
        </w:rPr>
        <w:t>团结水</w:t>
      </w:r>
      <w:r>
        <w:rPr>
          <w:color w:val="FF0000"/>
          <w:kern w:val="144"/>
          <w:szCs w:val="20"/>
        </w:rPr>
        <w:t>电站</w:t>
      </w:r>
      <w:r>
        <w:rPr>
          <w:rFonts w:eastAsiaTheme="minorEastAsia" w:cstheme="minorBidi"/>
          <w:color w:val="FF0000"/>
          <w:szCs w:val="24"/>
        </w:rPr>
        <w:t>评价区没有地下暗河、落水洞、泉眼等地下水体分布，目前电站周边及下游区域生产生活用水来源为地表水，本工程</w:t>
      </w:r>
      <w:r>
        <w:rPr>
          <w:rFonts w:hint="eastAsia" w:eastAsiaTheme="minorEastAsia" w:cstheme="minorBidi"/>
          <w:color w:val="FF0000"/>
          <w:szCs w:val="24"/>
        </w:rPr>
        <w:t>的建设不会</w:t>
      </w:r>
      <w:r>
        <w:rPr>
          <w:rFonts w:eastAsiaTheme="minorEastAsia" w:cstheme="minorBidi"/>
          <w:color w:val="FF0000"/>
          <w:szCs w:val="24"/>
        </w:rPr>
        <w:t>对</w:t>
      </w:r>
      <w:r>
        <w:rPr>
          <w:rFonts w:hint="eastAsia" w:eastAsiaTheme="minorEastAsia" w:cstheme="minorBidi"/>
          <w:color w:val="FF0000"/>
          <w:szCs w:val="24"/>
        </w:rPr>
        <w:t>区域</w:t>
      </w:r>
      <w:r>
        <w:rPr>
          <w:rFonts w:eastAsiaTheme="minorEastAsia" w:cstheme="minorBidi"/>
          <w:color w:val="FF0000"/>
          <w:szCs w:val="24"/>
        </w:rPr>
        <w:t>地下水造成不利影响。</w:t>
      </w:r>
    </w:p>
    <w:bookmarkEnd w:id="680"/>
    <w:bookmarkEnd w:id="681"/>
    <w:bookmarkEnd w:id="682"/>
    <w:p w14:paraId="21936EFB">
      <w:pPr>
        <w:pStyle w:val="4"/>
      </w:pPr>
      <w:bookmarkStart w:id="684" w:name="_Toc443655459"/>
      <w:bookmarkStart w:id="685" w:name="_Toc365812680"/>
      <w:bookmarkStart w:id="686" w:name="_Toc471738040"/>
      <w:bookmarkStart w:id="687" w:name="_Toc397428357"/>
      <w:bookmarkStart w:id="688" w:name="_Toc508642488"/>
      <w:bookmarkStart w:id="689" w:name="_Toc454046560"/>
      <w:r>
        <w:rPr>
          <w:rFonts w:hint="eastAsia"/>
        </w:rPr>
        <w:t>6.3大气环境</w:t>
      </w:r>
      <w:bookmarkEnd w:id="684"/>
      <w:bookmarkEnd w:id="685"/>
      <w:bookmarkEnd w:id="686"/>
      <w:bookmarkEnd w:id="687"/>
      <w:bookmarkEnd w:id="688"/>
      <w:bookmarkEnd w:id="689"/>
    </w:p>
    <w:p w14:paraId="13CEDE91">
      <w:pPr>
        <w:pStyle w:val="113"/>
      </w:pPr>
      <w:bookmarkStart w:id="690" w:name="_Toc397428358"/>
      <w:bookmarkStart w:id="691" w:name="_Toc355784313"/>
      <w:bookmarkStart w:id="692" w:name="_Toc355709025"/>
      <w:bookmarkStart w:id="693" w:name="_Toc508642489"/>
      <w:bookmarkStart w:id="694" w:name="_Toc27644"/>
      <w:bookmarkStart w:id="695" w:name="_Toc356556729"/>
      <w:bookmarkStart w:id="696" w:name="_Toc443655460"/>
      <w:bookmarkStart w:id="697" w:name="_Toc365812681"/>
      <w:bookmarkStart w:id="698" w:name="_Toc454046561"/>
      <w:bookmarkStart w:id="699" w:name="_Toc355784554"/>
      <w:bookmarkStart w:id="700" w:name="_Toc471738041"/>
      <w:r>
        <w:rPr>
          <w:rFonts w:hint="eastAsia"/>
        </w:rPr>
        <w:t>6.3.1施工期</w:t>
      </w:r>
      <w:bookmarkEnd w:id="690"/>
      <w:bookmarkEnd w:id="691"/>
      <w:bookmarkEnd w:id="692"/>
      <w:bookmarkEnd w:id="693"/>
      <w:bookmarkEnd w:id="694"/>
      <w:bookmarkEnd w:id="695"/>
      <w:bookmarkEnd w:id="696"/>
      <w:bookmarkEnd w:id="697"/>
      <w:bookmarkEnd w:id="698"/>
      <w:bookmarkEnd w:id="699"/>
      <w:bookmarkEnd w:id="700"/>
    </w:p>
    <w:p w14:paraId="33F6900A">
      <w:pPr>
        <w:ind w:firstLine="480"/>
      </w:pPr>
      <w:r>
        <w:rPr>
          <w:rFonts w:hint="eastAsia"/>
        </w:rPr>
        <w:t>拟建项目</w:t>
      </w:r>
      <w:r>
        <w:t>施工期对</w:t>
      </w:r>
      <w:r>
        <w:rPr>
          <w:rFonts w:hint="eastAsia"/>
        </w:rPr>
        <w:t>环境</w:t>
      </w:r>
      <w:r>
        <w:t>空气质量</w:t>
      </w:r>
      <w:r>
        <w:rPr>
          <w:rFonts w:hint="eastAsia"/>
        </w:rPr>
        <w:t>的</w:t>
      </w:r>
      <w:r>
        <w:t>影响主要来自</w:t>
      </w:r>
      <w:r>
        <w:rPr>
          <w:rFonts w:hint="eastAsia"/>
        </w:rPr>
        <w:t>于</w:t>
      </w:r>
      <w:r>
        <w:t>运输扬尘和燃油</w:t>
      </w:r>
      <w:r>
        <w:rPr>
          <w:rFonts w:hint="eastAsia"/>
        </w:rPr>
        <w:t>机械</w:t>
      </w:r>
      <w:r>
        <w:t>排放的废气</w:t>
      </w:r>
      <w:r>
        <w:rPr>
          <w:rFonts w:hint="eastAsia"/>
        </w:rPr>
        <w:t>，砂</w:t>
      </w:r>
      <w:r>
        <w:t>石料</w:t>
      </w:r>
      <w:r>
        <w:rPr>
          <w:rFonts w:hint="eastAsia"/>
        </w:rPr>
        <w:t>加工、材料装卸以及</w:t>
      </w:r>
      <w:r>
        <w:t>混凝土拌和</w:t>
      </w:r>
      <w:r>
        <w:rPr>
          <w:rFonts w:hint="eastAsia"/>
        </w:rPr>
        <w:t>过程中产生的</w:t>
      </w:r>
      <w:r>
        <w:t>粉尘等。</w:t>
      </w:r>
    </w:p>
    <w:p w14:paraId="5FE59402">
      <w:pPr>
        <w:adjustRightInd w:val="0"/>
        <w:snapToGrid w:val="0"/>
        <w:ind w:firstLine="482" w:firstLineChars="0"/>
        <w:rPr>
          <w:szCs w:val="24"/>
        </w:rPr>
      </w:pPr>
      <w:bookmarkStart w:id="701" w:name="_Toc443655461"/>
      <w:bookmarkStart w:id="702" w:name="_Toc355784555"/>
      <w:bookmarkStart w:id="703" w:name="_Toc355709026"/>
      <w:bookmarkStart w:id="704" w:name="_Toc365812682"/>
      <w:bookmarkStart w:id="705" w:name="_Toc454046562"/>
      <w:bookmarkStart w:id="706" w:name="_Toc355784314"/>
      <w:bookmarkStart w:id="707" w:name="_Toc397428359"/>
      <w:bookmarkStart w:id="708" w:name="_Toc356556730"/>
      <w:bookmarkStart w:id="709" w:name="_Toc9834"/>
      <w:r>
        <w:rPr>
          <w:rFonts w:hint="eastAsia"/>
          <w:szCs w:val="24"/>
        </w:rPr>
        <w:t>本</w:t>
      </w:r>
      <w:r>
        <w:rPr>
          <w:szCs w:val="24"/>
        </w:rPr>
        <w:t>工程规模</w:t>
      </w:r>
      <w:r>
        <w:rPr>
          <w:rFonts w:hint="eastAsia"/>
          <w:szCs w:val="24"/>
        </w:rPr>
        <w:t>较</w:t>
      </w:r>
      <w:r>
        <w:rPr>
          <w:szCs w:val="24"/>
        </w:rPr>
        <w:t>小，</w:t>
      </w:r>
      <w:r>
        <w:rPr>
          <w:rFonts w:hint="eastAsia"/>
          <w:szCs w:val="24"/>
        </w:rPr>
        <w:t>经工程分析，</w:t>
      </w:r>
      <w:r>
        <w:rPr>
          <w:szCs w:val="24"/>
        </w:rPr>
        <w:t>工程施工燃油的用量相对</w:t>
      </w:r>
      <w:r>
        <w:rPr>
          <w:rFonts w:hint="eastAsia"/>
          <w:szCs w:val="24"/>
        </w:rPr>
        <w:t>很</w:t>
      </w:r>
      <w:r>
        <w:rPr>
          <w:szCs w:val="24"/>
        </w:rPr>
        <w:t>少，所产生的有害气体总量</w:t>
      </w:r>
      <w:r>
        <w:rPr>
          <w:rFonts w:hint="eastAsia"/>
          <w:szCs w:val="24"/>
        </w:rPr>
        <w:t>不大</w:t>
      </w:r>
      <w:r>
        <w:rPr>
          <w:szCs w:val="24"/>
        </w:rPr>
        <w:t>，大气污染源源强也小，而且是间歇性有流动性的，有利于各种大气污染物的扩散和稀释，加之施工区属河谷地形，随着高度的增加，大气污染物的扩散空间愈大，空气流通愈好</w:t>
      </w:r>
      <w:r>
        <w:rPr>
          <w:rFonts w:hint="eastAsia"/>
          <w:szCs w:val="24"/>
        </w:rPr>
        <w:t>。</w:t>
      </w:r>
      <w:r>
        <w:rPr>
          <w:szCs w:val="24"/>
        </w:rPr>
        <w:t>因此，施工区大气污染物浓度的局部增加不会使当地的大气环境质量发生质的变化。</w:t>
      </w:r>
    </w:p>
    <w:p w14:paraId="5BC1EFD2">
      <w:pPr>
        <w:ind w:firstLine="482" w:firstLineChars="0"/>
        <w:rPr>
          <w:szCs w:val="24"/>
        </w:rPr>
      </w:pPr>
      <w:r>
        <w:rPr>
          <w:rFonts w:hint="eastAsia"/>
          <w:szCs w:val="24"/>
        </w:rPr>
        <w:t>本工程的运输道路全部使用的是已有道路，而且施工期间所需物资的运输量不大，因此施工期间交通运输产生</w:t>
      </w:r>
      <w:r>
        <w:rPr>
          <w:szCs w:val="24"/>
        </w:rPr>
        <w:t>扬尘和燃油废气</w:t>
      </w:r>
      <w:r>
        <w:rPr>
          <w:rFonts w:hint="eastAsia"/>
          <w:szCs w:val="24"/>
        </w:rPr>
        <w:t>量很小。此外，项目所在区域较为空旷，</w:t>
      </w:r>
      <w:r>
        <w:rPr>
          <w:szCs w:val="24"/>
        </w:rPr>
        <w:t>大气污染物的扩散空间</w:t>
      </w:r>
      <w:r>
        <w:rPr>
          <w:rFonts w:hint="eastAsia"/>
          <w:szCs w:val="24"/>
        </w:rPr>
        <w:t>相对较大，</w:t>
      </w:r>
      <w:r>
        <w:rPr>
          <w:szCs w:val="24"/>
        </w:rPr>
        <w:t>空气流通</w:t>
      </w:r>
      <w:r>
        <w:rPr>
          <w:rFonts w:hint="eastAsia"/>
          <w:szCs w:val="24"/>
        </w:rPr>
        <w:t>较好，交通运输产生的废气可被较好地</w:t>
      </w:r>
      <w:r>
        <w:rPr>
          <w:szCs w:val="24"/>
        </w:rPr>
        <w:t>扩散和稀释</w:t>
      </w:r>
      <w:r>
        <w:rPr>
          <w:rFonts w:hint="eastAsia"/>
          <w:szCs w:val="24"/>
        </w:rPr>
        <w:t>，对周边居民点的影响不大。</w:t>
      </w:r>
    </w:p>
    <w:p w14:paraId="04F01DDC">
      <w:pPr>
        <w:adjustRightInd w:val="0"/>
        <w:snapToGrid w:val="0"/>
        <w:ind w:firstLine="482" w:firstLineChars="0"/>
        <w:rPr>
          <w:szCs w:val="24"/>
        </w:rPr>
      </w:pPr>
      <w:r>
        <w:rPr>
          <w:szCs w:val="24"/>
        </w:rPr>
        <w:t>工程区地处偏僻的农村地区，无工业污染源，大气环境本底质量较好，且施工期的大气污染物是间歇性和流动性地排放，短时期的污染物浓度增加对工程区的野生动植物不构成威胁。</w:t>
      </w:r>
    </w:p>
    <w:p w14:paraId="0402FA2F">
      <w:pPr>
        <w:adjustRightInd w:val="0"/>
        <w:snapToGrid w:val="0"/>
        <w:ind w:firstLine="482" w:firstLineChars="0"/>
        <w:rPr>
          <w:szCs w:val="24"/>
        </w:rPr>
      </w:pPr>
      <w:r>
        <w:rPr>
          <w:rFonts w:hint="eastAsia"/>
          <w:szCs w:val="24"/>
        </w:rPr>
        <w:t>在工程施工中采取洒水降尘等防尘治理措施后，施工期扬尘对周边环境的影响较小。</w:t>
      </w:r>
    </w:p>
    <w:p w14:paraId="327AD8DC">
      <w:pPr>
        <w:pStyle w:val="113"/>
      </w:pPr>
      <w:bookmarkStart w:id="710" w:name="_Toc471738042"/>
      <w:bookmarkStart w:id="711" w:name="_Toc508642490"/>
      <w:r>
        <w:rPr>
          <w:rFonts w:hint="eastAsia"/>
        </w:rPr>
        <w:t>6.3.2运行期</w:t>
      </w:r>
      <w:bookmarkEnd w:id="701"/>
      <w:bookmarkEnd w:id="702"/>
      <w:bookmarkEnd w:id="703"/>
      <w:bookmarkEnd w:id="704"/>
      <w:bookmarkEnd w:id="705"/>
      <w:bookmarkEnd w:id="706"/>
      <w:bookmarkEnd w:id="707"/>
      <w:bookmarkEnd w:id="708"/>
      <w:bookmarkEnd w:id="709"/>
      <w:bookmarkEnd w:id="710"/>
      <w:bookmarkEnd w:id="711"/>
    </w:p>
    <w:p w14:paraId="38451AEE">
      <w:pPr>
        <w:ind w:firstLine="480"/>
        <w:rPr>
          <w:rFonts w:cstheme="minorBidi"/>
          <w:color w:val="FF0000"/>
        </w:rPr>
      </w:pPr>
      <w:r>
        <w:rPr>
          <w:color w:val="FF0000"/>
          <w:kern w:val="0"/>
        </w:rPr>
        <w:t>电站</w:t>
      </w:r>
      <w:r>
        <w:rPr>
          <w:color w:val="FF0000"/>
        </w:rPr>
        <w:t>机组的运行不会产生废气，</w:t>
      </w:r>
      <w:r>
        <w:rPr>
          <w:rFonts w:hint="eastAsia"/>
          <w:color w:val="FF0000"/>
        </w:rPr>
        <w:t>也无</w:t>
      </w:r>
      <w:r>
        <w:rPr>
          <w:color w:val="FF0000"/>
        </w:rPr>
        <w:t>油烟</w:t>
      </w:r>
      <w:r>
        <w:rPr>
          <w:rFonts w:hint="eastAsia"/>
          <w:color w:val="FF0000"/>
        </w:rPr>
        <w:t>废气产生，</w:t>
      </w:r>
      <w:r>
        <w:rPr>
          <w:color w:val="FF0000"/>
        </w:rPr>
        <w:t>对环境空气</w:t>
      </w:r>
      <w:r>
        <w:rPr>
          <w:rFonts w:hint="eastAsia"/>
          <w:color w:val="FF0000"/>
        </w:rPr>
        <w:t>无</w:t>
      </w:r>
      <w:r>
        <w:rPr>
          <w:color w:val="FF0000"/>
        </w:rPr>
        <w:t>影响。</w:t>
      </w:r>
    </w:p>
    <w:p w14:paraId="1D6E9CD3">
      <w:pPr>
        <w:pStyle w:val="4"/>
      </w:pPr>
      <w:bookmarkStart w:id="712" w:name="_Toc454046563"/>
      <w:bookmarkStart w:id="713" w:name="_Toc443655462"/>
      <w:bookmarkStart w:id="714" w:name="_Toc471738043"/>
      <w:bookmarkStart w:id="715" w:name="_Toc397428366"/>
      <w:bookmarkStart w:id="716" w:name="_Toc508642491"/>
      <w:r>
        <w:rPr>
          <w:rFonts w:hint="eastAsia"/>
        </w:rPr>
        <w:t>6.4声环境</w:t>
      </w:r>
      <w:bookmarkEnd w:id="712"/>
      <w:bookmarkEnd w:id="713"/>
      <w:bookmarkEnd w:id="714"/>
      <w:bookmarkEnd w:id="715"/>
      <w:bookmarkEnd w:id="716"/>
    </w:p>
    <w:p w14:paraId="234A3679">
      <w:pPr>
        <w:pStyle w:val="113"/>
      </w:pPr>
      <w:bookmarkStart w:id="717" w:name="_Toc471738044"/>
      <w:bookmarkStart w:id="718" w:name="_Toc454046564"/>
      <w:bookmarkStart w:id="719" w:name="_Toc397428367"/>
      <w:bookmarkStart w:id="720" w:name="_Toc508642492"/>
      <w:bookmarkStart w:id="721" w:name="_Toc443655463"/>
      <w:r>
        <w:rPr>
          <w:rFonts w:hint="eastAsia"/>
        </w:rPr>
        <w:t>6.4.1施工期</w:t>
      </w:r>
      <w:bookmarkEnd w:id="717"/>
      <w:bookmarkEnd w:id="718"/>
      <w:bookmarkEnd w:id="719"/>
      <w:bookmarkEnd w:id="720"/>
      <w:bookmarkEnd w:id="721"/>
    </w:p>
    <w:p w14:paraId="61223EB8">
      <w:pPr>
        <w:ind w:firstLine="480"/>
        <w:rPr>
          <w:rFonts w:cstheme="minorBidi"/>
        </w:rPr>
      </w:pPr>
      <w:r>
        <w:rPr>
          <w:rFonts w:hint="eastAsia" w:cstheme="minorBidi"/>
        </w:rPr>
        <w:t>拟建项目</w:t>
      </w:r>
      <w:r>
        <w:rPr>
          <w:rFonts w:cstheme="minorBidi"/>
        </w:rPr>
        <w:t>施工过程中将采用一定量的大、中型设备进行机械化施工，对施工现场将产生一定的不利影响。</w:t>
      </w:r>
      <w:r>
        <w:rPr>
          <w:rFonts w:hint="eastAsia" w:cstheme="minorBidi"/>
        </w:rPr>
        <w:t>施工</w:t>
      </w:r>
      <w:r>
        <w:rPr>
          <w:rFonts w:cstheme="minorBidi"/>
        </w:rPr>
        <w:t>噪声主要来混凝土拌和</w:t>
      </w:r>
      <w:r>
        <w:rPr>
          <w:rFonts w:hint="eastAsia" w:cstheme="minorBidi"/>
        </w:rPr>
        <w:t>、砂石料加工</w:t>
      </w:r>
      <w:r>
        <w:rPr>
          <w:rFonts w:cstheme="minorBidi"/>
        </w:rPr>
        <w:t>等</w:t>
      </w:r>
      <w:r>
        <w:rPr>
          <w:rFonts w:hint="eastAsia" w:cstheme="minorBidi"/>
        </w:rPr>
        <w:t>工序</w:t>
      </w:r>
      <w:r>
        <w:rPr>
          <w:rFonts w:cstheme="minorBidi"/>
        </w:rPr>
        <w:t>产生的固定噪声和交通运输产生的流动噪声</w:t>
      </w:r>
      <w:r>
        <w:rPr>
          <w:rFonts w:hint="eastAsia" w:cstheme="minorBidi"/>
        </w:rPr>
        <w:t>。</w:t>
      </w:r>
      <w:r>
        <w:rPr>
          <w:rFonts w:cstheme="minorBidi"/>
        </w:rPr>
        <w:t>一般白天施工现场的噪声强度多在</w:t>
      </w:r>
      <w:r>
        <w:rPr>
          <w:rFonts w:hint="eastAsia" w:cstheme="minorBidi"/>
        </w:rPr>
        <w:t>80</w:t>
      </w:r>
      <w:r>
        <w:rPr>
          <w:rFonts w:cstheme="minorBidi"/>
        </w:rPr>
        <w:t>dB（A）以上，超过《</w:t>
      </w:r>
      <w:r>
        <w:rPr>
          <w:rFonts w:hint="eastAsia" w:cstheme="minorBidi"/>
        </w:rPr>
        <w:t>建筑施工场界环境噪声排放标准</w:t>
      </w:r>
      <w:r>
        <w:rPr>
          <w:rFonts w:cstheme="minorBidi"/>
        </w:rPr>
        <w:t>》（GB12523</w:t>
      </w:r>
      <w:r>
        <w:rPr>
          <w:rFonts w:hint="eastAsia" w:cstheme="minorBidi"/>
        </w:rPr>
        <w:t>-2011</w:t>
      </w:r>
      <w:r>
        <w:rPr>
          <w:rFonts w:cstheme="minorBidi"/>
        </w:rPr>
        <w:t>）的规定。</w:t>
      </w:r>
    </w:p>
    <w:p w14:paraId="78BCF496">
      <w:pPr>
        <w:ind w:firstLine="480"/>
      </w:pPr>
      <w:r>
        <w:rPr>
          <w:rFonts w:hint="eastAsia"/>
        </w:rPr>
        <w:t>1、</w:t>
      </w:r>
      <w:r>
        <w:t>点源噪声影响</w:t>
      </w:r>
    </w:p>
    <w:p w14:paraId="4E071BB3">
      <w:pPr>
        <w:ind w:firstLine="480"/>
      </w:pPr>
      <w:r>
        <w:rPr>
          <w:rFonts w:hint="eastAsia" w:ascii="宋体" w:cs="宋体"/>
        </w:rPr>
        <w:t>①</w:t>
      </w:r>
      <w:r>
        <w:t>噪声源强</w:t>
      </w:r>
    </w:p>
    <w:p w14:paraId="6D467137">
      <w:pPr>
        <w:ind w:firstLine="480"/>
        <w:rPr>
          <w:kern w:val="0"/>
        </w:rPr>
      </w:pPr>
      <w:r>
        <w:rPr>
          <w:kern w:val="0"/>
        </w:rPr>
        <w:t>施工期点声源主要为混凝土拌</w:t>
      </w:r>
      <w:r>
        <w:rPr>
          <w:rFonts w:hint="eastAsia"/>
          <w:kern w:val="0"/>
        </w:rPr>
        <w:t>和</w:t>
      </w:r>
      <w:r>
        <w:rPr>
          <w:kern w:val="0"/>
        </w:rPr>
        <w:t>、</w:t>
      </w:r>
      <w:r>
        <w:rPr>
          <w:rFonts w:hint="eastAsia"/>
          <w:kern w:val="0"/>
        </w:rPr>
        <w:t>砂石料加工</w:t>
      </w:r>
      <w:r>
        <w:rPr>
          <w:kern w:val="0"/>
        </w:rPr>
        <w:t>、辅助设施运行等</w:t>
      </w:r>
      <w:r>
        <w:rPr>
          <w:rFonts w:hint="eastAsia"/>
          <w:kern w:val="0"/>
        </w:rPr>
        <w:t>，噪声源强见表3-1-5</w:t>
      </w:r>
      <w:r>
        <w:rPr>
          <w:kern w:val="0"/>
        </w:rPr>
        <w:t>。</w:t>
      </w:r>
    </w:p>
    <w:p w14:paraId="3C03E5A7">
      <w:pPr>
        <w:ind w:firstLine="480"/>
      </w:pPr>
      <w:r>
        <w:rPr>
          <w:rFonts w:hint="eastAsia" w:ascii="宋体" w:cs="宋体"/>
        </w:rPr>
        <w:t>②</w:t>
      </w:r>
      <w:r>
        <w:t>预测模式</w:t>
      </w:r>
    </w:p>
    <w:p w14:paraId="00BA4EA0">
      <w:pPr>
        <w:ind w:firstLine="480"/>
        <w:jc w:val="center"/>
      </w:pPr>
      <w:r>
        <w:rPr>
          <w:position w:val="-12"/>
        </w:rPr>
        <w:drawing>
          <wp:inline distT="0" distB="0" distL="0" distR="0">
            <wp:extent cx="1263015" cy="2590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263813" cy="259398"/>
                    </a:xfrm>
                    <a:prstGeom prst="rect">
                      <a:avLst/>
                    </a:prstGeom>
                    <a:noFill/>
                    <a:ln>
                      <a:noFill/>
                    </a:ln>
                  </pic:spPr>
                </pic:pic>
              </a:graphicData>
            </a:graphic>
          </wp:inline>
        </w:drawing>
      </w:r>
    </w:p>
    <w:p w14:paraId="16B31234">
      <w:pPr>
        <w:ind w:firstLine="199" w:firstLineChars="83"/>
      </w:pPr>
      <w:r>
        <w:rPr>
          <w:szCs w:val="21"/>
        </w:rPr>
        <w:t>式中：L</w:t>
      </w:r>
      <w:r>
        <w:rPr>
          <w:szCs w:val="21"/>
          <w:vertAlign w:val="subscript"/>
        </w:rPr>
        <w:t>1</w:t>
      </w:r>
      <w:r>
        <w:rPr>
          <w:szCs w:val="21"/>
        </w:rPr>
        <w:t>—距声源为</w:t>
      </w:r>
      <w:r>
        <w:rPr>
          <w:rFonts w:hint="eastAsia"/>
          <w:szCs w:val="21"/>
        </w:rPr>
        <w:t>r</w:t>
      </w:r>
      <w:r>
        <w:rPr>
          <w:szCs w:val="21"/>
          <w:vertAlign w:val="subscript"/>
        </w:rPr>
        <w:t>1</w:t>
      </w:r>
      <w:r>
        <w:rPr>
          <w:szCs w:val="21"/>
        </w:rPr>
        <w:t>m的辐射面上的声压级，dB(A)；</w:t>
      </w:r>
    </w:p>
    <w:p w14:paraId="72B35EF7">
      <w:pPr>
        <w:ind w:firstLine="420"/>
        <w:rPr>
          <w:szCs w:val="24"/>
        </w:rPr>
      </w:pPr>
      <w:r>
        <w:rPr>
          <w:sz w:val="21"/>
          <w:szCs w:val="21"/>
        </w:rPr>
        <w:t xml:space="preserve">   </w:t>
      </w:r>
      <w:r>
        <w:rPr>
          <w:szCs w:val="24"/>
        </w:rPr>
        <w:t xml:space="preserve">  L</w:t>
      </w:r>
      <w:r>
        <w:rPr>
          <w:szCs w:val="24"/>
          <w:vertAlign w:val="subscript"/>
        </w:rPr>
        <w:t>0</w:t>
      </w:r>
      <w:r>
        <w:rPr>
          <w:szCs w:val="24"/>
        </w:rPr>
        <w:t>—距声源为1m的辐射面上的声压级，dB(A)；</w:t>
      </w:r>
    </w:p>
    <w:p w14:paraId="5A95C1D1">
      <w:pPr>
        <w:ind w:firstLine="480"/>
        <w:rPr>
          <w:szCs w:val="21"/>
        </w:rPr>
      </w:pPr>
      <w:r>
        <w:rPr>
          <w:szCs w:val="21"/>
        </w:rPr>
        <w:t xml:space="preserve">    r</w:t>
      </w:r>
      <w:r>
        <w:rPr>
          <w:szCs w:val="21"/>
          <w:vertAlign w:val="subscript"/>
        </w:rPr>
        <w:t>1</w:t>
      </w:r>
      <w:r>
        <w:rPr>
          <w:szCs w:val="21"/>
        </w:rPr>
        <w:t>—预测点距声源的距离，m。</w:t>
      </w:r>
    </w:p>
    <w:p w14:paraId="3E043FB5">
      <w:pPr>
        <w:ind w:firstLine="480"/>
      </w:pPr>
      <w:r>
        <w:rPr>
          <w:rFonts w:hint="eastAsia" w:ascii="宋体" w:cs="宋体"/>
        </w:rPr>
        <w:t>③</w:t>
      </w:r>
      <w:r>
        <w:t>预测结果及评价</w:t>
      </w:r>
    </w:p>
    <w:p w14:paraId="33D4529A">
      <w:pPr>
        <w:ind w:firstLine="480"/>
      </w:pPr>
      <w:r>
        <w:t>在噪声预测过程中，不考虑噪声在传播过程中的几何发散、遮挡、空气吸收和地面效应作用下产生的衰减量，预测结果见下表</w:t>
      </w:r>
      <w:r>
        <w:rPr>
          <w:rFonts w:hint="eastAsia"/>
        </w:rPr>
        <w:t>：</w:t>
      </w:r>
    </w:p>
    <w:p w14:paraId="0AD84286">
      <w:pPr>
        <w:pStyle w:val="82"/>
        <w:framePr w:hSpace="0" w:wrap="auto" w:vAnchor="margin" w:hAnchor="text" w:xAlign="left" w:yAlign="inline"/>
        <w:rPr>
          <w:lang w:val="zh-CN"/>
        </w:rPr>
      </w:pPr>
      <w:r>
        <w:rPr>
          <w:lang w:val="zh-CN"/>
        </w:rPr>
        <w:t>表</w:t>
      </w:r>
      <w:r>
        <w:rPr>
          <w:rFonts w:hint="eastAsia"/>
          <w:lang w:val="zh-CN"/>
        </w:rPr>
        <w:t xml:space="preserve">6-4-1 </w:t>
      </w:r>
      <w:r>
        <w:rPr>
          <w:lang w:val="zh-CN"/>
        </w:rPr>
        <w:t xml:space="preserve">  施工噪声影响范围预测结果</w:t>
      </w:r>
    </w:p>
    <w:tbl>
      <w:tblPr>
        <w:tblStyle w:val="56"/>
        <w:tblW w:w="0" w:type="auto"/>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49"/>
        <w:gridCol w:w="1035"/>
        <w:gridCol w:w="922"/>
        <w:gridCol w:w="922"/>
        <w:gridCol w:w="924"/>
        <w:gridCol w:w="922"/>
        <w:gridCol w:w="924"/>
        <w:gridCol w:w="922"/>
      </w:tblGrid>
      <w:tr w14:paraId="5E8612E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1" w:hRule="atLeast"/>
          <w:tblHeader/>
          <w:jc w:val="center"/>
        </w:trPr>
        <w:tc>
          <w:tcPr>
            <w:tcW w:w="1549" w:type="dxa"/>
            <w:vMerge w:val="restart"/>
            <w:vAlign w:val="center"/>
          </w:tcPr>
          <w:p w14:paraId="091B18A5">
            <w:pPr>
              <w:pStyle w:val="84"/>
            </w:pPr>
            <w:r>
              <w:t>声源</w:t>
            </w:r>
          </w:p>
        </w:tc>
        <w:tc>
          <w:tcPr>
            <w:tcW w:w="1035" w:type="dxa"/>
            <w:vMerge w:val="restart"/>
            <w:vAlign w:val="center"/>
          </w:tcPr>
          <w:p w14:paraId="09164DC3">
            <w:pPr>
              <w:pStyle w:val="84"/>
            </w:pPr>
            <w:r>
              <w:t>源强dB(A)</w:t>
            </w:r>
          </w:p>
        </w:tc>
        <w:tc>
          <w:tcPr>
            <w:tcW w:w="5536" w:type="dxa"/>
            <w:gridSpan w:val="6"/>
          </w:tcPr>
          <w:p w14:paraId="744B8D09">
            <w:pPr>
              <w:pStyle w:val="84"/>
            </w:pPr>
            <w:r>
              <w:t>与声源面距离的噪声预测值dB(A)</w:t>
            </w:r>
          </w:p>
        </w:tc>
      </w:tr>
      <w:tr w14:paraId="153CCF3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9" w:hRule="atLeast"/>
          <w:tblHeader/>
          <w:jc w:val="center"/>
        </w:trPr>
        <w:tc>
          <w:tcPr>
            <w:tcW w:w="1549" w:type="dxa"/>
            <w:vMerge w:val="continue"/>
          </w:tcPr>
          <w:p w14:paraId="5B863E23">
            <w:pPr>
              <w:pStyle w:val="84"/>
            </w:pPr>
          </w:p>
        </w:tc>
        <w:tc>
          <w:tcPr>
            <w:tcW w:w="1035" w:type="dxa"/>
            <w:vMerge w:val="continue"/>
          </w:tcPr>
          <w:p w14:paraId="1F62F96E">
            <w:pPr>
              <w:pStyle w:val="84"/>
            </w:pPr>
          </w:p>
        </w:tc>
        <w:tc>
          <w:tcPr>
            <w:tcW w:w="922" w:type="dxa"/>
            <w:vAlign w:val="center"/>
          </w:tcPr>
          <w:p w14:paraId="1255EEC6">
            <w:pPr>
              <w:pStyle w:val="84"/>
            </w:pPr>
            <w:r>
              <w:t>10m</w:t>
            </w:r>
          </w:p>
        </w:tc>
        <w:tc>
          <w:tcPr>
            <w:tcW w:w="922" w:type="dxa"/>
            <w:vAlign w:val="center"/>
          </w:tcPr>
          <w:p w14:paraId="5086E4B6">
            <w:pPr>
              <w:pStyle w:val="84"/>
            </w:pPr>
            <w:r>
              <w:t>20m</w:t>
            </w:r>
          </w:p>
        </w:tc>
        <w:tc>
          <w:tcPr>
            <w:tcW w:w="924" w:type="dxa"/>
            <w:vAlign w:val="center"/>
          </w:tcPr>
          <w:p w14:paraId="0E7A8B1B">
            <w:pPr>
              <w:pStyle w:val="84"/>
            </w:pPr>
            <w:r>
              <w:t>50m</w:t>
            </w:r>
          </w:p>
        </w:tc>
        <w:tc>
          <w:tcPr>
            <w:tcW w:w="922" w:type="dxa"/>
            <w:vAlign w:val="center"/>
          </w:tcPr>
          <w:p w14:paraId="13DFC035">
            <w:pPr>
              <w:pStyle w:val="84"/>
            </w:pPr>
            <w:r>
              <w:t>100m</w:t>
            </w:r>
          </w:p>
        </w:tc>
        <w:tc>
          <w:tcPr>
            <w:tcW w:w="924" w:type="dxa"/>
            <w:vAlign w:val="center"/>
          </w:tcPr>
          <w:p w14:paraId="60C027E4">
            <w:pPr>
              <w:pStyle w:val="84"/>
            </w:pPr>
            <w:r>
              <w:t>200m</w:t>
            </w:r>
          </w:p>
        </w:tc>
        <w:tc>
          <w:tcPr>
            <w:tcW w:w="922" w:type="dxa"/>
            <w:vAlign w:val="center"/>
          </w:tcPr>
          <w:p w14:paraId="2C88D87A">
            <w:pPr>
              <w:pStyle w:val="84"/>
            </w:pPr>
            <w:r>
              <w:t>400m</w:t>
            </w:r>
          </w:p>
        </w:tc>
      </w:tr>
      <w:tr w14:paraId="4A93822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9" w:hRule="atLeast"/>
          <w:jc w:val="center"/>
        </w:trPr>
        <w:tc>
          <w:tcPr>
            <w:tcW w:w="1549" w:type="dxa"/>
            <w:vAlign w:val="center"/>
          </w:tcPr>
          <w:p w14:paraId="7EE8CDB0">
            <w:pPr>
              <w:pStyle w:val="84"/>
            </w:pPr>
            <w:r>
              <w:rPr>
                <w:rFonts w:hint="eastAsia"/>
              </w:rPr>
              <w:t>挖掘机</w:t>
            </w:r>
          </w:p>
        </w:tc>
        <w:tc>
          <w:tcPr>
            <w:tcW w:w="1035" w:type="dxa"/>
            <w:vAlign w:val="center"/>
          </w:tcPr>
          <w:p w14:paraId="0BC0DF31">
            <w:pPr>
              <w:pStyle w:val="84"/>
            </w:pPr>
            <w:r>
              <w:rPr>
                <w:rFonts w:hint="eastAsia"/>
              </w:rPr>
              <w:t>82</w:t>
            </w:r>
          </w:p>
        </w:tc>
        <w:tc>
          <w:tcPr>
            <w:tcW w:w="922" w:type="dxa"/>
          </w:tcPr>
          <w:p w14:paraId="65FF0986">
            <w:pPr>
              <w:pStyle w:val="84"/>
            </w:pPr>
            <w:r>
              <w:rPr>
                <w:rFonts w:hint="eastAsia"/>
              </w:rPr>
              <w:t>62</w:t>
            </w:r>
          </w:p>
        </w:tc>
        <w:tc>
          <w:tcPr>
            <w:tcW w:w="922" w:type="dxa"/>
          </w:tcPr>
          <w:p w14:paraId="440DF757">
            <w:pPr>
              <w:pStyle w:val="84"/>
            </w:pPr>
            <w:r>
              <w:rPr>
                <w:rFonts w:hint="eastAsia"/>
              </w:rPr>
              <w:t>56</w:t>
            </w:r>
          </w:p>
        </w:tc>
        <w:tc>
          <w:tcPr>
            <w:tcW w:w="924" w:type="dxa"/>
          </w:tcPr>
          <w:p w14:paraId="3EFF8AFF">
            <w:pPr>
              <w:pStyle w:val="84"/>
            </w:pPr>
            <w:r>
              <w:rPr>
                <w:rFonts w:hint="eastAsia"/>
              </w:rPr>
              <w:t>48</w:t>
            </w:r>
          </w:p>
        </w:tc>
        <w:tc>
          <w:tcPr>
            <w:tcW w:w="922" w:type="dxa"/>
          </w:tcPr>
          <w:p w14:paraId="7A484861">
            <w:pPr>
              <w:pStyle w:val="84"/>
            </w:pPr>
            <w:r>
              <w:rPr>
                <w:rFonts w:hint="eastAsia"/>
              </w:rPr>
              <w:t>42</w:t>
            </w:r>
          </w:p>
        </w:tc>
        <w:tc>
          <w:tcPr>
            <w:tcW w:w="924" w:type="dxa"/>
          </w:tcPr>
          <w:p w14:paraId="6C683FDE">
            <w:pPr>
              <w:pStyle w:val="84"/>
            </w:pPr>
            <w:r>
              <w:rPr>
                <w:rFonts w:hint="eastAsia"/>
              </w:rPr>
              <w:t>36</w:t>
            </w:r>
          </w:p>
        </w:tc>
        <w:tc>
          <w:tcPr>
            <w:tcW w:w="922" w:type="dxa"/>
          </w:tcPr>
          <w:p w14:paraId="612DE0E6">
            <w:pPr>
              <w:pStyle w:val="84"/>
            </w:pPr>
            <w:r>
              <w:rPr>
                <w:rFonts w:hint="eastAsia"/>
              </w:rPr>
              <w:t>30</w:t>
            </w:r>
          </w:p>
        </w:tc>
      </w:tr>
      <w:tr w14:paraId="249DC9E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9" w:hRule="atLeast"/>
          <w:jc w:val="center"/>
        </w:trPr>
        <w:tc>
          <w:tcPr>
            <w:tcW w:w="1549" w:type="dxa"/>
            <w:vAlign w:val="center"/>
          </w:tcPr>
          <w:p w14:paraId="398D463D">
            <w:pPr>
              <w:pStyle w:val="84"/>
            </w:pPr>
            <w:r>
              <w:rPr>
                <w:rFonts w:hint="eastAsia"/>
              </w:rPr>
              <w:t>卷扬机</w:t>
            </w:r>
          </w:p>
        </w:tc>
        <w:tc>
          <w:tcPr>
            <w:tcW w:w="1035" w:type="dxa"/>
            <w:vAlign w:val="center"/>
          </w:tcPr>
          <w:p w14:paraId="544B92B4">
            <w:pPr>
              <w:pStyle w:val="84"/>
            </w:pPr>
            <w:r>
              <w:rPr>
                <w:rFonts w:hint="eastAsia"/>
              </w:rPr>
              <w:t>84</w:t>
            </w:r>
          </w:p>
        </w:tc>
        <w:tc>
          <w:tcPr>
            <w:tcW w:w="922" w:type="dxa"/>
          </w:tcPr>
          <w:p w14:paraId="7356A248">
            <w:pPr>
              <w:pStyle w:val="84"/>
            </w:pPr>
            <w:r>
              <w:rPr>
                <w:rFonts w:hint="eastAsia"/>
              </w:rPr>
              <w:t>64</w:t>
            </w:r>
          </w:p>
        </w:tc>
        <w:tc>
          <w:tcPr>
            <w:tcW w:w="922" w:type="dxa"/>
          </w:tcPr>
          <w:p w14:paraId="6E3E2464">
            <w:pPr>
              <w:pStyle w:val="84"/>
            </w:pPr>
            <w:r>
              <w:rPr>
                <w:rFonts w:hint="eastAsia"/>
              </w:rPr>
              <w:t>58</w:t>
            </w:r>
          </w:p>
        </w:tc>
        <w:tc>
          <w:tcPr>
            <w:tcW w:w="924" w:type="dxa"/>
          </w:tcPr>
          <w:p w14:paraId="324414D0">
            <w:pPr>
              <w:pStyle w:val="84"/>
            </w:pPr>
            <w:r>
              <w:rPr>
                <w:rFonts w:hint="eastAsia"/>
              </w:rPr>
              <w:t>50</w:t>
            </w:r>
          </w:p>
        </w:tc>
        <w:tc>
          <w:tcPr>
            <w:tcW w:w="922" w:type="dxa"/>
          </w:tcPr>
          <w:p w14:paraId="44F8D361">
            <w:pPr>
              <w:pStyle w:val="84"/>
            </w:pPr>
            <w:r>
              <w:rPr>
                <w:rFonts w:hint="eastAsia"/>
              </w:rPr>
              <w:t>44</w:t>
            </w:r>
          </w:p>
        </w:tc>
        <w:tc>
          <w:tcPr>
            <w:tcW w:w="924" w:type="dxa"/>
          </w:tcPr>
          <w:p w14:paraId="23C8F93C">
            <w:pPr>
              <w:pStyle w:val="84"/>
            </w:pPr>
            <w:r>
              <w:rPr>
                <w:rFonts w:hint="eastAsia"/>
              </w:rPr>
              <w:t>38</w:t>
            </w:r>
          </w:p>
        </w:tc>
        <w:tc>
          <w:tcPr>
            <w:tcW w:w="922" w:type="dxa"/>
          </w:tcPr>
          <w:p w14:paraId="5D4563CF">
            <w:pPr>
              <w:pStyle w:val="84"/>
            </w:pPr>
            <w:r>
              <w:rPr>
                <w:rFonts w:hint="eastAsia"/>
              </w:rPr>
              <w:t>32</w:t>
            </w:r>
          </w:p>
        </w:tc>
      </w:tr>
      <w:tr w14:paraId="3392E75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9" w:hRule="atLeast"/>
          <w:jc w:val="center"/>
        </w:trPr>
        <w:tc>
          <w:tcPr>
            <w:tcW w:w="1549" w:type="dxa"/>
            <w:vAlign w:val="center"/>
          </w:tcPr>
          <w:p w14:paraId="5D12C16B">
            <w:pPr>
              <w:pStyle w:val="84"/>
            </w:pPr>
            <w:r>
              <w:rPr>
                <w:rFonts w:hint="eastAsia"/>
              </w:rPr>
              <w:t>手风钻</w:t>
            </w:r>
          </w:p>
        </w:tc>
        <w:tc>
          <w:tcPr>
            <w:tcW w:w="1035" w:type="dxa"/>
            <w:vAlign w:val="center"/>
          </w:tcPr>
          <w:p w14:paraId="13E2FFB1">
            <w:pPr>
              <w:pStyle w:val="84"/>
            </w:pPr>
            <w:r>
              <w:rPr>
                <w:rFonts w:hint="eastAsia"/>
              </w:rPr>
              <w:t>95</w:t>
            </w:r>
          </w:p>
        </w:tc>
        <w:tc>
          <w:tcPr>
            <w:tcW w:w="922" w:type="dxa"/>
          </w:tcPr>
          <w:p w14:paraId="4C005B63">
            <w:pPr>
              <w:pStyle w:val="84"/>
            </w:pPr>
            <w:r>
              <w:rPr>
                <w:rFonts w:hint="eastAsia"/>
              </w:rPr>
              <w:t>75</w:t>
            </w:r>
          </w:p>
        </w:tc>
        <w:tc>
          <w:tcPr>
            <w:tcW w:w="922" w:type="dxa"/>
          </w:tcPr>
          <w:p w14:paraId="31D477F9">
            <w:pPr>
              <w:pStyle w:val="84"/>
            </w:pPr>
            <w:r>
              <w:rPr>
                <w:rFonts w:hint="eastAsia"/>
              </w:rPr>
              <w:t>69</w:t>
            </w:r>
          </w:p>
        </w:tc>
        <w:tc>
          <w:tcPr>
            <w:tcW w:w="924" w:type="dxa"/>
          </w:tcPr>
          <w:p w14:paraId="5FA825AA">
            <w:pPr>
              <w:pStyle w:val="84"/>
            </w:pPr>
            <w:r>
              <w:rPr>
                <w:rFonts w:hint="eastAsia"/>
              </w:rPr>
              <w:t>61</w:t>
            </w:r>
          </w:p>
        </w:tc>
        <w:tc>
          <w:tcPr>
            <w:tcW w:w="922" w:type="dxa"/>
          </w:tcPr>
          <w:p w14:paraId="55582512">
            <w:pPr>
              <w:pStyle w:val="84"/>
            </w:pPr>
            <w:r>
              <w:rPr>
                <w:rFonts w:hint="eastAsia"/>
              </w:rPr>
              <w:t>55</w:t>
            </w:r>
          </w:p>
        </w:tc>
        <w:tc>
          <w:tcPr>
            <w:tcW w:w="924" w:type="dxa"/>
          </w:tcPr>
          <w:p w14:paraId="40D689C7">
            <w:pPr>
              <w:pStyle w:val="84"/>
            </w:pPr>
            <w:r>
              <w:rPr>
                <w:rFonts w:hint="eastAsia"/>
              </w:rPr>
              <w:t>49</w:t>
            </w:r>
          </w:p>
        </w:tc>
        <w:tc>
          <w:tcPr>
            <w:tcW w:w="922" w:type="dxa"/>
          </w:tcPr>
          <w:p w14:paraId="398D8F4F">
            <w:pPr>
              <w:pStyle w:val="84"/>
            </w:pPr>
            <w:r>
              <w:rPr>
                <w:rFonts w:hint="eastAsia"/>
              </w:rPr>
              <w:t>43</w:t>
            </w:r>
          </w:p>
        </w:tc>
      </w:tr>
      <w:tr w14:paraId="13E9320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9" w:hRule="atLeast"/>
          <w:jc w:val="center"/>
        </w:trPr>
        <w:tc>
          <w:tcPr>
            <w:tcW w:w="1549" w:type="dxa"/>
            <w:vAlign w:val="center"/>
          </w:tcPr>
          <w:p w14:paraId="0485EFA0">
            <w:pPr>
              <w:pStyle w:val="84"/>
              <w:rPr>
                <w:color w:val="FF0000"/>
              </w:rPr>
            </w:pPr>
            <w:r>
              <w:rPr>
                <w:rFonts w:hint="eastAsia"/>
                <w:color w:val="FF0000"/>
              </w:rPr>
              <w:t>混凝土搅拌机</w:t>
            </w:r>
          </w:p>
        </w:tc>
        <w:tc>
          <w:tcPr>
            <w:tcW w:w="1035" w:type="dxa"/>
            <w:vAlign w:val="center"/>
          </w:tcPr>
          <w:p w14:paraId="70144688">
            <w:pPr>
              <w:pStyle w:val="84"/>
              <w:rPr>
                <w:color w:val="FF0000"/>
              </w:rPr>
            </w:pPr>
            <w:r>
              <w:rPr>
                <w:rFonts w:hint="eastAsia"/>
                <w:color w:val="FF0000"/>
              </w:rPr>
              <w:t>85</w:t>
            </w:r>
          </w:p>
        </w:tc>
        <w:tc>
          <w:tcPr>
            <w:tcW w:w="922" w:type="dxa"/>
          </w:tcPr>
          <w:p w14:paraId="0F64E0F0">
            <w:pPr>
              <w:pStyle w:val="84"/>
              <w:rPr>
                <w:color w:val="FF0000"/>
              </w:rPr>
            </w:pPr>
            <w:r>
              <w:rPr>
                <w:rFonts w:hint="eastAsia"/>
                <w:color w:val="FF0000"/>
              </w:rPr>
              <w:t>65</w:t>
            </w:r>
          </w:p>
        </w:tc>
        <w:tc>
          <w:tcPr>
            <w:tcW w:w="922" w:type="dxa"/>
          </w:tcPr>
          <w:p w14:paraId="1503B425">
            <w:pPr>
              <w:pStyle w:val="84"/>
              <w:rPr>
                <w:color w:val="FF0000"/>
              </w:rPr>
            </w:pPr>
            <w:r>
              <w:rPr>
                <w:rFonts w:hint="eastAsia"/>
                <w:color w:val="FF0000"/>
              </w:rPr>
              <w:t>59</w:t>
            </w:r>
          </w:p>
        </w:tc>
        <w:tc>
          <w:tcPr>
            <w:tcW w:w="924" w:type="dxa"/>
          </w:tcPr>
          <w:p w14:paraId="424490C9">
            <w:pPr>
              <w:pStyle w:val="84"/>
              <w:rPr>
                <w:color w:val="FF0000"/>
              </w:rPr>
            </w:pPr>
            <w:r>
              <w:rPr>
                <w:rFonts w:hint="eastAsia"/>
                <w:color w:val="FF0000"/>
              </w:rPr>
              <w:t>51</w:t>
            </w:r>
          </w:p>
        </w:tc>
        <w:tc>
          <w:tcPr>
            <w:tcW w:w="922" w:type="dxa"/>
          </w:tcPr>
          <w:p w14:paraId="21B2D7CA">
            <w:pPr>
              <w:pStyle w:val="84"/>
              <w:rPr>
                <w:color w:val="FF0000"/>
              </w:rPr>
            </w:pPr>
            <w:r>
              <w:rPr>
                <w:rFonts w:hint="eastAsia"/>
                <w:color w:val="FF0000"/>
              </w:rPr>
              <w:t>45</w:t>
            </w:r>
          </w:p>
        </w:tc>
        <w:tc>
          <w:tcPr>
            <w:tcW w:w="924" w:type="dxa"/>
          </w:tcPr>
          <w:p w14:paraId="7F8D3720">
            <w:pPr>
              <w:pStyle w:val="84"/>
              <w:rPr>
                <w:color w:val="FF0000"/>
              </w:rPr>
            </w:pPr>
            <w:r>
              <w:rPr>
                <w:rFonts w:hint="eastAsia"/>
                <w:color w:val="FF0000"/>
              </w:rPr>
              <w:t>39</w:t>
            </w:r>
          </w:p>
        </w:tc>
        <w:tc>
          <w:tcPr>
            <w:tcW w:w="922" w:type="dxa"/>
          </w:tcPr>
          <w:p w14:paraId="130EDB7D">
            <w:pPr>
              <w:pStyle w:val="84"/>
              <w:rPr>
                <w:color w:val="FF0000"/>
              </w:rPr>
            </w:pPr>
            <w:r>
              <w:rPr>
                <w:rFonts w:hint="eastAsia"/>
                <w:color w:val="FF0000"/>
              </w:rPr>
              <w:t>33</w:t>
            </w:r>
          </w:p>
        </w:tc>
      </w:tr>
      <w:tr w14:paraId="62CE609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9" w:hRule="atLeast"/>
          <w:jc w:val="center"/>
        </w:trPr>
        <w:tc>
          <w:tcPr>
            <w:tcW w:w="1549" w:type="dxa"/>
            <w:vAlign w:val="center"/>
          </w:tcPr>
          <w:p w14:paraId="77503D4C">
            <w:pPr>
              <w:pStyle w:val="84"/>
              <w:rPr>
                <w:color w:val="FF0000"/>
              </w:rPr>
            </w:pPr>
            <w:r>
              <w:rPr>
                <w:rFonts w:hint="eastAsia"/>
                <w:color w:val="FF0000"/>
              </w:rPr>
              <w:t>混凝土泵</w:t>
            </w:r>
          </w:p>
        </w:tc>
        <w:tc>
          <w:tcPr>
            <w:tcW w:w="1035" w:type="dxa"/>
            <w:vAlign w:val="center"/>
          </w:tcPr>
          <w:p w14:paraId="30EDF4D4">
            <w:pPr>
              <w:pStyle w:val="84"/>
              <w:rPr>
                <w:color w:val="FF0000"/>
              </w:rPr>
            </w:pPr>
            <w:r>
              <w:rPr>
                <w:rFonts w:hint="eastAsia"/>
                <w:color w:val="FF0000"/>
              </w:rPr>
              <w:t>88</w:t>
            </w:r>
          </w:p>
        </w:tc>
        <w:tc>
          <w:tcPr>
            <w:tcW w:w="922" w:type="dxa"/>
          </w:tcPr>
          <w:p w14:paraId="31CF9BBE">
            <w:pPr>
              <w:pStyle w:val="84"/>
              <w:rPr>
                <w:color w:val="FF0000"/>
              </w:rPr>
            </w:pPr>
            <w:r>
              <w:rPr>
                <w:rFonts w:hint="eastAsia"/>
                <w:color w:val="FF0000"/>
              </w:rPr>
              <w:t>68</w:t>
            </w:r>
          </w:p>
        </w:tc>
        <w:tc>
          <w:tcPr>
            <w:tcW w:w="922" w:type="dxa"/>
          </w:tcPr>
          <w:p w14:paraId="2DCE04A1">
            <w:pPr>
              <w:pStyle w:val="84"/>
              <w:rPr>
                <w:color w:val="FF0000"/>
              </w:rPr>
            </w:pPr>
            <w:r>
              <w:rPr>
                <w:rFonts w:hint="eastAsia"/>
                <w:color w:val="FF0000"/>
              </w:rPr>
              <w:t>62</w:t>
            </w:r>
          </w:p>
        </w:tc>
        <w:tc>
          <w:tcPr>
            <w:tcW w:w="924" w:type="dxa"/>
          </w:tcPr>
          <w:p w14:paraId="651CE3B1">
            <w:pPr>
              <w:pStyle w:val="84"/>
              <w:rPr>
                <w:color w:val="FF0000"/>
              </w:rPr>
            </w:pPr>
            <w:r>
              <w:rPr>
                <w:rFonts w:hint="eastAsia"/>
                <w:color w:val="FF0000"/>
              </w:rPr>
              <w:t>54</w:t>
            </w:r>
          </w:p>
        </w:tc>
        <w:tc>
          <w:tcPr>
            <w:tcW w:w="922" w:type="dxa"/>
          </w:tcPr>
          <w:p w14:paraId="09C3DBE2">
            <w:pPr>
              <w:pStyle w:val="84"/>
              <w:rPr>
                <w:color w:val="FF0000"/>
              </w:rPr>
            </w:pPr>
            <w:r>
              <w:rPr>
                <w:rFonts w:hint="eastAsia"/>
                <w:color w:val="FF0000"/>
              </w:rPr>
              <w:t>48</w:t>
            </w:r>
          </w:p>
        </w:tc>
        <w:tc>
          <w:tcPr>
            <w:tcW w:w="924" w:type="dxa"/>
          </w:tcPr>
          <w:p w14:paraId="6AE04891">
            <w:pPr>
              <w:pStyle w:val="84"/>
              <w:rPr>
                <w:color w:val="FF0000"/>
              </w:rPr>
            </w:pPr>
            <w:r>
              <w:rPr>
                <w:rFonts w:hint="eastAsia"/>
                <w:color w:val="FF0000"/>
              </w:rPr>
              <w:t>42</w:t>
            </w:r>
          </w:p>
        </w:tc>
        <w:tc>
          <w:tcPr>
            <w:tcW w:w="922" w:type="dxa"/>
          </w:tcPr>
          <w:p w14:paraId="2CA0E133">
            <w:pPr>
              <w:pStyle w:val="84"/>
              <w:rPr>
                <w:color w:val="FF0000"/>
              </w:rPr>
            </w:pPr>
            <w:r>
              <w:rPr>
                <w:rFonts w:hint="eastAsia"/>
                <w:color w:val="FF0000"/>
              </w:rPr>
              <w:t>36</w:t>
            </w:r>
          </w:p>
        </w:tc>
      </w:tr>
      <w:tr w14:paraId="2A27DAE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9" w:hRule="atLeast"/>
          <w:jc w:val="center"/>
        </w:trPr>
        <w:tc>
          <w:tcPr>
            <w:tcW w:w="1549" w:type="dxa"/>
            <w:vAlign w:val="center"/>
          </w:tcPr>
          <w:p w14:paraId="2ECE5462">
            <w:pPr>
              <w:pStyle w:val="84"/>
            </w:pPr>
            <w:r>
              <w:rPr>
                <w:rFonts w:hint="eastAsia"/>
              </w:rPr>
              <w:t>振捣机</w:t>
            </w:r>
          </w:p>
        </w:tc>
        <w:tc>
          <w:tcPr>
            <w:tcW w:w="1035" w:type="dxa"/>
            <w:vAlign w:val="center"/>
          </w:tcPr>
          <w:p w14:paraId="350EC491">
            <w:pPr>
              <w:pStyle w:val="84"/>
            </w:pPr>
            <w:r>
              <w:rPr>
                <w:rFonts w:hint="eastAsia"/>
              </w:rPr>
              <w:t>92</w:t>
            </w:r>
          </w:p>
        </w:tc>
        <w:tc>
          <w:tcPr>
            <w:tcW w:w="922" w:type="dxa"/>
          </w:tcPr>
          <w:p w14:paraId="5D5A57ED">
            <w:pPr>
              <w:pStyle w:val="84"/>
            </w:pPr>
            <w:r>
              <w:rPr>
                <w:rFonts w:hint="eastAsia"/>
              </w:rPr>
              <w:t>72</w:t>
            </w:r>
          </w:p>
        </w:tc>
        <w:tc>
          <w:tcPr>
            <w:tcW w:w="922" w:type="dxa"/>
          </w:tcPr>
          <w:p w14:paraId="7FF0174A">
            <w:pPr>
              <w:pStyle w:val="84"/>
            </w:pPr>
            <w:r>
              <w:rPr>
                <w:rFonts w:hint="eastAsia"/>
              </w:rPr>
              <w:t>66</w:t>
            </w:r>
          </w:p>
        </w:tc>
        <w:tc>
          <w:tcPr>
            <w:tcW w:w="924" w:type="dxa"/>
          </w:tcPr>
          <w:p w14:paraId="70B812D9">
            <w:pPr>
              <w:pStyle w:val="84"/>
            </w:pPr>
            <w:r>
              <w:rPr>
                <w:rFonts w:hint="eastAsia"/>
              </w:rPr>
              <w:t>58</w:t>
            </w:r>
          </w:p>
        </w:tc>
        <w:tc>
          <w:tcPr>
            <w:tcW w:w="922" w:type="dxa"/>
          </w:tcPr>
          <w:p w14:paraId="146071A8">
            <w:pPr>
              <w:pStyle w:val="84"/>
            </w:pPr>
            <w:r>
              <w:rPr>
                <w:rFonts w:hint="eastAsia"/>
              </w:rPr>
              <w:t>52</w:t>
            </w:r>
          </w:p>
        </w:tc>
        <w:tc>
          <w:tcPr>
            <w:tcW w:w="924" w:type="dxa"/>
          </w:tcPr>
          <w:p w14:paraId="0E38B158">
            <w:pPr>
              <w:pStyle w:val="84"/>
            </w:pPr>
            <w:r>
              <w:rPr>
                <w:rFonts w:hint="eastAsia"/>
              </w:rPr>
              <w:t>46</w:t>
            </w:r>
          </w:p>
        </w:tc>
        <w:tc>
          <w:tcPr>
            <w:tcW w:w="922" w:type="dxa"/>
          </w:tcPr>
          <w:p w14:paraId="0E873DF7">
            <w:pPr>
              <w:pStyle w:val="84"/>
            </w:pPr>
            <w:r>
              <w:rPr>
                <w:rFonts w:hint="eastAsia"/>
              </w:rPr>
              <w:t>40</w:t>
            </w:r>
          </w:p>
        </w:tc>
      </w:tr>
      <w:tr w14:paraId="413E5CC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9" w:hRule="atLeast"/>
          <w:jc w:val="center"/>
        </w:trPr>
        <w:tc>
          <w:tcPr>
            <w:tcW w:w="1549" w:type="dxa"/>
            <w:vAlign w:val="center"/>
          </w:tcPr>
          <w:p w14:paraId="2BEF7C75">
            <w:pPr>
              <w:pStyle w:val="84"/>
            </w:pPr>
            <w:r>
              <w:rPr>
                <w:rFonts w:hint="eastAsia"/>
              </w:rPr>
              <w:t>打夯机</w:t>
            </w:r>
          </w:p>
        </w:tc>
        <w:tc>
          <w:tcPr>
            <w:tcW w:w="1035" w:type="dxa"/>
            <w:vAlign w:val="center"/>
          </w:tcPr>
          <w:p w14:paraId="135AC177">
            <w:pPr>
              <w:pStyle w:val="84"/>
            </w:pPr>
            <w:r>
              <w:rPr>
                <w:rFonts w:hint="eastAsia"/>
              </w:rPr>
              <w:t>90</w:t>
            </w:r>
          </w:p>
        </w:tc>
        <w:tc>
          <w:tcPr>
            <w:tcW w:w="922" w:type="dxa"/>
          </w:tcPr>
          <w:p w14:paraId="242947F8">
            <w:pPr>
              <w:pStyle w:val="84"/>
            </w:pPr>
            <w:r>
              <w:rPr>
                <w:rFonts w:hint="eastAsia"/>
              </w:rPr>
              <w:t>70</w:t>
            </w:r>
          </w:p>
        </w:tc>
        <w:tc>
          <w:tcPr>
            <w:tcW w:w="922" w:type="dxa"/>
          </w:tcPr>
          <w:p w14:paraId="346DA3D0">
            <w:pPr>
              <w:pStyle w:val="84"/>
            </w:pPr>
            <w:r>
              <w:rPr>
                <w:rFonts w:hint="eastAsia"/>
              </w:rPr>
              <w:t>64</w:t>
            </w:r>
          </w:p>
        </w:tc>
        <w:tc>
          <w:tcPr>
            <w:tcW w:w="924" w:type="dxa"/>
          </w:tcPr>
          <w:p w14:paraId="64EB0C6F">
            <w:pPr>
              <w:pStyle w:val="84"/>
            </w:pPr>
            <w:r>
              <w:rPr>
                <w:rFonts w:hint="eastAsia"/>
              </w:rPr>
              <w:t>56</w:t>
            </w:r>
          </w:p>
        </w:tc>
        <w:tc>
          <w:tcPr>
            <w:tcW w:w="922" w:type="dxa"/>
          </w:tcPr>
          <w:p w14:paraId="0A046574">
            <w:pPr>
              <w:pStyle w:val="84"/>
            </w:pPr>
            <w:r>
              <w:rPr>
                <w:rFonts w:hint="eastAsia"/>
              </w:rPr>
              <w:t>50</w:t>
            </w:r>
          </w:p>
        </w:tc>
        <w:tc>
          <w:tcPr>
            <w:tcW w:w="924" w:type="dxa"/>
          </w:tcPr>
          <w:p w14:paraId="124AFBD8">
            <w:pPr>
              <w:pStyle w:val="84"/>
            </w:pPr>
            <w:r>
              <w:rPr>
                <w:rFonts w:hint="eastAsia"/>
              </w:rPr>
              <w:t>44</w:t>
            </w:r>
          </w:p>
        </w:tc>
        <w:tc>
          <w:tcPr>
            <w:tcW w:w="922" w:type="dxa"/>
          </w:tcPr>
          <w:p w14:paraId="396A6B3D">
            <w:pPr>
              <w:pStyle w:val="84"/>
            </w:pPr>
            <w:r>
              <w:rPr>
                <w:rFonts w:hint="eastAsia"/>
              </w:rPr>
              <w:t>38</w:t>
            </w:r>
          </w:p>
        </w:tc>
      </w:tr>
      <w:tr w14:paraId="21D42CE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9" w:hRule="atLeast"/>
          <w:jc w:val="center"/>
        </w:trPr>
        <w:tc>
          <w:tcPr>
            <w:tcW w:w="1549" w:type="dxa"/>
            <w:vAlign w:val="center"/>
          </w:tcPr>
          <w:p w14:paraId="05D86F43">
            <w:pPr>
              <w:pStyle w:val="84"/>
            </w:pPr>
            <w:r>
              <w:rPr>
                <w:rFonts w:hint="eastAsia"/>
              </w:rPr>
              <w:t>砂浆泵</w:t>
            </w:r>
          </w:p>
        </w:tc>
        <w:tc>
          <w:tcPr>
            <w:tcW w:w="1035" w:type="dxa"/>
            <w:vAlign w:val="center"/>
          </w:tcPr>
          <w:p w14:paraId="27587225">
            <w:pPr>
              <w:pStyle w:val="84"/>
            </w:pPr>
            <w:r>
              <w:rPr>
                <w:rFonts w:hint="eastAsia"/>
              </w:rPr>
              <w:t>88</w:t>
            </w:r>
          </w:p>
        </w:tc>
        <w:tc>
          <w:tcPr>
            <w:tcW w:w="922" w:type="dxa"/>
          </w:tcPr>
          <w:p w14:paraId="36DF23E4">
            <w:pPr>
              <w:pStyle w:val="84"/>
            </w:pPr>
            <w:r>
              <w:rPr>
                <w:rFonts w:hint="eastAsia"/>
              </w:rPr>
              <w:t>68</w:t>
            </w:r>
          </w:p>
        </w:tc>
        <w:tc>
          <w:tcPr>
            <w:tcW w:w="922" w:type="dxa"/>
          </w:tcPr>
          <w:p w14:paraId="00EDA455">
            <w:pPr>
              <w:pStyle w:val="84"/>
            </w:pPr>
            <w:r>
              <w:rPr>
                <w:rFonts w:hint="eastAsia"/>
              </w:rPr>
              <w:t>62</w:t>
            </w:r>
          </w:p>
        </w:tc>
        <w:tc>
          <w:tcPr>
            <w:tcW w:w="924" w:type="dxa"/>
          </w:tcPr>
          <w:p w14:paraId="3FC32222">
            <w:pPr>
              <w:pStyle w:val="84"/>
            </w:pPr>
            <w:r>
              <w:rPr>
                <w:rFonts w:hint="eastAsia"/>
              </w:rPr>
              <w:t>54</w:t>
            </w:r>
          </w:p>
        </w:tc>
        <w:tc>
          <w:tcPr>
            <w:tcW w:w="922" w:type="dxa"/>
          </w:tcPr>
          <w:p w14:paraId="2BE623EC">
            <w:pPr>
              <w:pStyle w:val="84"/>
            </w:pPr>
            <w:r>
              <w:rPr>
                <w:rFonts w:hint="eastAsia"/>
              </w:rPr>
              <w:t>48</w:t>
            </w:r>
          </w:p>
        </w:tc>
        <w:tc>
          <w:tcPr>
            <w:tcW w:w="924" w:type="dxa"/>
          </w:tcPr>
          <w:p w14:paraId="03C72C78">
            <w:pPr>
              <w:pStyle w:val="84"/>
            </w:pPr>
            <w:r>
              <w:rPr>
                <w:rFonts w:hint="eastAsia"/>
              </w:rPr>
              <w:t>42</w:t>
            </w:r>
          </w:p>
        </w:tc>
        <w:tc>
          <w:tcPr>
            <w:tcW w:w="922" w:type="dxa"/>
          </w:tcPr>
          <w:p w14:paraId="0E2AFD49">
            <w:pPr>
              <w:pStyle w:val="84"/>
            </w:pPr>
            <w:r>
              <w:rPr>
                <w:rFonts w:hint="eastAsia"/>
              </w:rPr>
              <w:t>36</w:t>
            </w:r>
          </w:p>
        </w:tc>
      </w:tr>
      <w:tr w14:paraId="77F580F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9" w:hRule="atLeast"/>
          <w:jc w:val="center"/>
        </w:trPr>
        <w:tc>
          <w:tcPr>
            <w:tcW w:w="1549" w:type="dxa"/>
            <w:vAlign w:val="center"/>
          </w:tcPr>
          <w:p w14:paraId="19FDC8D7">
            <w:pPr>
              <w:pStyle w:val="84"/>
            </w:pPr>
            <w:r>
              <w:rPr>
                <w:rFonts w:hint="eastAsia"/>
              </w:rPr>
              <w:t>破碎机</w:t>
            </w:r>
          </w:p>
        </w:tc>
        <w:tc>
          <w:tcPr>
            <w:tcW w:w="1035" w:type="dxa"/>
            <w:vAlign w:val="center"/>
          </w:tcPr>
          <w:p w14:paraId="7588F546">
            <w:pPr>
              <w:pStyle w:val="84"/>
            </w:pPr>
            <w:r>
              <w:rPr>
                <w:rFonts w:hint="eastAsia"/>
              </w:rPr>
              <w:t>92</w:t>
            </w:r>
          </w:p>
        </w:tc>
        <w:tc>
          <w:tcPr>
            <w:tcW w:w="922" w:type="dxa"/>
          </w:tcPr>
          <w:p w14:paraId="46183001">
            <w:pPr>
              <w:pStyle w:val="84"/>
            </w:pPr>
            <w:r>
              <w:rPr>
                <w:rFonts w:hint="eastAsia"/>
              </w:rPr>
              <w:t>72</w:t>
            </w:r>
          </w:p>
        </w:tc>
        <w:tc>
          <w:tcPr>
            <w:tcW w:w="922" w:type="dxa"/>
          </w:tcPr>
          <w:p w14:paraId="188ED62B">
            <w:pPr>
              <w:pStyle w:val="84"/>
            </w:pPr>
            <w:r>
              <w:rPr>
                <w:rFonts w:hint="eastAsia"/>
              </w:rPr>
              <w:t>66</w:t>
            </w:r>
          </w:p>
        </w:tc>
        <w:tc>
          <w:tcPr>
            <w:tcW w:w="924" w:type="dxa"/>
          </w:tcPr>
          <w:p w14:paraId="00B1FBA8">
            <w:pPr>
              <w:pStyle w:val="84"/>
            </w:pPr>
            <w:r>
              <w:rPr>
                <w:rFonts w:hint="eastAsia"/>
              </w:rPr>
              <w:t>58</w:t>
            </w:r>
          </w:p>
        </w:tc>
        <w:tc>
          <w:tcPr>
            <w:tcW w:w="922" w:type="dxa"/>
          </w:tcPr>
          <w:p w14:paraId="283BBD7E">
            <w:pPr>
              <w:pStyle w:val="84"/>
            </w:pPr>
            <w:r>
              <w:rPr>
                <w:rFonts w:hint="eastAsia"/>
              </w:rPr>
              <w:t>52</w:t>
            </w:r>
          </w:p>
        </w:tc>
        <w:tc>
          <w:tcPr>
            <w:tcW w:w="924" w:type="dxa"/>
          </w:tcPr>
          <w:p w14:paraId="0701BF31">
            <w:pPr>
              <w:pStyle w:val="84"/>
            </w:pPr>
            <w:r>
              <w:rPr>
                <w:rFonts w:hint="eastAsia"/>
              </w:rPr>
              <w:t>46</w:t>
            </w:r>
          </w:p>
        </w:tc>
        <w:tc>
          <w:tcPr>
            <w:tcW w:w="922" w:type="dxa"/>
          </w:tcPr>
          <w:p w14:paraId="73DCD4FC">
            <w:pPr>
              <w:pStyle w:val="84"/>
            </w:pPr>
            <w:r>
              <w:rPr>
                <w:rFonts w:hint="eastAsia"/>
              </w:rPr>
              <w:t>40</w:t>
            </w:r>
          </w:p>
        </w:tc>
      </w:tr>
      <w:tr w14:paraId="679B000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9" w:hRule="atLeast"/>
          <w:jc w:val="center"/>
        </w:trPr>
        <w:tc>
          <w:tcPr>
            <w:tcW w:w="1549" w:type="dxa"/>
            <w:vAlign w:val="center"/>
          </w:tcPr>
          <w:p w14:paraId="080DD397">
            <w:pPr>
              <w:pStyle w:val="84"/>
            </w:pPr>
            <w:r>
              <w:rPr>
                <w:rFonts w:hint="eastAsia"/>
              </w:rPr>
              <w:t>棒磨机</w:t>
            </w:r>
          </w:p>
        </w:tc>
        <w:tc>
          <w:tcPr>
            <w:tcW w:w="1035" w:type="dxa"/>
            <w:vAlign w:val="center"/>
          </w:tcPr>
          <w:p w14:paraId="06C170C3">
            <w:pPr>
              <w:pStyle w:val="84"/>
            </w:pPr>
            <w:r>
              <w:rPr>
                <w:rFonts w:hint="eastAsia"/>
              </w:rPr>
              <w:t>91</w:t>
            </w:r>
          </w:p>
        </w:tc>
        <w:tc>
          <w:tcPr>
            <w:tcW w:w="922" w:type="dxa"/>
          </w:tcPr>
          <w:p w14:paraId="7151B03E">
            <w:pPr>
              <w:pStyle w:val="84"/>
            </w:pPr>
            <w:r>
              <w:rPr>
                <w:rFonts w:hint="eastAsia"/>
              </w:rPr>
              <w:t>71</w:t>
            </w:r>
          </w:p>
        </w:tc>
        <w:tc>
          <w:tcPr>
            <w:tcW w:w="922" w:type="dxa"/>
          </w:tcPr>
          <w:p w14:paraId="4E96CD40">
            <w:pPr>
              <w:pStyle w:val="84"/>
            </w:pPr>
            <w:r>
              <w:rPr>
                <w:rFonts w:hint="eastAsia"/>
              </w:rPr>
              <w:t>65</w:t>
            </w:r>
          </w:p>
        </w:tc>
        <w:tc>
          <w:tcPr>
            <w:tcW w:w="924" w:type="dxa"/>
          </w:tcPr>
          <w:p w14:paraId="12DAC666">
            <w:pPr>
              <w:pStyle w:val="84"/>
            </w:pPr>
            <w:r>
              <w:rPr>
                <w:rFonts w:hint="eastAsia"/>
              </w:rPr>
              <w:t>57</w:t>
            </w:r>
          </w:p>
        </w:tc>
        <w:tc>
          <w:tcPr>
            <w:tcW w:w="922" w:type="dxa"/>
          </w:tcPr>
          <w:p w14:paraId="3DA5B0BF">
            <w:pPr>
              <w:pStyle w:val="84"/>
            </w:pPr>
            <w:r>
              <w:rPr>
                <w:rFonts w:hint="eastAsia"/>
              </w:rPr>
              <w:t>51</w:t>
            </w:r>
          </w:p>
        </w:tc>
        <w:tc>
          <w:tcPr>
            <w:tcW w:w="924" w:type="dxa"/>
          </w:tcPr>
          <w:p w14:paraId="784A080B">
            <w:pPr>
              <w:pStyle w:val="84"/>
            </w:pPr>
            <w:r>
              <w:rPr>
                <w:rFonts w:hint="eastAsia"/>
              </w:rPr>
              <w:t>45</w:t>
            </w:r>
          </w:p>
        </w:tc>
        <w:tc>
          <w:tcPr>
            <w:tcW w:w="922" w:type="dxa"/>
          </w:tcPr>
          <w:p w14:paraId="15177BB3">
            <w:pPr>
              <w:pStyle w:val="84"/>
            </w:pPr>
            <w:r>
              <w:rPr>
                <w:rFonts w:hint="eastAsia"/>
              </w:rPr>
              <w:t>39</w:t>
            </w:r>
          </w:p>
        </w:tc>
      </w:tr>
      <w:tr w14:paraId="00791B6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9" w:hRule="atLeast"/>
          <w:jc w:val="center"/>
        </w:trPr>
        <w:tc>
          <w:tcPr>
            <w:tcW w:w="1549" w:type="dxa"/>
            <w:vAlign w:val="center"/>
          </w:tcPr>
          <w:p w14:paraId="3829145D">
            <w:pPr>
              <w:pStyle w:val="84"/>
            </w:pPr>
            <w:r>
              <w:rPr>
                <w:rFonts w:hint="eastAsia"/>
              </w:rPr>
              <w:t>电焊机</w:t>
            </w:r>
          </w:p>
        </w:tc>
        <w:tc>
          <w:tcPr>
            <w:tcW w:w="1035" w:type="dxa"/>
            <w:vAlign w:val="center"/>
          </w:tcPr>
          <w:p w14:paraId="2112D114">
            <w:pPr>
              <w:pStyle w:val="84"/>
            </w:pPr>
            <w:r>
              <w:rPr>
                <w:rFonts w:hint="eastAsia"/>
              </w:rPr>
              <w:t>88</w:t>
            </w:r>
          </w:p>
        </w:tc>
        <w:tc>
          <w:tcPr>
            <w:tcW w:w="922" w:type="dxa"/>
          </w:tcPr>
          <w:p w14:paraId="32AD892E">
            <w:pPr>
              <w:pStyle w:val="84"/>
            </w:pPr>
            <w:r>
              <w:rPr>
                <w:rFonts w:hint="eastAsia"/>
              </w:rPr>
              <w:t>68</w:t>
            </w:r>
          </w:p>
        </w:tc>
        <w:tc>
          <w:tcPr>
            <w:tcW w:w="922" w:type="dxa"/>
          </w:tcPr>
          <w:p w14:paraId="0F3CA09A">
            <w:pPr>
              <w:pStyle w:val="84"/>
            </w:pPr>
            <w:r>
              <w:rPr>
                <w:rFonts w:hint="eastAsia"/>
              </w:rPr>
              <w:t>62</w:t>
            </w:r>
          </w:p>
        </w:tc>
        <w:tc>
          <w:tcPr>
            <w:tcW w:w="924" w:type="dxa"/>
          </w:tcPr>
          <w:p w14:paraId="4B90B4FA">
            <w:pPr>
              <w:pStyle w:val="84"/>
            </w:pPr>
            <w:r>
              <w:rPr>
                <w:rFonts w:hint="eastAsia"/>
              </w:rPr>
              <w:t>54</w:t>
            </w:r>
          </w:p>
        </w:tc>
        <w:tc>
          <w:tcPr>
            <w:tcW w:w="922" w:type="dxa"/>
          </w:tcPr>
          <w:p w14:paraId="0A62CDC9">
            <w:pPr>
              <w:pStyle w:val="84"/>
            </w:pPr>
            <w:r>
              <w:rPr>
                <w:rFonts w:hint="eastAsia"/>
              </w:rPr>
              <w:t>48</w:t>
            </w:r>
          </w:p>
        </w:tc>
        <w:tc>
          <w:tcPr>
            <w:tcW w:w="924" w:type="dxa"/>
          </w:tcPr>
          <w:p w14:paraId="3ADA5ED8">
            <w:pPr>
              <w:pStyle w:val="84"/>
            </w:pPr>
            <w:r>
              <w:rPr>
                <w:rFonts w:hint="eastAsia"/>
              </w:rPr>
              <w:t>42</w:t>
            </w:r>
          </w:p>
        </w:tc>
        <w:tc>
          <w:tcPr>
            <w:tcW w:w="922" w:type="dxa"/>
          </w:tcPr>
          <w:p w14:paraId="6E25FE1B">
            <w:pPr>
              <w:pStyle w:val="84"/>
            </w:pPr>
            <w:r>
              <w:rPr>
                <w:rFonts w:hint="eastAsia"/>
              </w:rPr>
              <w:t>36</w:t>
            </w:r>
          </w:p>
        </w:tc>
      </w:tr>
    </w:tbl>
    <w:p w14:paraId="3954B7FA">
      <w:pPr>
        <w:spacing w:before="240"/>
        <w:ind w:firstLine="480"/>
      </w:pPr>
      <w:r>
        <w:t>根据</w:t>
      </w:r>
      <w:r>
        <w:rPr>
          <w:rFonts w:hint="eastAsia"/>
        </w:rPr>
        <w:t>上表</w:t>
      </w:r>
      <w:r>
        <w:t>施工噪声影响范围预测结果，施工期噪声在</w:t>
      </w:r>
      <w:r>
        <w:rPr>
          <w:rFonts w:hint="eastAsia"/>
        </w:rPr>
        <w:t>17.7</w:t>
      </w:r>
      <w:r>
        <w:t>m处能达到《建筑施工场界环境噪声排放标准》（GB12523-2011）要求</w:t>
      </w:r>
      <w:r>
        <w:rPr>
          <w:rFonts w:hint="eastAsia"/>
        </w:rPr>
        <w:t>（夜间不施工）</w:t>
      </w:r>
      <w:r>
        <w:t>，在</w:t>
      </w:r>
      <w:r>
        <w:rPr>
          <w:rFonts w:hint="eastAsia"/>
        </w:rPr>
        <w:t>50m外</w:t>
      </w:r>
      <w:r>
        <w:t>能达到《声环境质量标准》</w:t>
      </w:r>
      <w:r>
        <w:rPr>
          <w:rFonts w:hint="eastAsia"/>
        </w:rPr>
        <w:t>（</w:t>
      </w:r>
      <w:r>
        <w:t>GB3096-2008</w:t>
      </w:r>
      <w:r>
        <w:rPr>
          <w:rFonts w:hint="eastAsia"/>
        </w:rPr>
        <w:t>）</w:t>
      </w:r>
      <w:r>
        <w:t>中的</w:t>
      </w:r>
      <w:r>
        <w:rPr>
          <w:rFonts w:hint="eastAsia"/>
        </w:rPr>
        <w:t>2</w:t>
      </w:r>
      <w:r>
        <w:t>类标准要求。</w:t>
      </w:r>
      <w:r>
        <w:rPr>
          <w:rFonts w:hint="eastAsia"/>
        </w:rPr>
        <w:t>距离项目区最近的居民点为其南侧105m处的芒里村，因与项目区之间有芒瑞高速阻隔，电站施工噪声对其影响相对较小。</w:t>
      </w:r>
    </w:p>
    <w:p w14:paraId="767EA72D">
      <w:pPr>
        <w:ind w:firstLine="480"/>
      </w:pPr>
      <w:r>
        <w:t>施工期噪声对野生动物将会产生一定影响</w:t>
      </w:r>
      <w:r>
        <w:rPr>
          <w:rFonts w:hint="eastAsia"/>
        </w:rPr>
        <w:t>，</w:t>
      </w:r>
      <w:r>
        <w:t>对野生动物产生一定的惊吓。但动物具有迁徙能力，一般会迁徙到适宜地区生存，</w:t>
      </w:r>
      <w:r>
        <w:rPr>
          <w:rFonts w:hint="eastAsia"/>
        </w:rPr>
        <w:t>项目施工结束后影响随之消失，</w:t>
      </w:r>
      <w:r>
        <w:t>所以施工噪声对野生动物影响不大。</w:t>
      </w:r>
    </w:p>
    <w:p w14:paraId="42C256FB">
      <w:pPr>
        <w:ind w:firstLine="480"/>
      </w:pPr>
      <w:r>
        <w:rPr>
          <w:rFonts w:hint="eastAsia"/>
        </w:rPr>
        <w:t>2、</w:t>
      </w:r>
      <w:r>
        <w:t>线源噪声影响</w:t>
      </w:r>
    </w:p>
    <w:p w14:paraId="19A340A9">
      <w:pPr>
        <w:ind w:firstLine="480"/>
        <w:rPr>
          <w:kern w:val="0"/>
        </w:rPr>
      </w:pPr>
      <w:r>
        <w:rPr>
          <w:rFonts w:hint="eastAsia"/>
          <w:kern w:val="0"/>
        </w:rPr>
        <w:t>施工期</w:t>
      </w:r>
      <w:r>
        <w:rPr>
          <w:kern w:val="0"/>
        </w:rPr>
        <w:t>线声源主要为交通噪声，采用流动声源模式进行影响预测。</w:t>
      </w:r>
    </w:p>
    <w:p w14:paraId="48656FC2">
      <w:pPr>
        <w:widowControl/>
        <w:ind w:firstLine="480"/>
        <w:jc w:val="center"/>
        <w:rPr>
          <w:kern w:val="0"/>
        </w:rPr>
      </w:pPr>
      <w:r>
        <w:rPr>
          <w:kern w:val="0"/>
        </w:rPr>
        <w:drawing>
          <wp:inline distT="0" distB="0" distL="0" distR="0">
            <wp:extent cx="4142105" cy="161036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142105" cy="1610360"/>
                    </a:xfrm>
                    <a:prstGeom prst="rect">
                      <a:avLst/>
                    </a:prstGeom>
                    <a:noFill/>
                    <a:ln>
                      <a:noFill/>
                    </a:ln>
                  </pic:spPr>
                </pic:pic>
              </a:graphicData>
            </a:graphic>
          </wp:inline>
        </w:drawing>
      </w:r>
    </w:p>
    <w:p w14:paraId="23801879">
      <w:pPr>
        <w:ind w:firstLine="480"/>
      </w:pPr>
      <w:r>
        <w:rPr>
          <w:rFonts w:hint="eastAsia"/>
        </w:rPr>
        <w:t>根据拟建</w:t>
      </w:r>
      <w:r>
        <w:t>工程施工布置、物料运输和土石开挖、弃渣</w:t>
      </w:r>
      <w:r>
        <w:rPr>
          <w:rFonts w:hint="eastAsia"/>
        </w:rPr>
        <w:t>运输</w:t>
      </w:r>
      <w:r>
        <w:t>等，预测时间选择施工高峰期，昼间车流量</w:t>
      </w:r>
      <w:r>
        <w:rPr>
          <w:rFonts w:hint="eastAsia"/>
        </w:rPr>
        <w:t>10</w:t>
      </w:r>
      <w:r>
        <w:t>辆/h、运行速度20km/h，夜间</w:t>
      </w:r>
      <w:r>
        <w:rPr>
          <w:rFonts w:hint="eastAsia"/>
        </w:rPr>
        <w:t>不施工</w:t>
      </w:r>
      <w:r>
        <w:t>。经过计算，昼间</w:t>
      </w:r>
      <w:r>
        <w:rPr>
          <w:rFonts w:hint="eastAsia"/>
        </w:rPr>
        <w:t>距离在15.4m时噪声级小于55</w:t>
      </w:r>
      <w:r>
        <w:t>dB（A）</w:t>
      </w:r>
      <w:r>
        <w:rPr>
          <w:rFonts w:hint="eastAsia"/>
        </w:rPr>
        <w:t>，可达到</w:t>
      </w:r>
      <w:r>
        <w:t>《声环境质量标准》</w:t>
      </w:r>
      <w:r>
        <w:rPr>
          <w:rFonts w:hint="eastAsia"/>
        </w:rPr>
        <w:t>（</w:t>
      </w:r>
      <w:r>
        <w:t>GB3096-2008</w:t>
      </w:r>
      <w:r>
        <w:rPr>
          <w:rFonts w:hint="eastAsia"/>
        </w:rPr>
        <w:t>）</w:t>
      </w:r>
      <w:r>
        <w:t>中的</w:t>
      </w:r>
      <w:r>
        <w:rPr>
          <w:rFonts w:hint="eastAsia"/>
        </w:rPr>
        <w:t>2</w:t>
      </w:r>
      <w:r>
        <w:t>类标准要求</w:t>
      </w:r>
      <w:r>
        <w:rPr>
          <w:rFonts w:hint="eastAsia"/>
        </w:rPr>
        <w:t>，夜间不施工，拟建项目施工期交通运输噪声对周围环境影响较小。</w:t>
      </w:r>
    </w:p>
    <w:p w14:paraId="55417CC1">
      <w:pPr>
        <w:pStyle w:val="82"/>
        <w:framePr w:hSpace="0" w:wrap="auto" w:vAnchor="margin" w:hAnchor="text" w:xAlign="left" w:yAlign="inline"/>
      </w:pPr>
      <w:r>
        <w:t>表</w:t>
      </w:r>
      <w:r>
        <w:rPr>
          <w:rFonts w:hint="eastAsia"/>
        </w:rPr>
        <w:t>6-4-2</w:t>
      </w:r>
      <w:r>
        <w:t xml:space="preserve"> </w:t>
      </w:r>
      <w:r>
        <w:rPr>
          <w:rFonts w:hint="eastAsia"/>
        </w:rPr>
        <w:t xml:space="preserve">   </w:t>
      </w:r>
      <w:r>
        <w:t>电站线声源衰减预测结果统计表</w:t>
      </w:r>
    </w:p>
    <w:tbl>
      <w:tblPr>
        <w:tblStyle w:val="56"/>
        <w:tblW w:w="0" w:type="auto"/>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18"/>
        <w:gridCol w:w="772"/>
        <w:gridCol w:w="773"/>
        <w:gridCol w:w="773"/>
        <w:gridCol w:w="772"/>
        <w:gridCol w:w="773"/>
        <w:gridCol w:w="773"/>
        <w:gridCol w:w="772"/>
        <w:gridCol w:w="773"/>
        <w:gridCol w:w="773"/>
      </w:tblGrid>
      <w:tr w14:paraId="4606C25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418" w:type="dxa"/>
          </w:tcPr>
          <w:p w14:paraId="74069FFE">
            <w:pPr>
              <w:pStyle w:val="84"/>
            </w:pPr>
            <w:r>
              <w:t>距离（m）</w:t>
            </w:r>
          </w:p>
        </w:tc>
        <w:tc>
          <w:tcPr>
            <w:tcW w:w="772" w:type="dxa"/>
          </w:tcPr>
          <w:p w14:paraId="5B1EABF8">
            <w:pPr>
              <w:pStyle w:val="84"/>
            </w:pPr>
            <w:r>
              <w:t>5</w:t>
            </w:r>
          </w:p>
        </w:tc>
        <w:tc>
          <w:tcPr>
            <w:tcW w:w="773" w:type="dxa"/>
          </w:tcPr>
          <w:p w14:paraId="4111778C">
            <w:pPr>
              <w:pStyle w:val="84"/>
            </w:pPr>
            <w:r>
              <w:t>10</w:t>
            </w:r>
          </w:p>
        </w:tc>
        <w:tc>
          <w:tcPr>
            <w:tcW w:w="773" w:type="dxa"/>
          </w:tcPr>
          <w:p w14:paraId="35B4D50F">
            <w:pPr>
              <w:pStyle w:val="84"/>
            </w:pPr>
            <w:r>
              <w:t>15</w:t>
            </w:r>
          </w:p>
        </w:tc>
        <w:tc>
          <w:tcPr>
            <w:tcW w:w="772" w:type="dxa"/>
          </w:tcPr>
          <w:p w14:paraId="5729586A">
            <w:pPr>
              <w:pStyle w:val="84"/>
            </w:pPr>
            <w:r>
              <w:t>20</w:t>
            </w:r>
          </w:p>
        </w:tc>
        <w:tc>
          <w:tcPr>
            <w:tcW w:w="773" w:type="dxa"/>
          </w:tcPr>
          <w:p w14:paraId="56531A61">
            <w:pPr>
              <w:pStyle w:val="84"/>
            </w:pPr>
            <w:r>
              <w:t>50</w:t>
            </w:r>
          </w:p>
        </w:tc>
        <w:tc>
          <w:tcPr>
            <w:tcW w:w="773" w:type="dxa"/>
          </w:tcPr>
          <w:p w14:paraId="11F21ED0">
            <w:pPr>
              <w:pStyle w:val="84"/>
            </w:pPr>
            <w:r>
              <w:t>60</w:t>
            </w:r>
          </w:p>
        </w:tc>
        <w:tc>
          <w:tcPr>
            <w:tcW w:w="772" w:type="dxa"/>
          </w:tcPr>
          <w:p w14:paraId="12273253">
            <w:pPr>
              <w:pStyle w:val="84"/>
            </w:pPr>
            <w:r>
              <w:t>100</w:t>
            </w:r>
          </w:p>
        </w:tc>
        <w:tc>
          <w:tcPr>
            <w:tcW w:w="773" w:type="dxa"/>
          </w:tcPr>
          <w:p w14:paraId="2C2AEE66">
            <w:pPr>
              <w:pStyle w:val="84"/>
            </w:pPr>
            <w:r>
              <w:t>150</w:t>
            </w:r>
          </w:p>
        </w:tc>
        <w:tc>
          <w:tcPr>
            <w:tcW w:w="773" w:type="dxa"/>
          </w:tcPr>
          <w:p w14:paraId="068610FC">
            <w:pPr>
              <w:pStyle w:val="84"/>
            </w:pPr>
            <w:r>
              <w:t>200</w:t>
            </w:r>
          </w:p>
        </w:tc>
      </w:tr>
      <w:tr w14:paraId="1425057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418" w:type="dxa"/>
          </w:tcPr>
          <w:p w14:paraId="2A4F0F9D">
            <w:pPr>
              <w:pStyle w:val="84"/>
            </w:pPr>
            <w:r>
              <w:t>昼间dB（A）</w:t>
            </w:r>
          </w:p>
        </w:tc>
        <w:tc>
          <w:tcPr>
            <w:tcW w:w="772" w:type="dxa"/>
          </w:tcPr>
          <w:p w14:paraId="3DC413C7">
            <w:pPr>
              <w:pStyle w:val="84"/>
            </w:pPr>
            <w:r>
              <w:rPr>
                <w:rFonts w:hint="eastAsia"/>
              </w:rPr>
              <w:t>59.8</w:t>
            </w:r>
          </w:p>
        </w:tc>
        <w:tc>
          <w:tcPr>
            <w:tcW w:w="773" w:type="dxa"/>
          </w:tcPr>
          <w:p w14:paraId="26E79787">
            <w:pPr>
              <w:pStyle w:val="84"/>
            </w:pPr>
            <w:r>
              <w:rPr>
                <w:rFonts w:hint="eastAsia"/>
              </w:rPr>
              <w:t>56</w:t>
            </w:r>
            <w:r>
              <w:t>.8</w:t>
            </w:r>
          </w:p>
        </w:tc>
        <w:tc>
          <w:tcPr>
            <w:tcW w:w="773" w:type="dxa"/>
          </w:tcPr>
          <w:p w14:paraId="4870F8E6">
            <w:pPr>
              <w:pStyle w:val="84"/>
            </w:pPr>
            <w:r>
              <w:rPr>
                <w:rFonts w:hint="eastAsia"/>
              </w:rPr>
              <w:t>55.1</w:t>
            </w:r>
          </w:p>
        </w:tc>
        <w:tc>
          <w:tcPr>
            <w:tcW w:w="772" w:type="dxa"/>
          </w:tcPr>
          <w:p w14:paraId="577CE149">
            <w:pPr>
              <w:pStyle w:val="84"/>
            </w:pPr>
            <w:r>
              <w:t>5</w:t>
            </w:r>
            <w:r>
              <w:rPr>
                <w:rFonts w:hint="eastAsia"/>
              </w:rPr>
              <w:t>3</w:t>
            </w:r>
            <w:r>
              <w:t>.8</w:t>
            </w:r>
          </w:p>
        </w:tc>
        <w:tc>
          <w:tcPr>
            <w:tcW w:w="773" w:type="dxa"/>
          </w:tcPr>
          <w:p w14:paraId="5EB0EF9D">
            <w:pPr>
              <w:pStyle w:val="84"/>
            </w:pPr>
            <w:r>
              <w:rPr>
                <w:rFonts w:hint="eastAsia"/>
              </w:rPr>
              <w:t>49.8</w:t>
            </w:r>
          </w:p>
        </w:tc>
        <w:tc>
          <w:tcPr>
            <w:tcW w:w="773" w:type="dxa"/>
          </w:tcPr>
          <w:p w14:paraId="2238AD99">
            <w:pPr>
              <w:pStyle w:val="84"/>
            </w:pPr>
            <w:r>
              <w:rPr>
                <w:rFonts w:hint="eastAsia"/>
              </w:rPr>
              <w:t>49</w:t>
            </w:r>
          </w:p>
        </w:tc>
        <w:tc>
          <w:tcPr>
            <w:tcW w:w="772" w:type="dxa"/>
          </w:tcPr>
          <w:p w14:paraId="183D4B47">
            <w:pPr>
              <w:pStyle w:val="84"/>
            </w:pPr>
            <w:r>
              <w:t>4</w:t>
            </w:r>
            <w:r>
              <w:rPr>
                <w:rFonts w:hint="eastAsia"/>
              </w:rPr>
              <w:t>6</w:t>
            </w:r>
            <w:r>
              <w:t>.8</w:t>
            </w:r>
          </w:p>
        </w:tc>
        <w:tc>
          <w:tcPr>
            <w:tcW w:w="773" w:type="dxa"/>
          </w:tcPr>
          <w:p w14:paraId="5A69E7BA">
            <w:pPr>
              <w:pStyle w:val="84"/>
            </w:pPr>
            <w:r>
              <w:t>4</w:t>
            </w:r>
            <w:r>
              <w:rPr>
                <w:rFonts w:hint="eastAsia"/>
              </w:rPr>
              <w:t>5</w:t>
            </w:r>
          </w:p>
        </w:tc>
        <w:tc>
          <w:tcPr>
            <w:tcW w:w="773" w:type="dxa"/>
          </w:tcPr>
          <w:p w14:paraId="37228F9F">
            <w:pPr>
              <w:pStyle w:val="84"/>
            </w:pPr>
            <w:r>
              <w:t>4</w:t>
            </w:r>
            <w:r>
              <w:rPr>
                <w:rFonts w:hint="eastAsia"/>
              </w:rPr>
              <w:t>3</w:t>
            </w:r>
            <w:r>
              <w:t>.8</w:t>
            </w:r>
          </w:p>
        </w:tc>
      </w:tr>
    </w:tbl>
    <w:p w14:paraId="01FF79CC">
      <w:pPr>
        <w:pStyle w:val="113"/>
      </w:pPr>
      <w:bookmarkStart w:id="722" w:name="_Toc397428368"/>
      <w:bookmarkStart w:id="723" w:name="_Toc454046565"/>
      <w:bookmarkStart w:id="724" w:name="_Toc508642493"/>
      <w:bookmarkStart w:id="725" w:name="_Toc471738045"/>
      <w:bookmarkStart w:id="726" w:name="_Toc443655464"/>
      <w:r>
        <w:rPr>
          <w:rFonts w:hint="eastAsia"/>
        </w:rPr>
        <w:t>6.4.2</w:t>
      </w:r>
      <w:r>
        <w:t>运行期</w:t>
      </w:r>
      <w:bookmarkEnd w:id="722"/>
      <w:bookmarkEnd w:id="723"/>
      <w:bookmarkEnd w:id="724"/>
      <w:bookmarkEnd w:id="725"/>
      <w:bookmarkEnd w:id="726"/>
    </w:p>
    <w:p w14:paraId="706DB750">
      <w:pPr>
        <w:ind w:firstLine="480"/>
      </w:pPr>
      <w:r>
        <w:rPr>
          <w:rFonts w:hint="eastAsia"/>
        </w:rPr>
        <w:t>根据工程分析，电站运行期</w:t>
      </w:r>
      <w:r>
        <w:t>噪声主要为水轮机、发电机运转时产生的机械振动型噪声和尾水排放时产生的流体动力性噪声，</w:t>
      </w:r>
      <w:r>
        <w:rPr>
          <w:rFonts w:hint="eastAsia"/>
        </w:rPr>
        <w:t>源强</w:t>
      </w:r>
      <w:r>
        <w:t>最高为88dB(A)。在不考虑屏障隔声的情况下，距厂房不同距离的噪声值</w:t>
      </w:r>
      <w:r>
        <w:rPr>
          <w:rFonts w:hint="eastAsia"/>
        </w:rPr>
        <w:t>见下表：</w:t>
      </w:r>
    </w:p>
    <w:p w14:paraId="11C0C397">
      <w:pPr>
        <w:pStyle w:val="82"/>
        <w:framePr w:hSpace="0" w:wrap="auto" w:vAnchor="margin" w:hAnchor="text" w:xAlign="left" w:yAlign="inline"/>
      </w:pPr>
      <w:r>
        <w:t>表</w:t>
      </w:r>
      <w:r>
        <w:rPr>
          <w:rFonts w:hint="eastAsia"/>
        </w:rPr>
        <w:t>6-4-3</w:t>
      </w:r>
      <w:r>
        <w:t xml:space="preserve">  </w:t>
      </w:r>
      <w:r>
        <w:rPr>
          <w:rFonts w:hint="eastAsia"/>
        </w:rPr>
        <w:t xml:space="preserve"> </w:t>
      </w:r>
      <w:r>
        <w:t>距声源不同距离处的噪声值</w:t>
      </w:r>
      <w:r>
        <w:rPr>
          <w:rFonts w:hint="eastAsia"/>
        </w:rPr>
        <w:t xml:space="preserve">   单位：</w:t>
      </w:r>
      <w:r>
        <w:t>dB（A）</w:t>
      </w:r>
    </w:p>
    <w:tbl>
      <w:tblPr>
        <w:tblStyle w:val="56"/>
        <w:tblW w:w="0" w:type="auto"/>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405"/>
        <w:gridCol w:w="927"/>
        <w:gridCol w:w="999"/>
        <w:gridCol w:w="854"/>
        <w:gridCol w:w="925"/>
        <w:gridCol w:w="1075"/>
        <w:gridCol w:w="997"/>
        <w:gridCol w:w="1154"/>
      </w:tblGrid>
      <w:tr w14:paraId="2F5222D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5" w:hRule="atLeast"/>
          <w:tblHeader/>
          <w:jc w:val="center"/>
        </w:trPr>
        <w:tc>
          <w:tcPr>
            <w:tcW w:w="1405" w:type="dxa"/>
            <w:tcMar>
              <w:top w:w="15" w:type="dxa"/>
              <w:left w:w="15" w:type="dxa"/>
              <w:bottom w:w="0" w:type="dxa"/>
              <w:right w:w="15" w:type="dxa"/>
            </w:tcMar>
            <w:vAlign w:val="center"/>
          </w:tcPr>
          <w:p w14:paraId="12C6EBE4">
            <w:pPr>
              <w:pStyle w:val="84"/>
            </w:pPr>
            <w:r>
              <w:t>设备名称</w:t>
            </w:r>
          </w:p>
        </w:tc>
        <w:tc>
          <w:tcPr>
            <w:tcW w:w="927" w:type="dxa"/>
            <w:tcMar>
              <w:top w:w="15" w:type="dxa"/>
              <w:left w:w="15" w:type="dxa"/>
              <w:bottom w:w="0" w:type="dxa"/>
              <w:right w:w="15" w:type="dxa"/>
            </w:tcMar>
            <w:vAlign w:val="center"/>
          </w:tcPr>
          <w:p w14:paraId="4467BDEB">
            <w:pPr>
              <w:pStyle w:val="84"/>
            </w:pPr>
            <w:r>
              <w:t>0m</w:t>
            </w:r>
          </w:p>
        </w:tc>
        <w:tc>
          <w:tcPr>
            <w:tcW w:w="999" w:type="dxa"/>
            <w:tcMar>
              <w:top w:w="15" w:type="dxa"/>
              <w:left w:w="15" w:type="dxa"/>
              <w:bottom w:w="0" w:type="dxa"/>
              <w:right w:w="15" w:type="dxa"/>
            </w:tcMar>
            <w:vAlign w:val="center"/>
          </w:tcPr>
          <w:p w14:paraId="1F05C4D4">
            <w:pPr>
              <w:pStyle w:val="84"/>
            </w:pPr>
            <w:r>
              <w:t>10m</w:t>
            </w:r>
          </w:p>
        </w:tc>
        <w:tc>
          <w:tcPr>
            <w:tcW w:w="854" w:type="dxa"/>
            <w:tcMar>
              <w:top w:w="15" w:type="dxa"/>
              <w:left w:w="15" w:type="dxa"/>
              <w:bottom w:w="0" w:type="dxa"/>
              <w:right w:w="15" w:type="dxa"/>
            </w:tcMar>
            <w:vAlign w:val="center"/>
          </w:tcPr>
          <w:p w14:paraId="7E83215A">
            <w:pPr>
              <w:pStyle w:val="84"/>
            </w:pPr>
            <w:r>
              <w:t>20m</w:t>
            </w:r>
          </w:p>
        </w:tc>
        <w:tc>
          <w:tcPr>
            <w:tcW w:w="925" w:type="dxa"/>
            <w:tcMar>
              <w:top w:w="15" w:type="dxa"/>
              <w:left w:w="15" w:type="dxa"/>
              <w:bottom w:w="0" w:type="dxa"/>
              <w:right w:w="15" w:type="dxa"/>
            </w:tcMar>
            <w:vAlign w:val="center"/>
          </w:tcPr>
          <w:p w14:paraId="63E40A9F">
            <w:pPr>
              <w:pStyle w:val="84"/>
            </w:pPr>
            <w:r>
              <w:t>50m</w:t>
            </w:r>
          </w:p>
        </w:tc>
        <w:tc>
          <w:tcPr>
            <w:tcW w:w="1075" w:type="dxa"/>
            <w:tcMar>
              <w:top w:w="15" w:type="dxa"/>
              <w:left w:w="15" w:type="dxa"/>
              <w:bottom w:w="0" w:type="dxa"/>
              <w:right w:w="15" w:type="dxa"/>
            </w:tcMar>
            <w:vAlign w:val="center"/>
          </w:tcPr>
          <w:p w14:paraId="1CCF723E">
            <w:pPr>
              <w:pStyle w:val="84"/>
            </w:pPr>
            <w:r>
              <w:t>100m</w:t>
            </w:r>
          </w:p>
        </w:tc>
        <w:tc>
          <w:tcPr>
            <w:tcW w:w="997" w:type="dxa"/>
            <w:tcMar>
              <w:top w:w="15" w:type="dxa"/>
              <w:left w:w="15" w:type="dxa"/>
              <w:bottom w:w="0" w:type="dxa"/>
              <w:right w:w="15" w:type="dxa"/>
            </w:tcMar>
            <w:vAlign w:val="center"/>
          </w:tcPr>
          <w:p w14:paraId="401C6483">
            <w:pPr>
              <w:pStyle w:val="84"/>
            </w:pPr>
            <w:r>
              <w:t>150m</w:t>
            </w:r>
          </w:p>
        </w:tc>
        <w:tc>
          <w:tcPr>
            <w:tcW w:w="1154" w:type="dxa"/>
            <w:tcMar>
              <w:top w:w="15" w:type="dxa"/>
              <w:left w:w="15" w:type="dxa"/>
              <w:bottom w:w="0" w:type="dxa"/>
              <w:right w:w="15" w:type="dxa"/>
            </w:tcMar>
            <w:vAlign w:val="center"/>
          </w:tcPr>
          <w:p w14:paraId="4381AFCB">
            <w:pPr>
              <w:pStyle w:val="84"/>
            </w:pPr>
            <w:r>
              <w:t>200m</w:t>
            </w:r>
          </w:p>
        </w:tc>
      </w:tr>
      <w:tr w14:paraId="2C07FBC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1405" w:type="dxa"/>
            <w:tcMar>
              <w:top w:w="15" w:type="dxa"/>
              <w:left w:w="15" w:type="dxa"/>
              <w:bottom w:w="0" w:type="dxa"/>
              <w:right w:w="15" w:type="dxa"/>
            </w:tcMar>
            <w:vAlign w:val="center"/>
          </w:tcPr>
          <w:p w14:paraId="7758148F">
            <w:pPr>
              <w:pStyle w:val="84"/>
            </w:pPr>
            <w:r>
              <w:t>水轮机、尾水</w:t>
            </w:r>
          </w:p>
        </w:tc>
        <w:tc>
          <w:tcPr>
            <w:tcW w:w="927" w:type="dxa"/>
            <w:tcMar>
              <w:top w:w="15" w:type="dxa"/>
              <w:left w:w="15" w:type="dxa"/>
              <w:bottom w:w="0" w:type="dxa"/>
              <w:right w:w="15" w:type="dxa"/>
            </w:tcMar>
            <w:vAlign w:val="center"/>
          </w:tcPr>
          <w:p w14:paraId="466B67A2">
            <w:pPr>
              <w:pStyle w:val="84"/>
            </w:pPr>
            <w:r>
              <w:t>88</w:t>
            </w:r>
          </w:p>
        </w:tc>
        <w:tc>
          <w:tcPr>
            <w:tcW w:w="999" w:type="dxa"/>
            <w:tcMar>
              <w:top w:w="15" w:type="dxa"/>
              <w:left w:w="15" w:type="dxa"/>
              <w:bottom w:w="0" w:type="dxa"/>
              <w:right w:w="15" w:type="dxa"/>
            </w:tcMar>
            <w:vAlign w:val="center"/>
          </w:tcPr>
          <w:p w14:paraId="228EFE15">
            <w:pPr>
              <w:pStyle w:val="84"/>
            </w:pPr>
            <w:r>
              <w:t>68</w:t>
            </w:r>
          </w:p>
        </w:tc>
        <w:tc>
          <w:tcPr>
            <w:tcW w:w="854" w:type="dxa"/>
            <w:tcMar>
              <w:top w:w="15" w:type="dxa"/>
              <w:left w:w="15" w:type="dxa"/>
              <w:bottom w:w="0" w:type="dxa"/>
              <w:right w:w="15" w:type="dxa"/>
            </w:tcMar>
            <w:vAlign w:val="center"/>
          </w:tcPr>
          <w:p w14:paraId="787E4253">
            <w:pPr>
              <w:pStyle w:val="84"/>
            </w:pPr>
            <w:r>
              <w:t>62</w:t>
            </w:r>
          </w:p>
        </w:tc>
        <w:tc>
          <w:tcPr>
            <w:tcW w:w="925" w:type="dxa"/>
            <w:tcMar>
              <w:top w:w="15" w:type="dxa"/>
              <w:left w:w="15" w:type="dxa"/>
              <w:bottom w:w="0" w:type="dxa"/>
              <w:right w:w="15" w:type="dxa"/>
            </w:tcMar>
            <w:vAlign w:val="center"/>
          </w:tcPr>
          <w:p w14:paraId="08B83AED">
            <w:pPr>
              <w:pStyle w:val="84"/>
            </w:pPr>
            <w:r>
              <w:t>54</w:t>
            </w:r>
          </w:p>
        </w:tc>
        <w:tc>
          <w:tcPr>
            <w:tcW w:w="1075" w:type="dxa"/>
            <w:tcMar>
              <w:top w:w="15" w:type="dxa"/>
              <w:left w:w="15" w:type="dxa"/>
              <w:bottom w:w="0" w:type="dxa"/>
              <w:right w:w="15" w:type="dxa"/>
            </w:tcMar>
            <w:vAlign w:val="center"/>
          </w:tcPr>
          <w:p w14:paraId="49DFB953">
            <w:pPr>
              <w:pStyle w:val="84"/>
            </w:pPr>
            <w:r>
              <w:t>48</w:t>
            </w:r>
          </w:p>
        </w:tc>
        <w:tc>
          <w:tcPr>
            <w:tcW w:w="997" w:type="dxa"/>
            <w:tcMar>
              <w:top w:w="15" w:type="dxa"/>
              <w:left w:w="15" w:type="dxa"/>
              <w:bottom w:w="0" w:type="dxa"/>
              <w:right w:w="15" w:type="dxa"/>
            </w:tcMar>
            <w:vAlign w:val="center"/>
          </w:tcPr>
          <w:p w14:paraId="6AA45BAC">
            <w:pPr>
              <w:pStyle w:val="84"/>
            </w:pPr>
            <w:r>
              <w:t>44</w:t>
            </w:r>
            <w:r>
              <w:rPr>
                <w:rFonts w:hint="eastAsia"/>
              </w:rPr>
              <w:t>.5</w:t>
            </w:r>
          </w:p>
        </w:tc>
        <w:tc>
          <w:tcPr>
            <w:tcW w:w="1154" w:type="dxa"/>
            <w:tcMar>
              <w:top w:w="15" w:type="dxa"/>
              <w:left w:w="15" w:type="dxa"/>
              <w:bottom w:w="0" w:type="dxa"/>
              <w:right w:w="15" w:type="dxa"/>
            </w:tcMar>
            <w:vAlign w:val="center"/>
          </w:tcPr>
          <w:p w14:paraId="14A70360">
            <w:pPr>
              <w:pStyle w:val="84"/>
            </w:pPr>
            <w:r>
              <w:t>42</w:t>
            </w:r>
          </w:p>
        </w:tc>
      </w:tr>
    </w:tbl>
    <w:p w14:paraId="26BB626B">
      <w:pPr>
        <w:spacing w:before="120"/>
        <w:ind w:firstLine="480"/>
        <w:rPr>
          <w:rFonts w:cstheme="minorBidi"/>
        </w:rPr>
      </w:pPr>
      <w:r>
        <w:rPr>
          <w:rFonts w:hint="eastAsia" w:cstheme="minorBidi"/>
        </w:rPr>
        <w:t>由上表可以看出，在没有任何屏障隔声的情况下，昼间在44.6m外，噪声才能达到《工业企业厂界环境噪声排放标准》（GB12348-2008）2类标准；在距厂房141m范围以外，厂界噪声昼间、夜间均能满足《工业企业厂界环境噪声排放标准》（GB12348-2008）2类标准。电站运行期间，水轮机与发电机均位于封闭的厂房内，噪声可衰减10</w:t>
      </w:r>
      <w:r>
        <w:t>dB(A)</w:t>
      </w:r>
      <w:r>
        <w:rPr>
          <w:rFonts w:hint="eastAsia" w:cstheme="minorBidi"/>
        </w:rPr>
        <w:t>~15</w:t>
      </w:r>
      <w:r>
        <w:t>dB(A)</w:t>
      </w:r>
      <w:r>
        <w:rPr>
          <w:rFonts w:hint="eastAsia"/>
        </w:rPr>
        <w:t>，</w:t>
      </w:r>
      <w:r>
        <w:rPr>
          <w:rFonts w:hint="eastAsia" w:cstheme="minorBidi"/>
        </w:rPr>
        <w:t>与最近的噪声敏感点芒里村距离约105m，团结水电站厂房周边布设有大量绿化，噪声经厂房隔声、绿化降噪及距离衰减后对周围环境的影响不大。</w:t>
      </w:r>
    </w:p>
    <w:p w14:paraId="7F8EEF2E">
      <w:pPr>
        <w:ind w:firstLine="480"/>
      </w:pPr>
      <w:r>
        <w:rPr>
          <w:rFonts w:hint="eastAsia" w:cstheme="minorBidi"/>
        </w:rPr>
        <w:t>根</w:t>
      </w:r>
      <w:r>
        <w:rPr>
          <w:rFonts w:hint="eastAsia"/>
        </w:rPr>
        <w:t>据现场踏勘，团结水电站与芒里村之间有龙瑞高速相隔，高速路靠近芒里村的地方已设置了隔声屏，电站运行期间所产生的噪声经过隔声屏过滤后，对芒里村所产生的影响不大。</w:t>
      </w:r>
    </w:p>
    <w:p w14:paraId="24ACCF52">
      <w:pPr>
        <w:ind w:firstLine="0" w:firstLineChars="0"/>
        <w:jc w:val="center"/>
        <w:rPr>
          <w:rFonts w:cstheme="minorBidi"/>
        </w:rPr>
      </w:pPr>
      <w:r>
        <w:rPr>
          <w:rFonts w:cstheme="minorBidi"/>
        </w:rPr>
        <w:drawing>
          <wp:inline distT="0" distB="0" distL="0" distR="0">
            <wp:extent cx="3003550" cy="2251710"/>
            <wp:effectExtent l="0" t="0" r="6350" b="0"/>
            <wp:docPr id="6" name="图片 6" descr="E:\1项目\1送审稿\2报告书\17团结电站2015.12.10\0资料\现场照片12.14\IMG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1项目\1送审稿\2报告书\17团结电站2015.12.10\0资料\现场照片12.14\IMG_004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005173" cy="2253472"/>
                    </a:xfrm>
                    <a:prstGeom prst="rect">
                      <a:avLst/>
                    </a:prstGeom>
                    <a:noFill/>
                    <a:ln>
                      <a:noFill/>
                    </a:ln>
                  </pic:spPr>
                </pic:pic>
              </a:graphicData>
            </a:graphic>
          </wp:inline>
        </w:drawing>
      </w:r>
    </w:p>
    <w:p w14:paraId="0F262F88">
      <w:pPr>
        <w:pStyle w:val="82"/>
        <w:framePr w:hSpace="0" w:wrap="auto" w:vAnchor="margin" w:hAnchor="text" w:xAlign="left" w:yAlign="inline"/>
      </w:pPr>
      <w:r>
        <w:rPr>
          <w:rFonts w:hint="eastAsia"/>
        </w:rPr>
        <w:t>图6-4-1  龙瑞高速隔声屏障</w:t>
      </w:r>
    </w:p>
    <w:p w14:paraId="5710C170">
      <w:pPr>
        <w:pStyle w:val="4"/>
      </w:pPr>
      <w:bookmarkStart w:id="727" w:name="_Toc471738046"/>
      <w:bookmarkStart w:id="728" w:name="_Toc454046566"/>
      <w:bookmarkStart w:id="729" w:name="_Toc443655465"/>
      <w:bookmarkStart w:id="730" w:name="_Toc365812683"/>
      <w:bookmarkStart w:id="731" w:name="_Toc508642494"/>
      <w:bookmarkStart w:id="732" w:name="_Toc397428369"/>
      <w:r>
        <w:rPr>
          <w:rFonts w:hint="eastAsia"/>
        </w:rPr>
        <w:t>6.5固体废物</w:t>
      </w:r>
      <w:bookmarkEnd w:id="727"/>
      <w:bookmarkEnd w:id="728"/>
      <w:bookmarkEnd w:id="729"/>
      <w:bookmarkEnd w:id="730"/>
      <w:bookmarkEnd w:id="731"/>
      <w:bookmarkEnd w:id="732"/>
    </w:p>
    <w:p w14:paraId="3DCA645C">
      <w:pPr>
        <w:pStyle w:val="113"/>
      </w:pPr>
      <w:bookmarkStart w:id="733" w:name="_Toc508642495"/>
      <w:bookmarkStart w:id="734" w:name="_Toc3695"/>
      <w:bookmarkStart w:id="735" w:name="_Toc443655466"/>
      <w:bookmarkStart w:id="736" w:name="_Toc454046567"/>
      <w:bookmarkStart w:id="737" w:name="_Toc355709028"/>
      <w:bookmarkStart w:id="738" w:name="_Toc355784557"/>
      <w:bookmarkStart w:id="739" w:name="_Toc397428370"/>
      <w:bookmarkStart w:id="740" w:name="_Toc471738047"/>
      <w:bookmarkStart w:id="741" w:name="_Toc356556732"/>
      <w:bookmarkStart w:id="742" w:name="_Toc355784316"/>
      <w:bookmarkStart w:id="743" w:name="_Toc365812684"/>
      <w:r>
        <w:rPr>
          <w:rFonts w:hint="eastAsia"/>
        </w:rPr>
        <w:t>6.5.1施工期</w:t>
      </w:r>
      <w:bookmarkEnd w:id="733"/>
      <w:bookmarkEnd w:id="734"/>
      <w:bookmarkEnd w:id="735"/>
      <w:bookmarkEnd w:id="736"/>
      <w:bookmarkEnd w:id="737"/>
      <w:bookmarkEnd w:id="738"/>
      <w:bookmarkEnd w:id="739"/>
      <w:bookmarkEnd w:id="740"/>
      <w:bookmarkEnd w:id="741"/>
      <w:bookmarkEnd w:id="742"/>
      <w:bookmarkEnd w:id="743"/>
    </w:p>
    <w:p w14:paraId="4FF3F5B3">
      <w:pPr>
        <w:ind w:firstLine="480"/>
        <w:rPr>
          <w:color w:val="FF0000"/>
        </w:rPr>
      </w:pPr>
      <w:r>
        <w:rPr>
          <w:rFonts w:hint="eastAsia"/>
          <w:color w:val="FF0000"/>
        </w:rPr>
        <w:t>1、工程弃渣</w:t>
      </w:r>
    </w:p>
    <w:p w14:paraId="1B9F354D">
      <w:pPr>
        <w:ind w:firstLine="480"/>
        <w:rPr>
          <w:rFonts w:ascii="宋体" w:hAnsi="宋体" w:cstheme="minorBidi"/>
          <w:color w:val="FF0000"/>
        </w:rPr>
      </w:pPr>
      <w:r>
        <w:rPr>
          <w:rFonts w:hint="eastAsia"/>
          <w:color w:val="FF0000"/>
        </w:rPr>
        <w:t>根据工程分析，电站</w:t>
      </w:r>
      <w:r>
        <w:rPr>
          <w:color w:val="FF0000"/>
        </w:rPr>
        <w:t>施工期开挖土石方</w:t>
      </w:r>
      <w:r>
        <w:rPr>
          <w:rFonts w:hint="eastAsia"/>
          <w:color w:val="FF0000"/>
        </w:rPr>
        <w:t>共计609</w:t>
      </w:r>
      <w:r>
        <w:rPr>
          <w:color w:val="FF0000"/>
        </w:rPr>
        <w:t>37</w:t>
      </w:r>
      <w:r>
        <w:rPr>
          <w:rFonts w:hint="eastAsia"/>
          <w:color w:val="FF0000"/>
          <w:szCs w:val="24"/>
        </w:rPr>
        <w:t>m</w:t>
      </w:r>
      <w:r>
        <w:rPr>
          <w:color w:val="FF0000"/>
          <w:szCs w:val="24"/>
          <w:vertAlign w:val="superscript"/>
        </w:rPr>
        <w:t>3</w:t>
      </w:r>
      <w:r>
        <w:rPr>
          <w:rFonts w:hint="eastAsia"/>
          <w:color w:val="FF0000"/>
          <w:szCs w:val="24"/>
        </w:rPr>
        <w:t>，其中土方</w:t>
      </w:r>
      <w:r>
        <w:rPr>
          <w:rFonts w:hint="eastAsia"/>
          <w:color w:val="FF0000"/>
        </w:rPr>
        <w:t>49182</w:t>
      </w:r>
      <w:r>
        <w:rPr>
          <w:rFonts w:hint="eastAsia"/>
          <w:color w:val="FF0000"/>
          <w:szCs w:val="24"/>
        </w:rPr>
        <w:t>m</w:t>
      </w:r>
      <w:r>
        <w:rPr>
          <w:rFonts w:hint="eastAsia"/>
          <w:color w:val="FF0000"/>
          <w:szCs w:val="24"/>
          <w:vertAlign w:val="superscript"/>
        </w:rPr>
        <w:t>3</w:t>
      </w:r>
      <w:r>
        <w:rPr>
          <w:rFonts w:hint="eastAsia"/>
          <w:color w:val="FF0000"/>
          <w:szCs w:val="24"/>
        </w:rPr>
        <w:t>，石方11755m</w:t>
      </w:r>
      <w:r>
        <w:rPr>
          <w:rFonts w:hint="eastAsia"/>
          <w:color w:val="FF0000"/>
          <w:szCs w:val="24"/>
          <w:vertAlign w:val="superscript"/>
        </w:rPr>
        <w:t>3</w:t>
      </w:r>
      <w:r>
        <w:rPr>
          <w:rFonts w:hint="eastAsia"/>
          <w:color w:val="FF0000"/>
          <w:szCs w:val="24"/>
        </w:rPr>
        <w:t>，回填利用量25922m</w:t>
      </w:r>
      <w:r>
        <w:rPr>
          <w:rFonts w:hint="eastAsia"/>
          <w:color w:val="FF0000"/>
          <w:szCs w:val="24"/>
          <w:vertAlign w:val="superscript"/>
        </w:rPr>
        <w:t>3</w:t>
      </w:r>
      <w:r>
        <w:rPr>
          <w:rFonts w:hint="eastAsia"/>
          <w:color w:val="FF0000"/>
          <w:szCs w:val="24"/>
        </w:rPr>
        <w:t>，调出</w:t>
      </w:r>
      <w:r>
        <w:rPr>
          <w:rFonts w:hint="eastAsia" w:hAnsi="宋体"/>
          <w:color w:val="FF0000"/>
          <w:szCs w:val="24"/>
        </w:rPr>
        <w:t>35015</w:t>
      </w:r>
      <w:r>
        <w:rPr>
          <w:rFonts w:hint="eastAsia"/>
          <w:color w:val="FF0000"/>
          <w:szCs w:val="24"/>
        </w:rPr>
        <w:t>m</w:t>
      </w:r>
      <w:r>
        <w:rPr>
          <w:rFonts w:hint="eastAsia"/>
          <w:color w:val="FF0000"/>
          <w:szCs w:val="24"/>
          <w:vertAlign w:val="superscript"/>
        </w:rPr>
        <w:t>3</w:t>
      </w:r>
      <w:r>
        <w:rPr>
          <w:rFonts w:hint="eastAsia"/>
          <w:color w:val="FF0000"/>
          <w:szCs w:val="24"/>
        </w:rPr>
        <w:t>，因此本工程实际并无弃渣产生。</w:t>
      </w:r>
      <w:r>
        <w:rPr>
          <w:rFonts w:hint="eastAsia" w:cstheme="minorBidi"/>
          <w:color w:val="FF0000"/>
        </w:rPr>
        <w:t>因施工产生的剥离</w:t>
      </w:r>
      <w:r>
        <w:rPr>
          <w:rFonts w:cstheme="minorBidi"/>
          <w:color w:val="FF0000"/>
        </w:rPr>
        <w:t>表土</w:t>
      </w:r>
      <w:r>
        <w:rPr>
          <w:rFonts w:hint="eastAsia"/>
          <w:color w:val="FF0000"/>
        </w:rPr>
        <w:t>采取就近剥离就近堆放原则，表土</w:t>
      </w:r>
      <w:r>
        <w:rPr>
          <w:rFonts w:cstheme="minorBidi"/>
          <w:color w:val="FF0000"/>
        </w:rPr>
        <w:t>将用于施工生产生活场地绿化覆土土料</w:t>
      </w:r>
      <w:r>
        <w:rPr>
          <w:rFonts w:hint="eastAsia" w:cstheme="minorBidi"/>
          <w:color w:val="FF0000"/>
        </w:rPr>
        <w:t>，不会对周围环境造成影响。</w:t>
      </w:r>
    </w:p>
    <w:p w14:paraId="351D8956">
      <w:pPr>
        <w:ind w:firstLine="480"/>
      </w:pPr>
      <w:r>
        <w:rPr>
          <w:rFonts w:hint="eastAsia"/>
        </w:rPr>
        <w:t>2、生活垃圾</w:t>
      </w:r>
    </w:p>
    <w:p w14:paraId="60392BE6">
      <w:pPr>
        <w:ind w:firstLine="480"/>
      </w:pPr>
      <w:r>
        <w:rPr>
          <w:rFonts w:hint="eastAsia"/>
          <w:szCs w:val="24"/>
        </w:rPr>
        <w:t>施工现场设置旱厕，粪便由周边居民清掏用作农肥或绿化肥料；</w:t>
      </w:r>
      <w:r>
        <w:rPr>
          <w:szCs w:val="24"/>
        </w:rPr>
        <w:t>生活垃圾由施工人员在日常生活中产生，根据施工规划人数，</w:t>
      </w:r>
      <w:r>
        <w:t>施工期垃圾产生量</w:t>
      </w:r>
      <w:r>
        <w:rPr>
          <w:rFonts w:hint="eastAsia"/>
        </w:rPr>
        <w:t>为50</w:t>
      </w:r>
      <w:r>
        <w:t>kg/d，施工期</w:t>
      </w:r>
      <w:r>
        <w:rPr>
          <w:rFonts w:hint="eastAsia"/>
        </w:rPr>
        <w:t>共计</w:t>
      </w:r>
      <w:r>
        <w:t>产生垃圾</w:t>
      </w:r>
      <w:r>
        <w:rPr>
          <w:rFonts w:hint="eastAsia"/>
        </w:rPr>
        <w:t>18</w:t>
      </w:r>
      <w:r>
        <w:t>t。在生活区设置垃圾收集</w:t>
      </w:r>
      <w:r>
        <w:rPr>
          <w:rFonts w:hint="eastAsia"/>
        </w:rPr>
        <w:t>设施</w:t>
      </w:r>
      <w:r>
        <w:t>，集中堆放</w:t>
      </w:r>
      <w:r>
        <w:rPr>
          <w:rFonts w:hint="eastAsia"/>
        </w:rPr>
        <w:t>后依托周边村庄垃圾收集设施进行处置</w:t>
      </w:r>
      <w:r>
        <w:t>，对环境产生的影响很小。</w:t>
      </w:r>
    </w:p>
    <w:p w14:paraId="40F1A241">
      <w:pPr>
        <w:pStyle w:val="113"/>
      </w:pPr>
      <w:bookmarkStart w:id="744" w:name="_Toc454046568"/>
      <w:bookmarkStart w:id="745" w:name="_Toc471738048"/>
      <w:bookmarkStart w:id="746" w:name="_Toc356556733"/>
      <w:bookmarkStart w:id="747" w:name="_Toc355784317"/>
      <w:bookmarkStart w:id="748" w:name="_Toc508642496"/>
      <w:bookmarkStart w:id="749" w:name="_Toc355784558"/>
      <w:bookmarkStart w:id="750" w:name="_Toc355709029"/>
      <w:bookmarkStart w:id="751" w:name="_Toc443655467"/>
      <w:bookmarkStart w:id="752" w:name="_Toc25106"/>
      <w:bookmarkStart w:id="753" w:name="_Toc397428371"/>
      <w:bookmarkStart w:id="754" w:name="_Toc365812685"/>
      <w:r>
        <w:rPr>
          <w:rFonts w:hint="eastAsia"/>
        </w:rPr>
        <w:t>6.5.2运行期</w:t>
      </w:r>
      <w:bookmarkEnd w:id="744"/>
      <w:bookmarkEnd w:id="745"/>
      <w:bookmarkEnd w:id="746"/>
      <w:bookmarkEnd w:id="747"/>
      <w:bookmarkEnd w:id="748"/>
      <w:bookmarkEnd w:id="749"/>
      <w:bookmarkEnd w:id="750"/>
      <w:bookmarkEnd w:id="751"/>
      <w:bookmarkEnd w:id="752"/>
      <w:bookmarkEnd w:id="753"/>
      <w:bookmarkEnd w:id="754"/>
    </w:p>
    <w:p w14:paraId="2D3E0012">
      <w:pPr>
        <w:ind w:firstLine="480"/>
        <w:rPr>
          <w:lang w:val="zh-CN"/>
        </w:rPr>
      </w:pPr>
      <w:r>
        <w:rPr>
          <w:rFonts w:hint="eastAsia"/>
          <w:color w:val="FF0000"/>
          <w:szCs w:val="20"/>
        </w:rPr>
        <w:t>电站运行期间劳动定员为2人，根据工程分析，生活垃圾产生量仅为0.</w:t>
      </w:r>
      <w:r>
        <w:rPr>
          <w:rFonts w:hint="eastAsia" w:cstheme="minorBidi"/>
          <w:color w:val="FF0000"/>
        </w:rPr>
        <w:t>4</w:t>
      </w:r>
      <w:r>
        <w:rPr>
          <w:rFonts w:cstheme="minorBidi"/>
          <w:color w:val="FF0000"/>
        </w:rPr>
        <w:t>kg/d</w:t>
      </w:r>
      <w:r>
        <w:rPr>
          <w:rFonts w:hint="eastAsia" w:cstheme="minorBidi"/>
          <w:color w:val="FF0000"/>
        </w:rPr>
        <w:t>，即146kg/a。管理用房设有垃圾收集桶用以收集生活垃圾。</w:t>
      </w:r>
      <w:r>
        <w:rPr>
          <w:rFonts w:hint="eastAsia" w:cstheme="minorBidi"/>
        </w:rPr>
        <w:t>生活垃圾</w:t>
      </w:r>
      <w:r>
        <w:rPr>
          <w:rFonts w:cstheme="minorBidi"/>
        </w:rPr>
        <w:t>集中堆放，定</w:t>
      </w:r>
      <w:r>
        <w:rPr>
          <w:rFonts w:hint="eastAsia" w:cstheme="minorBidi"/>
        </w:rPr>
        <w:t>期</w:t>
      </w:r>
      <w:r>
        <w:rPr>
          <w:rFonts w:cstheme="minorBidi"/>
        </w:rPr>
        <w:t>清运，进行简单分拣</w:t>
      </w:r>
      <w:r>
        <w:rPr>
          <w:rFonts w:hint="eastAsia" w:cstheme="minorBidi"/>
        </w:rPr>
        <w:t>。</w:t>
      </w:r>
      <w:r>
        <w:rPr>
          <w:rFonts w:cstheme="minorBidi"/>
        </w:rPr>
        <w:t>纸张、塑料制品、废金属等可回收垃圾分类集中堆放，定期运往废品收购站</w:t>
      </w:r>
      <w:r>
        <w:rPr>
          <w:rFonts w:hint="eastAsia" w:cstheme="minorBidi"/>
        </w:rPr>
        <w:t>；</w:t>
      </w:r>
      <w:r>
        <w:rPr>
          <w:rFonts w:cstheme="minorBidi"/>
        </w:rPr>
        <w:t>其余不能回收</w:t>
      </w:r>
      <w:r>
        <w:rPr>
          <w:rFonts w:hint="eastAsia" w:cstheme="minorBidi"/>
        </w:rPr>
        <w:t>利用的垃圾，</w:t>
      </w:r>
      <w:r>
        <w:t>集中堆放</w:t>
      </w:r>
      <w:r>
        <w:rPr>
          <w:rFonts w:hint="eastAsia"/>
        </w:rPr>
        <w:t>后依托周边村庄垃圾收集设施进行处置</w:t>
      </w:r>
      <w:r>
        <w:rPr>
          <w:lang w:val="zh-CN"/>
        </w:rPr>
        <w:t>。</w:t>
      </w:r>
    </w:p>
    <w:p w14:paraId="4192A1F9">
      <w:pPr>
        <w:ind w:firstLine="480"/>
        <w:rPr>
          <w:rFonts w:cstheme="minorBidi"/>
          <w:color w:val="FF0000"/>
        </w:rPr>
      </w:pPr>
      <w:r>
        <w:rPr>
          <w:rFonts w:cstheme="minorBidi"/>
          <w:color w:val="FF0000"/>
        </w:rPr>
        <w:t>此外，电站运行期</w:t>
      </w:r>
      <w:r>
        <w:rPr>
          <w:rFonts w:hint="eastAsia" w:cstheme="minorBidi"/>
          <w:color w:val="FF0000"/>
        </w:rPr>
        <w:t>间机械设备进行检修时会产生一定量的</w:t>
      </w:r>
      <w:r>
        <w:rPr>
          <w:rFonts w:cstheme="minorBidi"/>
          <w:color w:val="FF0000"/>
        </w:rPr>
        <w:t>废机油</w:t>
      </w:r>
      <w:r>
        <w:rPr>
          <w:rFonts w:hint="eastAsia" w:cstheme="minorBidi"/>
          <w:color w:val="FF0000"/>
        </w:rPr>
        <w:t>（属于危废）</w:t>
      </w:r>
      <w:r>
        <w:rPr>
          <w:rFonts w:cstheme="minorBidi"/>
          <w:color w:val="FF0000"/>
        </w:rPr>
        <w:t>，如果渗漏到</w:t>
      </w:r>
      <w:r>
        <w:rPr>
          <w:rFonts w:hint="eastAsia" w:cstheme="minorBidi"/>
          <w:color w:val="FF0000"/>
        </w:rPr>
        <w:t>芒市河内</w:t>
      </w:r>
      <w:r>
        <w:rPr>
          <w:rFonts w:cstheme="minorBidi"/>
          <w:color w:val="FF0000"/>
        </w:rPr>
        <w:t>，</w:t>
      </w:r>
      <w:r>
        <w:rPr>
          <w:rFonts w:hint="eastAsia" w:cstheme="minorBidi"/>
          <w:color w:val="FF0000"/>
        </w:rPr>
        <w:t>也</w:t>
      </w:r>
      <w:r>
        <w:rPr>
          <w:rFonts w:cstheme="minorBidi"/>
          <w:color w:val="FF0000"/>
        </w:rPr>
        <w:t>会对其水质产生影响。</w:t>
      </w:r>
    </w:p>
    <w:p w14:paraId="07843E20">
      <w:pPr>
        <w:ind w:firstLine="480"/>
        <w:rPr>
          <w:rFonts w:cstheme="minorBidi"/>
          <w:color w:val="FF0000"/>
        </w:rPr>
      </w:pPr>
      <w:r>
        <w:rPr>
          <w:rFonts w:hint="eastAsia" w:cstheme="minorBidi"/>
          <w:color w:val="FF0000"/>
        </w:rPr>
        <w:t>环评要求建设单位在副厂房内设置</w:t>
      </w:r>
      <w:r>
        <w:rPr>
          <w:rFonts w:hint="eastAsia"/>
          <w:color w:val="FF0000"/>
        </w:rPr>
        <w:t>危废暂存室，地面需进行防渗处理，其内设置</w:t>
      </w:r>
      <w:r>
        <w:rPr>
          <w:color w:val="FF0000"/>
        </w:rPr>
        <w:t>废油收集桶</w:t>
      </w:r>
      <w:r>
        <w:rPr>
          <w:rFonts w:hint="eastAsia"/>
          <w:color w:val="FF0000"/>
        </w:rPr>
        <w:t>，并于危废暂存室门口及废油收集桶上设置明显的危险废物标志牌，电站检修产生的废机油需及时放入</w:t>
      </w:r>
      <w:r>
        <w:rPr>
          <w:color w:val="FF0000"/>
        </w:rPr>
        <w:t>废油收集桶</w:t>
      </w:r>
      <w:r>
        <w:rPr>
          <w:rFonts w:hint="eastAsia"/>
          <w:color w:val="FF0000"/>
        </w:rPr>
        <w:t>内妥善贮存，并按照《危险废物贮存污染控制标准》（GB18596-2001）对废机油进行管理，委托具有相应资质的单位进行清运、处置，做好废机油储存处置</w:t>
      </w:r>
      <w:bookmarkStart w:id="1200" w:name="_GoBack"/>
      <w:bookmarkEnd w:id="1200"/>
      <w:r>
        <w:rPr>
          <w:rFonts w:hint="eastAsia"/>
          <w:color w:val="FF0000"/>
          <w:lang w:eastAsia="zh-CN"/>
        </w:rPr>
        <w:t>台账</w:t>
      </w:r>
      <w:r>
        <w:rPr>
          <w:rFonts w:hint="eastAsia"/>
          <w:color w:val="FF0000"/>
        </w:rPr>
        <w:t>，每年定期到芒市环境保护局进行备案登记</w:t>
      </w:r>
      <w:r>
        <w:rPr>
          <w:color w:val="FF0000"/>
        </w:rPr>
        <w:t>。</w:t>
      </w:r>
    </w:p>
    <w:p w14:paraId="2DAE1817">
      <w:pPr>
        <w:pStyle w:val="4"/>
        <w:rPr>
          <w:color w:val="FF0000"/>
        </w:rPr>
      </w:pPr>
      <w:bookmarkStart w:id="755" w:name="_Toc508642497"/>
      <w:r>
        <w:rPr>
          <w:rFonts w:hint="eastAsia"/>
          <w:color w:val="FF0000"/>
        </w:rPr>
        <w:t>6.6项目建设对芒瑞大道、龙瑞高速的影响分析</w:t>
      </w:r>
      <w:bookmarkEnd w:id="755"/>
    </w:p>
    <w:p w14:paraId="22FF589F">
      <w:pPr>
        <w:ind w:firstLine="480"/>
        <w:rPr>
          <w:color w:val="FF0000"/>
        </w:rPr>
      </w:pPr>
      <w:r>
        <w:rPr>
          <w:rFonts w:hint="eastAsia"/>
          <w:color w:val="FF0000"/>
        </w:rPr>
        <w:t>根据《中华人民共和国公路管理条例》（2011年7月1日起施行）第四章第二十九条：在公路两侧修建永久性工程设施，其建筑物边缘与公路边沟外缘的间距为：国道不少于20米，省道不小于15米，县道不少于10米，乡道不少于5米。</w:t>
      </w:r>
    </w:p>
    <w:p w14:paraId="2171BCCB">
      <w:pPr>
        <w:ind w:firstLine="480"/>
        <w:rPr>
          <w:color w:val="FF0000"/>
        </w:rPr>
      </w:pPr>
      <w:r>
        <w:rPr>
          <w:rFonts w:hint="eastAsia"/>
          <w:color w:val="FF0000"/>
        </w:rPr>
        <w:t>本项目永久性建筑物包括拦河坝、主厂房、副厂房、升压站以及尾水渠等，电站南侧有龙瑞高速公路（龙陵至瑞丽段，属杭瑞高速公路（G56）的最后一段），东北侧有芒瑞大道（项目区附近路段为城市快速路）通过。</w:t>
      </w:r>
    </w:p>
    <w:p w14:paraId="6FF39745">
      <w:pPr>
        <w:ind w:firstLine="480"/>
        <w:rPr>
          <w:color w:val="FF0000"/>
        </w:rPr>
      </w:pPr>
      <w:r>
        <w:rPr>
          <w:rFonts w:hint="eastAsia"/>
          <w:color w:val="FF0000"/>
        </w:rPr>
        <w:t>电站拦河坝距离龙瑞高速公路最近距离为59.4m，主厂房距离龙瑞高速公路最近距离为39.3m，副厂房距离龙瑞高速公路最近距离为26m，升压站距离龙瑞高速公路最近距离为26.3m，尾水渠距离龙瑞高速公路最近距离为21.3m。</w:t>
      </w:r>
    </w:p>
    <w:p w14:paraId="2E552CE6">
      <w:pPr>
        <w:ind w:firstLine="480"/>
        <w:rPr>
          <w:color w:val="FF0000"/>
        </w:rPr>
      </w:pPr>
      <w:r>
        <w:rPr>
          <w:rFonts w:hint="eastAsia"/>
          <w:color w:val="FF0000"/>
        </w:rPr>
        <w:t>电站拦河坝距离芒瑞大道最近距离为23m，主厂房距离芒瑞大道最近距离为54.5m，副厂房距离芒瑞大道最近距离为52m，升压站距离芒瑞大道最近距离为68.3m，尾水渠距离芒瑞大道最近距离为45.5m。</w:t>
      </w:r>
    </w:p>
    <w:p w14:paraId="78AB14DE">
      <w:pPr>
        <w:ind w:firstLine="0" w:firstLineChars="0"/>
        <w:rPr>
          <w:color w:val="FF0000"/>
        </w:rPr>
      </w:pPr>
      <w:r>
        <w:rPr>
          <w:color w:val="FF0000"/>
        </w:rPr>
        <w:drawing>
          <wp:inline distT="0" distB="0" distL="0" distR="0">
            <wp:extent cx="5274310" cy="4103370"/>
            <wp:effectExtent l="0" t="0" r="2540" b="0"/>
            <wp:docPr id="15" name="图片 15" descr="C:\Users\Administrator\Desktop\与道路的距离关系图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与道路的距离关系图 - 副本.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74310" cy="4103605"/>
                    </a:xfrm>
                    <a:prstGeom prst="rect">
                      <a:avLst/>
                    </a:prstGeom>
                    <a:noFill/>
                    <a:ln>
                      <a:noFill/>
                    </a:ln>
                  </pic:spPr>
                </pic:pic>
              </a:graphicData>
            </a:graphic>
          </wp:inline>
        </w:drawing>
      </w:r>
    </w:p>
    <w:p w14:paraId="40EF783E">
      <w:pPr>
        <w:pStyle w:val="82"/>
        <w:framePr w:hSpace="0" w:wrap="auto" w:vAnchor="margin" w:hAnchor="text" w:xAlign="left" w:yAlign="inline"/>
        <w:rPr>
          <w:color w:val="FF0000"/>
        </w:rPr>
      </w:pPr>
      <w:r>
        <w:rPr>
          <w:rFonts w:hint="eastAsia"/>
          <w:color w:val="FF0000"/>
        </w:rPr>
        <w:t>图6.6-1  电站永久性建筑物与龙瑞高速公路和芒瑞大道的位置关系示意图</w:t>
      </w:r>
    </w:p>
    <w:p w14:paraId="71D3BC7E">
      <w:pPr>
        <w:spacing w:before="240"/>
        <w:ind w:firstLine="480"/>
        <w:rPr>
          <w:color w:val="FF0000"/>
        </w:rPr>
      </w:pPr>
      <w:r>
        <w:rPr>
          <w:rFonts w:hint="eastAsia"/>
          <w:color w:val="FF0000"/>
        </w:rPr>
        <w:t>综上，电站永久性建筑物（尾水渠）与龙瑞高速公路的最近距离为21.3m，永久性建筑物（拦河坝）与芒瑞大道的最近距离为23m，均大于20m，符合《中华人民共和国公路管理条例》（2009年1月1日起施行）的相关要求，项目建设对龙瑞高速公路和芒瑞大道的影响不大。</w:t>
      </w:r>
    </w:p>
    <w:p w14:paraId="7A416B04">
      <w:pPr>
        <w:ind w:firstLine="480"/>
        <w:rPr>
          <w:color w:val="FF0000"/>
        </w:rPr>
      </w:pPr>
      <w:r>
        <w:rPr>
          <w:rFonts w:hint="eastAsia"/>
          <w:color w:val="FF0000"/>
        </w:rPr>
        <w:t>本次评价要求建设单位严格控制施工边界，禁止超计划占地，特别应注意拦河坝、主厂房、副厂房、升压站以及尾水渠等永久性建筑物与龙瑞高速公路和芒瑞大道的控制距离不得超过20m。</w:t>
      </w:r>
    </w:p>
    <w:p w14:paraId="683116AE">
      <w:pPr>
        <w:ind w:firstLine="480"/>
      </w:pPr>
      <w:r>
        <w:br w:type="page"/>
      </w:r>
    </w:p>
    <w:p w14:paraId="22B103EA">
      <w:pPr>
        <w:pStyle w:val="180"/>
      </w:pPr>
      <w:bookmarkStart w:id="756" w:name="_Toc471738050"/>
      <w:bookmarkStart w:id="757" w:name="_Toc508642498"/>
      <w:bookmarkStart w:id="758" w:name="_Toc454046571"/>
      <w:bookmarkStart w:id="759" w:name="_Toc443655470"/>
      <w:r>
        <w:rPr>
          <w:rFonts w:hint="eastAsia"/>
        </w:rPr>
        <w:t>7环境风险分析</w:t>
      </w:r>
      <w:bookmarkEnd w:id="756"/>
      <w:bookmarkEnd w:id="757"/>
      <w:bookmarkEnd w:id="758"/>
      <w:bookmarkEnd w:id="759"/>
    </w:p>
    <w:p w14:paraId="153CEAE7">
      <w:pPr>
        <w:pStyle w:val="4"/>
      </w:pPr>
      <w:bookmarkStart w:id="760" w:name="_Toc437790610"/>
      <w:bookmarkStart w:id="761" w:name="_Toc471738051"/>
      <w:bookmarkStart w:id="762" w:name="_Toc25296"/>
      <w:bookmarkStart w:id="763" w:name="_Toc435968815"/>
      <w:bookmarkStart w:id="764" w:name="_Toc11807"/>
      <w:bookmarkStart w:id="765" w:name="_Toc454046572"/>
      <w:bookmarkStart w:id="766" w:name="_Toc21560"/>
      <w:bookmarkStart w:id="767" w:name="_Toc24365"/>
      <w:bookmarkStart w:id="768" w:name="_Toc508642499"/>
      <w:bookmarkStart w:id="769" w:name="_Toc443655476"/>
      <w:r>
        <w:rPr>
          <w:rFonts w:hint="eastAsia"/>
        </w:rPr>
        <w:t>7.1 评价目的</w:t>
      </w:r>
      <w:bookmarkEnd w:id="760"/>
      <w:bookmarkEnd w:id="761"/>
      <w:bookmarkEnd w:id="762"/>
      <w:bookmarkEnd w:id="763"/>
      <w:bookmarkEnd w:id="764"/>
      <w:bookmarkEnd w:id="765"/>
      <w:bookmarkEnd w:id="766"/>
      <w:bookmarkEnd w:id="767"/>
      <w:bookmarkEnd w:id="768"/>
    </w:p>
    <w:p w14:paraId="40A7AC24">
      <w:pPr>
        <w:ind w:firstLine="480"/>
      </w:pPr>
      <w:r>
        <w:t>水电站工程建设对环境的影响主要为生态影响，相应</w:t>
      </w:r>
      <w:r>
        <w:rPr>
          <w:rFonts w:hint="eastAsia"/>
        </w:rPr>
        <w:t>的</w:t>
      </w:r>
      <w:r>
        <w:t>环境风险主要为外源风险，本工程的施工与运行主要是增加风险发生概率或加剧风险危害。根据本工程施工及运行特点、周围环境特点以及工程与周围环境之间的关系，可能存在的主要</w:t>
      </w:r>
      <w:r>
        <w:rPr>
          <w:rFonts w:hint="eastAsia"/>
        </w:rPr>
        <w:t>环境</w:t>
      </w:r>
      <w:r>
        <w:t>风险源包括道路交通运输以及人为风险源</w:t>
      </w:r>
      <w:r>
        <w:rPr>
          <w:rFonts w:hint="eastAsia"/>
        </w:rPr>
        <w:t>、森林火灾等风险</w:t>
      </w:r>
      <w:r>
        <w:t>等。</w:t>
      </w:r>
    </w:p>
    <w:p w14:paraId="055DF849">
      <w:pPr>
        <w:pStyle w:val="4"/>
      </w:pPr>
      <w:bookmarkStart w:id="770" w:name="_Toc3605"/>
      <w:bookmarkStart w:id="771" w:name="_Toc27240"/>
      <w:bookmarkStart w:id="772" w:name="_Toc5452"/>
      <w:bookmarkStart w:id="773" w:name="_Toc437790611"/>
      <w:bookmarkStart w:id="774" w:name="_Toc435968816"/>
      <w:bookmarkStart w:id="775" w:name="_Toc17098"/>
      <w:bookmarkStart w:id="776" w:name="_Toc471738052"/>
      <w:bookmarkStart w:id="777" w:name="_Toc454046573"/>
      <w:bookmarkStart w:id="778" w:name="_Toc508642500"/>
      <w:r>
        <w:rPr>
          <w:rFonts w:hint="eastAsia"/>
        </w:rPr>
        <w:t>7.2 施工期</w:t>
      </w:r>
      <w:bookmarkEnd w:id="770"/>
      <w:bookmarkEnd w:id="771"/>
      <w:bookmarkEnd w:id="772"/>
      <w:bookmarkEnd w:id="773"/>
      <w:bookmarkEnd w:id="774"/>
      <w:bookmarkEnd w:id="775"/>
      <w:bookmarkEnd w:id="776"/>
      <w:bookmarkEnd w:id="777"/>
      <w:bookmarkEnd w:id="778"/>
    </w:p>
    <w:p w14:paraId="6955813E">
      <w:pPr>
        <w:pStyle w:val="113"/>
      </w:pPr>
      <w:bookmarkStart w:id="779" w:name="_Toc454046574"/>
      <w:bookmarkStart w:id="780" w:name="_Toc435968817"/>
      <w:bookmarkStart w:id="781" w:name="_Toc12827"/>
      <w:bookmarkStart w:id="782" w:name="_Toc24874"/>
      <w:bookmarkStart w:id="783" w:name="_Toc375640752"/>
      <w:bookmarkStart w:id="784" w:name="_Toc29199"/>
      <w:bookmarkStart w:id="785" w:name="_Toc437790612"/>
      <w:bookmarkStart w:id="786" w:name="_Toc7926"/>
      <w:bookmarkStart w:id="787" w:name="_Toc508642501"/>
      <w:bookmarkStart w:id="788" w:name="_Toc471738053"/>
      <w:r>
        <w:rPr>
          <w:rFonts w:hint="eastAsia"/>
        </w:rPr>
        <w:t>7</w:t>
      </w:r>
      <w:r>
        <w:t>.</w:t>
      </w:r>
      <w:r>
        <w:rPr>
          <w:rFonts w:hint="eastAsia"/>
        </w:rPr>
        <w:t>2</w:t>
      </w:r>
      <w:r>
        <w:t>.1</w:t>
      </w:r>
      <w:bookmarkEnd w:id="779"/>
      <w:bookmarkEnd w:id="780"/>
      <w:bookmarkEnd w:id="781"/>
      <w:bookmarkEnd w:id="782"/>
      <w:bookmarkEnd w:id="783"/>
      <w:bookmarkEnd w:id="784"/>
      <w:bookmarkEnd w:id="785"/>
      <w:bookmarkEnd w:id="786"/>
      <w:bookmarkStart w:id="789" w:name="_Toc426446221"/>
      <w:bookmarkStart w:id="790" w:name="_Toc375640754"/>
      <w:bookmarkStart w:id="791" w:name="_Toc11409"/>
      <w:bookmarkStart w:id="792" w:name="_Toc454046575"/>
      <w:bookmarkStart w:id="793" w:name="_Toc437790613"/>
      <w:bookmarkStart w:id="794" w:name="_Toc24468"/>
      <w:bookmarkStart w:id="795" w:name="_Toc19705"/>
      <w:bookmarkStart w:id="796" w:name="_Toc1317"/>
      <w:bookmarkStart w:id="797" w:name="_Toc435968818"/>
      <w:r>
        <w:rPr>
          <w:rFonts w:hint="eastAsia"/>
        </w:rPr>
        <w:t>交通运输对</w:t>
      </w:r>
      <w:r>
        <w:t>河流水质</w:t>
      </w:r>
      <w:r>
        <w:rPr>
          <w:rFonts w:hint="eastAsia"/>
        </w:rPr>
        <w:t>的</w:t>
      </w:r>
      <w:r>
        <w:t>污染风险分析及应急措施</w:t>
      </w:r>
      <w:bookmarkEnd w:id="787"/>
      <w:bookmarkEnd w:id="788"/>
      <w:bookmarkEnd w:id="789"/>
      <w:bookmarkEnd w:id="790"/>
    </w:p>
    <w:p w14:paraId="7F1444CB">
      <w:pPr>
        <w:ind w:firstLine="480"/>
        <w:rPr>
          <w:szCs w:val="24"/>
        </w:rPr>
      </w:pPr>
      <w:r>
        <w:rPr>
          <w:rFonts w:hint="eastAsia"/>
          <w:szCs w:val="24"/>
        </w:rPr>
        <w:t>本工程砂料场位于</w:t>
      </w:r>
      <w:r>
        <w:rPr>
          <w:rFonts w:hint="eastAsia" w:hAnsi="宋体"/>
          <w:szCs w:val="24"/>
        </w:rPr>
        <w:t>电站</w:t>
      </w:r>
      <w:r>
        <w:rPr>
          <w:rFonts w:hint="eastAsia"/>
        </w:rPr>
        <w:t>坝址下游1.8km处芒市河河床内</w:t>
      </w:r>
      <w:r>
        <w:rPr>
          <w:rFonts w:hint="eastAsia"/>
          <w:szCs w:val="24"/>
        </w:rPr>
        <w:t>，施工期砂料的运输使得库区周边车流量加大，增加交通事故发生的概率，进而增加运输过程中因交通事故倾泄入河，造成水体严重污染的环境风险的概率。因此，需要加强运输道路的交通管制，增设交通标志牌，并注意路面维护，以降低工程施工运输过程中因交通事故倾泄入河，造成水体严重污染的环境风险的概率。</w:t>
      </w:r>
    </w:p>
    <w:p w14:paraId="3C6F3A0A">
      <w:pPr>
        <w:pStyle w:val="113"/>
      </w:pPr>
      <w:bookmarkStart w:id="798" w:name="_Toc471738054"/>
      <w:bookmarkStart w:id="799" w:name="_Toc508642502"/>
      <w:r>
        <w:rPr>
          <w:rFonts w:hint="eastAsia"/>
        </w:rPr>
        <w:t xml:space="preserve">7.2.2 </w:t>
      </w:r>
      <w:bookmarkStart w:id="800" w:name="_Toc375640753"/>
      <w:r>
        <w:rPr>
          <w:rFonts w:hint="eastAsia"/>
        </w:rPr>
        <w:t>森林火灾风险分析及应急措施</w:t>
      </w:r>
      <w:bookmarkEnd w:id="791"/>
      <w:bookmarkEnd w:id="792"/>
      <w:bookmarkEnd w:id="793"/>
      <w:bookmarkEnd w:id="794"/>
      <w:bookmarkEnd w:id="795"/>
      <w:bookmarkEnd w:id="796"/>
      <w:bookmarkEnd w:id="797"/>
      <w:bookmarkEnd w:id="798"/>
      <w:bookmarkEnd w:id="799"/>
      <w:bookmarkEnd w:id="800"/>
    </w:p>
    <w:p w14:paraId="300AD7F7">
      <w:pPr>
        <w:ind w:firstLine="480"/>
      </w:pPr>
      <w:r>
        <w:t>在工程施工期由于施工机械、燃油、电器以及施工人员增多，增加火灾风险，将会对工程区内植被构成潜在威胁</w:t>
      </w:r>
      <w:r>
        <w:rPr>
          <w:rFonts w:hint="eastAsia"/>
        </w:rPr>
        <w:t>。</w:t>
      </w:r>
      <w:r>
        <w:t>因此</w:t>
      </w:r>
      <w:r>
        <w:rPr>
          <w:rFonts w:hint="eastAsia"/>
        </w:rPr>
        <w:t>，在</w:t>
      </w:r>
      <w:r>
        <w:t>施工过程中，必须采取有效的防范措施。根据施工规划，施工期将在施工区内建立防火及火灾警报系统，严格执行野外用火的相关报批制度。</w:t>
      </w:r>
      <w:r>
        <w:rPr>
          <w:rFonts w:hint="eastAsia"/>
        </w:rPr>
        <w:t>除此</w:t>
      </w:r>
      <w:r>
        <w:t>之外，还需要对施工人员进行防火宣传教育，并严格规范和限制施工人员的野外活动，严禁施工人员</w:t>
      </w:r>
      <w:r>
        <w:rPr>
          <w:rFonts w:cs="宋体"/>
          <w:kern w:val="0"/>
        </w:rPr>
        <w:t>私</w:t>
      </w:r>
      <w:r>
        <w:t>自野外用火，作好吸烟和生活用火等火源管理，严格控制易燃易爆器材的使用</w:t>
      </w:r>
      <w:r>
        <w:rPr>
          <w:rFonts w:hint="eastAsia"/>
        </w:rPr>
        <w:t>。</w:t>
      </w:r>
    </w:p>
    <w:p w14:paraId="09F0AC42">
      <w:pPr>
        <w:pStyle w:val="4"/>
      </w:pPr>
      <w:bookmarkStart w:id="801" w:name="_Toc18558"/>
      <w:bookmarkStart w:id="802" w:name="_Toc437790615"/>
      <w:bookmarkStart w:id="803" w:name="_Toc454046577"/>
      <w:bookmarkStart w:id="804" w:name="_Toc26839"/>
      <w:bookmarkStart w:id="805" w:name="_Toc5861"/>
      <w:bookmarkStart w:id="806" w:name="_Toc435968820"/>
      <w:bookmarkStart w:id="807" w:name="_Toc508642503"/>
      <w:bookmarkStart w:id="808" w:name="_Toc27313"/>
      <w:bookmarkStart w:id="809" w:name="_Toc471738055"/>
      <w:r>
        <w:rPr>
          <w:rFonts w:hint="eastAsia"/>
        </w:rPr>
        <w:t>7.3 运行期</w:t>
      </w:r>
      <w:bookmarkEnd w:id="801"/>
      <w:bookmarkEnd w:id="802"/>
      <w:bookmarkEnd w:id="803"/>
      <w:bookmarkEnd w:id="804"/>
      <w:bookmarkEnd w:id="805"/>
      <w:bookmarkEnd w:id="806"/>
      <w:bookmarkEnd w:id="807"/>
      <w:bookmarkEnd w:id="808"/>
      <w:bookmarkEnd w:id="809"/>
    </w:p>
    <w:p w14:paraId="6840900A">
      <w:pPr>
        <w:pStyle w:val="113"/>
        <w:rPr>
          <w:rStyle w:val="64"/>
          <w:color w:val="auto"/>
          <w:sz w:val="28"/>
          <w:szCs w:val="28"/>
        </w:rPr>
      </w:pPr>
      <w:bookmarkStart w:id="810" w:name="_Toc508642504"/>
      <w:bookmarkStart w:id="811" w:name="_Toc471738056"/>
      <w:bookmarkStart w:id="812" w:name="_Toc435968821"/>
      <w:bookmarkStart w:id="813" w:name="_Toc454046578"/>
      <w:bookmarkStart w:id="814" w:name="_Toc26061"/>
      <w:bookmarkStart w:id="815" w:name="_Toc12511"/>
      <w:bookmarkStart w:id="816" w:name="_Toc31664"/>
      <w:bookmarkStart w:id="817" w:name="_Toc26492"/>
      <w:bookmarkStart w:id="818" w:name="_Toc437790616"/>
      <w:r>
        <w:rPr>
          <w:rFonts w:hint="eastAsia"/>
        </w:rPr>
        <w:t>7.3.1</w:t>
      </w:r>
      <w:bookmarkStart w:id="819" w:name="_Toc375640757"/>
      <w:bookmarkStart w:id="820" w:name="_Toc426446224"/>
      <w:r>
        <w:rPr>
          <w:rFonts w:hint="eastAsia"/>
        </w:rPr>
        <w:t>厂区环境</w:t>
      </w:r>
      <w:r>
        <w:t>风险分析及应急措施</w:t>
      </w:r>
      <w:bookmarkEnd w:id="810"/>
      <w:bookmarkEnd w:id="811"/>
      <w:bookmarkEnd w:id="819"/>
      <w:bookmarkEnd w:id="820"/>
    </w:p>
    <w:p w14:paraId="57D3E6EC">
      <w:pPr>
        <w:ind w:firstLine="480"/>
      </w:pPr>
      <w:r>
        <w:rPr>
          <w:rFonts w:hint="eastAsia"/>
        </w:rPr>
        <w:t>电站运行期厂房内的废机油和变压器油属于危险废物，一旦泄露对芒市河的水环境和水生生态系统会带来影响。本次评价要求电站运行期厂房内设置废机油收集桶，收集后交由有资质的危废处理单位妥善处理。</w:t>
      </w:r>
    </w:p>
    <w:bookmarkEnd w:id="812"/>
    <w:bookmarkEnd w:id="813"/>
    <w:bookmarkEnd w:id="814"/>
    <w:bookmarkEnd w:id="815"/>
    <w:bookmarkEnd w:id="816"/>
    <w:bookmarkEnd w:id="817"/>
    <w:bookmarkEnd w:id="818"/>
    <w:p w14:paraId="4BD0D601">
      <w:pPr>
        <w:pStyle w:val="113"/>
      </w:pPr>
      <w:bookmarkStart w:id="821" w:name="_Toc82"/>
      <w:bookmarkStart w:id="822" w:name="_Toc11040"/>
      <w:bookmarkStart w:id="823" w:name="_Toc435968822"/>
      <w:bookmarkStart w:id="824" w:name="_Toc454046579"/>
      <w:bookmarkStart w:id="825" w:name="_Toc18207"/>
      <w:bookmarkStart w:id="826" w:name="_Toc437790617"/>
      <w:bookmarkStart w:id="827" w:name="_Toc471738057"/>
      <w:bookmarkStart w:id="828" w:name="_Toc508642505"/>
      <w:r>
        <w:rPr>
          <w:rFonts w:hint="eastAsia"/>
        </w:rPr>
        <w:t>7.3.2</w:t>
      </w:r>
      <w:bookmarkEnd w:id="821"/>
      <w:bookmarkEnd w:id="822"/>
      <w:bookmarkEnd w:id="823"/>
      <w:bookmarkEnd w:id="824"/>
      <w:bookmarkEnd w:id="825"/>
      <w:bookmarkEnd w:id="826"/>
      <w:bookmarkStart w:id="829" w:name="_Toc437790618"/>
      <w:bookmarkStart w:id="830" w:name="_Toc23289"/>
      <w:bookmarkStart w:id="831" w:name="_Toc375640758"/>
      <w:bookmarkStart w:id="832" w:name="_Toc454046580"/>
      <w:bookmarkStart w:id="833" w:name="_Toc435968823"/>
      <w:bookmarkStart w:id="834" w:name="_Toc5475"/>
      <w:bookmarkStart w:id="835" w:name="_Toc7000"/>
      <w:bookmarkStart w:id="836" w:name="_Toc5951"/>
      <w:r>
        <w:rPr>
          <w:rFonts w:hint="eastAsia"/>
        </w:rPr>
        <w:t>生态风险分析及应急措施</w:t>
      </w:r>
      <w:bookmarkEnd w:id="827"/>
      <w:bookmarkEnd w:id="828"/>
      <w:bookmarkEnd w:id="829"/>
      <w:bookmarkEnd w:id="830"/>
      <w:bookmarkEnd w:id="831"/>
      <w:bookmarkEnd w:id="832"/>
      <w:bookmarkEnd w:id="833"/>
      <w:bookmarkEnd w:id="834"/>
      <w:bookmarkEnd w:id="835"/>
      <w:bookmarkEnd w:id="836"/>
    </w:p>
    <w:p w14:paraId="6AC52A42">
      <w:pPr>
        <w:ind w:firstLine="480"/>
      </w:pPr>
      <w:r>
        <w:t>本工程在对植被采取相应恢复措施时，均选择本区域原有并适生</w:t>
      </w:r>
      <w:r>
        <w:rPr>
          <w:rFonts w:hint="eastAsia"/>
        </w:rPr>
        <w:t>的</w:t>
      </w:r>
      <w:r>
        <w:t>树种及草种</w:t>
      </w:r>
      <w:r>
        <w:rPr>
          <w:rFonts w:hint="eastAsia"/>
        </w:rPr>
        <w:t>，尽量避免引入外来物种，但由于</w:t>
      </w:r>
      <w:r>
        <w:t>电站建成后交通状况的改善，电站工作人员和当地社区居民人员的流动性增加，外来生物进入电站所在区域的几率迅速增加，生物入侵的威胁将长期存在</w:t>
      </w:r>
      <w:r>
        <w:rPr>
          <w:rFonts w:hint="eastAsia"/>
        </w:rPr>
        <w:t>。应加强对区域内外来物种的监控，避免外来物种入侵造成生态灾害。</w:t>
      </w:r>
      <w:bookmarkStart w:id="837" w:name="_Toc7182"/>
      <w:bookmarkStart w:id="838" w:name="_Toc16624"/>
      <w:bookmarkStart w:id="839" w:name="_Toc30379"/>
      <w:bookmarkStart w:id="840" w:name="_Toc12791"/>
      <w:bookmarkStart w:id="841" w:name="_Toc437790619"/>
      <w:bookmarkStart w:id="842" w:name="_Toc435968824"/>
    </w:p>
    <w:p w14:paraId="64E698E5">
      <w:pPr>
        <w:pStyle w:val="4"/>
      </w:pPr>
      <w:bookmarkStart w:id="843" w:name="_Toc454046581"/>
      <w:bookmarkStart w:id="844" w:name="_Toc508642506"/>
      <w:bookmarkStart w:id="845" w:name="_Toc471738058"/>
      <w:r>
        <w:t>7.4</w:t>
      </w:r>
      <w:bookmarkEnd w:id="837"/>
      <w:bookmarkEnd w:id="838"/>
      <w:bookmarkEnd w:id="839"/>
      <w:bookmarkEnd w:id="840"/>
      <w:bookmarkEnd w:id="841"/>
      <w:bookmarkEnd w:id="842"/>
      <w:bookmarkStart w:id="846" w:name="_Toc26070"/>
      <w:bookmarkStart w:id="847" w:name="_Toc10140"/>
      <w:bookmarkStart w:id="848" w:name="_Toc437790622"/>
      <w:bookmarkStart w:id="849" w:name="_Toc21469"/>
      <w:bookmarkStart w:id="850" w:name="_Toc254"/>
      <w:bookmarkStart w:id="851" w:name="_Toc435968827"/>
      <w:r>
        <w:rPr>
          <w:rFonts w:hint="eastAsia"/>
        </w:rPr>
        <w:t xml:space="preserve"> 环境风险应急</w:t>
      </w:r>
      <w:bookmarkEnd w:id="843"/>
      <w:bookmarkEnd w:id="844"/>
      <w:bookmarkEnd w:id="845"/>
      <w:bookmarkEnd w:id="846"/>
      <w:bookmarkEnd w:id="847"/>
      <w:bookmarkEnd w:id="848"/>
      <w:bookmarkEnd w:id="849"/>
      <w:bookmarkEnd w:id="850"/>
      <w:bookmarkEnd w:id="851"/>
    </w:p>
    <w:p w14:paraId="27C0A740">
      <w:pPr>
        <w:ind w:firstLine="480"/>
      </w:pPr>
      <w:r>
        <w:rPr>
          <w:rFonts w:hint="eastAsia"/>
        </w:rPr>
        <w:t>为最大限度降低工程建设和运行过程中的环境风险发生概率，电站需制定相应的突发环境事件应急预案。由建设单位或其上级主管部门组织编制风险事故应急预案，主要内容应包括：</w:t>
      </w:r>
    </w:p>
    <w:p w14:paraId="15380702">
      <w:pPr>
        <w:ind w:firstLine="480"/>
      </w:pPr>
      <w:r>
        <w:rPr>
          <w:rFonts w:hint="eastAsia" w:ascii="宋体" w:hAnsi="宋体"/>
        </w:rPr>
        <w:t>①施工期和运行期可能存在的环境风险类型、风险机率及其危害程度；</w:t>
      </w:r>
    </w:p>
    <w:p w14:paraId="313E1C8B">
      <w:pPr>
        <w:ind w:firstLine="480"/>
      </w:pPr>
      <w:r>
        <w:rPr>
          <w:rFonts w:hint="eastAsia" w:ascii="宋体" w:hAnsi="宋体"/>
        </w:rPr>
        <w:t>②针对各类风险提出防范和应急措施；</w:t>
      </w:r>
    </w:p>
    <w:p w14:paraId="4820AF2E">
      <w:pPr>
        <w:ind w:firstLine="480"/>
      </w:pPr>
      <w:r>
        <w:rPr>
          <w:rFonts w:hint="eastAsia" w:ascii="宋体" w:hAnsi="宋体"/>
        </w:rPr>
        <w:t>③建立风险信息上传下达通道，确保一旦风险发生能及时汇报；</w:t>
      </w:r>
    </w:p>
    <w:p w14:paraId="4F8E8F64">
      <w:pPr>
        <w:ind w:firstLine="480"/>
        <w:rPr>
          <w:rFonts w:ascii="宋体" w:hAnsi="宋体"/>
        </w:rPr>
      </w:pPr>
      <w:r>
        <w:rPr>
          <w:rFonts w:hint="eastAsia" w:ascii="宋体" w:hAnsi="宋体"/>
        </w:rPr>
        <w:t>④建立风险损失补偿机制；</w:t>
      </w:r>
    </w:p>
    <w:p w14:paraId="5FA0CE3D">
      <w:pPr>
        <w:ind w:firstLine="480"/>
        <w:rPr>
          <w:rFonts w:ascii="宋体" w:hAnsi="宋体"/>
        </w:rPr>
      </w:pPr>
      <w:r>
        <w:rPr>
          <w:rFonts w:hint="eastAsia" w:ascii="宋体" w:hAnsi="宋体"/>
        </w:rPr>
        <w:t>⑤灾后重建、恢复计划。</w:t>
      </w:r>
    </w:p>
    <w:p w14:paraId="2D7FAB6D">
      <w:pPr>
        <w:ind w:firstLine="480"/>
        <w:rPr>
          <w:bCs/>
        </w:rPr>
      </w:pPr>
      <w:r>
        <w:rPr>
          <w:rFonts w:hint="eastAsia" w:ascii="宋体" w:hAnsi="宋体"/>
        </w:rPr>
        <w:t>一旦发生风险事故，需启动应急预案措施，将危害和损失降至最低。要求施工期工地必须配备卫生人员和基本的安全抢救设施，以便事故发生时对伤员进行救治。事故发生后组织力量将处于危险地带的人员转移至安全地段，向上级主管部门汇报事故状况，不隐瞒、不漏报，积极采取补救措施。</w:t>
      </w:r>
    </w:p>
    <w:p w14:paraId="4CDFB753">
      <w:pPr>
        <w:pStyle w:val="4"/>
      </w:pPr>
      <w:bookmarkStart w:id="852" w:name="_Toc508642507"/>
      <w:bookmarkStart w:id="853" w:name="_Toc454046582"/>
      <w:bookmarkStart w:id="854" w:name="_Toc471738059"/>
      <w:r>
        <w:rPr>
          <w:rFonts w:hint="eastAsia"/>
        </w:rPr>
        <w:t>7.</w:t>
      </w:r>
      <w:bookmarkEnd w:id="769"/>
      <w:r>
        <w:rPr>
          <w:rFonts w:hint="eastAsia"/>
        </w:rPr>
        <w:t>5小结</w:t>
      </w:r>
      <w:bookmarkEnd w:id="852"/>
      <w:bookmarkEnd w:id="853"/>
      <w:bookmarkEnd w:id="854"/>
    </w:p>
    <w:p w14:paraId="53ACD9F7">
      <w:pPr>
        <w:ind w:firstLine="480"/>
      </w:pPr>
      <w:r>
        <w:rPr>
          <w:rFonts w:hint="eastAsia"/>
        </w:rPr>
        <w:t>综上所述，电站工程建设和运行过程中存在一定的环境风险，但在加强管理，建立健全的防范措施和应急预案，并予以认真落实和实施的基础上，本工程的环境风险可大大降低。</w:t>
      </w:r>
      <w:r>
        <w:br w:type="page"/>
      </w:r>
    </w:p>
    <w:p w14:paraId="47E9B311">
      <w:pPr>
        <w:pStyle w:val="180"/>
      </w:pPr>
      <w:bookmarkStart w:id="855" w:name="_Toc436297636"/>
      <w:bookmarkStart w:id="856" w:name="_Toc471738077"/>
      <w:bookmarkStart w:id="857" w:name="_Toc443655501"/>
      <w:bookmarkStart w:id="858" w:name="_Toc239739094"/>
      <w:bookmarkStart w:id="859" w:name="_Toc276997046"/>
      <w:bookmarkStart w:id="860" w:name="_Toc454046607"/>
      <w:bookmarkStart w:id="861" w:name="_Toc229219910"/>
      <w:bookmarkStart w:id="862" w:name="_Toc200160308"/>
      <w:bookmarkStart w:id="863" w:name="_Toc508642508"/>
      <w:bookmarkStart w:id="864" w:name="_Toc391300960"/>
      <w:bookmarkStart w:id="865" w:name="_Toc391486365"/>
      <w:r>
        <w:rPr>
          <w:rFonts w:hint="eastAsia"/>
        </w:rPr>
        <w:t>8</w:t>
      </w:r>
      <w:r>
        <w:t>环境保护措施</w:t>
      </w:r>
      <w:bookmarkEnd w:id="855"/>
      <w:bookmarkEnd w:id="856"/>
      <w:bookmarkEnd w:id="857"/>
      <w:bookmarkEnd w:id="858"/>
      <w:bookmarkEnd w:id="859"/>
      <w:bookmarkEnd w:id="860"/>
      <w:bookmarkEnd w:id="861"/>
      <w:bookmarkEnd w:id="862"/>
      <w:bookmarkEnd w:id="863"/>
      <w:bookmarkEnd w:id="864"/>
      <w:bookmarkEnd w:id="865"/>
    </w:p>
    <w:p w14:paraId="3957D491">
      <w:pPr>
        <w:pStyle w:val="4"/>
      </w:pPr>
      <w:bookmarkStart w:id="866" w:name="_Toc443655502"/>
      <w:bookmarkStart w:id="867" w:name="_Toc397428428"/>
      <w:bookmarkStart w:id="868" w:name="_Toc508642509"/>
      <w:bookmarkStart w:id="869" w:name="_Toc327443536"/>
      <w:bookmarkStart w:id="870" w:name="_Toc534485289"/>
      <w:bookmarkStart w:id="871" w:name="_Toc471738078"/>
      <w:bookmarkStart w:id="872" w:name="_Toc377831936"/>
      <w:bookmarkStart w:id="873" w:name="_Toc377115154"/>
      <w:bookmarkStart w:id="874" w:name="_Toc377420817"/>
      <w:bookmarkStart w:id="875" w:name="_Toc304985240"/>
      <w:bookmarkStart w:id="876" w:name="_Toc454046608"/>
      <w:r>
        <w:rPr>
          <w:rFonts w:hint="eastAsia"/>
        </w:rPr>
        <w:t>8.1</w:t>
      </w:r>
      <w:r>
        <w:t>生态环境</w:t>
      </w:r>
      <w:bookmarkEnd w:id="866"/>
      <w:bookmarkEnd w:id="867"/>
      <w:bookmarkEnd w:id="868"/>
      <w:bookmarkEnd w:id="869"/>
      <w:bookmarkEnd w:id="870"/>
      <w:bookmarkEnd w:id="871"/>
      <w:bookmarkEnd w:id="872"/>
      <w:bookmarkEnd w:id="873"/>
      <w:bookmarkEnd w:id="874"/>
      <w:bookmarkEnd w:id="875"/>
      <w:bookmarkEnd w:id="876"/>
    </w:p>
    <w:p w14:paraId="255AFDEC">
      <w:pPr>
        <w:pStyle w:val="113"/>
      </w:pPr>
      <w:bookmarkStart w:id="877" w:name="_Toc471738079"/>
      <w:bookmarkStart w:id="878" w:name="_Toc454046609"/>
      <w:bookmarkStart w:id="879" w:name="_Toc508642510"/>
      <w:bookmarkStart w:id="880" w:name="_Toc443655503"/>
      <w:r>
        <w:rPr>
          <w:rFonts w:hint="eastAsia"/>
        </w:rPr>
        <w:t>8.1.1</w:t>
      </w:r>
      <w:bookmarkEnd w:id="877"/>
      <w:bookmarkEnd w:id="878"/>
      <w:bookmarkStart w:id="881" w:name="_Toc443655505"/>
      <w:r>
        <w:t>植被及植物保护措施</w:t>
      </w:r>
      <w:bookmarkEnd w:id="879"/>
      <w:bookmarkEnd w:id="881"/>
    </w:p>
    <w:p w14:paraId="4BB1E42F">
      <w:pPr>
        <w:ind w:firstLine="480"/>
        <w:rPr>
          <w:rFonts w:hAnsi="宋体"/>
          <w:kern w:val="0"/>
          <w:szCs w:val="20"/>
        </w:rPr>
      </w:pPr>
      <w:r>
        <w:rPr>
          <w:rFonts w:hint="eastAsia" w:hAnsi="宋体"/>
          <w:kern w:val="0"/>
          <w:szCs w:val="20"/>
        </w:rPr>
        <w:t>1、对保护</w:t>
      </w:r>
      <w:r>
        <w:rPr>
          <w:rFonts w:hAnsi="宋体"/>
          <w:kern w:val="0"/>
          <w:szCs w:val="20"/>
        </w:rPr>
        <w:t>植物</w:t>
      </w:r>
      <w:r>
        <w:rPr>
          <w:rFonts w:hint="eastAsia" w:hAnsi="宋体"/>
          <w:kern w:val="0"/>
          <w:szCs w:val="20"/>
        </w:rPr>
        <w:t>的</w:t>
      </w:r>
      <w:r>
        <w:rPr>
          <w:rFonts w:hAnsi="宋体"/>
          <w:kern w:val="0"/>
          <w:szCs w:val="20"/>
        </w:rPr>
        <w:t>保护措施</w:t>
      </w:r>
    </w:p>
    <w:p w14:paraId="15E24C86">
      <w:pPr>
        <w:ind w:firstLine="480"/>
      </w:pPr>
      <w:r>
        <w:rPr>
          <w:rFonts w:hint="eastAsia" w:ascii="宋体" w:hAnsi="宋体" w:cs="宋体"/>
        </w:rPr>
        <w:t>野外调查</w:t>
      </w:r>
      <w:r>
        <w:rPr>
          <w:rFonts w:hint="eastAsia"/>
          <w:szCs w:val="24"/>
        </w:rPr>
        <w:t>和查阅相关资料</w:t>
      </w:r>
      <w:r>
        <w:rPr>
          <w:rFonts w:hint="eastAsia" w:ascii="宋体" w:hAnsi="宋体" w:cs="宋体"/>
        </w:rPr>
        <w:t>表明，</w:t>
      </w:r>
      <w:r>
        <w:rPr>
          <w:rFonts w:hint="eastAsia"/>
        </w:rPr>
        <w:t>评价区未发现</w:t>
      </w:r>
      <w:r>
        <w:t>区域局域分布的物种</w:t>
      </w:r>
      <w:r>
        <w:rPr>
          <w:rFonts w:hint="eastAsia"/>
        </w:rPr>
        <w:t>，也未发现古树名木，但</w:t>
      </w:r>
      <w:r>
        <w:t>发现</w:t>
      </w:r>
      <w:r>
        <w:rPr>
          <w:rFonts w:hint="eastAsia"/>
        </w:rPr>
        <w:t>有2种中国特有属植物，分别是慈竹</w:t>
      </w:r>
      <w:r>
        <w:rPr>
          <w:i/>
        </w:rPr>
        <w:t>Neosinocalamus affinis</w:t>
      </w:r>
      <w:r>
        <w:rPr>
          <w:rFonts w:hint="eastAsia"/>
        </w:rPr>
        <w:t>（位于工程区西侧约30m处）和盾果草</w:t>
      </w:r>
      <w:r>
        <w:rPr>
          <w:i/>
        </w:rPr>
        <w:t>Thyrocarpus sampsonii Hance</w:t>
      </w:r>
      <w:r>
        <w:rPr>
          <w:rFonts w:hint="eastAsia"/>
        </w:rPr>
        <w:t>（位于工程区北侧125m处）</w:t>
      </w:r>
      <w:r>
        <w:t>。</w:t>
      </w:r>
    </w:p>
    <w:p w14:paraId="4D382392">
      <w:pPr>
        <w:ind w:firstLine="480"/>
      </w:pPr>
      <w:r>
        <w:t>由于</w:t>
      </w:r>
      <w:r>
        <w:rPr>
          <w:rFonts w:hint="eastAsia"/>
        </w:rPr>
        <w:t>慈竹和盾果草</w:t>
      </w:r>
      <w:r>
        <w:t>距施工区</w:t>
      </w:r>
      <w:r>
        <w:rPr>
          <w:rFonts w:hint="eastAsia"/>
        </w:rPr>
        <w:t>比</w:t>
      </w:r>
      <w:r>
        <w:t>较近，施工期需对施工人员加强宣传</w:t>
      </w:r>
      <w:r>
        <w:rPr>
          <w:rFonts w:hint="eastAsia"/>
        </w:rPr>
        <w:t>保护教育</w:t>
      </w:r>
      <w:r>
        <w:t>，</w:t>
      </w:r>
      <w:r>
        <w:rPr>
          <w:rFonts w:hint="eastAsia"/>
        </w:rPr>
        <w:t>对其进行围挡，并进行挂牌保护，</w:t>
      </w:r>
      <w:r>
        <w:t>严禁施工人员</w:t>
      </w:r>
      <w:r>
        <w:rPr>
          <w:rFonts w:hint="eastAsia"/>
        </w:rPr>
        <w:t>对其进行</w:t>
      </w:r>
      <w:r>
        <w:t>破坏。另外，</w:t>
      </w:r>
      <w:r>
        <w:rPr>
          <w:rFonts w:hint="eastAsia" w:cs="宋体"/>
        </w:rPr>
        <w:t>工程施工过程中，如发现施工区内有</w:t>
      </w:r>
      <w:r>
        <w:rPr>
          <w:rFonts w:hint="eastAsia"/>
        </w:rPr>
        <w:t>本次调查未发现的</w:t>
      </w:r>
      <w:r>
        <w:rPr>
          <w:rFonts w:hint="eastAsia" w:cs="宋体"/>
        </w:rPr>
        <w:t>国家和云南省重点保护植物，应尽量采取避让措施并进行挂牌保护。如果因为无法避让的话，尽量就近移栽到安全地段进行迁地保护。如果因为植株过于庞大，取挖之后也难免存在死亡的情况下，应该就地采种，在附近补充种植，以保证有足够的后续个体存在。</w:t>
      </w:r>
    </w:p>
    <w:p w14:paraId="4CA037D4">
      <w:pPr>
        <w:ind w:firstLine="480"/>
        <w:rPr>
          <w:rFonts w:hAnsi="宋体"/>
          <w:kern w:val="0"/>
          <w:szCs w:val="20"/>
        </w:rPr>
      </w:pPr>
      <w:r>
        <w:rPr>
          <w:rFonts w:hint="eastAsia" w:hAnsi="宋体"/>
          <w:kern w:val="0"/>
          <w:szCs w:val="20"/>
        </w:rPr>
        <w:t>2、</w:t>
      </w:r>
      <w:r>
        <w:rPr>
          <w:rFonts w:hAnsi="宋体"/>
          <w:kern w:val="0"/>
          <w:szCs w:val="20"/>
        </w:rPr>
        <w:t>设置警示牌</w:t>
      </w:r>
    </w:p>
    <w:p w14:paraId="39C582DC">
      <w:pPr>
        <w:ind w:firstLine="480"/>
      </w:pPr>
      <w:r>
        <w:t>在</w:t>
      </w:r>
      <w:r>
        <w:rPr>
          <w:rFonts w:hint="eastAsia"/>
        </w:rPr>
        <w:t>施工</w:t>
      </w:r>
      <w:r>
        <w:t>人员活动较多和较集中的区域，如工棚附近，粘贴和设置自然保护方面的警示牌，提醒人们依法</w:t>
      </w:r>
      <w:r>
        <w:rPr>
          <w:rFonts w:hint="eastAsia"/>
        </w:rPr>
        <w:t>保护生态环境。</w:t>
      </w:r>
    </w:p>
    <w:p w14:paraId="2B5A6A34">
      <w:pPr>
        <w:ind w:firstLine="480"/>
      </w:pPr>
      <w:r>
        <w:rPr>
          <w:rFonts w:hint="eastAsia" w:hAnsi="宋体"/>
          <w:kern w:val="0"/>
          <w:szCs w:val="20"/>
        </w:rPr>
        <w:t>3、</w:t>
      </w:r>
      <w:r>
        <w:rPr>
          <w:rFonts w:hint="eastAsia"/>
        </w:rPr>
        <w:t>工程施工期教育施工人员严格按照规定的施工占地区域施工，严禁擅自扩大施工场地，减少不必要的植被破坏。</w:t>
      </w:r>
    </w:p>
    <w:p w14:paraId="0A34EF34">
      <w:pPr>
        <w:ind w:firstLine="480"/>
        <w:rPr>
          <w:rFonts w:hAnsi="宋体"/>
          <w:color w:val="FF0000"/>
          <w:kern w:val="0"/>
          <w:szCs w:val="20"/>
        </w:rPr>
      </w:pPr>
      <w:r>
        <w:rPr>
          <w:rFonts w:hint="eastAsia"/>
          <w:bCs/>
          <w:color w:val="FF0000"/>
          <w:szCs w:val="20"/>
        </w:rPr>
        <w:t>4、</w:t>
      </w:r>
      <w:r>
        <w:rPr>
          <w:rFonts w:hAnsi="宋体"/>
          <w:color w:val="FF0000"/>
          <w:kern w:val="0"/>
          <w:szCs w:val="20"/>
        </w:rPr>
        <w:t>植被恢复</w:t>
      </w:r>
    </w:p>
    <w:p w14:paraId="0F55108D">
      <w:pPr>
        <w:ind w:firstLine="480"/>
        <w:rPr>
          <w:color w:val="FF0000"/>
        </w:rPr>
      </w:pPr>
      <w:r>
        <w:rPr>
          <w:color w:val="FF0000"/>
        </w:rPr>
        <w:t>对因施工期破坏的各种植被和生境、临时占用的植被及各种施工迹地，工程结束后应</w:t>
      </w:r>
      <w:r>
        <w:rPr>
          <w:rFonts w:hint="eastAsia"/>
          <w:color w:val="FF0000"/>
        </w:rPr>
        <w:t>进行植被恢复，并做好工程永久占地的绿化美化工作。</w:t>
      </w:r>
    </w:p>
    <w:p w14:paraId="1DB7FED9">
      <w:pPr>
        <w:ind w:firstLine="480"/>
        <w:rPr>
          <w:rFonts w:ascii="宋体" w:hAnsi="宋体"/>
          <w:b/>
          <w:color w:val="FF0000"/>
        </w:rPr>
      </w:pPr>
      <w:r>
        <w:rPr>
          <w:rFonts w:hint="eastAsia" w:ascii="宋体" w:hAnsi="宋体"/>
          <w:color w:val="FF0000"/>
        </w:rPr>
        <w:t>①施工生产生活区：工程设置的施工生产生活区占地面积约</w:t>
      </w:r>
      <w:r>
        <w:rPr>
          <w:rFonts w:hint="eastAsia"/>
          <w:color w:val="FF0000"/>
        </w:rPr>
        <w:t>0.38</w:t>
      </w:r>
      <w:r>
        <w:rPr>
          <w:color w:val="FF0000"/>
          <w:szCs w:val="20"/>
        </w:rPr>
        <w:t>hm²</w:t>
      </w:r>
      <w:r>
        <w:rPr>
          <w:rFonts w:hint="eastAsia"/>
          <w:color w:val="FF0000"/>
          <w:szCs w:val="20"/>
        </w:rPr>
        <w:t>，占地类型为坡耕地，主要布置</w:t>
      </w:r>
      <w:r>
        <w:rPr>
          <w:rFonts w:hint="eastAsia"/>
          <w:color w:val="FF0000"/>
        </w:rPr>
        <w:t>混凝土拌和机、机械设备修理场、</w:t>
      </w:r>
      <w:r>
        <w:rPr>
          <w:rFonts w:ascii="宋体" w:hAnsi="宋体"/>
          <w:color w:val="FF0000"/>
          <w:szCs w:val="24"/>
        </w:rPr>
        <w:t>施工办公和生活用房</w:t>
      </w:r>
      <w:r>
        <w:rPr>
          <w:rFonts w:hint="eastAsia" w:ascii="宋体" w:hAnsi="宋体"/>
          <w:color w:val="FF0000"/>
          <w:szCs w:val="24"/>
        </w:rPr>
        <w:t>。</w:t>
      </w:r>
      <w:r>
        <w:rPr>
          <w:rFonts w:hint="eastAsia"/>
          <w:color w:val="FF0000"/>
          <w:szCs w:val="20"/>
        </w:rPr>
        <w:t>待工程施工结束后，可进行绿化复垦。</w:t>
      </w:r>
    </w:p>
    <w:p w14:paraId="7AD3D837">
      <w:pPr>
        <w:ind w:firstLine="480"/>
        <w:rPr>
          <w:color w:val="FF0000"/>
        </w:rPr>
      </w:pPr>
      <w:r>
        <w:rPr>
          <w:rFonts w:hint="eastAsia" w:ascii="宋体" w:hAnsi="宋体"/>
          <w:color w:val="FF0000"/>
        </w:rPr>
        <w:t>②</w:t>
      </w:r>
      <w:r>
        <w:rPr>
          <w:color w:val="FF0000"/>
        </w:rPr>
        <w:t>砂砾石料场区</w:t>
      </w:r>
      <w:r>
        <w:rPr>
          <w:rFonts w:hint="eastAsia"/>
          <w:color w:val="FF0000"/>
        </w:rPr>
        <w:t>：布置于</w:t>
      </w:r>
      <w:r>
        <w:rPr>
          <w:color w:val="FF0000"/>
        </w:rPr>
        <w:t>大坝下游</w:t>
      </w:r>
      <w:r>
        <w:rPr>
          <w:rFonts w:hint="eastAsia"/>
          <w:color w:val="FF0000"/>
        </w:rPr>
        <w:t>1.8km处</w:t>
      </w:r>
      <w:r>
        <w:rPr>
          <w:rFonts w:hint="eastAsia" w:hAnsi="宋体"/>
          <w:color w:val="FF0000"/>
        </w:rPr>
        <w:t>芒市河河床内</w:t>
      </w:r>
      <w:r>
        <w:rPr>
          <w:rFonts w:hint="eastAsia"/>
          <w:color w:val="FF0000"/>
        </w:rPr>
        <w:t>，占地类型为</w:t>
      </w:r>
      <w:r>
        <w:rPr>
          <w:rFonts w:hint="eastAsia" w:hAnsi="宋体"/>
          <w:color w:val="FF0000"/>
          <w:szCs w:val="24"/>
        </w:rPr>
        <w:t>水域及水利设施</w:t>
      </w:r>
      <w:r>
        <w:rPr>
          <w:rFonts w:hAnsi="宋体"/>
          <w:color w:val="FF0000"/>
          <w:szCs w:val="24"/>
        </w:rPr>
        <w:t>用地</w:t>
      </w:r>
      <w:r>
        <w:rPr>
          <w:rFonts w:hint="eastAsia"/>
          <w:color w:val="FF0000"/>
        </w:rPr>
        <w:t>，占地面积为0.61</w:t>
      </w:r>
      <w:r>
        <w:rPr>
          <w:color w:val="FF0000"/>
        </w:rPr>
        <w:t>hm²</w:t>
      </w:r>
      <w:r>
        <w:rPr>
          <w:rFonts w:hint="eastAsia"/>
          <w:color w:val="FF0000"/>
        </w:rPr>
        <w:t>。工程规划的砂料场位于下游平缓的河滩上，开采结束后只对场地进行平整，无需采取植被恢复工作。</w:t>
      </w:r>
    </w:p>
    <w:p w14:paraId="2570DD5A">
      <w:pPr>
        <w:ind w:firstLine="480"/>
        <w:rPr>
          <w:color w:val="FF0000"/>
        </w:rPr>
      </w:pPr>
      <w:r>
        <w:rPr>
          <w:color w:val="FF0000"/>
        </w:rPr>
        <w:t>在植被恢复</w:t>
      </w:r>
      <w:r>
        <w:rPr>
          <w:rFonts w:hint="eastAsia"/>
          <w:color w:val="FF0000"/>
        </w:rPr>
        <w:t>过程</w:t>
      </w:r>
      <w:r>
        <w:rPr>
          <w:color w:val="FF0000"/>
        </w:rPr>
        <w:t>中，杜绝在天然林中种植该区域中没有的物种，以免造成生物入侵的新危害。应该依照</w:t>
      </w:r>
      <w:r>
        <w:rPr>
          <w:rFonts w:hint="eastAsia"/>
          <w:color w:val="FF0000"/>
        </w:rPr>
        <w:t>“</w:t>
      </w:r>
      <w:r>
        <w:rPr>
          <w:color w:val="FF0000"/>
        </w:rPr>
        <w:t>适地适树</w:t>
      </w:r>
      <w:r>
        <w:rPr>
          <w:rFonts w:hint="eastAsia"/>
          <w:color w:val="FF0000"/>
        </w:rPr>
        <w:t>”</w:t>
      </w:r>
      <w:r>
        <w:rPr>
          <w:color w:val="FF0000"/>
        </w:rPr>
        <w:t>、原生性、特有性、实用性的基本科学原则，种植当地生态系统中原有的重要的各种植物种类，乔、灌、草层间植物有机搭配，从而恢复当地原有的植被</w:t>
      </w:r>
      <w:r>
        <w:rPr>
          <w:rFonts w:hint="eastAsia"/>
          <w:color w:val="FF0000"/>
        </w:rPr>
        <w:t>，并保证区域植物区系完整。</w:t>
      </w:r>
    </w:p>
    <w:p w14:paraId="5D72F236">
      <w:pPr>
        <w:ind w:firstLine="480"/>
        <w:rPr>
          <w:color w:val="FF0000"/>
        </w:rPr>
      </w:pPr>
      <w:r>
        <w:rPr>
          <w:rFonts w:hint="eastAsia"/>
          <w:color w:val="FF0000"/>
        </w:rPr>
        <w:t>项目《水保</w:t>
      </w:r>
      <w:r>
        <w:rPr>
          <w:color w:val="FF0000"/>
        </w:rPr>
        <w:t>方案</w:t>
      </w:r>
      <w:r>
        <w:rPr>
          <w:rFonts w:hint="eastAsia"/>
          <w:color w:val="FF0000"/>
        </w:rPr>
        <w:t>》</w:t>
      </w:r>
      <w:r>
        <w:rPr>
          <w:color w:val="FF0000"/>
        </w:rPr>
        <w:t>新增水土保持植物措施工程量</w:t>
      </w:r>
      <w:r>
        <w:rPr>
          <w:rFonts w:hint="eastAsia"/>
          <w:color w:val="FF0000"/>
        </w:rPr>
        <w:t>见下表：</w:t>
      </w:r>
    </w:p>
    <w:p w14:paraId="641C672D">
      <w:pPr>
        <w:pStyle w:val="82"/>
        <w:framePr w:hSpace="0" w:wrap="auto" w:vAnchor="margin" w:hAnchor="text" w:xAlign="left" w:yAlign="inline"/>
        <w:rPr>
          <w:color w:val="FF0000"/>
        </w:rPr>
      </w:pPr>
      <w:r>
        <w:rPr>
          <w:color w:val="FF0000"/>
        </w:rPr>
        <w:t>表</w:t>
      </w:r>
      <w:r>
        <w:rPr>
          <w:rFonts w:hint="eastAsia"/>
          <w:color w:val="FF0000"/>
        </w:rPr>
        <w:t>8.1-1</w:t>
      </w:r>
      <w:r>
        <w:rPr>
          <w:color w:val="FF0000"/>
        </w:rPr>
        <w:t xml:space="preserve">   </w:t>
      </w:r>
      <w:r>
        <w:rPr>
          <w:rFonts w:hint="eastAsia"/>
          <w:color w:val="FF0000"/>
        </w:rPr>
        <w:t>水保</w:t>
      </w:r>
      <w:r>
        <w:rPr>
          <w:color w:val="FF0000"/>
        </w:rPr>
        <w:t>方案新增水土保持植物措施工程量汇总表</w:t>
      </w:r>
    </w:p>
    <w:tbl>
      <w:tblPr>
        <w:tblStyle w:val="56"/>
        <w:tblW w:w="4966" w:type="pct"/>
        <w:jc w:val="center"/>
        <w:tblLayout w:type="autofit"/>
        <w:tblCellMar>
          <w:top w:w="0" w:type="dxa"/>
          <w:left w:w="108" w:type="dxa"/>
          <w:bottom w:w="0" w:type="dxa"/>
          <w:right w:w="108" w:type="dxa"/>
        </w:tblCellMar>
      </w:tblPr>
      <w:tblGrid>
        <w:gridCol w:w="1713"/>
        <w:gridCol w:w="3064"/>
        <w:gridCol w:w="3687"/>
      </w:tblGrid>
      <w:tr w14:paraId="742C03C9">
        <w:tblPrEx>
          <w:tblCellMar>
            <w:top w:w="0" w:type="dxa"/>
            <w:left w:w="108" w:type="dxa"/>
            <w:bottom w:w="0" w:type="dxa"/>
            <w:right w:w="108" w:type="dxa"/>
          </w:tblCellMar>
        </w:tblPrEx>
        <w:trPr>
          <w:trHeight w:val="510" w:hRule="atLeast"/>
          <w:tblHeader/>
          <w:jc w:val="center"/>
        </w:trPr>
        <w:tc>
          <w:tcPr>
            <w:tcW w:w="2822" w:type="pct"/>
            <w:gridSpan w:val="2"/>
            <w:tcBorders>
              <w:top w:val="single" w:color="auto" w:sz="6" w:space="0"/>
              <w:bottom w:val="single" w:color="auto" w:sz="6" w:space="0"/>
              <w:right w:val="single" w:color="auto" w:sz="6" w:space="0"/>
              <w:tl2br w:val="single" w:color="auto" w:sz="6" w:space="0"/>
            </w:tcBorders>
            <w:shd w:val="clear" w:color="auto" w:fill="auto"/>
            <w:noWrap/>
            <w:vAlign w:val="center"/>
          </w:tcPr>
          <w:p w14:paraId="5DB7D89B">
            <w:pPr>
              <w:pStyle w:val="84"/>
              <w:rPr>
                <w:color w:val="FF0000"/>
              </w:rPr>
            </w:pPr>
            <w:r>
              <w:rPr>
                <w:color w:val="FF0000"/>
              </w:rPr>
              <w:t xml:space="preserve">名称        </w:t>
            </w:r>
            <w:r>
              <w:rPr>
                <w:rFonts w:hint="eastAsia"/>
                <w:color w:val="FF0000"/>
              </w:rPr>
              <w:t xml:space="preserve">   </w:t>
            </w:r>
            <w:r>
              <w:rPr>
                <w:color w:val="FF0000"/>
              </w:rPr>
              <w:t xml:space="preserve">      分区</w:t>
            </w:r>
          </w:p>
        </w:tc>
        <w:tc>
          <w:tcPr>
            <w:tcW w:w="2178" w:type="pct"/>
            <w:tcBorders>
              <w:top w:val="single" w:color="auto" w:sz="6" w:space="0"/>
              <w:left w:val="single" w:color="auto" w:sz="6" w:space="0"/>
              <w:bottom w:val="single" w:color="auto" w:sz="6" w:space="0"/>
            </w:tcBorders>
            <w:shd w:val="clear" w:color="auto" w:fill="auto"/>
            <w:vAlign w:val="center"/>
          </w:tcPr>
          <w:p w14:paraId="78C8AA19">
            <w:pPr>
              <w:pStyle w:val="84"/>
              <w:rPr>
                <w:color w:val="FF0000"/>
              </w:rPr>
            </w:pPr>
            <w:r>
              <w:rPr>
                <w:rFonts w:hint="eastAsia"/>
                <w:color w:val="FF0000"/>
              </w:rPr>
              <w:t>大坝及厂区枢纽区</w:t>
            </w:r>
          </w:p>
        </w:tc>
      </w:tr>
      <w:tr w14:paraId="322CEEE4">
        <w:tblPrEx>
          <w:tblCellMar>
            <w:top w:w="0" w:type="dxa"/>
            <w:left w:w="108" w:type="dxa"/>
            <w:bottom w:w="0" w:type="dxa"/>
            <w:right w:w="108" w:type="dxa"/>
          </w:tblCellMar>
        </w:tblPrEx>
        <w:trPr>
          <w:trHeight w:val="340" w:hRule="atLeast"/>
          <w:jc w:val="center"/>
        </w:trPr>
        <w:tc>
          <w:tcPr>
            <w:tcW w:w="2822" w:type="pct"/>
            <w:gridSpan w:val="2"/>
            <w:tcBorders>
              <w:top w:val="single" w:color="auto" w:sz="6" w:space="0"/>
              <w:bottom w:val="single" w:color="auto" w:sz="6" w:space="0"/>
              <w:right w:val="single" w:color="auto" w:sz="6" w:space="0"/>
            </w:tcBorders>
            <w:shd w:val="clear" w:color="auto" w:fill="auto"/>
            <w:noWrap/>
            <w:vAlign w:val="center"/>
          </w:tcPr>
          <w:p w14:paraId="5AE49ED9">
            <w:pPr>
              <w:pStyle w:val="84"/>
              <w:rPr>
                <w:color w:val="FF0000"/>
              </w:rPr>
            </w:pPr>
            <w:r>
              <w:rPr>
                <w:color w:val="FF0000"/>
              </w:rPr>
              <w:t>场地清理平整(hm</w:t>
            </w:r>
            <w:r>
              <w:rPr>
                <w:color w:val="FF0000"/>
                <w:vertAlign w:val="superscript"/>
              </w:rPr>
              <w:t>2</w:t>
            </w:r>
            <w:r>
              <w:rPr>
                <w:color w:val="FF0000"/>
              </w:rPr>
              <w:t>)</w:t>
            </w:r>
          </w:p>
        </w:tc>
        <w:tc>
          <w:tcPr>
            <w:tcW w:w="2178" w:type="pct"/>
            <w:tcBorders>
              <w:top w:val="single" w:color="auto" w:sz="6" w:space="0"/>
              <w:left w:val="single" w:color="auto" w:sz="6" w:space="0"/>
              <w:bottom w:val="single" w:color="auto" w:sz="6" w:space="0"/>
            </w:tcBorders>
            <w:shd w:val="clear" w:color="auto" w:fill="auto"/>
            <w:vAlign w:val="center"/>
          </w:tcPr>
          <w:p w14:paraId="35089C1A">
            <w:pPr>
              <w:pStyle w:val="84"/>
              <w:rPr>
                <w:color w:val="FF0000"/>
              </w:rPr>
            </w:pPr>
            <w:r>
              <w:rPr>
                <w:rFonts w:hint="eastAsia"/>
                <w:color w:val="FF0000"/>
              </w:rPr>
              <w:t>—</w:t>
            </w:r>
          </w:p>
        </w:tc>
      </w:tr>
      <w:tr w14:paraId="7DCD19AB">
        <w:tblPrEx>
          <w:tblCellMar>
            <w:top w:w="0" w:type="dxa"/>
            <w:left w:w="108" w:type="dxa"/>
            <w:bottom w:w="0" w:type="dxa"/>
            <w:right w:w="108" w:type="dxa"/>
          </w:tblCellMar>
        </w:tblPrEx>
        <w:trPr>
          <w:trHeight w:val="340" w:hRule="atLeast"/>
          <w:jc w:val="center"/>
        </w:trPr>
        <w:tc>
          <w:tcPr>
            <w:tcW w:w="2822" w:type="pct"/>
            <w:gridSpan w:val="2"/>
            <w:tcBorders>
              <w:top w:val="single" w:color="auto" w:sz="6" w:space="0"/>
              <w:bottom w:val="single" w:color="auto" w:sz="6" w:space="0"/>
              <w:right w:val="single" w:color="auto" w:sz="6" w:space="0"/>
            </w:tcBorders>
            <w:shd w:val="clear" w:color="auto" w:fill="auto"/>
            <w:vAlign w:val="center"/>
          </w:tcPr>
          <w:p w14:paraId="5B9ECCAE">
            <w:pPr>
              <w:pStyle w:val="84"/>
              <w:rPr>
                <w:color w:val="FF0000"/>
              </w:rPr>
            </w:pPr>
            <w:r>
              <w:rPr>
                <w:color w:val="FF0000"/>
              </w:rPr>
              <w:t>覆土(</w:t>
            </w:r>
            <w:r>
              <w:rPr>
                <w:rFonts w:hint="eastAsia"/>
                <w:color w:val="FF0000"/>
              </w:rPr>
              <w:t>h</w:t>
            </w:r>
            <w:r>
              <w:rPr>
                <w:color w:val="FF0000"/>
              </w:rPr>
              <w:t>m</w:t>
            </w:r>
            <w:r>
              <w:rPr>
                <w:rFonts w:hint="eastAsia"/>
                <w:color w:val="FF0000"/>
                <w:vertAlign w:val="superscript"/>
              </w:rPr>
              <w:t>2</w:t>
            </w:r>
            <w:r>
              <w:rPr>
                <w:color w:val="FF0000"/>
              </w:rPr>
              <w:t>)</w:t>
            </w:r>
          </w:p>
        </w:tc>
        <w:tc>
          <w:tcPr>
            <w:tcW w:w="2178" w:type="pct"/>
            <w:tcBorders>
              <w:top w:val="single" w:color="auto" w:sz="6" w:space="0"/>
              <w:left w:val="single" w:color="auto" w:sz="6" w:space="0"/>
              <w:bottom w:val="single" w:color="auto" w:sz="6" w:space="0"/>
            </w:tcBorders>
            <w:shd w:val="clear" w:color="auto" w:fill="auto"/>
            <w:vAlign w:val="center"/>
          </w:tcPr>
          <w:p w14:paraId="18846BEE">
            <w:pPr>
              <w:pStyle w:val="84"/>
              <w:rPr>
                <w:color w:val="FF0000"/>
              </w:rPr>
            </w:pPr>
            <w:r>
              <w:rPr>
                <w:rFonts w:hint="eastAsia"/>
                <w:color w:val="FF0000"/>
              </w:rPr>
              <w:t>—</w:t>
            </w:r>
          </w:p>
        </w:tc>
      </w:tr>
      <w:tr w14:paraId="08227E9B">
        <w:tblPrEx>
          <w:tblCellMar>
            <w:top w:w="0" w:type="dxa"/>
            <w:left w:w="108" w:type="dxa"/>
            <w:bottom w:w="0" w:type="dxa"/>
            <w:right w:w="108" w:type="dxa"/>
          </w:tblCellMar>
        </w:tblPrEx>
        <w:trPr>
          <w:trHeight w:val="340" w:hRule="atLeast"/>
          <w:jc w:val="center"/>
        </w:trPr>
        <w:tc>
          <w:tcPr>
            <w:tcW w:w="2822" w:type="pct"/>
            <w:gridSpan w:val="2"/>
            <w:tcBorders>
              <w:top w:val="single" w:color="auto" w:sz="6" w:space="0"/>
              <w:bottom w:val="single" w:color="auto" w:sz="6" w:space="0"/>
              <w:right w:val="single" w:color="auto" w:sz="6" w:space="0"/>
            </w:tcBorders>
            <w:shd w:val="clear" w:color="auto" w:fill="auto"/>
            <w:vAlign w:val="center"/>
          </w:tcPr>
          <w:p w14:paraId="24BEE8FA">
            <w:pPr>
              <w:pStyle w:val="84"/>
              <w:rPr>
                <w:color w:val="FF0000"/>
              </w:rPr>
            </w:pPr>
            <w:r>
              <w:rPr>
                <w:rFonts w:hint="eastAsia"/>
                <w:color w:val="FF0000"/>
              </w:rPr>
              <w:t>穴状整地（个）</w:t>
            </w:r>
          </w:p>
        </w:tc>
        <w:tc>
          <w:tcPr>
            <w:tcW w:w="2178" w:type="pct"/>
            <w:tcBorders>
              <w:top w:val="single" w:color="auto" w:sz="6" w:space="0"/>
              <w:left w:val="single" w:color="auto" w:sz="6" w:space="0"/>
              <w:bottom w:val="single" w:color="auto" w:sz="6" w:space="0"/>
            </w:tcBorders>
            <w:shd w:val="clear" w:color="auto" w:fill="auto"/>
            <w:vAlign w:val="center"/>
          </w:tcPr>
          <w:p w14:paraId="480CB934">
            <w:pPr>
              <w:pStyle w:val="84"/>
              <w:rPr>
                <w:color w:val="FF0000"/>
              </w:rPr>
            </w:pPr>
            <w:r>
              <w:rPr>
                <w:rFonts w:hint="eastAsia"/>
                <w:color w:val="FF0000"/>
              </w:rPr>
              <w:t>—</w:t>
            </w:r>
          </w:p>
        </w:tc>
      </w:tr>
      <w:tr w14:paraId="6228E9E0">
        <w:tblPrEx>
          <w:tblCellMar>
            <w:top w:w="0" w:type="dxa"/>
            <w:left w:w="108" w:type="dxa"/>
            <w:bottom w:w="0" w:type="dxa"/>
            <w:right w:w="108" w:type="dxa"/>
          </w:tblCellMar>
        </w:tblPrEx>
        <w:trPr>
          <w:trHeight w:val="340" w:hRule="atLeast"/>
          <w:jc w:val="center"/>
        </w:trPr>
        <w:tc>
          <w:tcPr>
            <w:tcW w:w="2822" w:type="pct"/>
            <w:gridSpan w:val="2"/>
            <w:tcBorders>
              <w:top w:val="single" w:color="auto" w:sz="6" w:space="0"/>
              <w:bottom w:val="single" w:color="auto" w:sz="6" w:space="0"/>
              <w:right w:val="single" w:color="auto" w:sz="6" w:space="0"/>
            </w:tcBorders>
            <w:shd w:val="clear" w:color="auto" w:fill="auto"/>
            <w:vAlign w:val="center"/>
          </w:tcPr>
          <w:p w14:paraId="63D72D91">
            <w:pPr>
              <w:pStyle w:val="84"/>
              <w:rPr>
                <w:color w:val="FF0000"/>
              </w:rPr>
            </w:pPr>
            <w:r>
              <w:rPr>
                <w:color w:val="FF0000"/>
              </w:rPr>
              <w:t>绿化面积（hm</w:t>
            </w:r>
            <w:r>
              <w:rPr>
                <w:color w:val="FF0000"/>
                <w:vertAlign w:val="superscript"/>
              </w:rPr>
              <w:t>2</w:t>
            </w:r>
            <w:r>
              <w:rPr>
                <w:color w:val="FF0000"/>
              </w:rPr>
              <w:t>）</w:t>
            </w:r>
          </w:p>
        </w:tc>
        <w:tc>
          <w:tcPr>
            <w:tcW w:w="2178" w:type="pct"/>
            <w:tcBorders>
              <w:top w:val="single" w:color="auto" w:sz="6" w:space="0"/>
              <w:left w:val="single" w:color="auto" w:sz="6" w:space="0"/>
              <w:bottom w:val="single" w:color="auto" w:sz="6" w:space="0"/>
            </w:tcBorders>
            <w:shd w:val="clear" w:color="auto" w:fill="auto"/>
            <w:vAlign w:val="center"/>
          </w:tcPr>
          <w:p w14:paraId="47708081">
            <w:pPr>
              <w:pStyle w:val="84"/>
              <w:rPr>
                <w:color w:val="FF0000"/>
              </w:rPr>
            </w:pPr>
            <w:r>
              <w:rPr>
                <w:rFonts w:hint="eastAsia"/>
                <w:color w:val="FF0000"/>
              </w:rPr>
              <w:t>0.14</w:t>
            </w:r>
          </w:p>
        </w:tc>
      </w:tr>
      <w:tr w14:paraId="6B2F02E1">
        <w:tblPrEx>
          <w:tblCellMar>
            <w:top w:w="0" w:type="dxa"/>
            <w:left w:w="108" w:type="dxa"/>
            <w:bottom w:w="0" w:type="dxa"/>
            <w:right w:w="108" w:type="dxa"/>
          </w:tblCellMar>
        </w:tblPrEx>
        <w:trPr>
          <w:trHeight w:val="340" w:hRule="atLeast"/>
          <w:jc w:val="center"/>
        </w:trPr>
        <w:tc>
          <w:tcPr>
            <w:tcW w:w="1012" w:type="pct"/>
            <w:tcBorders>
              <w:top w:val="single" w:color="auto" w:sz="6" w:space="0"/>
              <w:bottom w:val="single" w:color="auto" w:sz="6" w:space="0"/>
              <w:right w:val="single" w:color="auto" w:sz="6" w:space="0"/>
            </w:tcBorders>
            <w:vAlign w:val="center"/>
          </w:tcPr>
          <w:p w14:paraId="69583D1A">
            <w:pPr>
              <w:pStyle w:val="84"/>
              <w:rPr>
                <w:color w:val="FF0000"/>
              </w:rPr>
            </w:pPr>
            <w:r>
              <w:rPr>
                <w:color w:val="FF0000"/>
              </w:rPr>
              <w:t>栽植</w:t>
            </w:r>
            <w:r>
              <w:rPr>
                <w:rFonts w:hint="eastAsia"/>
                <w:color w:val="FF0000"/>
              </w:rPr>
              <w:t>植物</w:t>
            </w:r>
          </w:p>
        </w:tc>
        <w:tc>
          <w:tcPr>
            <w:tcW w:w="1810" w:type="pct"/>
            <w:tcBorders>
              <w:top w:val="single" w:color="auto" w:sz="6" w:space="0"/>
              <w:left w:val="single" w:color="auto" w:sz="6" w:space="0"/>
              <w:bottom w:val="single" w:color="auto" w:sz="6" w:space="0"/>
              <w:right w:val="single" w:color="auto" w:sz="6" w:space="0"/>
            </w:tcBorders>
            <w:shd w:val="clear" w:color="auto" w:fill="auto"/>
            <w:vAlign w:val="center"/>
          </w:tcPr>
          <w:p w14:paraId="75032CCB">
            <w:pPr>
              <w:pStyle w:val="84"/>
              <w:rPr>
                <w:color w:val="FF0000"/>
              </w:rPr>
            </w:pPr>
            <w:r>
              <w:rPr>
                <w:rFonts w:hint="eastAsia"/>
                <w:color w:val="FF0000"/>
              </w:rPr>
              <w:t>大竹</w:t>
            </w:r>
            <w:r>
              <w:rPr>
                <w:color w:val="FF0000"/>
              </w:rPr>
              <w:t>（株）</w:t>
            </w:r>
          </w:p>
        </w:tc>
        <w:tc>
          <w:tcPr>
            <w:tcW w:w="2178" w:type="pct"/>
            <w:tcBorders>
              <w:top w:val="single" w:color="auto" w:sz="6" w:space="0"/>
              <w:left w:val="single" w:color="auto" w:sz="6" w:space="0"/>
              <w:bottom w:val="single" w:color="auto" w:sz="6" w:space="0"/>
            </w:tcBorders>
            <w:shd w:val="clear" w:color="auto" w:fill="auto"/>
            <w:vAlign w:val="center"/>
          </w:tcPr>
          <w:p w14:paraId="5B5B633F">
            <w:pPr>
              <w:pStyle w:val="84"/>
              <w:rPr>
                <w:color w:val="FF0000"/>
              </w:rPr>
            </w:pPr>
            <w:r>
              <w:rPr>
                <w:rFonts w:hint="eastAsia"/>
                <w:color w:val="FF0000"/>
              </w:rPr>
              <w:t>—</w:t>
            </w:r>
          </w:p>
        </w:tc>
      </w:tr>
      <w:tr w14:paraId="4D7C2D58">
        <w:tblPrEx>
          <w:tblCellMar>
            <w:top w:w="0" w:type="dxa"/>
            <w:left w:w="108" w:type="dxa"/>
            <w:bottom w:w="0" w:type="dxa"/>
            <w:right w:w="108" w:type="dxa"/>
          </w:tblCellMar>
        </w:tblPrEx>
        <w:trPr>
          <w:trHeight w:val="340" w:hRule="atLeast"/>
          <w:jc w:val="center"/>
        </w:trPr>
        <w:tc>
          <w:tcPr>
            <w:tcW w:w="1012" w:type="pct"/>
            <w:tcBorders>
              <w:top w:val="single" w:color="auto" w:sz="6" w:space="0"/>
              <w:bottom w:val="single" w:color="auto" w:sz="6" w:space="0"/>
              <w:right w:val="single" w:color="auto" w:sz="6" w:space="0"/>
            </w:tcBorders>
            <w:vAlign w:val="center"/>
          </w:tcPr>
          <w:p w14:paraId="2CE94A67">
            <w:pPr>
              <w:pStyle w:val="84"/>
              <w:rPr>
                <w:color w:val="FF0000"/>
              </w:rPr>
            </w:pPr>
            <w:r>
              <w:rPr>
                <w:color w:val="FF0000"/>
              </w:rPr>
              <w:t>撒播草本</w:t>
            </w:r>
          </w:p>
        </w:tc>
        <w:tc>
          <w:tcPr>
            <w:tcW w:w="1810" w:type="pct"/>
            <w:tcBorders>
              <w:top w:val="single" w:color="auto" w:sz="6" w:space="0"/>
              <w:left w:val="single" w:color="auto" w:sz="6" w:space="0"/>
              <w:bottom w:val="single" w:color="auto" w:sz="6" w:space="0"/>
              <w:right w:val="single" w:color="auto" w:sz="6" w:space="0"/>
            </w:tcBorders>
            <w:shd w:val="clear" w:color="auto" w:fill="auto"/>
            <w:vAlign w:val="center"/>
          </w:tcPr>
          <w:p w14:paraId="7FCAFD11">
            <w:pPr>
              <w:pStyle w:val="84"/>
              <w:rPr>
                <w:color w:val="FF0000"/>
              </w:rPr>
            </w:pPr>
            <w:r>
              <w:rPr>
                <w:rFonts w:hint="eastAsia"/>
                <w:color w:val="FF0000"/>
              </w:rPr>
              <w:t>狗牙根或黑麦草</w:t>
            </w:r>
            <w:r>
              <w:rPr>
                <w:color w:val="FF0000"/>
              </w:rPr>
              <w:t>（kg）</w:t>
            </w:r>
          </w:p>
        </w:tc>
        <w:tc>
          <w:tcPr>
            <w:tcW w:w="2178" w:type="pct"/>
            <w:tcBorders>
              <w:top w:val="single" w:color="auto" w:sz="6" w:space="0"/>
              <w:left w:val="single" w:color="auto" w:sz="6" w:space="0"/>
              <w:bottom w:val="single" w:color="auto" w:sz="6" w:space="0"/>
            </w:tcBorders>
            <w:shd w:val="clear" w:color="auto" w:fill="auto"/>
            <w:vAlign w:val="center"/>
          </w:tcPr>
          <w:p w14:paraId="6C91C285">
            <w:pPr>
              <w:pStyle w:val="84"/>
              <w:rPr>
                <w:color w:val="FF0000"/>
              </w:rPr>
            </w:pPr>
            <w:r>
              <w:rPr>
                <w:rFonts w:hint="eastAsia"/>
                <w:color w:val="FF0000"/>
              </w:rPr>
              <w:t>2.54</w:t>
            </w:r>
          </w:p>
        </w:tc>
      </w:tr>
      <w:tr w14:paraId="121811AD">
        <w:tblPrEx>
          <w:tblCellMar>
            <w:top w:w="0" w:type="dxa"/>
            <w:left w:w="108" w:type="dxa"/>
            <w:bottom w:w="0" w:type="dxa"/>
            <w:right w:w="108" w:type="dxa"/>
          </w:tblCellMar>
        </w:tblPrEx>
        <w:trPr>
          <w:trHeight w:val="340" w:hRule="atLeast"/>
          <w:jc w:val="center"/>
        </w:trPr>
        <w:tc>
          <w:tcPr>
            <w:tcW w:w="1012" w:type="pct"/>
            <w:vMerge w:val="restart"/>
            <w:tcBorders>
              <w:top w:val="single" w:color="auto" w:sz="6" w:space="0"/>
              <w:bottom w:val="single" w:color="auto" w:sz="6" w:space="0"/>
              <w:right w:val="single" w:color="auto" w:sz="6" w:space="0"/>
            </w:tcBorders>
            <w:vAlign w:val="center"/>
          </w:tcPr>
          <w:p w14:paraId="085EFEBE">
            <w:pPr>
              <w:pStyle w:val="84"/>
              <w:rPr>
                <w:color w:val="FF0000"/>
              </w:rPr>
            </w:pPr>
            <w:r>
              <w:rPr>
                <w:color w:val="FF0000"/>
              </w:rPr>
              <w:t>考虑10％补植量</w:t>
            </w:r>
          </w:p>
        </w:tc>
        <w:tc>
          <w:tcPr>
            <w:tcW w:w="1810" w:type="pct"/>
            <w:tcBorders>
              <w:top w:val="single" w:color="auto" w:sz="6" w:space="0"/>
              <w:left w:val="single" w:color="auto" w:sz="6" w:space="0"/>
              <w:bottom w:val="single" w:color="auto" w:sz="6" w:space="0"/>
              <w:right w:val="single" w:color="auto" w:sz="6" w:space="0"/>
            </w:tcBorders>
            <w:shd w:val="clear" w:color="auto" w:fill="auto"/>
            <w:vAlign w:val="center"/>
          </w:tcPr>
          <w:p w14:paraId="669FA2D3">
            <w:pPr>
              <w:pStyle w:val="84"/>
              <w:rPr>
                <w:color w:val="FF0000"/>
              </w:rPr>
            </w:pPr>
            <w:r>
              <w:rPr>
                <w:rFonts w:hint="eastAsia"/>
                <w:color w:val="FF0000"/>
              </w:rPr>
              <w:t>大竹</w:t>
            </w:r>
            <w:r>
              <w:rPr>
                <w:color w:val="FF0000"/>
              </w:rPr>
              <w:t>（株）</w:t>
            </w:r>
          </w:p>
        </w:tc>
        <w:tc>
          <w:tcPr>
            <w:tcW w:w="2178" w:type="pct"/>
            <w:tcBorders>
              <w:top w:val="single" w:color="auto" w:sz="6" w:space="0"/>
              <w:left w:val="single" w:color="auto" w:sz="6" w:space="0"/>
              <w:bottom w:val="single" w:color="auto" w:sz="6" w:space="0"/>
            </w:tcBorders>
            <w:shd w:val="clear" w:color="auto" w:fill="auto"/>
            <w:noWrap/>
            <w:vAlign w:val="center"/>
          </w:tcPr>
          <w:p w14:paraId="269A4EC9">
            <w:pPr>
              <w:pStyle w:val="84"/>
              <w:rPr>
                <w:color w:val="FF0000"/>
              </w:rPr>
            </w:pPr>
            <w:r>
              <w:rPr>
                <w:rFonts w:hint="eastAsia"/>
                <w:color w:val="FF0000"/>
              </w:rPr>
              <w:t>—</w:t>
            </w:r>
          </w:p>
        </w:tc>
      </w:tr>
      <w:tr w14:paraId="0AB4720E">
        <w:tblPrEx>
          <w:tblCellMar>
            <w:top w:w="0" w:type="dxa"/>
            <w:left w:w="108" w:type="dxa"/>
            <w:bottom w:w="0" w:type="dxa"/>
            <w:right w:w="108" w:type="dxa"/>
          </w:tblCellMar>
        </w:tblPrEx>
        <w:trPr>
          <w:trHeight w:val="340" w:hRule="atLeast"/>
          <w:jc w:val="center"/>
        </w:trPr>
        <w:tc>
          <w:tcPr>
            <w:tcW w:w="1012" w:type="pct"/>
            <w:vMerge w:val="continue"/>
            <w:tcBorders>
              <w:top w:val="single" w:color="auto" w:sz="6" w:space="0"/>
              <w:bottom w:val="single" w:color="auto" w:sz="6" w:space="0"/>
              <w:right w:val="single" w:color="auto" w:sz="6" w:space="0"/>
            </w:tcBorders>
            <w:vAlign w:val="center"/>
          </w:tcPr>
          <w:p w14:paraId="5D0EFEFF">
            <w:pPr>
              <w:pStyle w:val="84"/>
              <w:rPr>
                <w:color w:val="FF0000"/>
              </w:rPr>
            </w:pPr>
          </w:p>
        </w:tc>
        <w:tc>
          <w:tcPr>
            <w:tcW w:w="1810" w:type="pct"/>
            <w:tcBorders>
              <w:top w:val="single" w:color="auto" w:sz="6" w:space="0"/>
              <w:left w:val="single" w:color="auto" w:sz="6" w:space="0"/>
              <w:bottom w:val="single" w:color="auto" w:sz="6" w:space="0"/>
              <w:right w:val="single" w:color="auto" w:sz="6" w:space="0"/>
            </w:tcBorders>
            <w:shd w:val="clear" w:color="auto" w:fill="auto"/>
            <w:vAlign w:val="center"/>
          </w:tcPr>
          <w:p w14:paraId="78262191">
            <w:pPr>
              <w:pStyle w:val="84"/>
              <w:rPr>
                <w:color w:val="FF0000"/>
              </w:rPr>
            </w:pPr>
            <w:r>
              <w:rPr>
                <w:rFonts w:hint="eastAsia"/>
                <w:color w:val="FF0000"/>
              </w:rPr>
              <w:t>狗牙根或黑麦草</w:t>
            </w:r>
            <w:r>
              <w:rPr>
                <w:color w:val="FF0000"/>
              </w:rPr>
              <w:t>（kg）</w:t>
            </w:r>
          </w:p>
        </w:tc>
        <w:tc>
          <w:tcPr>
            <w:tcW w:w="2178" w:type="pct"/>
            <w:tcBorders>
              <w:top w:val="single" w:color="auto" w:sz="6" w:space="0"/>
              <w:left w:val="single" w:color="auto" w:sz="6" w:space="0"/>
              <w:bottom w:val="single" w:color="auto" w:sz="6" w:space="0"/>
            </w:tcBorders>
            <w:shd w:val="clear" w:color="auto" w:fill="auto"/>
            <w:noWrap/>
            <w:vAlign w:val="center"/>
          </w:tcPr>
          <w:p w14:paraId="6ED7F7A0">
            <w:pPr>
              <w:pStyle w:val="84"/>
              <w:rPr>
                <w:color w:val="FF0000"/>
              </w:rPr>
            </w:pPr>
            <w:r>
              <w:rPr>
                <w:rFonts w:hint="eastAsia"/>
                <w:color w:val="FF0000"/>
              </w:rPr>
              <w:t>2.8</w:t>
            </w:r>
          </w:p>
        </w:tc>
      </w:tr>
      <w:tr w14:paraId="31296086">
        <w:tblPrEx>
          <w:tblCellMar>
            <w:top w:w="0" w:type="dxa"/>
            <w:left w:w="108" w:type="dxa"/>
            <w:bottom w:w="0" w:type="dxa"/>
            <w:right w:w="108" w:type="dxa"/>
          </w:tblCellMar>
        </w:tblPrEx>
        <w:trPr>
          <w:trHeight w:val="340" w:hRule="atLeast"/>
          <w:jc w:val="center"/>
        </w:trPr>
        <w:tc>
          <w:tcPr>
            <w:tcW w:w="2822" w:type="pct"/>
            <w:gridSpan w:val="2"/>
            <w:tcBorders>
              <w:top w:val="single" w:color="auto" w:sz="6" w:space="0"/>
              <w:bottom w:val="single" w:color="auto" w:sz="6" w:space="0"/>
              <w:right w:val="single" w:color="auto" w:sz="6" w:space="0"/>
            </w:tcBorders>
            <w:shd w:val="clear" w:color="auto" w:fill="auto"/>
            <w:noWrap/>
            <w:vAlign w:val="center"/>
          </w:tcPr>
          <w:p w14:paraId="651EC0F5">
            <w:pPr>
              <w:pStyle w:val="84"/>
              <w:rPr>
                <w:color w:val="FF0000"/>
              </w:rPr>
            </w:pPr>
            <w:r>
              <w:rPr>
                <w:color w:val="FF0000"/>
              </w:rPr>
              <w:t>抚育管理面积（hm</w:t>
            </w:r>
            <w:r>
              <w:rPr>
                <w:color w:val="FF0000"/>
                <w:vertAlign w:val="superscript"/>
              </w:rPr>
              <w:t>2</w:t>
            </w:r>
            <w:r>
              <w:rPr>
                <w:color w:val="FF0000"/>
              </w:rPr>
              <w:t>）</w:t>
            </w:r>
          </w:p>
        </w:tc>
        <w:tc>
          <w:tcPr>
            <w:tcW w:w="2178" w:type="pct"/>
            <w:tcBorders>
              <w:top w:val="single" w:color="auto" w:sz="6" w:space="0"/>
              <w:left w:val="single" w:color="auto" w:sz="6" w:space="0"/>
              <w:bottom w:val="single" w:color="auto" w:sz="6" w:space="0"/>
            </w:tcBorders>
            <w:shd w:val="clear" w:color="auto" w:fill="auto"/>
            <w:noWrap/>
            <w:vAlign w:val="center"/>
          </w:tcPr>
          <w:p w14:paraId="2D62E89B">
            <w:pPr>
              <w:pStyle w:val="84"/>
              <w:rPr>
                <w:color w:val="FF0000"/>
              </w:rPr>
            </w:pPr>
            <w:r>
              <w:rPr>
                <w:rFonts w:hint="eastAsia"/>
                <w:color w:val="FF0000"/>
              </w:rPr>
              <w:t>0.14</w:t>
            </w:r>
          </w:p>
        </w:tc>
      </w:tr>
    </w:tbl>
    <w:p w14:paraId="7A27D341">
      <w:pPr>
        <w:pStyle w:val="113"/>
      </w:pPr>
      <w:bookmarkStart w:id="882" w:name="_Toc508642511"/>
      <w:bookmarkStart w:id="883" w:name="_Toc443655506"/>
      <w:r>
        <w:rPr>
          <w:rFonts w:hint="eastAsia"/>
        </w:rPr>
        <w:t>8.1.2野生动物及鱼类保护措施</w:t>
      </w:r>
      <w:bookmarkEnd w:id="882"/>
      <w:bookmarkEnd w:id="883"/>
    </w:p>
    <w:p w14:paraId="0449EBF5">
      <w:pPr>
        <w:ind w:firstLine="480"/>
      </w:pPr>
      <w:r>
        <w:rPr>
          <w:rFonts w:hint="eastAsia"/>
        </w:rPr>
        <w:t>1、</w:t>
      </w:r>
      <w:r>
        <w:t>对动物生境的保护</w:t>
      </w:r>
    </w:p>
    <w:p w14:paraId="6613557F">
      <w:pPr>
        <w:ind w:firstLine="480"/>
      </w:pPr>
      <w:r>
        <w:rPr>
          <w:rFonts w:hint="eastAsia" w:ascii="宋体" w:hAnsi="宋体" w:cs="宋体"/>
        </w:rPr>
        <w:t>①</w:t>
      </w:r>
      <w:r>
        <w:t>处理好施工</w:t>
      </w:r>
      <w:r>
        <w:rPr>
          <w:rFonts w:hint="eastAsia"/>
        </w:rPr>
        <w:t>“</w:t>
      </w:r>
      <w:r>
        <w:t>三废</w:t>
      </w:r>
      <w:r>
        <w:rPr>
          <w:rFonts w:hint="eastAsia"/>
        </w:rPr>
        <w:t>”</w:t>
      </w:r>
      <w:r>
        <w:t>，禁止</w:t>
      </w:r>
      <w:r>
        <w:rPr>
          <w:rFonts w:hint="eastAsia"/>
        </w:rPr>
        <w:t>向</w:t>
      </w:r>
      <w:r>
        <w:t>自然环境中排放，避免对动物生境造成更大的破坏。</w:t>
      </w:r>
    </w:p>
    <w:p w14:paraId="377C815C">
      <w:pPr>
        <w:ind w:firstLine="480"/>
      </w:pPr>
      <w:r>
        <w:rPr>
          <w:rFonts w:hint="eastAsia" w:ascii="宋体" w:hAnsi="宋体" w:cs="宋体"/>
        </w:rPr>
        <w:t>②</w:t>
      </w:r>
      <w:r>
        <w:t>在施工结束后立即清理平整场地，消除人为痕迹，恢复临时占地植被，对施工区周边采取植被绿化措施。</w:t>
      </w:r>
    </w:p>
    <w:p w14:paraId="7CDE1424">
      <w:pPr>
        <w:ind w:firstLine="480"/>
      </w:pPr>
      <w:r>
        <w:rPr>
          <w:rFonts w:hint="eastAsia" w:ascii="宋体" w:hAnsi="宋体"/>
        </w:rPr>
        <w:t>③</w:t>
      </w:r>
      <w:r>
        <w:rPr>
          <w:szCs w:val="24"/>
        </w:rPr>
        <w:t>严禁渣土、生活垃圾</w:t>
      </w:r>
      <w:r>
        <w:rPr>
          <w:rFonts w:hint="eastAsia"/>
          <w:szCs w:val="24"/>
        </w:rPr>
        <w:t>、</w:t>
      </w:r>
      <w:r>
        <w:rPr>
          <w:szCs w:val="24"/>
        </w:rPr>
        <w:t>未经处理的污废水倾倒入河，以避免对河流水质造成污染而影响鱼类生存。</w:t>
      </w:r>
    </w:p>
    <w:p w14:paraId="5FC991D6">
      <w:pPr>
        <w:ind w:firstLine="480"/>
      </w:pPr>
      <w:r>
        <w:rPr>
          <w:rFonts w:hint="eastAsia"/>
        </w:rPr>
        <w:t>2、</w:t>
      </w:r>
      <w:r>
        <w:t>对动物个体的保护</w:t>
      </w:r>
    </w:p>
    <w:p w14:paraId="36B74789">
      <w:pPr>
        <w:ind w:firstLine="480"/>
        <w:rPr>
          <w:rFonts w:ascii="宋体" w:hAnsi="宋体" w:cs="宋体"/>
        </w:rPr>
      </w:pPr>
      <w:r>
        <w:rPr>
          <w:rFonts w:hint="eastAsia" w:ascii="宋体" w:hAnsi="宋体" w:cs="宋体"/>
        </w:rPr>
        <w:t>①</w:t>
      </w:r>
      <w:r>
        <w:t>加强施工单位和施工人员的宣传教育，通过环境保护法律知识普及、在施工区设置保护动物的告示牌及警告牌等措施进行宣传，树立施工人员的模范环保意识。</w:t>
      </w:r>
    </w:p>
    <w:p w14:paraId="59748416">
      <w:pPr>
        <w:ind w:firstLine="480"/>
      </w:pPr>
      <w:r>
        <w:rPr>
          <w:rFonts w:hint="eastAsia" w:ascii="宋体" w:hAnsi="宋体" w:cs="宋体"/>
        </w:rPr>
        <w:t>②</w:t>
      </w:r>
      <w:r>
        <w:t>对施工人员明确规定严禁猎杀、购买和食用野生动物，建立与环境保护有关的奖励</w:t>
      </w:r>
      <w:r>
        <w:rPr>
          <w:rFonts w:hint="eastAsia"/>
        </w:rPr>
        <w:t>与</w:t>
      </w:r>
      <w:r>
        <w:t>惩罚制度，对积极举报违法活动人员给以奖励和隐私保护，对于证据确凿的违法活动者给以严厉惩罚</w:t>
      </w:r>
      <w:r>
        <w:rPr>
          <w:rFonts w:hint="eastAsia"/>
        </w:rPr>
        <w:t>。</w:t>
      </w:r>
    </w:p>
    <w:p w14:paraId="113C3C13">
      <w:pPr>
        <w:ind w:firstLine="480"/>
      </w:pPr>
      <w:r>
        <w:rPr>
          <w:rFonts w:hint="eastAsia" w:ascii="宋体" w:hAnsi="宋体" w:cs="宋体"/>
        </w:rPr>
        <w:t>③</w:t>
      </w:r>
      <w:r>
        <w:t>施工</w:t>
      </w:r>
      <w:r>
        <w:rPr>
          <w:rFonts w:hint="eastAsia"/>
        </w:rPr>
        <w:t>活动</w:t>
      </w:r>
      <w:r>
        <w:t>结束后对迹地进行及时的绿化恢复，并在运输、施工中注意保护野生动物。</w:t>
      </w:r>
    </w:p>
    <w:p w14:paraId="7B084768">
      <w:pPr>
        <w:ind w:firstLine="480"/>
        <w:rPr>
          <w:color w:val="FF0000"/>
        </w:rPr>
      </w:pPr>
      <w:r>
        <w:rPr>
          <w:rFonts w:hint="eastAsia" w:ascii="宋体" w:hAnsi="宋体"/>
          <w:color w:val="FF0000"/>
          <w:szCs w:val="24"/>
        </w:rPr>
        <w:t>④</w:t>
      </w:r>
      <w:r>
        <w:rPr>
          <w:color w:val="FF0000"/>
          <w:szCs w:val="24"/>
        </w:rPr>
        <w:t>严禁施工人员进行非保护性质的鱼类捕捞</w:t>
      </w:r>
      <w:r>
        <w:rPr>
          <w:rFonts w:hint="eastAsia"/>
          <w:color w:val="FF0000"/>
          <w:szCs w:val="24"/>
        </w:rPr>
        <w:t>。此外，</w:t>
      </w:r>
      <w:r>
        <w:rPr>
          <w:rFonts w:hint="eastAsia"/>
          <w:color w:val="FF0000"/>
        </w:rPr>
        <w:t>上游芒里电站虽已设置隔鱼措施，但</w:t>
      </w:r>
      <w:r>
        <w:rPr>
          <w:color w:val="FF0000"/>
        </w:rPr>
        <w:t>为</w:t>
      </w:r>
      <w:r>
        <w:rPr>
          <w:rFonts w:hint="eastAsia"/>
          <w:color w:val="FF0000"/>
        </w:rPr>
        <w:t>了更好地</w:t>
      </w:r>
      <w:r>
        <w:rPr>
          <w:color w:val="FF0000"/>
        </w:rPr>
        <w:t>保护土著鱼类，</w:t>
      </w:r>
      <w:r>
        <w:rPr>
          <w:rFonts w:hint="eastAsia"/>
          <w:color w:val="FF0000"/>
        </w:rPr>
        <w:t>建设单位应</w:t>
      </w:r>
      <w:r>
        <w:rPr>
          <w:color w:val="FF0000"/>
        </w:rPr>
        <w:t>在</w:t>
      </w:r>
      <w:r>
        <w:rPr>
          <w:rFonts w:hint="eastAsia"/>
          <w:color w:val="FF0000"/>
        </w:rPr>
        <w:t>本次兴建的团结水电站拦河坝取水口处设置隔鱼措施，防止鱼类进入厂房；</w:t>
      </w:r>
      <w:r>
        <w:rPr>
          <w:rFonts w:hint="eastAsia" w:cstheme="minorBidi"/>
          <w:color w:val="FF0000"/>
        </w:rPr>
        <w:t>同时考虑到坝址上下游鱼类生境的连贯性，建设单位需考虑在鱼类</w:t>
      </w:r>
      <w:r>
        <w:rPr>
          <w:color w:val="FF0000"/>
        </w:rPr>
        <w:t>短距离产卵洄游</w:t>
      </w:r>
      <w:r>
        <w:rPr>
          <w:rFonts w:hint="eastAsia"/>
          <w:color w:val="FF0000"/>
        </w:rPr>
        <w:t>时</w:t>
      </w:r>
      <w:r>
        <w:rPr>
          <w:rFonts w:hint="eastAsia" w:cstheme="minorBidi"/>
          <w:color w:val="FF0000"/>
        </w:rPr>
        <w:t>采取网捕过坝措施或在大坝设置闸门式鱼道</w:t>
      </w:r>
      <w:r>
        <w:rPr>
          <w:rFonts w:cstheme="minorBidi"/>
          <w:color w:val="FF0000"/>
        </w:rPr>
        <w:t>。</w:t>
      </w:r>
    </w:p>
    <w:bookmarkEnd w:id="880"/>
    <w:p w14:paraId="3B0BE2EA">
      <w:pPr>
        <w:pStyle w:val="4"/>
        <w:rPr>
          <w:snapToGrid w:val="0"/>
        </w:rPr>
      </w:pPr>
      <w:bookmarkStart w:id="884" w:name="_Toc471738081"/>
      <w:bookmarkStart w:id="885" w:name="_Toc454046611"/>
      <w:bookmarkStart w:id="886" w:name="_Toc443655508"/>
      <w:bookmarkStart w:id="887" w:name="_Toc508642512"/>
      <w:bookmarkStart w:id="888" w:name="_Toc377420826"/>
      <w:bookmarkStart w:id="889" w:name="_Toc377831945"/>
      <w:bookmarkStart w:id="890" w:name="_Toc377115162"/>
      <w:bookmarkStart w:id="891" w:name="_Toc397428417"/>
      <w:bookmarkStart w:id="892" w:name="_Toc304985245"/>
      <w:bookmarkStart w:id="893" w:name="_Toc534485298"/>
      <w:bookmarkStart w:id="894" w:name="_Toc327443546"/>
      <w:r>
        <w:rPr>
          <w:rFonts w:hint="eastAsia"/>
          <w:snapToGrid w:val="0"/>
        </w:rPr>
        <w:t>8.2</w:t>
      </w:r>
      <w:r>
        <w:rPr>
          <w:snapToGrid w:val="0"/>
        </w:rPr>
        <w:t>水环境</w:t>
      </w:r>
      <w:bookmarkEnd w:id="884"/>
      <w:bookmarkEnd w:id="885"/>
      <w:bookmarkEnd w:id="886"/>
      <w:bookmarkEnd w:id="887"/>
      <w:bookmarkEnd w:id="888"/>
      <w:bookmarkEnd w:id="889"/>
      <w:bookmarkEnd w:id="890"/>
      <w:bookmarkEnd w:id="891"/>
      <w:bookmarkEnd w:id="892"/>
      <w:bookmarkEnd w:id="893"/>
      <w:bookmarkEnd w:id="894"/>
    </w:p>
    <w:p w14:paraId="020266A1">
      <w:pPr>
        <w:pStyle w:val="113"/>
      </w:pPr>
      <w:bookmarkStart w:id="895" w:name="_Toc508642513"/>
      <w:bookmarkStart w:id="896" w:name="_Toc377420828"/>
      <w:bookmarkStart w:id="897" w:name="_Toc534485545"/>
      <w:bookmarkStart w:id="898" w:name="_Toc534486044"/>
      <w:bookmarkStart w:id="899" w:name="_Toc377831947"/>
      <w:bookmarkStart w:id="900" w:name="_Toc304985247"/>
      <w:r>
        <w:rPr>
          <w:rFonts w:hint="eastAsia"/>
        </w:rPr>
        <w:t>8.2.1施工期</w:t>
      </w:r>
      <w:bookmarkEnd w:id="895"/>
    </w:p>
    <w:p w14:paraId="02C351DE">
      <w:pPr>
        <w:ind w:firstLine="480"/>
        <w:rPr>
          <w:szCs w:val="24"/>
        </w:rPr>
      </w:pPr>
      <w:r>
        <w:rPr>
          <w:rFonts w:hint="eastAsia"/>
          <w:szCs w:val="24"/>
        </w:rPr>
        <w:t>1、</w:t>
      </w:r>
      <w:r>
        <w:rPr>
          <w:szCs w:val="24"/>
        </w:rPr>
        <w:t>施工生产废水处理</w:t>
      </w:r>
      <w:bookmarkEnd w:id="896"/>
      <w:bookmarkEnd w:id="897"/>
      <w:bookmarkEnd w:id="898"/>
      <w:bookmarkEnd w:id="899"/>
    </w:p>
    <w:p w14:paraId="0E3CFA14">
      <w:pPr>
        <w:tabs>
          <w:tab w:val="left" w:pos="480"/>
        </w:tabs>
        <w:ind w:firstLine="480"/>
        <w:rPr>
          <w:rFonts w:hAnsi="宋体"/>
          <w:kern w:val="0"/>
          <w:szCs w:val="20"/>
        </w:rPr>
      </w:pPr>
      <w:r>
        <w:rPr>
          <w:rFonts w:hint="eastAsia" w:ascii="宋体" w:hAnsi="宋体"/>
          <w:kern w:val="0"/>
          <w:szCs w:val="20"/>
        </w:rPr>
        <w:t>①</w:t>
      </w:r>
      <w:r>
        <w:rPr>
          <w:rFonts w:hint="eastAsia" w:hAnsi="宋体"/>
          <w:kern w:val="0"/>
          <w:szCs w:val="20"/>
        </w:rPr>
        <w:t>设计目标</w:t>
      </w:r>
    </w:p>
    <w:p w14:paraId="10D6EDCC">
      <w:pPr>
        <w:ind w:firstLine="480"/>
        <w:rPr>
          <w:szCs w:val="24"/>
        </w:rPr>
      </w:pPr>
      <w:r>
        <w:rPr>
          <w:rFonts w:hint="eastAsia"/>
          <w:szCs w:val="24"/>
        </w:rPr>
        <w:t>根据《水电工程施工组织设计规范》（DL/T5397-2007）中对生产用水的要求，应进行适当处理后回收利用或排放，回收利用水的SS含量不应超过100mg/L。本项目砂石料冲洗废水和混凝土拌合系统冲洗废水处理目标为SS小于100mg/L，废水处理后回用于</w:t>
      </w:r>
      <w:r>
        <w:rPr>
          <w:rFonts w:hint="eastAsia"/>
        </w:rPr>
        <w:t>生产</w:t>
      </w:r>
      <w:r>
        <w:t>，</w:t>
      </w:r>
      <w:r>
        <w:rPr>
          <w:rFonts w:hint="eastAsia"/>
        </w:rPr>
        <w:t>不外排</w:t>
      </w:r>
      <w:r>
        <w:rPr>
          <w:rFonts w:hint="eastAsia"/>
          <w:szCs w:val="24"/>
        </w:rPr>
        <w:t>。</w:t>
      </w:r>
    </w:p>
    <w:p w14:paraId="426B1D48">
      <w:pPr>
        <w:tabs>
          <w:tab w:val="left" w:pos="480"/>
        </w:tabs>
        <w:ind w:firstLine="480"/>
        <w:rPr>
          <w:rFonts w:hAnsi="宋体"/>
          <w:kern w:val="0"/>
          <w:szCs w:val="20"/>
        </w:rPr>
      </w:pPr>
      <w:r>
        <w:rPr>
          <w:rFonts w:hint="eastAsia" w:ascii="宋体" w:hAnsi="宋体"/>
          <w:kern w:val="0"/>
          <w:szCs w:val="20"/>
        </w:rPr>
        <w:t>②</w:t>
      </w:r>
      <w:r>
        <w:rPr>
          <w:rFonts w:hint="eastAsia" w:hAnsi="宋体"/>
          <w:kern w:val="0"/>
          <w:szCs w:val="20"/>
        </w:rPr>
        <w:t>处理方案</w:t>
      </w:r>
    </w:p>
    <w:p w14:paraId="717D2756">
      <w:pPr>
        <w:ind w:firstLine="480"/>
        <w:rPr>
          <w:szCs w:val="24"/>
          <w:highlight w:val="green"/>
        </w:rPr>
      </w:pPr>
      <w:r>
        <w:rPr>
          <w:rFonts w:hint="eastAsia"/>
          <w:szCs w:val="24"/>
        </w:rPr>
        <w:t>工程拟设置简易沉淀池对生产废水进行处理。废水经管道或沟渠收集后排入沉淀池，在池内静置沉淀约6h。废水中颗粒物主要为SS、混凝土和水泥料残渣，不含其他杂质，上清液回用于生产。沉淀池需人工定期清渣，</w:t>
      </w:r>
      <w:r>
        <w:rPr>
          <w:rFonts w:hint="eastAsia"/>
          <w:color w:val="FF0000"/>
          <w:szCs w:val="24"/>
        </w:rPr>
        <w:t>用于大坝左岸防护。</w:t>
      </w:r>
    </w:p>
    <w:p w14:paraId="46C285EB">
      <w:pPr>
        <w:ind w:firstLine="0" w:firstLineChars="0"/>
        <w:jc w:val="center"/>
        <w:rPr>
          <w:rFonts w:cstheme="minorBidi"/>
          <w:b/>
          <w:highlight w:val="green"/>
        </w:rPr>
      </w:pPr>
      <w:r>
        <w:rPr>
          <w:rFonts w:cstheme="minorBidi"/>
          <w:color w:val="FF0000"/>
        </w:rPr>
        <w:object>
          <v:shape id="_x0000_i1029" o:spt="75" type="#_x0000_t75" style="height:72.5pt;width:320.5pt;" o:ole="t" filled="f" coordsize="21600,21600">
            <v:path/>
            <v:fill on="f" focussize="0,0"/>
            <v:stroke/>
            <v:imagedata r:id="rId47" o:title=""/>
            <o:lock v:ext="edit" aspectratio="t"/>
            <w10:wrap type="none"/>
            <w10:anchorlock/>
          </v:shape>
          <o:OLEObject Type="Embed" ProgID="Visio.Drawing.11" ShapeID="_x0000_i1029" DrawAspect="Content" ObjectID="_1468075729" r:id="rId46">
            <o:LockedField>false</o:LockedField>
          </o:OLEObject>
        </w:object>
      </w:r>
    </w:p>
    <w:p w14:paraId="7218A1F5">
      <w:pPr>
        <w:pStyle w:val="82"/>
        <w:framePr w:hSpace="0" w:wrap="auto" w:vAnchor="margin" w:hAnchor="text" w:xAlign="left" w:yAlign="inline"/>
        <w:rPr>
          <w:color w:val="FF0000"/>
        </w:rPr>
      </w:pPr>
      <w:r>
        <w:rPr>
          <w:color w:val="FF0000"/>
        </w:rPr>
        <w:t>图</w:t>
      </w:r>
      <w:r>
        <w:rPr>
          <w:rFonts w:hint="eastAsia"/>
          <w:color w:val="FF0000"/>
        </w:rPr>
        <w:t>8-2-1</w:t>
      </w:r>
      <w:r>
        <w:rPr>
          <w:color w:val="FF0000"/>
        </w:rPr>
        <w:t xml:space="preserve">  </w:t>
      </w:r>
      <w:r>
        <w:rPr>
          <w:rFonts w:hint="eastAsia"/>
          <w:color w:val="FF0000"/>
        </w:rPr>
        <w:t>冲洗</w:t>
      </w:r>
      <w:r>
        <w:rPr>
          <w:color w:val="FF0000"/>
        </w:rPr>
        <w:t>废水收集处理</w:t>
      </w:r>
      <w:r>
        <w:rPr>
          <w:rFonts w:hint="eastAsia"/>
          <w:color w:val="FF0000"/>
        </w:rPr>
        <w:t>流程</w:t>
      </w:r>
      <w:r>
        <w:rPr>
          <w:color w:val="FF0000"/>
        </w:rPr>
        <w:t>图</w:t>
      </w:r>
    </w:p>
    <w:p w14:paraId="75095D89">
      <w:pPr>
        <w:ind w:firstLine="480"/>
        <w:rPr>
          <w:szCs w:val="24"/>
        </w:rPr>
      </w:pPr>
      <w:r>
        <w:rPr>
          <w:rFonts w:hint="eastAsia" w:ascii="宋体" w:hAnsi="宋体"/>
          <w:kern w:val="0"/>
          <w:szCs w:val="20"/>
        </w:rPr>
        <w:t>③</w:t>
      </w:r>
      <w:r>
        <w:rPr>
          <w:rFonts w:hint="eastAsia"/>
          <w:szCs w:val="24"/>
        </w:rPr>
        <w:t>布置方案</w:t>
      </w:r>
    </w:p>
    <w:p w14:paraId="62DA8F7D">
      <w:pPr>
        <w:ind w:firstLine="480"/>
        <w:rPr>
          <w:szCs w:val="24"/>
        </w:rPr>
      </w:pPr>
      <w:r>
        <w:rPr>
          <w:rFonts w:hint="eastAsia"/>
          <w:szCs w:val="24"/>
        </w:rPr>
        <w:t>根据工程特性，将废水处理系统纳入到混凝土拌合系统和砂石料冲洗系统布置中统一考虑，利用加工系统附近空地进行布置。</w:t>
      </w:r>
    </w:p>
    <w:p w14:paraId="110D5376">
      <w:pPr>
        <w:ind w:firstLine="480"/>
        <w:rPr>
          <w:szCs w:val="24"/>
          <w:highlight w:val="green"/>
        </w:rPr>
      </w:pPr>
      <w:r>
        <w:rPr>
          <w:rFonts w:hint="eastAsia"/>
          <w:szCs w:val="24"/>
        </w:rPr>
        <w:t>生产废水排入沉淀池</w:t>
      </w:r>
      <w:r>
        <w:rPr>
          <w:rFonts w:hint="eastAsia"/>
        </w:rPr>
        <w:t>（一用一备，容积均为75m</w:t>
      </w:r>
      <w:r>
        <w:rPr>
          <w:rFonts w:hint="eastAsia"/>
          <w:vertAlign w:val="superscript"/>
        </w:rPr>
        <w:t>3</w:t>
      </w:r>
      <w:r>
        <w:rPr>
          <w:rFonts w:hint="eastAsia"/>
        </w:rPr>
        <w:t>/个，共设置2个）</w:t>
      </w:r>
      <w:r>
        <w:rPr>
          <w:rFonts w:hint="eastAsia"/>
          <w:szCs w:val="24"/>
        </w:rPr>
        <w:t>，沉淀时间达6h（必要时投加絮凝剂）后取上清液回用于生产，不外排。沉淀池的污泥需人工定期清</w:t>
      </w:r>
      <w:r>
        <w:rPr>
          <w:rFonts w:hint="eastAsia"/>
          <w:color w:val="FF0000"/>
          <w:szCs w:val="24"/>
        </w:rPr>
        <w:t>掏用于大坝左岸防护。</w:t>
      </w:r>
    </w:p>
    <w:p w14:paraId="10C013BD">
      <w:pPr>
        <w:tabs>
          <w:tab w:val="left" w:pos="480"/>
        </w:tabs>
        <w:ind w:firstLine="480"/>
        <w:rPr>
          <w:rFonts w:hAnsi="宋体"/>
          <w:kern w:val="0"/>
          <w:szCs w:val="20"/>
        </w:rPr>
      </w:pPr>
      <w:r>
        <w:rPr>
          <w:rFonts w:hint="eastAsia" w:ascii="宋体" w:hAnsi="宋体"/>
          <w:szCs w:val="24"/>
        </w:rPr>
        <w:t>④</w:t>
      </w:r>
      <w:r>
        <w:rPr>
          <w:rFonts w:hint="eastAsia" w:hAnsi="宋体"/>
          <w:kern w:val="0"/>
          <w:szCs w:val="20"/>
        </w:rPr>
        <w:t>运行管理与维护</w:t>
      </w:r>
    </w:p>
    <w:p w14:paraId="37EDCD2B">
      <w:pPr>
        <w:ind w:firstLine="480"/>
        <w:rPr>
          <w:szCs w:val="24"/>
        </w:rPr>
      </w:pPr>
      <w:r>
        <w:rPr>
          <w:rFonts w:hint="eastAsia"/>
          <w:szCs w:val="24"/>
        </w:rPr>
        <w:t>由于本工程施工生产废水处理结构简单，基本无机械设备维护问题，在运行过程中主要注意定期清理泥渣。管理工作纳入混凝土拌合系统和砂石料冲洗系统中统一安排，不另设系统维护和运行人员。</w:t>
      </w:r>
    </w:p>
    <w:p w14:paraId="1096CF4D">
      <w:pPr>
        <w:ind w:firstLine="480"/>
      </w:pPr>
      <w:r>
        <w:rPr>
          <w:rFonts w:hint="eastAsia"/>
        </w:rPr>
        <w:t>2、施工生活污水处理</w:t>
      </w:r>
    </w:p>
    <w:p w14:paraId="3067F815">
      <w:pPr>
        <w:ind w:firstLine="480"/>
        <w:rPr>
          <w:szCs w:val="24"/>
        </w:rPr>
      </w:pPr>
      <w:bookmarkStart w:id="901" w:name="_Toc377420830"/>
      <w:bookmarkStart w:id="902" w:name="_Toc377115164"/>
      <w:bookmarkStart w:id="903" w:name="_Toc534485300"/>
      <w:bookmarkStart w:id="904" w:name="_Toc327443548"/>
      <w:bookmarkStart w:id="905" w:name="_Toc397428419"/>
      <w:bookmarkStart w:id="906" w:name="_Toc377831949"/>
      <w:r>
        <w:rPr>
          <w:rFonts w:hint="eastAsia"/>
          <w:szCs w:val="24"/>
        </w:rPr>
        <w:t>生活污水中主要污染物为BOD</w:t>
      </w:r>
      <w:r>
        <w:rPr>
          <w:rFonts w:hint="eastAsia"/>
          <w:szCs w:val="24"/>
          <w:vertAlign w:val="subscript"/>
        </w:rPr>
        <w:t>5</w:t>
      </w:r>
      <w:r>
        <w:rPr>
          <w:rFonts w:hint="eastAsia"/>
          <w:szCs w:val="24"/>
        </w:rPr>
        <w:t>、COD、粪大肠菌群、SS、动植物油及少量NH</w:t>
      </w:r>
      <w:r>
        <w:rPr>
          <w:rFonts w:hint="eastAsia"/>
          <w:szCs w:val="24"/>
          <w:vertAlign w:val="subscript"/>
        </w:rPr>
        <w:t>3</w:t>
      </w:r>
      <w:r>
        <w:rPr>
          <w:rFonts w:hint="eastAsia"/>
          <w:szCs w:val="24"/>
        </w:rPr>
        <w:t>-N等。</w:t>
      </w:r>
      <w:r>
        <w:rPr>
          <w:szCs w:val="24"/>
        </w:rPr>
        <w:t>为达到污染物的减量化和易处理化，要求采用</w:t>
      </w:r>
      <w:r>
        <w:rPr>
          <w:rFonts w:hint="eastAsia"/>
          <w:szCs w:val="24"/>
        </w:rPr>
        <w:t>“</w:t>
      </w:r>
      <w:r>
        <w:rPr>
          <w:szCs w:val="24"/>
        </w:rPr>
        <w:t>旱厕</w:t>
      </w:r>
      <w:r>
        <w:rPr>
          <w:rFonts w:hint="eastAsia"/>
          <w:szCs w:val="24"/>
        </w:rPr>
        <w:t>+隔油池+沉淀池”进行处理</w:t>
      </w:r>
      <w:r>
        <w:rPr>
          <w:szCs w:val="24"/>
        </w:rPr>
        <w:t>。旱厕定期</w:t>
      </w:r>
      <w:r>
        <w:rPr>
          <w:rFonts w:hint="eastAsia"/>
          <w:szCs w:val="24"/>
        </w:rPr>
        <w:t>清掏用作绿化施肥，</w:t>
      </w:r>
      <w:r>
        <w:rPr>
          <w:szCs w:val="24"/>
        </w:rPr>
        <w:t>由于粪便不进入生活污水，其它生活污水污染物浓度较低，厨房废水经隔油</w:t>
      </w:r>
      <w:r>
        <w:rPr>
          <w:rFonts w:hint="eastAsia"/>
          <w:szCs w:val="24"/>
        </w:rPr>
        <w:t>池</w:t>
      </w:r>
      <w:r>
        <w:rPr>
          <w:szCs w:val="24"/>
        </w:rPr>
        <w:t>处理，</w:t>
      </w:r>
      <w:r>
        <w:rPr>
          <w:rFonts w:hint="eastAsia"/>
          <w:szCs w:val="24"/>
        </w:rPr>
        <w:t>清洁</w:t>
      </w:r>
      <w:r>
        <w:rPr>
          <w:szCs w:val="24"/>
        </w:rPr>
        <w:t>废水经简易沉淀处理后回用于</w:t>
      </w:r>
      <w:r>
        <w:rPr>
          <w:rFonts w:hint="eastAsia"/>
          <w:szCs w:val="24"/>
        </w:rPr>
        <w:t>场工洒水降尘。</w:t>
      </w:r>
      <w:r>
        <w:rPr>
          <w:szCs w:val="24"/>
        </w:rPr>
        <w:t>施工</w:t>
      </w:r>
      <w:r>
        <w:rPr>
          <w:rFonts w:hint="eastAsia"/>
          <w:szCs w:val="24"/>
        </w:rPr>
        <w:t>营</w:t>
      </w:r>
      <w:r>
        <w:rPr>
          <w:szCs w:val="24"/>
        </w:rPr>
        <w:t>场地设置1个旱厕和1个隔油</w:t>
      </w:r>
      <w:r>
        <w:rPr>
          <w:rFonts w:hint="eastAsia"/>
          <w:szCs w:val="24"/>
        </w:rPr>
        <w:t>池（容积为1m</w:t>
      </w:r>
      <w:r>
        <w:rPr>
          <w:rFonts w:hint="eastAsia"/>
          <w:szCs w:val="24"/>
          <w:vertAlign w:val="superscript"/>
        </w:rPr>
        <w:t>3</w:t>
      </w:r>
      <w:r>
        <w:rPr>
          <w:rFonts w:hint="eastAsia"/>
          <w:szCs w:val="24"/>
        </w:rPr>
        <w:t>）、1个</w:t>
      </w:r>
      <w:r>
        <w:rPr>
          <w:szCs w:val="24"/>
        </w:rPr>
        <w:t>沉淀池</w:t>
      </w:r>
      <w:r>
        <w:rPr>
          <w:rFonts w:hint="eastAsia"/>
          <w:szCs w:val="24"/>
        </w:rPr>
        <w:t>（容积为5m</w:t>
      </w:r>
      <w:r>
        <w:rPr>
          <w:rFonts w:hint="eastAsia"/>
          <w:szCs w:val="24"/>
          <w:vertAlign w:val="superscript"/>
        </w:rPr>
        <w:t>3</w:t>
      </w:r>
      <w:r>
        <w:rPr>
          <w:rFonts w:hint="eastAsia"/>
          <w:szCs w:val="24"/>
        </w:rPr>
        <w:t>）</w:t>
      </w:r>
      <w:r>
        <w:rPr>
          <w:szCs w:val="24"/>
        </w:rPr>
        <w:t>。</w:t>
      </w:r>
    </w:p>
    <w:p w14:paraId="15B6040D">
      <w:pPr>
        <w:ind w:firstLine="0" w:firstLineChars="0"/>
        <w:jc w:val="center"/>
      </w:pPr>
      <w:r>
        <w:object>
          <v:shape id="_x0000_i1030" o:spt="75" type="#_x0000_t75" style="height:179pt;width:211pt;" o:ole="t" filled="f" coordsize="21600,21600">
            <v:path/>
            <v:fill on="f" focussize="0,0"/>
            <v:stroke/>
            <v:imagedata r:id="rId49" o:title=""/>
            <o:lock v:ext="edit" aspectratio="t"/>
            <w10:wrap type="none"/>
            <w10:anchorlock/>
          </v:shape>
          <o:OLEObject Type="Embed" ProgID="Visio.Drawing.11" ShapeID="_x0000_i1030" DrawAspect="Content" ObjectID="_1468075730" r:id="rId48">
            <o:LockedField>false</o:LockedField>
          </o:OLEObject>
        </w:object>
      </w:r>
    </w:p>
    <w:p w14:paraId="4CA9A742">
      <w:pPr>
        <w:pStyle w:val="82"/>
        <w:framePr w:hSpace="0" w:wrap="auto" w:vAnchor="margin" w:hAnchor="text" w:xAlign="left" w:yAlign="inline"/>
      </w:pPr>
      <w:r>
        <w:rPr>
          <w:rFonts w:hint="eastAsia"/>
        </w:rPr>
        <w:t>8-2-2  施工营地生活污水处理流程图</w:t>
      </w:r>
    </w:p>
    <w:p w14:paraId="660A2C01">
      <w:pPr>
        <w:pStyle w:val="113"/>
      </w:pPr>
      <w:bookmarkStart w:id="907" w:name="_Toc508642514"/>
      <w:r>
        <w:rPr>
          <w:rFonts w:hint="eastAsia"/>
        </w:rPr>
        <w:t>8.2.2运行期</w:t>
      </w:r>
      <w:bookmarkEnd w:id="907"/>
    </w:p>
    <w:p w14:paraId="197E5938">
      <w:pPr>
        <w:ind w:firstLine="480"/>
        <w:rPr>
          <w:color w:val="FF0000"/>
        </w:rPr>
      </w:pPr>
      <w:r>
        <w:rPr>
          <w:rFonts w:hint="eastAsia"/>
          <w:color w:val="FF0000"/>
        </w:rPr>
        <w:t>电站水库初期蓄水达到正常蓄水位之前，由冲砂闸下放最小生态流量5.28m</w:t>
      </w:r>
      <w:r>
        <w:rPr>
          <w:rFonts w:hint="eastAsia"/>
          <w:color w:val="FF0000"/>
          <w:vertAlign w:val="superscript"/>
        </w:rPr>
        <w:t>3</w:t>
      </w:r>
      <w:r>
        <w:rPr>
          <w:rFonts w:hint="eastAsia"/>
          <w:color w:val="FF0000"/>
        </w:rPr>
        <w:t>/s。当电站开始试机发电后，发电尾水部分经尾水渠后设置的消力池（尺寸建议为：60m×20m×5m）引至坝址附近排入芒市河内，补足河道正常所需生态流量（约为坝址多年平均流量的30%，即15.84m</w:t>
      </w:r>
      <w:r>
        <w:rPr>
          <w:rFonts w:hint="eastAsia"/>
          <w:color w:val="FF0000"/>
          <w:vertAlign w:val="superscript"/>
        </w:rPr>
        <w:t>3</w:t>
      </w:r>
      <w:r>
        <w:rPr>
          <w:rFonts w:hint="eastAsia"/>
          <w:color w:val="FF0000"/>
        </w:rPr>
        <w:t>/s）。</w:t>
      </w:r>
    </w:p>
    <w:p w14:paraId="36257515">
      <w:pPr>
        <w:ind w:firstLine="480"/>
        <w:rPr>
          <w:b/>
          <w:color w:val="FF00FF"/>
          <w:highlight w:val="green"/>
        </w:rPr>
      </w:pPr>
      <w:r>
        <w:rPr>
          <w:rFonts w:hint="eastAsia"/>
          <w:color w:val="FF00FF"/>
          <w:szCs w:val="24"/>
        </w:rPr>
        <w:t>本次评价还要求建设单位在</w:t>
      </w:r>
      <w:r>
        <w:rPr>
          <w:rFonts w:hint="eastAsia"/>
          <w:color w:val="FF00FF"/>
          <w:kern w:val="0"/>
        </w:rPr>
        <w:t>拦河</w:t>
      </w:r>
      <w:r>
        <w:rPr>
          <w:color w:val="FF00FF"/>
          <w:kern w:val="0"/>
        </w:rPr>
        <w:t>坝设置生态</w:t>
      </w:r>
      <w:r>
        <w:rPr>
          <w:rFonts w:hint="eastAsia"/>
          <w:color w:val="FF00FF"/>
          <w:kern w:val="0"/>
        </w:rPr>
        <w:t>放流</w:t>
      </w:r>
      <w:r>
        <w:rPr>
          <w:color w:val="FF00FF"/>
          <w:kern w:val="0"/>
        </w:rPr>
        <w:t>管，</w:t>
      </w:r>
      <w:r>
        <w:rPr>
          <w:rFonts w:hint="eastAsia" w:ascii="宋体" w:hAnsi="宋体" w:cs="宋体"/>
          <w:color w:val="FF00FF"/>
        </w:rPr>
        <w:t>设置位置为</w:t>
      </w:r>
      <w:r>
        <w:rPr>
          <w:rFonts w:hint="eastAsia"/>
          <w:color w:val="FF00FF"/>
        </w:rPr>
        <w:t>取水口底板高程和冲砂闸底板高程之间，</w:t>
      </w:r>
      <w:r>
        <w:rPr>
          <w:rFonts w:hint="eastAsia" w:cstheme="minorBidi"/>
          <w:color w:val="FF00FF"/>
        </w:rPr>
        <w:t>选用管径为850mm的带闸钢管，安装高程建议为</w:t>
      </w:r>
      <w:r>
        <w:rPr>
          <w:rFonts w:hint="eastAsia"/>
          <w:color w:val="FF00FF"/>
        </w:rPr>
        <w:t>797.50</w:t>
      </w:r>
      <w:r>
        <w:rPr>
          <w:rFonts w:hint="eastAsia" w:cstheme="minorBidi"/>
          <w:color w:val="FF00FF"/>
        </w:rPr>
        <w:t>m，同时</w:t>
      </w:r>
      <w:r>
        <w:rPr>
          <w:rFonts w:hint="eastAsia"/>
          <w:color w:val="FF00FF"/>
          <w:szCs w:val="24"/>
        </w:rPr>
        <w:t>安装生态流量在线监测设备和监控系统，并与相关部门联网，实时监控坝后生态流量情况，</w:t>
      </w:r>
      <w:r>
        <w:rPr>
          <w:rFonts w:hint="eastAsia"/>
          <w:color w:val="FF00FF"/>
        </w:rPr>
        <w:t>生态下泄流量应不小于</w:t>
      </w:r>
      <w:r>
        <w:rPr>
          <w:rFonts w:hint="eastAsia"/>
          <w:color w:val="FF00FF"/>
          <w:szCs w:val="24"/>
        </w:rPr>
        <w:t>5.28m</w:t>
      </w:r>
      <w:r>
        <w:rPr>
          <w:rFonts w:hint="eastAsia"/>
          <w:color w:val="FF00FF"/>
          <w:szCs w:val="24"/>
          <w:vertAlign w:val="superscript"/>
        </w:rPr>
        <w:t>3</w:t>
      </w:r>
      <w:r>
        <w:rPr>
          <w:rFonts w:hint="eastAsia"/>
          <w:color w:val="FF00FF"/>
          <w:szCs w:val="24"/>
        </w:rPr>
        <w:t>/s。具体生态流量下放设施需请有资质的单位严格按照</w:t>
      </w:r>
      <w:r>
        <w:rPr>
          <w:color w:val="FF00FF"/>
          <w:szCs w:val="24"/>
        </w:rPr>
        <w:t>《水电水利建设项目河道生态用水、低温水和过鱼设施环境影响评价技术指南（试行）》</w:t>
      </w:r>
      <w:r>
        <w:rPr>
          <w:rFonts w:hint="eastAsia"/>
          <w:color w:val="FF00FF"/>
          <w:szCs w:val="24"/>
        </w:rPr>
        <w:t>设计施工。</w:t>
      </w:r>
    </w:p>
    <w:p w14:paraId="4D14E413">
      <w:pPr>
        <w:ind w:firstLine="480"/>
        <w:rPr>
          <w:color w:val="FF0000"/>
          <w:szCs w:val="24"/>
        </w:rPr>
      </w:pPr>
      <w:r>
        <w:rPr>
          <w:rFonts w:hint="eastAsia" w:cstheme="minorBidi"/>
          <w:color w:val="FF0000"/>
        </w:rPr>
        <w:t>当电站检修或停运时，坝下河段由生态放流管下放的最小流量为5.28</w:t>
      </w:r>
      <w:r>
        <w:rPr>
          <w:rFonts w:hint="eastAsia"/>
          <w:color w:val="FF0000"/>
        </w:rPr>
        <w:t>m</w:t>
      </w:r>
      <w:r>
        <w:rPr>
          <w:rFonts w:hint="eastAsia"/>
          <w:color w:val="FF0000"/>
          <w:vertAlign w:val="superscript"/>
        </w:rPr>
        <w:t>3</w:t>
      </w:r>
      <w:r>
        <w:rPr>
          <w:rFonts w:hint="eastAsia"/>
          <w:color w:val="FF0000"/>
        </w:rPr>
        <w:t>/s；</w:t>
      </w:r>
      <w:r>
        <w:rPr>
          <w:rFonts w:hint="eastAsia" w:cstheme="minorBidi"/>
          <w:color w:val="FF0000"/>
        </w:rPr>
        <w:t>电站应尽量避免在</w:t>
      </w:r>
      <w:r>
        <w:rPr>
          <w:rFonts w:hint="eastAsia" w:hAnsi="宋体"/>
          <w:color w:val="FF0000"/>
          <w:szCs w:val="24"/>
        </w:rPr>
        <w:t>3~5月份进行机组检修，如若确实无法调节，则应考虑由</w:t>
      </w:r>
      <w:r>
        <w:rPr>
          <w:rFonts w:hint="eastAsia" w:cstheme="minorBidi"/>
          <w:color w:val="FF0000"/>
        </w:rPr>
        <w:t>生态放流管</w:t>
      </w:r>
      <w:r>
        <w:rPr>
          <w:rFonts w:hint="eastAsia" w:hAnsi="宋体"/>
          <w:color w:val="FF0000"/>
          <w:szCs w:val="24"/>
        </w:rPr>
        <w:t>按不小于6.28m</w:t>
      </w:r>
      <w:r>
        <w:rPr>
          <w:rFonts w:hint="eastAsia" w:hAnsi="宋体"/>
          <w:color w:val="FF0000"/>
          <w:szCs w:val="24"/>
          <w:vertAlign w:val="superscript"/>
        </w:rPr>
        <w:t>3</w:t>
      </w:r>
      <w:r>
        <w:rPr>
          <w:rFonts w:hint="eastAsia" w:hAnsi="宋体"/>
          <w:color w:val="FF0000"/>
          <w:szCs w:val="24"/>
        </w:rPr>
        <w:t>/s的流量进行下泄，以满足下游灌溉需求和河道最小生态环境用水需求；</w:t>
      </w:r>
      <w:r>
        <w:rPr>
          <w:color w:val="FF0000"/>
        </w:rPr>
        <w:t>当天然来水流量小于规定下泄最小生态流量</w:t>
      </w:r>
      <w:r>
        <w:rPr>
          <w:rFonts w:hint="eastAsia"/>
          <w:color w:val="FF0000"/>
          <w:szCs w:val="24"/>
        </w:rPr>
        <w:t>5.28m</w:t>
      </w:r>
      <w:r>
        <w:rPr>
          <w:rFonts w:hint="eastAsia"/>
          <w:color w:val="FF0000"/>
          <w:szCs w:val="24"/>
          <w:vertAlign w:val="superscript"/>
        </w:rPr>
        <w:t>3</w:t>
      </w:r>
      <w:r>
        <w:rPr>
          <w:rFonts w:hint="eastAsia"/>
          <w:color w:val="FF0000"/>
          <w:szCs w:val="24"/>
        </w:rPr>
        <w:t>/s</w:t>
      </w:r>
      <w:r>
        <w:rPr>
          <w:color w:val="FF0000"/>
        </w:rPr>
        <w:t>时，</w:t>
      </w:r>
      <w:r>
        <w:rPr>
          <w:rFonts w:hint="eastAsia"/>
          <w:color w:val="FF0000"/>
        </w:rPr>
        <w:t>则电站不进行取水发电，将上游来水全部用于芒里大沟灌溉和下游河道需水</w:t>
      </w:r>
      <w:r>
        <w:rPr>
          <w:rFonts w:hint="eastAsia"/>
          <w:color w:val="FF0000"/>
          <w:szCs w:val="24"/>
        </w:rPr>
        <w:t>；当上游芒里电站检修时，本电站应将上游来水全部通过</w:t>
      </w:r>
      <w:r>
        <w:rPr>
          <w:rFonts w:hint="eastAsia" w:cstheme="minorBidi"/>
          <w:color w:val="FF0000"/>
        </w:rPr>
        <w:t>生态放流管</w:t>
      </w:r>
      <w:r>
        <w:rPr>
          <w:rFonts w:hint="eastAsia"/>
          <w:color w:val="FF0000"/>
          <w:szCs w:val="24"/>
        </w:rPr>
        <w:t>下放至坝址下游河道中。</w:t>
      </w:r>
    </w:p>
    <w:p w14:paraId="036748F6">
      <w:pPr>
        <w:ind w:firstLine="480"/>
        <w:rPr>
          <w:color w:val="FF0000"/>
        </w:rPr>
      </w:pPr>
      <w:r>
        <w:rPr>
          <w:rFonts w:hint="eastAsia"/>
          <w:color w:val="FF0000"/>
        </w:rPr>
        <w:t>另外，</w:t>
      </w:r>
      <w:r>
        <w:rPr>
          <w:color w:val="FF0000"/>
        </w:rPr>
        <w:t>运</w:t>
      </w:r>
      <w:r>
        <w:rPr>
          <w:rFonts w:hint="eastAsia"/>
          <w:color w:val="FF0000"/>
        </w:rPr>
        <w:t>行</w:t>
      </w:r>
      <w:r>
        <w:rPr>
          <w:color w:val="FF0000"/>
        </w:rPr>
        <w:t>期</w:t>
      </w:r>
      <w:r>
        <w:rPr>
          <w:rFonts w:hint="eastAsia"/>
          <w:color w:val="FF0000"/>
        </w:rPr>
        <w:t>间建设单位还</w:t>
      </w:r>
      <w:r>
        <w:rPr>
          <w:color w:val="FF0000"/>
        </w:rPr>
        <w:t>应加强对电站职工的管理，提高职工的生态环境保护意识，严禁随意破坏周边</w:t>
      </w:r>
      <w:r>
        <w:rPr>
          <w:rFonts w:hint="eastAsia"/>
          <w:color w:val="FF0000"/>
        </w:rPr>
        <w:t>现存</w:t>
      </w:r>
      <w:r>
        <w:rPr>
          <w:color w:val="FF0000"/>
        </w:rPr>
        <w:t>的</w:t>
      </w:r>
      <w:r>
        <w:rPr>
          <w:rFonts w:hint="eastAsia"/>
          <w:color w:val="FF0000"/>
        </w:rPr>
        <w:t>慈竹和盾果草</w:t>
      </w:r>
      <w:r>
        <w:rPr>
          <w:color w:val="FF0000"/>
        </w:rPr>
        <w:t>。</w:t>
      </w:r>
    </w:p>
    <w:bookmarkEnd w:id="900"/>
    <w:bookmarkEnd w:id="901"/>
    <w:bookmarkEnd w:id="902"/>
    <w:bookmarkEnd w:id="903"/>
    <w:bookmarkEnd w:id="904"/>
    <w:bookmarkEnd w:id="905"/>
    <w:bookmarkEnd w:id="906"/>
    <w:p w14:paraId="49B7F49B">
      <w:pPr>
        <w:pStyle w:val="4"/>
        <w:rPr>
          <w:snapToGrid w:val="0"/>
        </w:rPr>
      </w:pPr>
      <w:bookmarkStart w:id="908" w:name="_Toc454046614"/>
      <w:bookmarkStart w:id="909" w:name="_Toc377115169"/>
      <w:bookmarkStart w:id="910" w:name="_Toc443655511"/>
      <w:bookmarkStart w:id="911" w:name="_Toc377420835"/>
      <w:bookmarkStart w:id="912" w:name="_Toc397428414"/>
      <w:bookmarkStart w:id="913" w:name="_Toc508642515"/>
      <w:bookmarkStart w:id="914" w:name="_Toc304985252"/>
      <w:bookmarkStart w:id="915" w:name="_Toc377831955"/>
      <w:bookmarkStart w:id="916" w:name="_Toc534485305"/>
      <w:bookmarkStart w:id="917" w:name="_Toc471738084"/>
      <w:bookmarkStart w:id="918" w:name="_Toc327443553"/>
      <w:r>
        <w:rPr>
          <w:rFonts w:hint="eastAsia"/>
          <w:snapToGrid w:val="0"/>
        </w:rPr>
        <w:t>8.3</w:t>
      </w:r>
      <w:r>
        <w:rPr>
          <w:snapToGrid w:val="0"/>
        </w:rPr>
        <w:t>大气环境</w:t>
      </w:r>
      <w:bookmarkEnd w:id="908"/>
      <w:bookmarkEnd w:id="909"/>
      <w:bookmarkEnd w:id="910"/>
      <w:bookmarkEnd w:id="911"/>
      <w:bookmarkEnd w:id="912"/>
      <w:bookmarkEnd w:id="913"/>
      <w:bookmarkEnd w:id="914"/>
      <w:bookmarkEnd w:id="915"/>
      <w:bookmarkEnd w:id="916"/>
      <w:bookmarkEnd w:id="917"/>
      <w:bookmarkEnd w:id="918"/>
    </w:p>
    <w:p w14:paraId="23217338">
      <w:pPr>
        <w:ind w:firstLine="480"/>
        <w:rPr>
          <w:rFonts w:cstheme="minorBidi"/>
        </w:rPr>
      </w:pPr>
      <w:r>
        <w:rPr>
          <w:rFonts w:cstheme="minorBidi"/>
        </w:rPr>
        <w:t>针对施工期</w:t>
      </w:r>
      <w:r>
        <w:rPr>
          <w:rFonts w:hint="eastAsia" w:cstheme="minorBidi"/>
        </w:rPr>
        <w:t>砂石料加工、</w:t>
      </w:r>
      <w:r>
        <w:rPr>
          <w:rFonts w:cstheme="minorBidi"/>
        </w:rPr>
        <w:t>混凝土拌和</w:t>
      </w:r>
      <w:r>
        <w:rPr>
          <w:rFonts w:hint="eastAsia" w:cstheme="minorBidi"/>
        </w:rPr>
        <w:t>、材料装卸</w:t>
      </w:r>
      <w:r>
        <w:rPr>
          <w:rFonts w:cstheme="minorBidi"/>
        </w:rPr>
        <w:t>以及</w:t>
      </w:r>
      <w:r>
        <w:rPr>
          <w:rFonts w:hint="eastAsia" w:cstheme="minorBidi"/>
        </w:rPr>
        <w:t>车辆</w:t>
      </w:r>
      <w:r>
        <w:rPr>
          <w:rFonts w:cstheme="minorBidi"/>
        </w:rPr>
        <w:t>运输等给施工区及其周围</w:t>
      </w:r>
      <w:r>
        <w:rPr>
          <w:rFonts w:hint="eastAsia" w:cstheme="minorBidi"/>
        </w:rPr>
        <w:t>区域</w:t>
      </w:r>
      <w:r>
        <w:rPr>
          <w:rFonts w:cstheme="minorBidi"/>
        </w:rPr>
        <w:t>造成的粉尘污染，采取相应的粉尘防护措施：</w:t>
      </w:r>
    </w:p>
    <w:p w14:paraId="06938D85">
      <w:pPr>
        <w:ind w:firstLine="480"/>
        <w:rPr>
          <w:rFonts w:cstheme="minorBidi"/>
        </w:rPr>
      </w:pPr>
      <w:r>
        <w:rPr>
          <w:rFonts w:hint="eastAsia" w:ascii="宋体" w:hAnsi="宋体" w:cs="宋体"/>
        </w:rPr>
        <w:t>①</w:t>
      </w:r>
      <w:r>
        <w:rPr>
          <w:rFonts w:cstheme="minorBidi"/>
        </w:rPr>
        <w:t>做好洒水降尘工作</w:t>
      </w:r>
      <w:r>
        <w:rPr>
          <w:rFonts w:hint="eastAsia" w:cstheme="minorBidi"/>
        </w:rPr>
        <w:t>。在砂石料加工区、混凝土搅拌机附近等区域，</w:t>
      </w:r>
      <w:r>
        <w:rPr>
          <w:rFonts w:cstheme="minorBidi"/>
        </w:rPr>
        <w:t>非雨日进行洒水降尘，加速粉尘沉降</w:t>
      </w:r>
      <w:r>
        <w:rPr>
          <w:rFonts w:hint="eastAsia" w:cstheme="minorBidi"/>
        </w:rPr>
        <w:t>，减小粉尘影响时间与范围，降低粉尘对施工人员的影响。</w:t>
      </w:r>
    </w:p>
    <w:p w14:paraId="2B71B407">
      <w:pPr>
        <w:ind w:firstLine="480"/>
        <w:rPr>
          <w:szCs w:val="24"/>
        </w:rPr>
      </w:pPr>
      <w:r>
        <w:rPr>
          <w:rFonts w:hint="eastAsia" w:ascii="宋体" w:hAnsi="宋体" w:cs="宋体"/>
        </w:rPr>
        <w:t>②</w:t>
      </w:r>
      <w:r>
        <w:rPr>
          <w:rFonts w:hint="eastAsia"/>
          <w:szCs w:val="24"/>
        </w:rPr>
        <w:t>物料运输过程中加盖篷布，严禁超载；渣土运输过程中，对散落的渣土进行及时清扫，并定期检修、保养施工机械设备。</w:t>
      </w:r>
    </w:p>
    <w:p w14:paraId="21DB9A8E">
      <w:pPr>
        <w:pStyle w:val="4"/>
      </w:pPr>
      <w:bookmarkStart w:id="919" w:name="_Toc304985250"/>
      <w:bookmarkStart w:id="920" w:name="_Toc377831953"/>
      <w:bookmarkStart w:id="921" w:name="_Toc397428422"/>
      <w:bookmarkStart w:id="922" w:name="_Toc534485303"/>
      <w:bookmarkStart w:id="923" w:name="_Toc443655514"/>
      <w:bookmarkStart w:id="924" w:name="_Toc377115167"/>
      <w:bookmarkStart w:id="925" w:name="_Toc327443551"/>
      <w:bookmarkStart w:id="926" w:name="_Toc377420833"/>
      <w:bookmarkStart w:id="927" w:name="_Toc471738087"/>
      <w:bookmarkStart w:id="928" w:name="_Toc508642516"/>
      <w:bookmarkStart w:id="929" w:name="_Toc454046617"/>
      <w:r>
        <w:rPr>
          <w:rFonts w:hint="eastAsia"/>
        </w:rPr>
        <w:t>8.4</w:t>
      </w:r>
      <w:r>
        <w:t>声</w:t>
      </w:r>
      <w:bookmarkEnd w:id="919"/>
      <w:bookmarkEnd w:id="920"/>
      <w:bookmarkEnd w:id="921"/>
      <w:bookmarkEnd w:id="922"/>
      <w:bookmarkEnd w:id="923"/>
      <w:bookmarkEnd w:id="924"/>
      <w:bookmarkEnd w:id="925"/>
      <w:bookmarkEnd w:id="926"/>
      <w:r>
        <w:rPr>
          <w:rFonts w:hint="eastAsia"/>
        </w:rPr>
        <w:t>环境</w:t>
      </w:r>
      <w:bookmarkEnd w:id="927"/>
      <w:bookmarkEnd w:id="928"/>
      <w:bookmarkEnd w:id="929"/>
    </w:p>
    <w:p w14:paraId="3941EAEE">
      <w:pPr>
        <w:pStyle w:val="113"/>
      </w:pPr>
      <w:bookmarkStart w:id="930" w:name="_Toc508642517"/>
      <w:bookmarkStart w:id="931" w:name="_Toc397428423"/>
      <w:bookmarkStart w:id="932" w:name="_Toc471738088"/>
      <w:bookmarkStart w:id="933" w:name="_Toc454046618"/>
      <w:bookmarkStart w:id="934" w:name="_Toc443655515"/>
      <w:r>
        <w:rPr>
          <w:rFonts w:hint="eastAsia"/>
        </w:rPr>
        <w:t>8.4.1施工</w:t>
      </w:r>
      <w:r>
        <w:t>期</w:t>
      </w:r>
      <w:bookmarkEnd w:id="930"/>
      <w:bookmarkEnd w:id="931"/>
      <w:bookmarkEnd w:id="932"/>
      <w:bookmarkEnd w:id="933"/>
      <w:bookmarkEnd w:id="934"/>
    </w:p>
    <w:p w14:paraId="30814A01">
      <w:pPr>
        <w:ind w:firstLine="480"/>
        <w:rPr>
          <w:rFonts w:cstheme="minorBidi"/>
        </w:rPr>
      </w:pPr>
      <w:bookmarkStart w:id="935" w:name="_Toc327443552"/>
      <w:bookmarkStart w:id="936" w:name="_Toc304985251"/>
      <w:r>
        <w:rPr>
          <w:rFonts w:hint="eastAsia" w:cstheme="minorBidi"/>
        </w:rPr>
        <w:t>1、</w:t>
      </w:r>
      <w:r>
        <w:rPr>
          <w:rFonts w:cstheme="minorBidi"/>
        </w:rPr>
        <w:t>交通噪声防护措施</w:t>
      </w:r>
    </w:p>
    <w:p w14:paraId="42CA871D">
      <w:pPr>
        <w:ind w:firstLine="480"/>
        <w:rPr>
          <w:rFonts w:cstheme="minorBidi"/>
        </w:rPr>
      </w:pPr>
      <w:r>
        <w:rPr>
          <w:rFonts w:hint="eastAsia" w:ascii="宋体" w:hAnsi="宋体" w:cs="宋体"/>
        </w:rPr>
        <w:t>①</w:t>
      </w:r>
      <w:r>
        <w:rPr>
          <w:rFonts w:cstheme="minorBidi"/>
        </w:rPr>
        <w:t>做好</w:t>
      </w:r>
      <w:r>
        <w:rPr>
          <w:rFonts w:hint="eastAsia" w:cstheme="minorBidi"/>
        </w:rPr>
        <w:t>运输车辆</w:t>
      </w:r>
      <w:r>
        <w:rPr>
          <w:rFonts w:cstheme="minorBidi"/>
        </w:rPr>
        <w:t>的保养工作，确保</w:t>
      </w:r>
      <w:r>
        <w:rPr>
          <w:rFonts w:hint="eastAsia" w:cstheme="minorBidi"/>
        </w:rPr>
        <w:t>其</w:t>
      </w:r>
      <w:r>
        <w:rPr>
          <w:rFonts w:cstheme="minorBidi"/>
        </w:rPr>
        <w:t>正常运行，限制车辆超载；</w:t>
      </w:r>
    </w:p>
    <w:p w14:paraId="6AD81EB7">
      <w:pPr>
        <w:ind w:firstLine="480"/>
        <w:rPr>
          <w:rFonts w:cstheme="minorBidi"/>
        </w:rPr>
      </w:pPr>
      <w:r>
        <w:rPr>
          <w:rFonts w:hint="eastAsia" w:ascii="宋体" w:hAnsi="宋体" w:cs="宋体"/>
        </w:rPr>
        <w:t>②</w:t>
      </w:r>
      <w:r>
        <w:rPr>
          <w:rFonts w:cstheme="minorBidi"/>
        </w:rPr>
        <w:t>物资运输安排在白天进行，夜间禁止运输</w:t>
      </w:r>
      <w:r>
        <w:rPr>
          <w:rFonts w:hint="eastAsia" w:cstheme="minorBidi"/>
        </w:rPr>
        <w:t>。</w:t>
      </w:r>
    </w:p>
    <w:p w14:paraId="505B8755">
      <w:pPr>
        <w:ind w:firstLine="480"/>
        <w:rPr>
          <w:rFonts w:cstheme="minorBidi"/>
        </w:rPr>
      </w:pPr>
      <w:r>
        <w:rPr>
          <w:rFonts w:hint="eastAsia" w:cstheme="minorBidi"/>
        </w:rPr>
        <w:t>2、</w:t>
      </w:r>
      <w:r>
        <w:rPr>
          <w:rFonts w:cstheme="minorBidi"/>
        </w:rPr>
        <w:t>施工机械噪声降噪措施</w:t>
      </w:r>
    </w:p>
    <w:p w14:paraId="22D20047">
      <w:pPr>
        <w:ind w:firstLine="480"/>
        <w:rPr>
          <w:rFonts w:cstheme="minorBidi"/>
        </w:rPr>
      </w:pPr>
      <w:r>
        <w:rPr>
          <w:rFonts w:hint="eastAsia" w:ascii="宋体" w:hAnsi="宋体" w:cs="宋体"/>
        </w:rPr>
        <w:t>①</w:t>
      </w:r>
      <w:r>
        <w:rPr>
          <w:rFonts w:cstheme="minorBidi"/>
        </w:rPr>
        <w:t>选用低噪声设备，闲置设备应关闭或减速</w:t>
      </w:r>
      <w:r>
        <w:rPr>
          <w:rFonts w:hint="eastAsia" w:cstheme="minorBidi"/>
        </w:rPr>
        <w:t>；</w:t>
      </w:r>
    </w:p>
    <w:p w14:paraId="362E6688">
      <w:pPr>
        <w:ind w:firstLine="480"/>
        <w:rPr>
          <w:rFonts w:cstheme="minorBidi"/>
        </w:rPr>
      </w:pPr>
      <w:r>
        <w:rPr>
          <w:rFonts w:hint="eastAsia" w:ascii="宋体" w:hAnsi="宋体" w:cs="宋体"/>
        </w:rPr>
        <w:t>②</w:t>
      </w:r>
      <w:r>
        <w:rPr>
          <w:rFonts w:cstheme="minorBidi"/>
        </w:rPr>
        <w:t>加强</w:t>
      </w:r>
      <w:r>
        <w:rPr>
          <w:rFonts w:hint="eastAsia" w:cstheme="minorBidi"/>
        </w:rPr>
        <w:t>施工机械</w:t>
      </w:r>
      <w:r>
        <w:rPr>
          <w:rFonts w:cstheme="minorBidi"/>
        </w:rPr>
        <w:t>的维护和保养，保持机械润滑，减少运行噪声；</w:t>
      </w:r>
    </w:p>
    <w:p w14:paraId="5DA39F4F">
      <w:pPr>
        <w:ind w:firstLine="480"/>
        <w:rPr>
          <w:rFonts w:cstheme="minorBidi"/>
        </w:rPr>
      </w:pPr>
      <w:r>
        <w:rPr>
          <w:rFonts w:hint="eastAsia" w:ascii="宋体" w:hAnsi="宋体" w:cs="宋体"/>
        </w:rPr>
        <w:t>③</w:t>
      </w:r>
      <w:r>
        <w:rPr>
          <w:rFonts w:cstheme="minorBidi"/>
        </w:rPr>
        <w:t>合理规划施工组织设计，尽量避免同时使用多个</w:t>
      </w:r>
      <w:r>
        <w:rPr>
          <w:rFonts w:hint="eastAsia" w:cstheme="minorBidi"/>
        </w:rPr>
        <w:t>高</w:t>
      </w:r>
      <w:r>
        <w:rPr>
          <w:rFonts w:cstheme="minorBidi"/>
        </w:rPr>
        <w:t>噪声设备，高噪声设备的布置要远离施工生活区</w:t>
      </w:r>
      <w:r>
        <w:rPr>
          <w:rFonts w:hint="eastAsia" w:cstheme="minorBidi"/>
        </w:rPr>
        <w:t>。</w:t>
      </w:r>
    </w:p>
    <w:p w14:paraId="2667626C">
      <w:pPr>
        <w:pStyle w:val="113"/>
      </w:pPr>
      <w:bookmarkStart w:id="937" w:name="_Toc508642518"/>
      <w:bookmarkStart w:id="938" w:name="_Toc471738089"/>
      <w:bookmarkStart w:id="939" w:name="_Toc454046619"/>
      <w:bookmarkStart w:id="940" w:name="_Toc397428424"/>
      <w:bookmarkStart w:id="941" w:name="_Toc443655516"/>
      <w:r>
        <w:rPr>
          <w:rFonts w:hint="eastAsia"/>
        </w:rPr>
        <w:t>8.4.2</w:t>
      </w:r>
      <w:r>
        <w:t>运行期</w:t>
      </w:r>
      <w:bookmarkEnd w:id="937"/>
      <w:bookmarkEnd w:id="938"/>
      <w:bookmarkEnd w:id="939"/>
      <w:bookmarkEnd w:id="940"/>
      <w:bookmarkEnd w:id="941"/>
    </w:p>
    <w:p w14:paraId="4C4B0960">
      <w:pPr>
        <w:ind w:firstLine="480"/>
        <w:rPr>
          <w:rFonts w:cstheme="minorBidi"/>
        </w:rPr>
      </w:pPr>
      <w:r>
        <w:rPr>
          <w:rFonts w:cstheme="minorBidi"/>
        </w:rPr>
        <w:t>运行期</w:t>
      </w:r>
      <w:r>
        <w:rPr>
          <w:rFonts w:hint="eastAsia" w:cstheme="minorBidi"/>
        </w:rPr>
        <w:t>应</w:t>
      </w:r>
      <w:r>
        <w:rPr>
          <w:rFonts w:cstheme="minorBidi"/>
        </w:rPr>
        <w:t>加强设备的维护和保养，</w:t>
      </w:r>
      <w:r>
        <w:rPr>
          <w:rFonts w:cstheme="minorBidi"/>
          <w:spacing w:val="-8"/>
        </w:rPr>
        <w:t>定期检修机组，保证</w:t>
      </w:r>
      <w:r>
        <w:rPr>
          <w:rFonts w:hint="eastAsia" w:cstheme="minorBidi"/>
          <w:spacing w:val="-8"/>
        </w:rPr>
        <w:t>其</w:t>
      </w:r>
      <w:r>
        <w:rPr>
          <w:rFonts w:cstheme="minorBidi"/>
          <w:spacing w:val="-8"/>
        </w:rPr>
        <w:t>正常运作</w:t>
      </w:r>
      <w:r>
        <w:rPr>
          <w:rFonts w:hint="eastAsia" w:cstheme="minorBidi"/>
          <w:spacing w:val="-8"/>
        </w:rPr>
        <w:t>；</w:t>
      </w:r>
      <w:r>
        <w:rPr>
          <w:rFonts w:cstheme="minorBidi"/>
        </w:rPr>
        <w:t>对于振动较大的设备进行加固，</w:t>
      </w:r>
      <w:r>
        <w:rPr>
          <w:rFonts w:hint="eastAsia" w:cstheme="minorBidi"/>
        </w:rPr>
        <w:t>以</w:t>
      </w:r>
      <w:r>
        <w:rPr>
          <w:rFonts w:cstheme="minorBidi"/>
        </w:rPr>
        <w:t>降低机械设备运行时产生的噪声。</w:t>
      </w:r>
    </w:p>
    <w:p w14:paraId="736DF783">
      <w:pPr>
        <w:pStyle w:val="4"/>
        <w:rPr>
          <w:snapToGrid w:val="0"/>
        </w:rPr>
      </w:pPr>
      <w:bookmarkStart w:id="942" w:name="_Toc471738090"/>
      <w:bookmarkStart w:id="943" w:name="_Toc377115168"/>
      <w:bookmarkStart w:id="944" w:name="_Toc508642519"/>
      <w:bookmarkStart w:id="945" w:name="_Toc377420834"/>
      <w:bookmarkStart w:id="946" w:name="_Toc377831954"/>
      <w:bookmarkStart w:id="947" w:name="_Toc454046620"/>
      <w:bookmarkStart w:id="948" w:name="_Toc397428425"/>
      <w:bookmarkStart w:id="949" w:name="_Toc443655517"/>
      <w:bookmarkStart w:id="950" w:name="_Toc534485304"/>
      <w:r>
        <w:rPr>
          <w:rFonts w:hint="eastAsia"/>
          <w:snapToGrid w:val="0"/>
        </w:rPr>
        <w:t>8</w:t>
      </w:r>
      <w:r>
        <w:rPr>
          <w:snapToGrid w:val="0"/>
        </w:rPr>
        <w:t>.5固体废物</w:t>
      </w:r>
      <w:bookmarkEnd w:id="935"/>
      <w:bookmarkEnd w:id="936"/>
      <w:bookmarkEnd w:id="942"/>
      <w:bookmarkEnd w:id="943"/>
      <w:bookmarkEnd w:id="944"/>
      <w:bookmarkEnd w:id="945"/>
      <w:bookmarkEnd w:id="946"/>
      <w:bookmarkEnd w:id="947"/>
      <w:bookmarkEnd w:id="948"/>
      <w:bookmarkEnd w:id="949"/>
      <w:bookmarkEnd w:id="950"/>
    </w:p>
    <w:p w14:paraId="779D4FB2">
      <w:pPr>
        <w:pStyle w:val="113"/>
      </w:pPr>
      <w:bookmarkStart w:id="951" w:name="_Toc443655518"/>
      <w:bookmarkStart w:id="952" w:name="_Toc397428426"/>
      <w:bookmarkStart w:id="953" w:name="_Toc454046621"/>
      <w:bookmarkStart w:id="954" w:name="_Toc471738091"/>
      <w:bookmarkStart w:id="955" w:name="_Toc508642520"/>
      <w:r>
        <w:rPr>
          <w:rFonts w:hint="eastAsia"/>
        </w:rPr>
        <w:t>8.5.1施工期</w:t>
      </w:r>
      <w:bookmarkEnd w:id="951"/>
      <w:bookmarkEnd w:id="952"/>
      <w:bookmarkEnd w:id="953"/>
      <w:bookmarkEnd w:id="954"/>
      <w:bookmarkEnd w:id="955"/>
    </w:p>
    <w:p w14:paraId="4C056A55">
      <w:pPr>
        <w:ind w:firstLine="480"/>
        <w:rPr>
          <w:rFonts w:cstheme="minorBidi"/>
          <w:color w:val="FF0000"/>
        </w:rPr>
      </w:pPr>
      <w:bookmarkStart w:id="956" w:name="_Toc64682529"/>
      <w:r>
        <w:rPr>
          <w:rFonts w:hint="eastAsia" w:cstheme="minorBidi"/>
          <w:color w:val="FF0000"/>
        </w:rPr>
        <w:t>1、工程</w:t>
      </w:r>
      <w:r>
        <w:rPr>
          <w:rFonts w:cstheme="minorBidi"/>
          <w:color w:val="FF0000"/>
        </w:rPr>
        <w:t>弃渣</w:t>
      </w:r>
      <w:bookmarkEnd w:id="956"/>
    </w:p>
    <w:p w14:paraId="597A9E90">
      <w:pPr>
        <w:ind w:firstLine="480"/>
        <w:rPr>
          <w:rFonts w:cstheme="minorBidi"/>
          <w:bCs/>
          <w:color w:val="FF0000"/>
        </w:rPr>
      </w:pPr>
      <w:r>
        <w:rPr>
          <w:rFonts w:cstheme="minorBidi"/>
          <w:color w:val="FF0000"/>
        </w:rPr>
        <w:t>加强工程施工管理，开挖形成的弃渣一定要</w:t>
      </w:r>
      <w:r>
        <w:rPr>
          <w:rFonts w:hint="eastAsia" w:cstheme="minorBidi"/>
          <w:color w:val="FF0000"/>
        </w:rPr>
        <w:t>妥善堆存，尽快用于场地回填及河堤防护，禁止随意堆放及倾倒入河。建设单位应于工程结束</w:t>
      </w:r>
      <w:r>
        <w:rPr>
          <w:rFonts w:cstheme="minorBidi"/>
          <w:bCs/>
          <w:color w:val="FF0000"/>
        </w:rPr>
        <w:t>后，尽快</w:t>
      </w:r>
      <w:r>
        <w:rPr>
          <w:rFonts w:hint="eastAsia" w:cstheme="minorBidi"/>
          <w:bCs/>
          <w:color w:val="FF0000"/>
        </w:rPr>
        <w:t>利用开挖表土对施工生产生活区</w:t>
      </w:r>
      <w:r>
        <w:rPr>
          <w:rFonts w:cstheme="minorBidi"/>
          <w:bCs/>
          <w:color w:val="FF0000"/>
        </w:rPr>
        <w:t>进行土地复</w:t>
      </w:r>
      <w:r>
        <w:rPr>
          <w:rFonts w:hint="eastAsia" w:cstheme="minorBidi"/>
          <w:bCs/>
          <w:color w:val="FF0000"/>
        </w:rPr>
        <w:t>垦和</w:t>
      </w:r>
      <w:r>
        <w:rPr>
          <w:rFonts w:cstheme="minorBidi"/>
          <w:bCs/>
          <w:color w:val="FF0000"/>
        </w:rPr>
        <w:t>植被恢复</w:t>
      </w:r>
      <w:bookmarkStart w:id="957" w:name="_Toc64682530"/>
      <w:r>
        <w:rPr>
          <w:rFonts w:hint="eastAsia" w:cstheme="minorBidi"/>
          <w:bCs/>
          <w:color w:val="FF0000"/>
        </w:rPr>
        <w:t>。</w:t>
      </w:r>
    </w:p>
    <w:p w14:paraId="261D13B6">
      <w:pPr>
        <w:ind w:firstLine="480"/>
        <w:rPr>
          <w:rFonts w:cstheme="minorBidi"/>
        </w:rPr>
      </w:pPr>
      <w:r>
        <w:rPr>
          <w:rFonts w:hint="eastAsia" w:cstheme="minorBidi"/>
        </w:rPr>
        <w:t>2、</w:t>
      </w:r>
      <w:r>
        <w:rPr>
          <w:rFonts w:cstheme="minorBidi"/>
        </w:rPr>
        <w:t>生活垃圾</w:t>
      </w:r>
      <w:bookmarkEnd w:id="957"/>
    </w:p>
    <w:p w14:paraId="1842F815">
      <w:pPr>
        <w:ind w:firstLine="480"/>
        <w:rPr>
          <w:rFonts w:cstheme="minorBidi"/>
        </w:rPr>
      </w:pPr>
      <w:r>
        <w:rPr>
          <w:rFonts w:hint="eastAsia" w:cstheme="minorBidi"/>
        </w:rPr>
        <w:t>为了避免施工过程中产生的生活垃圾污染环境，保障施工人员有一个清洁卫生的工作和生活环境，必须</w:t>
      </w:r>
      <w:r>
        <w:rPr>
          <w:rFonts w:cstheme="minorBidi"/>
        </w:rPr>
        <w:t>规范生活垃圾处置</w:t>
      </w:r>
      <w:r>
        <w:rPr>
          <w:rFonts w:hint="eastAsia" w:cstheme="minorBidi"/>
        </w:rPr>
        <w:t>方式。</w:t>
      </w:r>
      <w:r>
        <w:rPr>
          <w:rFonts w:cstheme="minorBidi"/>
        </w:rPr>
        <w:t>施工营地应设置垃圾桶，并安排清洁工负责日常生活垃圾的清扫，对生活垃圾进行简单的筛选，能够回收利用的尽量回收利用，实现垃圾减量化，其余不能回收的，</w:t>
      </w:r>
      <w:r>
        <w:t>集中堆放</w:t>
      </w:r>
      <w:r>
        <w:rPr>
          <w:rFonts w:hint="eastAsia"/>
        </w:rPr>
        <w:t>后依托周边村庄垃圾收集设施进行处置</w:t>
      </w:r>
      <w:r>
        <w:rPr>
          <w:rFonts w:cstheme="minorBidi"/>
        </w:rPr>
        <w:t>。</w:t>
      </w:r>
    </w:p>
    <w:p w14:paraId="40552701">
      <w:pPr>
        <w:ind w:firstLine="480"/>
        <w:rPr>
          <w:rFonts w:cstheme="minorBidi"/>
        </w:rPr>
      </w:pPr>
      <w:r>
        <w:rPr>
          <w:rFonts w:cstheme="minorBidi"/>
        </w:rPr>
        <w:t>施工期生活垃圾要及时清运，垃圾桶需经常喷洒灭害灵等药水，防止苍蝇等传染媒介</w:t>
      </w:r>
      <w:r>
        <w:rPr>
          <w:rFonts w:hint="eastAsia" w:cstheme="minorBidi"/>
          <w:spacing w:val="-8"/>
        </w:rPr>
        <w:t>孳生</w:t>
      </w:r>
      <w:r>
        <w:rPr>
          <w:rFonts w:cstheme="minorBidi"/>
        </w:rPr>
        <w:t>，以</w:t>
      </w:r>
      <w:r>
        <w:rPr>
          <w:rFonts w:hint="eastAsia" w:cstheme="minorBidi"/>
        </w:rPr>
        <w:t>避免</w:t>
      </w:r>
      <w:r>
        <w:rPr>
          <w:rFonts w:cstheme="minorBidi"/>
        </w:rPr>
        <w:t>生活垃圾对环境和施工人员的健康产生不利影响。</w:t>
      </w:r>
    </w:p>
    <w:p w14:paraId="2D2A1C69">
      <w:pPr>
        <w:pStyle w:val="113"/>
      </w:pPr>
      <w:bookmarkStart w:id="958" w:name="_Toc397428427"/>
      <w:bookmarkStart w:id="959" w:name="_Toc443655519"/>
      <w:bookmarkStart w:id="960" w:name="_Toc471738092"/>
      <w:bookmarkStart w:id="961" w:name="_Toc508642521"/>
      <w:bookmarkStart w:id="962" w:name="_Toc454046622"/>
      <w:r>
        <w:rPr>
          <w:rFonts w:hint="eastAsia"/>
        </w:rPr>
        <w:t>8.5.2运行期</w:t>
      </w:r>
      <w:bookmarkEnd w:id="958"/>
      <w:bookmarkEnd w:id="959"/>
      <w:bookmarkEnd w:id="960"/>
      <w:bookmarkEnd w:id="961"/>
      <w:bookmarkEnd w:id="962"/>
    </w:p>
    <w:p w14:paraId="411921B3">
      <w:pPr>
        <w:ind w:firstLine="480"/>
        <w:rPr>
          <w:highlight w:val="green"/>
          <w:lang w:val="zh-CN"/>
        </w:rPr>
      </w:pPr>
      <w:r>
        <w:rPr>
          <w:rFonts w:cstheme="minorBidi"/>
        </w:rPr>
        <w:t>电站运行期生活垃圾</w:t>
      </w:r>
      <w:r>
        <w:rPr>
          <w:rFonts w:hint="eastAsia" w:cstheme="minorBidi"/>
        </w:rPr>
        <w:t>产生</w:t>
      </w:r>
      <w:r>
        <w:rPr>
          <w:rFonts w:cstheme="minorBidi"/>
        </w:rPr>
        <w:t>量虽然不大，但仍需引起重视</w:t>
      </w:r>
      <w:r>
        <w:rPr>
          <w:rFonts w:hint="eastAsia" w:cstheme="minorBidi"/>
        </w:rPr>
        <w:t>。</w:t>
      </w:r>
      <w:r>
        <w:rPr>
          <w:rFonts w:hint="eastAsia" w:cstheme="minorBidi"/>
          <w:color w:val="FF0000"/>
        </w:rPr>
        <w:t>管理用房设有垃圾收集桶用以收集生活垃圾。</w:t>
      </w:r>
      <w:r>
        <w:rPr>
          <w:rFonts w:hint="eastAsia" w:cstheme="minorBidi"/>
        </w:rPr>
        <w:t>生活垃圾</w:t>
      </w:r>
      <w:r>
        <w:rPr>
          <w:rFonts w:cstheme="minorBidi"/>
        </w:rPr>
        <w:t>集中堆放，定</w:t>
      </w:r>
      <w:r>
        <w:rPr>
          <w:rFonts w:hint="eastAsia" w:cstheme="minorBidi"/>
        </w:rPr>
        <w:t>期</w:t>
      </w:r>
      <w:r>
        <w:rPr>
          <w:rFonts w:cstheme="minorBidi"/>
        </w:rPr>
        <w:t>清运，进行简单分拣</w:t>
      </w:r>
      <w:r>
        <w:rPr>
          <w:rFonts w:hint="eastAsia" w:cstheme="minorBidi"/>
        </w:rPr>
        <w:t>。</w:t>
      </w:r>
      <w:r>
        <w:rPr>
          <w:rFonts w:cstheme="minorBidi"/>
        </w:rPr>
        <w:t>纸张、塑料制品、废金属等可回收垃圾分类集中堆放，定期运往废品收购站</w:t>
      </w:r>
      <w:r>
        <w:rPr>
          <w:rFonts w:hint="eastAsia" w:cstheme="minorBidi"/>
        </w:rPr>
        <w:t>；</w:t>
      </w:r>
      <w:r>
        <w:rPr>
          <w:rFonts w:cstheme="minorBidi"/>
        </w:rPr>
        <w:t>其余不能回收</w:t>
      </w:r>
      <w:r>
        <w:rPr>
          <w:rFonts w:hint="eastAsia" w:cstheme="minorBidi"/>
        </w:rPr>
        <w:t>利用的垃圾，</w:t>
      </w:r>
      <w:r>
        <w:t>集中堆放</w:t>
      </w:r>
      <w:r>
        <w:rPr>
          <w:rFonts w:hint="eastAsia"/>
        </w:rPr>
        <w:t>后依托周边村庄垃圾收集设施进行处置</w:t>
      </w:r>
      <w:r>
        <w:rPr>
          <w:lang w:val="zh-CN"/>
        </w:rPr>
        <w:t>。</w:t>
      </w:r>
    </w:p>
    <w:p w14:paraId="616A2141">
      <w:pPr>
        <w:ind w:firstLine="480"/>
        <w:rPr>
          <w:rFonts w:cstheme="minorBidi"/>
          <w:color w:val="FF0000"/>
        </w:rPr>
      </w:pPr>
      <w:r>
        <w:rPr>
          <w:rFonts w:hint="eastAsia" w:cstheme="minorBidi"/>
          <w:color w:val="FF0000"/>
        </w:rPr>
        <w:t>对于</w:t>
      </w:r>
      <w:r>
        <w:rPr>
          <w:rFonts w:cstheme="minorBidi"/>
          <w:color w:val="FF0000"/>
        </w:rPr>
        <w:t>电站机械设备检修</w:t>
      </w:r>
      <w:r>
        <w:rPr>
          <w:rFonts w:hint="eastAsia" w:cstheme="minorBidi"/>
          <w:color w:val="FF0000"/>
        </w:rPr>
        <w:t>产生的</w:t>
      </w:r>
      <w:r>
        <w:rPr>
          <w:rFonts w:cstheme="minorBidi"/>
          <w:color w:val="FF0000"/>
        </w:rPr>
        <w:t>废机油、变压器油等，</w:t>
      </w:r>
      <w:r>
        <w:rPr>
          <w:rFonts w:hint="eastAsia"/>
          <w:color w:val="FF0000"/>
        </w:rPr>
        <w:t>环评要求建设单位</w:t>
      </w:r>
      <w:r>
        <w:rPr>
          <w:color w:val="FF0000"/>
        </w:rPr>
        <w:t>在</w:t>
      </w:r>
      <w:r>
        <w:rPr>
          <w:rFonts w:hint="eastAsia" w:cstheme="minorBidi"/>
          <w:color w:val="FF0000"/>
        </w:rPr>
        <w:t>副厂房内设置</w:t>
      </w:r>
      <w:r>
        <w:rPr>
          <w:rFonts w:hint="eastAsia"/>
          <w:color w:val="FF0000"/>
        </w:rPr>
        <w:t>危废暂存室，地面需进行防渗处理，其内设置</w:t>
      </w:r>
      <w:r>
        <w:rPr>
          <w:color w:val="FF0000"/>
        </w:rPr>
        <w:t>废油收集桶</w:t>
      </w:r>
      <w:r>
        <w:rPr>
          <w:rFonts w:hint="eastAsia"/>
          <w:color w:val="FF0000"/>
        </w:rPr>
        <w:t>，并于危废暂存室门口及废油收集桶上设置明显的危险废物标志牌，电站检修产生的废机油需及时放入</w:t>
      </w:r>
      <w:r>
        <w:rPr>
          <w:color w:val="FF0000"/>
        </w:rPr>
        <w:t>废油收集桶</w:t>
      </w:r>
      <w:r>
        <w:rPr>
          <w:rFonts w:hint="eastAsia"/>
          <w:color w:val="FF0000"/>
        </w:rPr>
        <w:t>内妥善贮存，并按照《危险废物贮存污染控制标准》（GB18596-2001）对废机油进行管理，委托具有相应资质的单位进行清运、处置，做好废机油储存处置</w:t>
      </w:r>
      <w:r>
        <w:rPr>
          <w:rFonts w:hint="eastAsia"/>
          <w:color w:val="FF0000"/>
          <w:lang w:eastAsia="zh-CN"/>
        </w:rPr>
        <w:t>台账</w:t>
      </w:r>
      <w:r>
        <w:rPr>
          <w:rFonts w:hint="eastAsia"/>
          <w:color w:val="FF0000"/>
        </w:rPr>
        <w:t>，每年定期到芒市环境保护局进行备案登记</w:t>
      </w:r>
      <w:r>
        <w:rPr>
          <w:color w:val="FF0000"/>
        </w:rPr>
        <w:t>。</w:t>
      </w:r>
    </w:p>
    <w:p w14:paraId="0394CCE5">
      <w:pPr>
        <w:pStyle w:val="4"/>
        <w:rPr>
          <w:color w:val="FF0000"/>
        </w:rPr>
      </w:pPr>
      <w:bookmarkStart w:id="963" w:name="_Toc508642522"/>
      <w:r>
        <w:rPr>
          <w:rFonts w:hint="eastAsia"/>
          <w:color w:val="FF0000"/>
        </w:rPr>
        <w:t>8.6其它</w:t>
      </w:r>
      <w:bookmarkEnd w:id="963"/>
    </w:p>
    <w:p w14:paraId="7C308250">
      <w:pPr>
        <w:ind w:firstLine="480"/>
        <w:rPr>
          <w:color w:val="FF0000"/>
        </w:rPr>
      </w:pPr>
      <w:r>
        <w:rPr>
          <w:rFonts w:hint="eastAsia"/>
          <w:color w:val="FF0000"/>
        </w:rPr>
        <w:t>本次评价要求建设单位严格控制施工边界，禁止超计划占地，特别应注意拦河坝、主厂房、副厂房、升压站以及尾水渠等永久性建筑物与龙瑞高速公路和芒瑞大道的控制距离不得超过20m。</w:t>
      </w:r>
    </w:p>
    <w:p w14:paraId="595B14B8">
      <w:pPr>
        <w:pStyle w:val="4"/>
        <w:rPr>
          <w:color w:val="FF0000"/>
        </w:rPr>
      </w:pPr>
      <w:bookmarkStart w:id="964" w:name="_Toc377831957"/>
      <w:bookmarkStart w:id="965" w:name="_Toc377420837"/>
      <w:bookmarkStart w:id="966" w:name="_Toc443655522"/>
      <w:bookmarkStart w:id="967" w:name="_Toc377115171"/>
      <w:bookmarkStart w:id="968" w:name="_Toc304985255"/>
      <w:bookmarkStart w:id="969" w:name="_Toc397428434"/>
      <w:bookmarkStart w:id="970" w:name="_Toc471738095"/>
      <w:bookmarkStart w:id="971" w:name="_Toc327443556"/>
      <w:bookmarkStart w:id="972" w:name="_Toc534485307"/>
      <w:bookmarkStart w:id="973" w:name="_Toc508642523"/>
      <w:bookmarkStart w:id="974" w:name="_Toc454046625"/>
      <w:r>
        <w:rPr>
          <w:rFonts w:hint="eastAsia"/>
          <w:color w:val="FF0000"/>
        </w:rPr>
        <w:t>8.7</w:t>
      </w:r>
      <w:r>
        <w:rPr>
          <w:color w:val="FF0000"/>
        </w:rPr>
        <w:t>环保措施一览表</w:t>
      </w:r>
      <w:bookmarkEnd w:id="964"/>
      <w:bookmarkEnd w:id="965"/>
      <w:bookmarkEnd w:id="966"/>
      <w:bookmarkEnd w:id="967"/>
      <w:bookmarkEnd w:id="968"/>
      <w:bookmarkEnd w:id="969"/>
      <w:bookmarkEnd w:id="970"/>
      <w:bookmarkEnd w:id="971"/>
      <w:bookmarkEnd w:id="972"/>
      <w:bookmarkEnd w:id="973"/>
      <w:bookmarkEnd w:id="974"/>
    </w:p>
    <w:p w14:paraId="6F663529">
      <w:pPr>
        <w:pStyle w:val="82"/>
        <w:framePr w:hSpace="0" w:wrap="auto" w:vAnchor="margin" w:hAnchor="text" w:xAlign="left" w:yAlign="inline"/>
        <w:rPr>
          <w:color w:val="FF0000"/>
        </w:rPr>
      </w:pPr>
      <w:r>
        <w:rPr>
          <w:color w:val="FF0000"/>
        </w:rPr>
        <w:t>表</w:t>
      </w:r>
      <w:r>
        <w:rPr>
          <w:rFonts w:hint="eastAsia"/>
          <w:color w:val="FF0000"/>
        </w:rPr>
        <w:t xml:space="preserve">8-7-1   </w:t>
      </w:r>
      <w:r>
        <w:rPr>
          <w:color w:val="FF0000"/>
        </w:rPr>
        <w:t>环境保护措施一览表</w:t>
      </w:r>
    </w:p>
    <w:tbl>
      <w:tblPr>
        <w:tblStyle w:val="56"/>
        <w:tblW w:w="991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63"/>
        <w:gridCol w:w="2049"/>
        <w:gridCol w:w="4536"/>
        <w:gridCol w:w="1134"/>
        <w:gridCol w:w="1134"/>
      </w:tblGrid>
      <w:tr w14:paraId="0C5CDF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tblHeader/>
          <w:jc w:val="center"/>
        </w:trPr>
        <w:tc>
          <w:tcPr>
            <w:tcW w:w="1063" w:type="dxa"/>
            <w:tcBorders>
              <w:left w:val="nil"/>
            </w:tcBorders>
            <w:vAlign w:val="center"/>
          </w:tcPr>
          <w:p w14:paraId="514623BA">
            <w:pPr>
              <w:pStyle w:val="84"/>
              <w:spacing w:line="276" w:lineRule="auto"/>
            </w:pPr>
            <w:r>
              <w:t>环境要素</w:t>
            </w:r>
          </w:p>
        </w:tc>
        <w:tc>
          <w:tcPr>
            <w:tcW w:w="2049" w:type="dxa"/>
            <w:vAlign w:val="center"/>
          </w:tcPr>
          <w:p w14:paraId="011B30F6">
            <w:pPr>
              <w:pStyle w:val="84"/>
              <w:spacing w:line="276" w:lineRule="auto"/>
            </w:pPr>
            <w:r>
              <w:t>保护</w:t>
            </w:r>
            <w:r>
              <w:rPr>
                <w:rFonts w:hint="eastAsia"/>
              </w:rPr>
              <w:t>级别、对象</w:t>
            </w:r>
          </w:p>
          <w:p w14:paraId="4B075F3C">
            <w:pPr>
              <w:pStyle w:val="84"/>
              <w:spacing w:line="276" w:lineRule="auto"/>
            </w:pPr>
            <w:r>
              <w:rPr>
                <w:rFonts w:hint="eastAsia"/>
              </w:rPr>
              <w:t>和要求</w:t>
            </w:r>
          </w:p>
        </w:tc>
        <w:tc>
          <w:tcPr>
            <w:tcW w:w="4536" w:type="dxa"/>
            <w:vAlign w:val="center"/>
          </w:tcPr>
          <w:p w14:paraId="59A5B4B1">
            <w:pPr>
              <w:pStyle w:val="84"/>
              <w:spacing w:line="276" w:lineRule="auto"/>
            </w:pPr>
            <w:r>
              <w:t>措施内容</w:t>
            </w:r>
          </w:p>
        </w:tc>
        <w:tc>
          <w:tcPr>
            <w:tcW w:w="1134" w:type="dxa"/>
            <w:vAlign w:val="center"/>
          </w:tcPr>
          <w:p w14:paraId="777D34F2">
            <w:pPr>
              <w:pStyle w:val="84"/>
              <w:spacing w:line="276" w:lineRule="auto"/>
            </w:pPr>
            <w:r>
              <w:t>实施部门</w:t>
            </w:r>
          </w:p>
        </w:tc>
        <w:tc>
          <w:tcPr>
            <w:tcW w:w="1134" w:type="dxa"/>
            <w:tcBorders>
              <w:right w:val="nil"/>
            </w:tcBorders>
            <w:vAlign w:val="center"/>
          </w:tcPr>
          <w:p w14:paraId="696BAE99">
            <w:pPr>
              <w:pStyle w:val="84"/>
              <w:spacing w:line="276" w:lineRule="auto"/>
            </w:pPr>
            <w:r>
              <w:t>实施时间</w:t>
            </w:r>
          </w:p>
        </w:tc>
      </w:tr>
      <w:tr w14:paraId="47C2F2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32" w:hRule="atLeast"/>
          <w:jc w:val="center"/>
        </w:trPr>
        <w:tc>
          <w:tcPr>
            <w:tcW w:w="1063" w:type="dxa"/>
            <w:vMerge w:val="restart"/>
            <w:tcBorders>
              <w:left w:val="nil"/>
            </w:tcBorders>
            <w:vAlign w:val="center"/>
          </w:tcPr>
          <w:p w14:paraId="55FE354E">
            <w:pPr>
              <w:pStyle w:val="84"/>
              <w:spacing w:line="276" w:lineRule="auto"/>
            </w:pPr>
            <w:r>
              <w:t>生态</w:t>
            </w:r>
            <w:r>
              <w:rPr>
                <w:rFonts w:hint="eastAsia"/>
              </w:rPr>
              <w:t>环境</w:t>
            </w:r>
          </w:p>
        </w:tc>
        <w:tc>
          <w:tcPr>
            <w:tcW w:w="2049" w:type="dxa"/>
            <w:vMerge w:val="restart"/>
            <w:vAlign w:val="center"/>
          </w:tcPr>
          <w:p w14:paraId="6C7754B6">
            <w:pPr>
              <w:pStyle w:val="84"/>
              <w:spacing w:line="276" w:lineRule="auto"/>
            </w:pPr>
            <w:r>
              <w:t>满足</w:t>
            </w:r>
            <w:r>
              <w:rPr>
                <w:rFonts w:hint="eastAsia"/>
              </w:rPr>
              <w:t>芒里大沟灌溉及下游</w:t>
            </w:r>
            <w:r>
              <w:t>生态用水</w:t>
            </w:r>
            <w:r>
              <w:rPr>
                <w:rFonts w:hint="eastAsia"/>
              </w:rPr>
              <w:t>需</w:t>
            </w:r>
            <w:r>
              <w:t>求</w:t>
            </w:r>
            <w:r>
              <w:rPr>
                <w:rFonts w:hint="eastAsia"/>
              </w:rPr>
              <w:t>；</w:t>
            </w:r>
            <w:r>
              <w:t>保护动物、植物和鱼类资源</w:t>
            </w:r>
          </w:p>
        </w:tc>
        <w:tc>
          <w:tcPr>
            <w:tcW w:w="4536" w:type="dxa"/>
            <w:vAlign w:val="center"/>
          </w:tcPr>
          <w:p w14:paraId="00902D7B">
            <w:pPr>
              <w:pStyle w:val="84"/>
              <w:spacing w:line="276" w:lineRule="auto"/>
              <w:ind w:firstLine="420" w:firstLineChars="200"/>
              <w:jc w:val="left"/>
              <w:rPr>
                <w:szCs w:val="21"/>
                <w:highlight w:val="green"/>
              </w:rPr>
            </w:pPr>
            <w:r>
              <w:t>施工期需对施工人员加强</w:t>
            </w:r>
            <w:r>
              <w:rPr>
                <w:rFonts w:hint="eastAsia"/>
              </w:rPr>
              <w:t>关于慈竹和盾果草</w:t>
            </w:r>
            <w:r>
              <w:t>保护</w:t>
            </w:r>
            <w:r>
              <w:rPr>
                <w:rFonts w:hint="eastAsia"/>
              </w:rPr>
              <w:t>的</w:t>
            </w:r>
            <w:r>
              <w:t>宣传</w:t>
            </w:r>
            <w:r>
              <w:rPr>
                <w:rFonts w:hint="eastAsia"/>
              </w:rPr>
              <w:t>教育</w:t>
            </w:r>
            <w:r>
              <w:t>，</w:t>
            </w:r>
            <w:r>
              <w:rPr>
                <w:rFonts w:hint="eastAsia"/>
              </w:rPr>
              <w:t>对其进行围挡，并进行挂牌保护，</w:t>
            </w:r>
            <w:r>
              <w:t>严禁施工人员</w:t>
            </w:r>
            <w:r>
              <w:rPr>
                <w:rFonts w:hint="eastAsia"/>
              </w:rPr>
              <w:t>对其进行</w:t>
            </w:r>
            <w:r>
              <w:t>破坏。另外，</w:t>
            </w:r>
            <w:r>
              <w:rPr>
                <w:rFonts w:hint="eastAsia" w:cs="宋体"/>
              </w:rPr>
              <w:t>工程施工过程中，如发现施工区内有</w:t>
            </w:r>
            <w:r>
              <w:rPr>
                <w:rFonts w:hint="eastAsia"/>
              </w:rPr>
              <w:t>本次调查未发现的</w:t>
            </w:r>
            <w:r>
              <w:rPr>
                <w:rFonts w:hint="eastAsia" w:cs="宋体"/>
              </w:rPr>
              <w:t>国家和云南省重点保护植物，应尽量采取避让措施并进行挂牌保护。如果因为无法避让的话，尽量就近移栽到安全地段进行迁地保护。如果因为植株过于庞大，取挖之后也难免存在死亡的情况下，应该就地采种，在附近补充种植，以保证有足够的后续个体存在</w:t>
            </w:r>
          </w:p>
        </w:tc>
        <w:tc>
          <w:tcPr>
            <w:tcW w:w="1134" w:type="dxa"/>
            <w:vAlign w:val="center"/>
          </w:tcPr>
          <w:p w14:paraId="31231FFB">
            <w:pPr>
              <w:pStyle w:val="84"/>
              <w:spacing w:line="276" w:lineRule="auto"/>
            </w:pPr>
            <w:r>
              <w:rPr>
                <w:rFonts w:hint="eastAsia"/>
              </w:rPr>
              <w:t>施工</w:t>
            </w:r>
            <w:r>
              <w:t>单位</w:t>
            </w:r>
          </w:p>
        </w:tc>
        <w:tc>
          <w:tcPr>
            <w:tcW w:w="1134" w:type="dxa"/>
            <w:tcBorders>
              <w:right w:val="nil"/>
            </w:tcBorders>
            <w:vAlign w:val="center"/>
          </w:tcPr>
          <w:p w14:paraId="313D537C">
            <w:pPr>
              <w:pStyle w:val="84"/>
              <w:spacing w:line="276" w:lineRule="auto"/>
            </w:pPr>
            <w:r>
              <w:t>施工期</w:t>
            </w:r>
          </w:p>
        </w:tc>
      </w:tr>
      <w:tr w14:paraId="11A5BC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063" w:type="dxa"/>
            <w:vMerge w:val="continue"/>
            <w:tcBorders>
              <w:left w:val="nil"/>
            </w:tcBorders>
            <w:vAlign w:val="center"/>
          </w:tcPr>
          <w:p w14:paraId="5BB2F253">
            <w:pPr>
              <w:pStyle w:val="84"/>
              <w:spacing w:line="276" w:lineRule="auto"/>
              <w:rPr>
                <w:highlight w:val="green"/>
              </w:rPr>
            </w:pPr>
          </w:p>
        </w:tc>
        <w:tc>
          <w:tcPr>
            <w:tcW w:w="2049" w:type="dxa"/>
            <w:vMerge w:val="continue"/>
            <w:vAlign w:val="center"/>
          </w:tcPr>
          <w:p w14:paraId="61040E23">
            <w:pPr>
              <w:pStyle w:val="84"/>
              <w:spacing w:line="276" w:lineRule="auto"/>
              <w:rPr>
                <w:highlight w:val="green"/>
              </w:rPr>
            </w:pPr>
          </w:p>
        </w:tc>
        <w:tc>
          <w:tcPr>
            <w:tcW w:w="4536" w:type="dxa"/>
            <w:vAlign w:val="center"/>
          </w:tcPr>
          <w:p w14:paraId="444AB6B0">
            <w:pPr>
              <w:pStyle w:val="84"/>
              <w:spacing w:line="276" w:lineRule="auto"/>
              <w:ind w:firstLine="420" w:firstLineChars="200"/>
              <w:jc w:val="left"/>
            </w:pPr>
            <w:r>
              <w:rPr>
                <w:rFonts w:hint="eastAsia"/>
              </w:rPr>
              <w:t>严格按照规定的施工占地区域施工，严禁擅自扩大施工场地，减少不必要的植被破坏；</w:t>
            </w:r>
            <w:r>
              <w:t>对因施工破坏的各种植被和生境、临时占用的植被及各种施工迹地，工程结束后</w:t>
            </w:r>
            <w:r>
              <w:rPr>
                <w:rFonts w:hint="eastAsia"/>
              </w:rPr>
              <w:t>采取植被</w:t>
            </w:r>
            <w:r>
              <w:t>恢复措施使其逐步得到恢复</w:t>
            </w:r>
            <w:r>
              <w:rPr>
                <w:rFonts w:hint="eastAsia"/>
              </w:rPr>
              <w:t>；</w:t>
            </w:r>
            <w:r>
              <w:t>在植被恢复</w:t>
            </w:r>
            <w:r>
              <w:rPr>
                <w:rFonts w:hint="eastAsia"/>
              </w:rPr>
              <w:t>过程</w:t>
            </w:r>
            <w:r>
              <w:t>中，杜绝在天然林中种植该区域中没有的物种，以免造成生物入侵的新危害</w:t>
            </w:r>
          </w:p>
        </w:tc>
        <w:tc>
          <w:tcPr>
            <w:tcW w:w="1134" w:type="dxa"/>
            <w:vAlign w:val="center"/>
          </w:tcPr>
          <w:p w14:paraId="53766993">
            <w:pPr>
              <w:pStyle w:val="84"/>
              <w:spacing w:line="276" w:lineRule="auto"/>
            </w:pPr>
            <w:r>
              <w:rPr>
                <w:rFonts w:hint="eastAsia"/>
              </w:rPr>
              <w:t>施工</w:t>
            </w:r>
            <w:r>
              <w:t>单位</w:t>
            </w:r>
          </w:p>
        </w:tc>
        <w:tc>
          <w:tcPr>
            <w:tcW w:w="1134" w:type="dxa"/>
            <w:tcBorders>
              <w:right w:val="nil"/>
            </w:tcBorders>
            <w:vAlign w:val="center"/>
          </w:tcPr>
          <w:p w14:paraId="35549E7E">
            <w:pPr>
              <w:pStyle w:val="84"/>
              <w:spacing w:line="276" w:lineRule="auto"/>
            </w:pPr>
            <w:r>
              <w:t>施工期</w:t>
            </w:r>
          </w:p>
        </w:tc>
      </w:tr>
      <w:tr w14:paraId="7A7AC0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8" w:hRule="atLeast"/>
          <w:jc w:val="center"/>
        </w:trPr>
        <w:tc>
          <w:tcPr>
            <w:tcW w:w="1063" w:type="dxa"/>
            <w:vMerge w:val="continue"/>
            <w:tcBorders>
              <w:left w:val="nil"/>
            </w:tcBorders>
            <w:vAlign w:val="center"/>
          </w:tcPr>
          <w:p w14:paraId="6FA1D3DC">
            <w:pPr>
              <w:pStyle w:val="84"/>
              <w:spacing w:line="276" w:lineRule="auto"/>
              <w:rPr>
                <w:highlight w:val="green"/>
              </w:rPr>
            </w:pPr>
          </w:p>
        </w:tc>
        <w:tc>
          <w:tcPr>
            <w:tcW w:w="2049" w:type="dxa"/>
            <w:vMerge w:val="continue"/>
            <w:vAlign w:val="center"/>
          </w:tcPr>
          <w:p w14:paraId="50003607">
            <w:pPr>
              <w:pStyle w:val="84"/>
              <w:spacing w:line="276" w:lineRule="auto"/>
              <w:rPr>
                <w:highlight w:val="green"/>
              </w:rPr>
            </w:pPr>
          </w:p>
        </w:tc>
        <w:tc>
          <w:tcPr>
            <w:tcW w:w="4536" w:type="dxa"/>
            <w:vAlign w:val="center"/>
          </w:tcPr>
          <w:p w14:paraId="270AE703">
            <w:pPr>
              <w:pStyle w:val="84"/>
              <w:spacing w:line="276" w:lineRule="auto"/>
              <w:ind w:firstLine="420" w:firstLineChars="200"/>
              <w:jc w:val="left"/>
            </w:pPr>
            <w:r>
              <w:t>对施工人员明确规定严禁猎杀、购买和食用野生动物，建立与环境保护有关的奖励</w:t>
            </w:r>
            <w:r>
              <w:rPr>
                <w:rFonts w:hint="eastAsia"/>
              </w:rPr>
              <w:t>与</w:t>
            </w:r>
            <w:r>
              <w:t>惩罚制度</w:t>
            </w:r>
          </w:p>
        </w:tc>
        <w:tc>
          <w:tcPr>
            <w:tcW w:w="1134" w:type="dxa"/>
            <w:vAlign w:val="center"/>
          </w:tcPr>
          <w:p w14:paraId="77C83DC6">
            <w:pPr>
              <w:pStyle w:val="84"/>
              <w:spacing w:line="276" w:lineRule="auto"/>
            </w:pPr>
            <w:r>
              <w:rPr>
                <w:rFonts w:hint="eastAsia"/>
              </w:rPr>
              <w:t>施工</w:t>
            </w:r>
            <w:r>
              <w:t>单位</w:t>
            </w:r>
          </w:p>
        </w:tc>
        <w:tc>
          <w:tcPr>
            <w:tcW w:w="1134" w:type="dxa"/>
            <w:tcBorders>
              <w:right w:val="nil"/>
            </w:tcBorders>
            <w:vAlign w:val="center"/>
          </w:tcPr>
          <w:p w14:paraId="7CADEAC8">
            <w:pPr>
              <w:pStyle w:val="84"/>
              <w:spacing w:line="276" w:lineRule="auto"/>
            </w:pPr>
            <w:r>
              <w:t>施工期</w:t>
            </w:r>
          </w:p>
        </w:tc>
      </w:tr>
      <w:tr w14:paraId="5DF6C8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81" w:hRule="atLeast"/>
          <w:jc w:val="center"/>
        </w:trPr>
        <w:tc>
          <w:tcPr>
            <w:tcW w:w="1063" w:type="dxa"/>
            <w:vMerge w:val="continue"/>
            <w:tcBorders>
              <w:left w:val="nil"/>
            </w:tcBorders>
            <w:vAlign w:val="center"/>
          </w:tcPr>
          <w:p w14:paraId="2F61429F">
            <w:pPr>
              <w:pStyle w:val="84"/>
              <w:spacing w:line="276" w:lineRule="auto"/>
              <w:rPr>
                <w:highlight w:val="green"/>
              </w:rPr>
            </w:pPr>
          </w:p>
        </w:tc>
        <w:tc>
          <w:tcPr>
            <w:tcW w:w="2049" w:type="dxa"/>
            <w:vMerge w:val="continue"/>
            <w:vAlign w:val="center"/>
          </w:tcPr>
          <w:p w14:paraId="1BC5246B">
            <w:pPr>
              <w:pStyle w:val="84"/>
              <w:spacing w:line="276" w:lineRule="auto"/>
              <w:rPr>
                <w:highlight w:val="green"/>
              </w:rPr>
            </w:pPr>
          </w:p>
        </w:tc>
        <w:tc>
          <w:tcPr>
            <w:tcW w:w="4536" w:type="dxa"/>
            <w:vAlign w:val="center"/>
          </w:tcPr>
          <w:p w14:paraId="135A2DB7">
            <w:pPr>
              <w:pStyle w:val="84"/>
              <w:spacing w:line="276" w:lineRule="auto"/>
              <w:ind w:firstLine="420" w:firstLineChars="200"/>
              <w:jc w:val="left"/>
            </w:pPr>
            <w:r>
              <w:rPr>
                <w:color w:val="FF0000"/>
              </w:rPr>
              <w:t>严禁施工人员进行非保护性质的鱼类捕捞</w:t>
            </w:r>
            <w:r>
              <w:rPr>
                <w:rFonts w:hint="eastAsia"/>
                <w:color w:val="FF0000"/>
              </w:rPr>
              <w:t>。此外，上游芒里电站虽已设置隔鱼措施，但</w:t>
            </w:r>
            <w:r>
              <w:rPr>
                <w:color w:val="FF0000"/>
              </w:rPr>
              <w:t>为</w:t>
            </w:r>
            <w:r>
              <w:rPr>
                <w:rFonts w:hint="eastAsia"/>
                <w:color w:val="FF0000"/>
              </w:rPr>
              <w:t>了更好地</w:t>
            </w:r>
            <w:r>
              <w:rPr>
                <w:color w:val="FF0000"/>
              </w:rPr>
              <w:t>保护土著鱼类，</w:t>
            </w:r>
            <w:r>
              <w:rPr>
                <w:rFonts w:hint="eastAsia"/>
                <w:color w:val="FF0000"/>
              </w:rPr>
              <w:t>建设单位应</w:t>
            </w:r>
            <w:r>
              <w:rPr>
                <w:color w:val="FF0000"/>
              </w:rPr>
              <w:t>在</w:t>
            </w:r>
            <w:r>
              <w:rPr>
                <w:rFonts w:hint="eastAsia"/>
                <w:color w:val="FF0000"/>
              </w:rPr>
              <w:t>本次兴建的团结水电站拦河坝取水口处设置隔鱼措施，防止鱼类进入厂房；</w:t>
            </w:r>
            <w:r>
              <w:rPr>
                <w:rFonts w:hint="eastAsia" w:cstheme="minorBidi"/>
                <w:color w:val="FF0000"/>
              </w:rPr>
              <w:t>考虑到坝址上下游鱼类生境的连贯性，建设单位需考虑在鱼类</w:t>
            </w:r>
            <w:r>
              <w:rPr>
                <w:color w:val="FF0000"/>
              </w:rPr>
              <w:t>短距离产卵洄游</w:t>
            </w:r>
            <w:r>
              <w:rPr>
                <w:rFonts w:hint="eastAsia"/>
                <w:color w:val="FF0000"/>
              </w:rPr>
              <w:t>时</w:t>
            </w:r>
            <w:r>
              <w:rPr>
                <w:rFonts w:hint="eastAsia" w:cstheme="minorBidi"/>
                <w:color w:val="FF0000"/>
              </w:rPr>
              <w:t>采取网捕过坝措施或在大坝设置闸门式鱼道</w:t>
            </w:r>
          </w:p>
        </w:tc>
        <w:tc>
          <w:tcPr>
            <w:tcW w:w="1134" w:type="dxa"/>
            <w:vAlign w:val="center"/>
          </w:tcPr>
          <w:p w14:paraId="2D11FAD4">
            <w:pPr>
              <w:pStyle w:val="84"/>
              <w:spacing w:line="276" w:lineRule="auto"/>
            </w:pPr>
            <w:r>
              <w:rPr>
                <w:rFonts w:hint="eastAsia"/>
              </w:rPr>
              <w:t>施工</w:t>
            </w:r>
            <w:r>
              <w:t>单位</w:t>
            </w:r>
          </w:p>
        </w:tc>
        <w:tc>
          <w:tcPr>
            <w:tcW w:w="1134" w:type="dxa"/>
            <w:tcBorders>
              <w:right w:val="nil"/>
            </w:tcBorders>
            <w:vAlign w:val="center"/>
          </w:tcPr>
          <w:p w14:paraId="18A000DC">
            <w:pPr>
              <w:pStyle w:val="84"/>
              <w:spacing w:line="276" w:lineRule="auto"/>
            </w:pPr>
            <w:r>
              <w:t>施工期</w:t>
            </w:r>
          </w:p>
        </w:tc>
      </w:tr>
      <w:tr w14:paraId="20B37A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81" w:hRule="atLeast"/>
          <w:jc w:val="center"/>
        </w:trPr>
        <w:tc>
          <w:tcPr>
            <w:tcW w:w="1063" w:type="dxa"/>
            <w:vMerge w:val="restart"/>
            <w:tcBorders>
              <w:left w:val="nil"/>
            </w:tcBorders>
            <w:vAlign w:val="center"/>
          </w:tcPr>
          <w:p w14:paraId="2F50BE00">
            <w:pPr>
              <w:pStyle w:val="84"/>
              <w:spacing w:line="276" w:lineRule="auto"/>
            </w:pPr>
            <w:r>
              <w:rPr>
                <w:rFonts w:hint="eastAsia"/>
              </w:rPr>
              <w:t>地表水</w:t>
            </w:r>
          </w:p>
          <w:p w14:paraId="1241A3CF">
            <w:pPr>
              <w:pStyle w:val="84"/>
              <w:spacing w:line="276" w:lineRule="auto"/>
              <w:rPr>
                <w:highlight w:val="green"/>
              </w:rPr>
            </w:pPr>
            <w:r>
              <w:rPr>
                <w:rFonts w:hint="eastAsia"/>
              </w:rPr>
              <w:t>环境</w:t>
            </w:r>
          </w:p>
        </w:tc>
        <w:tc>
          <w:tcPr>
            <w:tcW w:w="2049" w:type="dxa"/>
            <w:vMerge w:val="restart"/>
            <w:vAlign w:val="center"/>
          </w:tcPr>
          <w:p w14:paraId="2ED33079">
            <w:pPr>
              <w:pStyle w:val="84"/>
              <w:spacing w:line="276" w:lineRule="auto"/>
            </w:pPr>
            <w:r>
              <w:rPr>
                <w:rFonts w:hint="eastAsia"/>
              </w:rPr>
              <w:t>《地表水环境质量标准》（GB3838-2002）</w:t>
            </w:r>
          </w:p>
          <w:p w14:paraId="40EA2CF0">
            <w:pPr>
              <w:pStyle w:val="84"/>
              <w:spacing w:line="276" w:lineRule="auto"/>
              <w:rPr>
                <w:highlight w:val="green"/>
              </w:rPr>
            </w:pPr>
            <w:r>
              <w:rPr>
                <w:rFonts w:hint="eastAsia"/>
              </w:rPr>
              <w:t>Ⅲ类标准</w:t>
            </w:r>
          </w:p>
        </w:tc>
        <w:tc>
          <w:tcPr>
            <w:tcW w:w="4536" w:type="dxa"/>
            <w:vAlign w:val="center"/>
          </w:tcPr>
          <w:p w14:paraId="62A18083">
            <w:pPr>
              <w:pStyle w:val="84"/>
              <w:spacing w:line="276" w:lineRule="auto"/>
              <w:ind w:firstLine="420" w:firstLineChars="200"/>
              <w:jc w:val="left"/>
            </w:pPr>
            <w:r>
              <w:rPr>
                <w:rFonts w:hint="eastAsia"/>
              </w:rPr>
              <w:t>生产废水经管道或沟渠收集后排入沉淀池（一用一备，容积均为75m</w:t>
            </w:r>
            <w:r>
              <w:rPr>
                <w:rFonts w:hint="eastAsia"/>
                <w:vertAlign w:val="superscript"/>
              </w:rPr>
              <w:t>3</w:t>
            </w:r>
            <w:r>
              <w:rPr>
                <w:rFonts w:hint="eastAsia"/>
              </w:rPr>
              <w:t>/个，共设置2个），在池内静置沉淀约6h后上清液回用于生产；人工定期清渣，</w:t>
            </w:r>
            <w:r>
              <w:rPr>
                <w:rFonts w:hint="eastAsia"/>
                <w:color w:val="FF0000"/>
              </w:rPr>
              <w:t>用于大坝左岸防护</w:t>
            </w:r>
          </w:p>
        </w:tc>
        <w:tc>
          <w:tcPr>
            <w:tcW w:w="1134" w:type="dxa"/>
            <w:vAlign w:val="center"/>
          </w:tcPr>
          <w:p w14:paraId="190C5C5E">
            <w:pPr>
              <w:pStyle w:val="84"/>
              <w:spacing w:line="276" w:lineRule="auto"/>
            </w:pPr>
            <w:r>
              <w:t>施工单位</w:t>
            </w:r>
          </w:p>
        </w:tc>
        <w:tc>
          <w:tcPr>
            <w:tcW w:w="1134" w:type="dxa"/>
            <w:tcBorders>
              <w:right w:val="nil"/>
            </w:tcBorders>
            <w:vAlign w:val="center"/>
          </w:tcPr>
          <w:p w14:paraId="30027C3C">
            <w:pPr>
              <w:pStyle w:val="84"/>
              <w:spacing w:line="276" w:lineRule="auto"/>
            </w:pPr>
            <w:r>
              <w:t>施工期</w:t>
            </w:r>
          </w:p>
        </w:tc>
      </w:tr>
      <w:tr w14:paraId="43B612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81" w:hRule="atLeast"/>
          <w:jc w:val="center"/>
        </w:trPr>
        <w:tc>
          <w:tcPr>
            <w:tcW w:w="1063" w:type="dxa"/>
            <w:vMerge w:val="continue"/>
            <w:tcBorders>
              <w:left w:val="nil"/>
            </w:tcBorders>
            <w:vAlign w:val="center"/>
          </w:tcPr>
          <w:p w14:paraId="603350F8">
            <w:pPr>
              <w:pStyle w:val="84"/>
              <w:spacing w:line="276" w:lineRule="auto"/>
            </w:pPr>
          </w:p>
        </w:tc>
        <w:tc>
          <w:tcPr>
            <w:tcW w:w="2049" w:type="dxa"/>
            <w:vMerge w:val="continue"/>
            <w:vAlign w:val="center"/>
          </w:tcPr>
          <w:p w14:paraId="6F42850B">
            <w:pPr>
              <w:pStyle w:val="84"/>
              <w:spacing w:line="276" w:lineRule="auto"/>
            </w:pPr>
          </w:p>
        </w:tc>
        <w:tc>
          <w:tcPr>
            <w:tcW w:w="4536" w:type="dxa"/>
            <w:vAlign w:val="center"/>
          </w:tcPr>
          <w:p w14:paraId="44CC15E4">
            <w:pPr>
              <w:pStyle w:val="84"/>
              <w:spacing w:line="276" w:lineRule="auto"/>
              <w:ind w:firstLine="420" w:firstLineChars="200"/>
              <w:jc w:val="left"/>
              <w:rPr>
                <w:spacing w:val="-8"/>
              </w:rPr>
            </w:pPr>
            <w:r>
              <w:rPr>
                <w:rFonts w:hint="eastAsia"/>
              </w:rPr>
              <w:t>施工营地</w:t>
            </w:r>
            <w:r>
              <w:t>厨房废水经隔油</w:t>
            </w:r>
            <w:r>
              <w:rPr>
                <w:rFonts w:hint="eastAsia"/>
              </w:rPr>
              <w:t>池（设置1个，容积为1m</w:t>
            </w:r>
            <w:r>
              <w:rPr>
                <w:rFonts w:hint="eastAsia"/>
                <w:vertAlign w:val="superscript"/>
              </w:rPr>
              <w:t>3</w:t>
            </w:r>
            <w:r>
              <w:rPr>
                <w:rFonts w:hint="eastAsia"/>
              </w:rPr>
              <w:t>）</w:t>
            </w:r>
            <w:r>
              <w:t>处理，</w:t>
            </w:r>
            <w:r>
              <w:rPr>
                <w:rFonts w:hint="eastAsia"/>
              </w:rPr>
              <w:t>清洁</w:t>
            </w:r>
            <w:r>
              <w:t>废水经简易沉淀</w:t>
            </w:r>
            <w:r>
              <w:rPr>
                <w:rFonts w:hint="eastAsia"/>
              </w:rPr>
              <w:t>池（设置1个，容积为5m</w:t>
            </w:r>
            <w:r>
              <w:rPr>
                <w:rFonts w:hint="eastAsia"/>
                <w:vertAlign w:val="superscript"/>
              </w:rPr>
              <w:t>3</w:t>
            </w:r>
            <w:r>
              <w:rPr>
                <w:rFonts w:hint="eastAsia"/>
              </w:rPr>
              <w:t>）</w:t>
            </w:r>
            <w:r>
              <w:t>处理后回用于</w:t>
            </w:r>
            <w:r>
              <w:rPr>
                <w:rFonts w:hint="eastAsia"/>
              </w:rPr>
              <w:t>洒水降尘；施工营地设置旱厕，污粪定期清掏后用作绿化施肥</w:t>
            </w:r>
          </w:p>
        </w:tc>
        <w:tc>
          <w:tcPr>
            <w:tcW w:w="1134" w:type="dxa"/>
            <w:vAlign w:val="center"/>
          </w:tcPr>
          <w:p w14:paraId="09D4E35B">
            <w:pPr>
              <w:pStyle w:val="84"/>
              <w:spacing w:line="276" w:lineRule="auto"/>
            </w:pPr>
            <w:r>
              <w:t>施工单位</w:t>
            </w:r>
          </w:p>
        </w:tc>
        <w:tc>
          <w:tcPr>
            <w:tcW w:w="1134" w:type="dxa"/>
            <w:tcBorders>
              <w:right w:val="nil"/>
            </w:tcBorders>
            <w:vAlign w:val="center"/>
          </w:tcPr>
          <w:p w14:paraId="242D6416">
            <w:pPr>
              <w:pStyle w:val="84"/>
              <w:spacing w:line="276" w:lineRule="auto"/>
            </w:pPr>
            <w:r>
              <w:t>施工期</w:t>
            </w:r>
          </w:p>
        </w:tc>
      </w:tr>
      <w:tr w14:paraId="025827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81" w:hRule="atLeast"/>
          <w:jc w:val="center"/>
        </w:trPr>
        <w:tc>
          <w:tcPr>
            <w:tcW w:w="1063" w:type="dxa"/>
            <w:vMerge w:val="continue"/>
            <w:tcBorders>
              <w:left w:val="nil"/>
            </w:tcBorders>
            <w:vAlign w:val="center"/>
          </w:tcPr>
          <w:p w14:paraId="263713C4">
            <w:pPr>
              <w:pStyle w:val="84"/>
              <w:spacing w:line="276" w:lineRule="auto"/>
            </w:pPr>
          </w:p>
        </w:tc>
        <w:tc>
          <w:tcPr>
            <w:tcW w:w="2049" w:type="dxa"/>
            <w:vMerge w:val="continue"/>
            <w:vAlign w:val="center"/>
          </w:tcPr>
          <w:p w14:paraId="049FB55F">
            <w:pPr>
              <w:pStyle w:val="84"/>
              <w:spacing w:line="276" w:lineRule="auto"/>
            </w:pPr>
          </w:p>
        </w:tc>
        <w:tc>
          <w:tcPr>
            <w:tcW w:w="4536" w:type="dxa"/>
            <w:vAlign w:val="center"/>
          </w:tcPr>
          <w:p w14:paraId="4F42567C">
            <w:pPr>
              <w:spacing w:line="276" w:lineRule="auto"/>
              <w:ind w:firstLine="420"/>
              <w:rPr>
                <w:rFonts w:eastAsia="仿宋"/>
                <w:sz w:val="21"/>
                <w:szCs w:val="21"/>
                <w:highlight w:val="green"/>
              </w:rPr>
            </w:pPr>
            <w:r>
              <w:rPr>
                <w:rFonts w:eastAsia="仿宋"/>
                <w:color w:val="FF0000"/>
                <w:sz w:val="21"/>
                <w:szCs w:val="21"/>
              </w:rPr>
              <w:t>电站水库初期蓄水达到正常蓄水位之前，由冲砂闸下放最小生态流量5.28m</w:t>
            </w:r>
            <w:r>
              <w:rPr>
                <w:rFonts w:eastAsia="仿宋"/>
                <w:color w:val="FF0000"/>
                <w:sz w:val="21"/>
                <w:szCs w:val="21"/>
                <w:vertAlign w:val="superscript"/>
              </w:rPr>
              <w:t>3</w:t>
            </w:r>
            <w:r>
              <w:rPr>
                <w:rFonts w:eastAsia="仿宋"/>
                <w:color w:val="FF0000"/>
                <w:sz w:val="21"/>
                <w:szCs w:val="21"/>
              </w:rPr>
              <w:t>/s。当电站开始试机发电后，发电尾水部分经尾水渠后设置的消力池（尺寸建议为：60m×20m×5m）引至坝址附近排入芒市河内，补足河道正常所需生态流量（约为坝址多年平均流量的30%，即15.84m</w:t>
            </w:r>
            <w:r>
              <w:rPr>
                <w:rFonts w:eastAsia="仿宋"/>
                <w:color w:val="FF0000"/>
                <w:sz w:val="21"/>
                <w:szCs w:val="21"/>
                <w:vertAlign w:val="superscript"/>
              </w:rPr>
              <w:t>3</w:t>
            </w:r>
            <w:r>
              <w:rPr>
                <w:rFonts w:eastAsia="仿宋"/>
                <w:color w:val="FF0000"/>
                <w:sz w:val="21"/>
                <w:szCs w:val="21"/>
              </w:rPr>
              <w:t>/s）</w:t>
            </w:r>
          </w:p>
        </w:tc>
        <w:tc>
          <w:tcPr>
            <w:tcW w:w="1134" w:type="dxa"/>
            <w:vAlign w:val="center"/>
          </w:tcPr>
          <w:p w14:paraId="45DC65E0">
            <w:pPr>
              <w:pStyle w:val="84"/>
              <w:spacing w:line="276" w:lineRule="auto"/>
            </w:pPr>
            <w:r>
              <w:rPr>
                <w:rFonts w:hint="eastAsia"/>
              </w:rPr>
              <w:t>建设</w:t>
            </w:r>
            <w:r>
              <w:t>单位</w:t>
            </w:r>
          </w:p>
        </w:tc>
        <w:tc>
          <w:tcPr>
            <w:tcW w:w="1134" w:type="dxa"/>
            <w:tcBorders>
              <w:right w:val="nil"/>
            </w:tcBorders>
            <w:vAlign w:val="center"/>
          </w:tcPr>
          <w:p w14:paraId="27F31273">
            <w:pPr>
              <w:pStyle w:val="84"/>
              <w:spacing w:line="276" w:lineRule="auto"/>
            </w:pPr>
            <w:r>
              <w:rPr>
                <w:rFonts w:hint="eastAsia"/>
              </w:rPr>
              <w:t>运行</w:t>
            </w:r>
            <w:r>
              <w:t>期</w:t>
            </w:r>
          </w:p>
        </w:tc>
      </w:tr>
      <w:tr w14:paraId="79DA7C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81" w:hRule="atLeast"/>
          <w:jc w:val="center"/>
        </w:trPr>
        <w:tc>
          <w:tcPr>
            <w:tcW w:w="1063" w:type="dxa"/>
            <w:vMerge w:val="continue"/>
            <w:tcBorders>
              <w:left w:val="nil"/>
            </w:tcBorders>
            <w:vAlign w:val="center"/>
          </w:tcPr>
          <w:p w14:paraId="563FE1DB">
            <w:pPr>
              <w:pStyle w:val="84"/>
              <w:spacing w:line="276" w:lineRule="auto"/>
            </w:pPr>
          </w:p>
        </w:tc>
        <w:tc>
          <w:tcPr>
            <w:tcW w:w="2049" w:type="dxa"/>
            <w:vMerge w:val="continue"/>
            <w:vAlign w:val="center"/>
          </w:tcPr>
          <w:p w14:paraId="467BE4D6">
            <w:pPr>
              <w:pStyle w:val="84"/>
              <w:spacing w:line="276" w:lineRule="auto"/>
            </w:pPr>
          </w:p>
        </w:tc>
        <w:tc>
          <w:tcPr>
            <w:tcW w:w="4536" w:type="dxa"/>
            <w:vAlign w:val="center"/>
          </w:tcPr>
          <w:p w14:paraId="1669B1DA">
            <w:pPr>
              <w:spacing w:line="276" w:lineRule="auto"/>
              <w:ind w:firstLine="420"/>
              <w:rPr>
                <w:rFonts w:eastAsia="仿宋"/>
                <w:b/>
                <w:color w:val="FF0000"/>
                <w:sz w:val="21"/>
                <w:szCs w:val="21"/>
              </w:rPr>
            </w:pPr>
            <w:r>
              <w:rPr>
                <w:rFonts w:hint="eastAsia" w:eastAsia="仿宋"/>
                <w:color w:val="FF00FF"/>
                <w:sz w:val="21"/>
                <w:szCs w:val="21"/>
              </w:rPr>
              <w:t>严格按要求设置生态放流管（选用管径为850mm的无闸钢管，安装高程建议为797.50m），并安装在线监测设备和监控系统。</w:t>
            </w:r>
          </w:p>
        </w:tc>
        <w:tc>
          <w:tcPr>
            <w:tcW w:w="1134" w:type="dxa"/>
            <w:vAlign w:val="center"/>
          </w:tcPr>
          <w:p w14:paraId="79AEEB00">
            <w:pPr>
              <w:pStyle w:val="84"/>
              <w:spacing w:line="276" w:lineRule="auto"/>
            </w:pPr>
            <w:r>
              <w:rPr>
                <w:rFonts w:hint="eastAsia"/>
              </w:rPr>
              <w:t>建设</w:t>
            </w:r>
            <w:r>
              <w:t>单位</w:t>
            </w:r>
          </w:p>
        </w:tc>
        <w:tc>
          <w:tcPr>
            <w:tcW w:w="1134" w:type="dxa"/>
            <w:tcBorders>
              <w:right w:val="nil"/>
            </w:tcBorders>
            <w:vAlign w:val="center"/>
          </w:tcPr>
          <w:p w14:paraId="7028F3F3">
            <w:pPr>
              <w:pStyle w:val="84"/>
              <w:spacing w:line="276" w:lineRule="auto"/>
            </w:pPr>
            <w:r>
              <w:rPr>
                <w:rFonts w:hint="eastAsia"/>
              </w:rPr>
              <w:t>运行</w:t>
            </w:r>
            <w:r>
              <w:t>期</w:t>
            </w:r>
          </w:p>
        </w:tc>
      </w:tr>
      <w:tr w14:paraId="193BC1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81" w:hRule="atLeast"/>
          <w:jc w:val="center"/>
        </w:trPr>
        <w:tc>
          <w:tcPr>
            <w:tcW w:w="1063" w:type="dxa"/>
            <w:vMerge w:val="continue"/>
            <w:tcBorders>
              <w:left w:val="nil"/>
            </w:tcBorders>
            <w:vAlign w:val="center"/>
          </w:tcPr>
          <w:p w14:paraId="5A4BA1C2">
            <w:pPr>
              <w:pStyle w:val="84"/>
              <w:spacing w:line="276" w:lineRule="auto"/>
              <w:rPr>
                <w:highlight w:val="green"/>
              </w:rPr>
            </w:pPr>
          </w:p>
        </w:tc>
        <w:tc>
          <w:tcPr>
            <w:tcW w:w="2049" w:type="dxa"/>
            <w:vMerge w:val="continue"/>
            <w:vAlign w:val="center"/>
          </w:tcPr>
          <w:p w14:paraId="0BFF2A95">
            <w:pPr>
              <w:pStyle w:val="84"/>
              <w:spacing w:line="276" w:lineRule="auto"/>
              <w:rPr>
                <w:highlight w:val="green"/>
              </w:rPr>
            </w:pPr>
          </w:p>
        </w:tc>
        <w:tc>
          <w:tcPr>
            <w:tcW w:w="4536" w:type="dxa"/>
            <w:vAlign w:val="center"/>
          </w:tcPr>
          <w:p w14:paraId="3A773616">
            <w:pPr>
              <w:spacing w:line="276" w:lineRule="auto"/>
              <w:ind w:firstLine="420"/>
              <w:rPr>
                <w:rFonts w:eastAsia="仿宋"/>
                <w:color w:val="FF0000"/>
                <w:sz w:val="21"/>
                <w:szCs w:val="21"/>
              </w:rPr>
            </w:pPr>
            <w:r>
              <w:rPr>
                <w:rFonts w:eastAsia="仿宋"/>
                <w:color w:val="FF0000"/>
                <w:sz w:val="21"/>
              </w:rPr>
              <w:t>当电站检修或停运时，坝下河段由</w:t>
            </w:r>
            <w:r>
              <w:rPr>
                <w:rFonts w:hint="eastAsia" w:eastAsia="仿宋"/>
                <w:color w:val="FF0000"/>
                <w:sz w:val="21"/>
              </w:rPr>
              <w:t>生态放流管</w:t>
            </w:r>
            <w:r>
              <w:rPr>
                <w:rFonts w:eastAsia="仿宋"/>
                <w:color w:val="FF0000"/>
                <w:sz w:val="21"/>
              </w:rPr>
              <w:t>下放的最小流量为5.28m</w:t>
            </w:r>
            <w:r>
              <w:rPr>
                <w:rFonts w:eastAsia="仿宋"/>
                <w:color w:val="FF0000"/>
                <w:sz w:val="21"/>
                <w:vertAlign w:val="superscript"/>
              </w:rPr>
              <w:t>3</w:t>
            </w:r>
            <w:r>
              <w:rPr>
                <w:rFonts w:eastAsia="仿宋"/>
                <w:color w:val="FF0000"/>
                <w:sz w:val="21"/>
              </w:rPr>
              <w:t>/s；</w:t>
            </w:r>
            <w:r>
              <w:rPr>
                <w:rFonts w:eastAsia="仿宋"/>
                <w:color w:val="FF0000"/>
                <w:sz w:val="21"/>
                <w:szCs w:val="21"/>
              </w:rPr>
              <w:t>电站应尽量避免在3~5月份进行机组检修，如若确实无法调节，则应考虑由</w:t>
            </w:r>
            <w:r>
              <w:rPr>
                <w:rFonts w:hint="eastAsia" w:eastAsia="仿宋"/>
                <w:color w:val="FF0000"/>
                <w:sz w:val="21"/>
              </w:rPr>
              <w:t>生态放流管</w:t>
            </w:r>
            <w:r>
              <w:rPr>
                <w:rFonts w:eastAsia="仿宋"/>
                <w:color w:val="FF0000"/>
                <w:sz w:val="21"/>
              </w:rPr>
              <w:t>按不</w:t>
            </w:r>
            <w:r>
              <w:rPr>
                <w:rFonts w:eastAsia="仿宋"/>
                <w:color w:val="FF0000"/>
                <w:sz w:val="21"/>
                <w:szCs w:val="21"/>
              </w:rPr>
              <w:t>小于6.28m</w:t>
            </w:r>
            <w:r>
              <w:rPr>
                <w:rFonts w:eastAsia="仿宋"/>
                <w:color w:val="FF0000"/>
                <w:sz w:val="21"/>
                <w:szCs w:val="21"/>
                <w:vertAlign w:val="superscript"/>
              </w:rPr>
              <w:t>3</w:t>
            </w:r>
            <w:r>
              <w:rPr>
                <w:rFonts w:eastAsia="仿宋"/>
                <w:color w:val="FF0000"/>
                <w:sz w:val="21"/>
                <w:szCs w:val="21"/>
              </w:rPr>
              <w:t>/s的流量进行下泄，以满足下游灌溉需求和河道最小生态环境用水需求</w:t>
            </w:r>
          </w:p>
        </w:tc>
        <w:tc>
          <w:tcPr>
            <w:tcW w:w="1134" w:type="dxa"/>
            <w:vAlign w:val="center"/>
          </w:tcPr>
          <w:p w14:paraId="76FEDAB9">
            <w:pPr>
              <w:pStyle w:val="84"/>
              <w:spacing w:line="276" w:lineRule="auto"/>
            </w:pPr>
            <w:r>
              <w:rPr>
                <w:rFonts w:hint="eastAsia"/>
              </w:rPr>
              <w:t>建设</w:t>
            </w:r>
            <w:r>
              <w:t>单位</w:t>
            </w:r>
          </w:p>
        </w:tc>
        <w:tc>
          <w:tcPr>
            <w:tcW w:w="1134" w:type="dxa"/>
            <w:tcBorders>
              <w:right w:val="nil"/>
            </w:tcBorders>
            <w:vAlign w:val="center"/>
          </w:tcPr>
          <w:p w14:paraId="6BB3FADE">
            <w:pPr>
              <w:pStyle w:val="84"/>
              <w:spacing w:line="276" w:lineRule="auto"/>
            </w:pPr>
            <w:r>
              <w:rPr>
                <w:rFonts w:hint="eastAsia"/>
              </w:rPr>
              <w:t>运行</w:t>
            </w:r>
            <w:r>
              <w:t>期</w:t>
            </w:r>
          </w:p>
        </w:tc>
      </w:tr>
      <w:tr w14:paraId="34EB90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81" w:hRule="atLeast"/>
          <w:jc w:val="center"/>
        </w:trPr>
        <w:tc>
          <w:tcPr>
            <w:tcW w:w="1063" w:type="dxa"/>
            <w:vMerge w:val="continue"/>
            <w:tcBorders>
              <w:left w:val="nil"/>
            </w:tcBorders>
            <w:vAlign w:val="center"/>
          </w:tcPr>
          <w:p w14:paraId="70C42567">
            <w:pPr>
              <w:pStyle w:val="84"/>
              <w:spacing w:line="276" w:lineRule="auto"/>
              <w:rPr>
                <w:highlight w:val="green"/>
              </w:rPr>
            </w:pPr>
          </w:p>
        </w:tc>
        <w:tc>
          <w:tcPr>
            <w:tcW w:w="2049" w:type="dxa"/>
            <w:vMerge w:val="continue"/>
            <w:vAlign w:val="center"/>
          </w:tcPr>
          <w:p w14:paraId="1BD4E17B">
            <w:pPr>
              <w:pStyle w:val="84"/>
              <w:spacing w:line="276" w:lineRule="auto"/>
              <w:rPr>
                <w:highlight w:val="green"/>
              </w:rPr>
            </w:pPr>
          </w:p>
        </w:tc>
        <w:tc>
          <w:tcPr>
            <w:tcW w:w="4536" w:type="dxa"/>
            <w:vAlign w:val="center"/>
          </w:tcPr>
          <w:p w14:paraId="15EB7CC0">
            <w:pPr>
              <w:spacing w:line="276" w:lineRule="auto"/>
              <w:ind w:firstLine="420"/>
              <w:rPr>
                <w:rFonts w:eastAsia="仿宋"/>
                <w:color w:val="FF0000"/>
                <w:sz w:val="21"/>
                <w:szCs w:val="21"/>
              </w:rPr>
            </w:pPr>
            <w:r>
              <w:rPr>
                <w:rFonts w:eastAsia="仿宋"/>
                <w:color w:val="FF0000"/>
                <w:sz w:val="21"/>
                <w:szCs w:val="21"/>
              </w:rPr>
              <w:t>当天然来水流量小于规定下泄最小生态流量5.28m</w:t>
            </w:r>
            <w:r>
              <w:rPr>
                <w:rFonts w:eastAsia="仿宋"/>
                <w:color w:val="FF0000"/>
                <w:sz w:val="21"/>
                <w:szCs w:val="21"/>
                <w:vertAlign w:val="superscript"/>
              </w:rPr>
              <w:t>3</w:t>
            </w:r>
            <w:r>
              <w:rPr>
                <w:rFonts w:eastAsia="仿宋"/>
                <w:color w:val="FF0000"/>
                <w:sz w:val="21"/>
                <w:szCs w:val="21"/>
              </w:rPr>
              <w:t>/s时，则电站不进行取水发电，将上游来水全部用于芒里大沟灌溉和下游河道需水。</w:t>
            </w:r>
          </w:p>
        </w:tc>
        <w:tc>
          <w:tcPr>
            <w:tcW w:w="1134" w:type="dxa"/>
            <w:vAlign w:val="center"/>
          </w:tcPr>
          <w:p w14:paraId="25A73F57">
            <w:pPr>
              <w:pStyle w:val="84"/>
              <w:spacing w:line="276" w:lineRule="auto"/>
            </w:pPr>
            <w:r>
              <w:rPr>
                <w:rFonts w:hint="eastAsia"/>
              </w:rPr>
              <w:t>建设</w:t>
            </w:r>
            <w:r>
              <w:t>单位</w:t>
            </w:r>
          </w:p>
        </w:tc>
        <w:tc>
          <w:tcPr>
            <w:tcW w:w="1134" w:type="dxa"/>
            <w:tcBorders>
              <w:right w:val="nil"/>
            </w:tcBorders>
            <w:vAlign w:val="center"/>
          </w:tcPr>
          <w:p w14:paraId="57A2EE2F">
            <w:pPr>
              <w:pStyle w:val="84"/>
              <w:spacing w:line="276" w:lineRule="auto"/>
            </w:pPr>
            <w:r>
              <w:rPr>
                <w:rFonts w:hint="eastAsia"/>
              </w:rPr>
              <w:t>运行</w:t>
            </w:r>
            <w:r>
              <w:t>期</w:t>
            </w:r>
          </w:p>
        </w:tc>
      </w:tr>
      <w:tr w14:paraId="29FC04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6" w:hRule="atLeast"/>
          <w:jc w:val="center"/>
        </w:trPr>
        <w:tc>
          <w:tcPr>
            <w:tcW w:w="1063" w:type="dxa"/>
            <w:vMerge w:val="continue"/>
            <w:tcBorders>
              <w:left w:val="nil"/>
            </w:tcBorders>
            <w:vAlign w:val="center"/>
          </w:tcPr>
          <w:p w14:paraId="03AC87D5">
            <w:pPr>
              <w:pStyle w:val="84"/>
              <w:spacing w:line="276" w:lineRule="auto"/>
              <w:rPr>
                <w:highlight w:val="green"/>
              </w:rPr>
            </w:pPr>
          </w:p>
        </w:tc>
        <w:tc>
          <w:tcPr>
            <w:tcW w:w="2049" w:type="dxa"/>
            <w:vMerge w:val="continue"/>
            <w:vAlign w:val="center"/>
          </w:tcPr>
          <w:p w14:paraId="0FF2DBF0">
            <w:pPr>
              <w:pStyle w:val="84"/>
              <w:spacing w:line="276" w:lineRule="auto"/>
              <w:rPr>
                <w:highlight w:val="green"/>
              </w:rPr>
            </w:pPr>
          </w:p>
        </w:tc>
        <w:tc>
          <w:tcPr>
            <w:tcW w:w="4536" w:type="dxa"/>
            <w:vAlign w:val="center"/>
          </w:tcPr>
          <w:p w14:paraId="7052BAB0">
            <w:pPr>
              <w:spacing w:line="276" w:lineRule="auto"/>
              <w:ind w:firstLine="420"/>
              <w:rPr>
                <w:rFonts w:eastAsia="仿宋"/>
                <w:color w:val="FF0000"/>
                <w:sz w:val="21"/>
                <w:szCs w:val="21"/>
              </w:rPr>
            </w:pPr>
            <w:r>
              <w:rPr>
                <w:rFonts w:eastAsia="仿宋"/>
                <w:color w:val="FF0000"/>
                <w:sz w:val="21"/>
                <w:szCs w:val="21"/>
              </w:rPr>
              <w:t>当上游芒里电站检修时，本电站应将上游来水全部通过</w:t>
            </w:r>
            <w:r>
              <w:rPr>
                <w:rFonts w:hint="eastAsia" w:eastAsia="仿宋"/>
                <w:color w:val="FF0000"/>
                <w:sz w:val="21"/>
                <w:szCs w:val="21"/>
              </w:rPr>
              <w:t>生态放流管</w:t>
            </w:r>
            <w:r>
              <w:rPr>
                <w:rFonts w:eastAsia="仿宋"/>
                <w:color w:val="FF0000"/>
                <w:sz w:val="21"/>
                <w:szCs w:val="21"/>
              </w:rPr>
              <w:t>下放至坝址下游河道中</w:t>
            </w:r>
          </w:p>
        </w:tc>
        <w:tc>
          <w:tcPr>
            <w:tcW w:w="1134" w:type="dxa"/>
            <w:vAlign w:val="center"/>
          </w:tcPr>
          <w:p w14:paraId="0EB38E9E">
            <w:pPr>
              <w:pStyle w:val="84"/>
              <w:spacing w:line="276" w:lineRule="auto"/>
            </w:pPr>
            <w:r>
              <w:rPr>
                <w:rFonts w:hint="eastAsia"/>
              </w:rPr>
              <w:t>建设</w:t>
            </w:r>
            <w:r>
              <w:t>单位</w:t>
            </w:r>
          </w:p>
        </w:tc>
        <w:tc>
          <w:tcPr>
            <w:tcW w:w="1134" w:type="dxa"/>
            <w:tcBorders>
              <w:right w:val="nil"/>
            </w:tcBorders>
            <w:vAlign w:val="center"/>
          </w:tcPr>
          <w:p w14:paraId="6965C4FC">
            <w:pPr>
              <w:pStyle w:val="84"/>
              <w:spacing w:line="276" w:lineRule="auto"/>
            </w:pPr>
            <w:r>
              <w:rPr>
                <w:rFonts w:hint="eastAsia"/>
              </w:rPr>
              <w:t>运行</w:t>
            </w:r>
            <w:r>
              <w:t>期</w:t>
            </w:r>
          </w:p>
        </w:tc>
      </w:tr>
      <w:tr w14:paraId="170113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60" w:hRule="atLeast"/>
          <w:jc w:val="center"/>
        </w:trPr>
        <w:tc>
          <w:tcPr>
            <w:tcW w:w="1063" w:type="dxa"/>
            <w:vMerge w:val="restart"/>
            <w:tcBorders>
              <w:left w:val="nil"/>
            </w:tcBorders>
            <w:vAlign w:val="center"/>
          </w:tcPr>
          <w:p w14:paraId="557AEA5D">
            <w:pPr>
              <w:pStyle w:val="84"/>
              <w:spacing w:line="276" w:lineRule="auto"/>
            </w:pPr>
            <w:r>
              <w:t>大气环境</w:t>
            </w:r>
          </w:p>
        </w:tc>
        <w:tc>
          <w:tcPr>
            <w:tcW w:w="2049" w:type="dxa"/>
            <w:vMerge w:val="restart"/>
            <w:vAlign w:val="center"/>
          </w:tcPr>
          <w:p w14:paraId="7BF87FBB">
            <w:pPr>
              <w:pStyle w:val="84"/>
              <w:spacing w:line="276" w:lineRule="auto"/>
            </w:pPr>
            <w:r>
              <w:rPr>
                <w:rFonts w:hint="eastAsia"/>
              </w:rPr>
              <w:t>《环境空气质量标准》（GB3095-2012）</w:t>
            </w:r>
          </w:p>
          <w:p w14:paraId="3E6A1EF0">
            <w:pPr>
              <w:pStyle w:val="84"/>
              <w:spacing w:line="276" w:lineRule="auto"/>
            </w:pPr>
            <w:r>
              <w:rPr>
                <w:rFonts w:hint="eastAsia"/>
              </w:rPr>
              <w:t>二级标准</w:t>
            </w:r>
          </w:p>
        </w:tc>
        <w:tc>
          <w:tcPr>
            <w:tcW w:w="4536" w:type="dxa"/>
            <w:vAlign w:val="center"/>
          </w:tcPr>
          <w:p w14:paraId="55BB3E2E">
            <w:pPr>
              <w:pStyle w:val="84"/>
              <w:spacing w:line="276" w:lineRule="auto"/>
              <w:ind w:firstLine="420" w:firstLineChars="200"/>
              <w:jc w:val="left"/>
            </w:pPr>
            <w:r>
              <w:rPr>
                <w:rFonts w:hint="eastAsia" w:cstheme="minorBidi"/>
              </w:rPr>
              <w:t>非雨天对施工区域</w:t>
            </w:r>
            <w:r>
              <w:rPr>
                <w:rFonts w:cstheme="minorBidi"/>
              </w:rPr>
              <w:t>进行洒水降尘</w:t>
            </w:r>
            <w:r>
              <w:t xml:space="preserve"> </w:t>
            </w:r>
          </w:p>
        </w:tc>
        <w:tc>
          <w:tcPr>
            <w:tcW w:w="1134" w:type="dxa"/>
            <w:vAlign w:val="center"/>
          </w:tcPr>
          <w:p w14:paraId="6BCB195D">
            <w:pPr>
              <w:pStyle w:val="84"/>
              <w:spacing w:line="276" w:lineRule="auto"/>
            </w:pPr>
            <w:r>
              <w:t>施工单位</w:t>
            </w:r>
          </w:p>
        </w:tc>
        <w:tc>
          <w:tcPr>
            <w:tcW w:w="1134" w:type="dxa"/>
            <w:tcBorders>
              <w:right w:val="nil"/>
            </w:tcBorders>
            <w:vAlign w:val="center"/>
          </w:tcPr>
          <w:p w14:paraId="7D5E1DDF">
            <w:pPr>
              <w:pStyle w:val="84"/>
              <w:spacing w:line="276" w:lineRule="auto"/>
            </w:pPr>
            <w:r>
              <w:t>施工期</w:t>
            </w:r>
          </w:p>
        </w:tc>
      </w:tr>
      <w:tr w14:paraId="4E4E16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35" w:hRule="atLeast"/>
          <w:jc w:val="center"/>
        </w:trPr>
        <w:tc>
          <w:tcPr>
            <w:tcW w:w="1063" w:type="dxa"/>
            <w:vMerge w:val="continue"/>
            <w:tcBorders>
              <w:left w:val="nil"/>
            </w:tcBorders>
            <w:vAlign w:val="center"/>
          </w:tcPr>
          <w:p w14:paraId="470BA7CB">
            <w:pPr>
              <w:pStyle w:val="84"/>
              <w:spacing w:line="276" w:lineRule="auto"/>
            </w:pPr>
          </w:p>
        </w:tc>
        <w:tc>
          <w:tcPr>
            <w:tcW w:w="2049" w:type="dxa"/>
            <w:vMerge w:val="continue"/>
            <w:vAlign w:val="center"/>
          </w:tcPr>
          <w:p w14:paraId="60C86C00">
            <w:pPr>
              <w:pStyle w:val="84"/>
              <w:spacing w:line="276" w:lineRule="auto"/>
            </w:pPr>
          </w:p>
        </w:tc>
        <w:tc>
          <w:tcPr>
            <w:tcW w:w="4536" w:type="dxa"/>
            <w:vAlign w:val="center"/>
          </w:tcPr>
          <w:p w14:paraId="6B28AF61">
            <w:pPr>
              <w:pStyle w:val="84"/>
              <w:spacing w:line="276" w:lineRule="auto"/>
              <w:ind w:firstLine="420" w:firstLineChars="200"/>
              <w:jc w:val="left"/>
            </w:pPr>
            <w:r>
              <w:rPr>
                <w:rFonts w:hint="eastAsia"/>
              </w:rPr>
              <w:t>物料运输过程中加盖篷布，严禁超载；渣土运输过程中，对散落的渣土进行及时清扫，并定期检修、保养施工机械设备</w:t>
            </w:r>
          </w:p>
        </w:tc>
        <w:tc>
          <w:tcPr>
            <w:tcW w:w="1134" w:type="dxa"/>
            <w:vAlign w:val="center"/>
          </w:tcPr>
          <w:p w14:paraId="31BEB592">
            <w:pPr>
              <w:pStyle w:val="84"/>
              <w:spacing w:line="276" w:lineRule="auto"/>
            </w:pPr>
            <w:r>
              <w:t>施工单位</w:t>
            </w:r>
          </w:p>
        </w:tc>
        <w:tc>
          <w:tcPr>
            <w:tcW w:w="1134" w:type="dxa"/>
            <w:tcBorders>
              <w:right w:val="nil"/>
            </w:tcBorders>
            <w:vAlign w:val="center"/>
          </w:tcPr>
          <w:p w14:paraId="1BC48529">
            <w:pPr>
              <w:pStyle w:val="84"/>
              <w:spacing w:line="276" w:lineRule="auto"/>
            </w:pPr>
            <w:r>
              <w:t>施工期</w:t>
            </w:r>
          </w:p>
        </w:tc>
      </w:tr>
      <w:tr w14:paraId="2DECD1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39" w:hRule="atLeast"/>
          <w:jc w:val="center"/>
        </w:trPr>
        <w:tc>
          <w:tcPr>
            <w:tcW w:w="1063" w:type="dxa"/>
            <w:vMerge w:val="restart"/>
            <w:tcBorders>
              <w:left w:val="nil"/>
            </w:tcBorders>
            <w:vAlign w:val="center"/>
          </w:tcPr>
          <w:p w14:paraId="20E2E94A">
            <w:pPr>
              <w:pStyle w:val="84"/>
              <w:spacing w:line="276" w:lineRule="auto"/>
            </w:pPr>
            <w:r>
              <w:t>声环境</w:t>
            </w:r>
          </w:p>
        </w:tc>
        <w:tc>
          <w:tcPr>
            <w:tcW w:w="2049" w:type="dxa"/>
            <w:vMerge w:val="restart"/>
            <w:vAlign w:val="center"/>
          </w:tcPr>
          <w:p w14:paraId="7AA9AA58">
            <w:pPr>
              <w:pStyle w:val="84"/>
              <w:spacing w:line="276" w:lineRule="auto"/>
            </w:pPr>
            <w:r>
              <w:t>《声环境质量标准》（GB3096-2008）</w:t>
            </w:r>
          </w:p>
          <w:p w14:paraId="58DFE0BD">
            <w:pPr>
              <w:pStyle w:val="84"/>
              <w:spacing w:line="276" w:lineRule="auto"/>
            </w:pPr>
            <w:r>
              <w:rPr>
                <w:rFonts w:hint="eastAsia"/>
              </w:rPr>
              <w:t>2</w:t>
            </w:r>
            <w:r>
              <w:t>类</w:t>
            </w:r>
            <w:r>
              <w:rPr>
                <w:rFonts w:hint="eastAsia"/>
              </w:rPr>
              <w:t>、4a</w:t>
            </w:r>
            <w:r>
              <w:t>标准</w:t>
            </w:r>
          </w:p>
        </w:tc>
        <w:tc>
          <w:tcPr>
            <w:tcW w:w="4536" w:type="dxa"/>
            <w:vAlign w:val="center"/>
          </w:tcPr>
          <w:p w14:paraId="16CCAEE2">
            <w:pPr>
              <w:pStyle w:val="84"/>
              <w:spacing w:line="276" w:lineRule="auto"/>
              <w:ind w:firstLine="420" w:firstLineChars="200"/>
              <w:jc w:val="left"/>
            </w:pPr>
            <w:r>
              <w:rPr>
                <w:rFonts w:cstheme="minorBidi"/>
              </w:rPr>
              <w:t>加强</w:t>
            </w:r>
            <w:r>
              <w:rPr>
                <w:rFonts w:hint="eastAsia" w:cstheme="minorBidi"/>
              </w:rPr>
              <w:t>车辆、施工机械</w:t>
            </w:r>
            <w:r>
              <w:rPr>
                <w:rFonts w:cstheme="minorBidi"/>
              </w:rPr>
              <w:t>的维护和保养，保持机械润滑，减少运行噪声</w:t>
            </w:r>
            <w:r>
              <w:rPr>
                <w:rFonts w:hint="eastAsia" w:cstheme="minorBidi"/>
              </w:rPr>
              <w:t>；车辆严禁超速、超载，夜间禁止运输</w:t>
            </w:r>
          </w:p>
        </w:tc>
        <w:tc>
          <w:tcPr>
            <w:tcW w:w="1134" w:type="dxa"/>
            <w:vAlign w:val="center"/>
          </w:tcPr>
          <w:p w14:paraId="33359A97">
            <w:pPr>
              <w:pStyle w:val="84"/>
              <w:spacing w:line="276" w:lineRule="auto"/>
            </w:pPr>
            <w:r>
              <w:t>施工单位</w:t>
            </w:r>
          </w:p>
        </w:tc>
        <w:tc>
          <w:tcPr>
            <w:tcW w:w="1134" w:type="dxa"/>
            <w:tcBorders>
              <w:right w:val="nil"/>
            </w:tcBorders>
            <w:vAlign w:val="center"/>
          </w:tcPr>
          <w:p w14:paraId="30F48FD5">
            <w:pPr>
              <w:pStyle w:val="84"/>
              <w:spacing w:line="276" w:lineRule="auto"/>
            </w:pPr>
            <w:r>
              <w:t>施工期</w:t>
            </w:r>
          </w:p>
        </w:tc>
      </w:tr>
      <w:tr w14:paraId="1011CD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21" w:hRule="atLeast"/>
          <w:jc w:val="center"/>
        </w:trPr>
        <w:tc>
          <w:tcPr>
            <w:tcW w:w="1063" w:type="dxa"/>
            <w:vMerge w:val="continue"/>
            <w:tcBorders>
              <w:left w:val="nil"/>
            </w:tcBorders>
            <w:vAlign w:val="center"/>
          </w:tcPr>
          <w:p w14:paraId="28BEE6FF">
            <w:pPr>
              <w:pStyle w:val="84"/>
              <w:spacing w:line="276" w:lineRule="auto"/>
            </w:pPr>
          </w:p>
        </w:tc>
        <w:tc>
          <w:tcPr>
            <w:tcW w:w="2049" w:type="dxa"/>
            <w:vMerge w:val="continue"/>
            <w:vAlign w:val="center"/>
          </w:tcPr>
          <w:p w14:paraId="514E064B">
            <w:pPr>
              <w:pStyle w:val="84"/>
              <w:spacing w:line="276" w:lineRule="auto"/>
            </w:pPr>
          </w:p>
        </w:tc>
        <w:tc>
          <w:tcPr>
            <w:tcW w:w="4536" w:type="dxa"/>
            <w:vAlign w:val="center"/>
          </w:tcPr>
          <w:p w14:paraId="1092BF96">
            <w:pPr>
              <w:pStyle w:val="84"/>
              <w:spacing w:line="276" w:lineRule="auto"/>
              <w:ind w:firstLine="420" w:firstLineChars="200"/>
              <w:jc w:val="left"/>
            </w:pPr>
            <w:r>
              <w:rPr>
                <w:rFonts w:cstheme="minorBidi"/>
              </w:rPr>
              <w:t>选用低噪声设备，闲置设备应关闭或减速</w:t>
            </w:r>
            <w:r>
              <w:rPr>
                <w:rFonts w:hint="eastAsia" w:cstheme="minorBidi"/>
              </w:rPr>
              <w:t>；</w:t>
            </w:r>
            <w:r>
              <w:rPr>
                <w:rFonts w:cstheme="minorBidi"/>
              </w:rPr>
              <w:t>合理规划施工组织设计，尽量避免同时使用多个</w:t>
            </w:r>
            <w:r>
              <w:rPr>
                <w:rFonts w:hint="eastAsia" w:cstheme="minorBidi"/>
              </w:rPr>
              <w:t>高</w:t>
            </w:r>
            <w:r>
              <w:rPr>
                <w:rFonts w:cstheme="minorBidi"/>
              </w:rPr>
              <w:t>噪声设备，高噪声设备的布置要远离施工生活区</w:t>
            </w:r>
          </w:p>
        </w:tc>
        <w:tc>
          <w:tcPr>
            <w:tcW w:w="1134" w:type="dxa"/>
            <w:vAlign w:val="center"/>
          </w:tcPr>
          <w:p w14:paraId="017A4633">
            <w:pPr>
              <w:pStyle w:val="84"/>
              <w:spacing w:line="276" w:lineRule="auto"/>
            </w:pPr>
            <w:r>
              <w:t>施工单位</w:t>
            </w:r>
          </w:p>
        </w:tc>
        <w:tc>
          <w:tcPr>
            <w:tcW w:w="1134" w:type="dxa"/>
            <w:tcBorders>
              <w:right w:val="nil"/>
            </w:tcBorders>
            <w:vAlign w:val="center"/>
          </w:tcPr>
          <w:p w14:paraId="2B275726">
            <w:pPr>
              <w:pStyle w:val="84"/>
              <w:spacing w:line="276" w:lineRule="auto"/>
            </w:pPr>
            <w:r>
              <w:t>施工期</w:t>
            </w:r>
          </w:p>
        </w:tc>
      </w:tr>
      <w:tr w14:paraId="5C9BA0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3" w:hRule="atLeast"/>
          <w:jc w:val="center"/>
        </w:trPr>
        <w:tc>
          <w:tcPr>
            <w:tcW w:w="1063" w:type="dxa"/>
            <w:vMerge w:val="continue"/>
            <w:tcBorders>
              <w:left w:val="nil"/>
            </w:tcBorders>
            <w:vAlign w:val="center"/>
          </w:tcPr>
          <w:p w14:paraId="62ED5CF0">
            <w:pPr>
              <w:pStyle w:val="84"/>
              <w:spacing w:line="276" w:lineRule="auto"/>
            </w:pPr>
          </w:p>
        </w:tc>
        <w:tc>
          <w:tcPr>
            <w:tcW w:w="2049" w:type="dxa"/>
            <w:vMerge w:val="continue"/>
            <w:vAlign w:val="center"/>
          </w:tcPr>
          <w:p w14:paraId="5CFB01A5">
            <w:pPr>
              <w:pStyle w:val="84"/>
              <w:spacing w:line="276" w:lineRule="auto"/>
            </w:pPr>
          </w:p>
        </w:tc>
        <w:tc>
          <w:tcPr>
            <w:tcW w:w="4536" w:type="dxa"/>
            <w:vAlign w:val="center"/>
          </w:tcPr>
          <w:p w14:paraId="7D7148C8">
            <w:pPr>
              <w:pStyle w:val="84"/>
              <w:spacing w:line="276" w:lineRule="auto"/>
              <w:ind w:firstLine="420" w:firstLineChars="200"/>
              <w:jc w:val="left"/>
            </w:pPr>
            <w:r>
              <w:rPr>
                <w:rFonts w:cstheme="minorBidi"/>
              </w:rPr>
              <w:t>加强设备的维护和保养，</w:t>
            </w:r>
            <w:r>
              <w:rPr>
                <w:rFonts w:cstheme="minorBidi"/>
                <w:spacing w:val="-8"/>
              </w:rPr>
              <w:t>定期检修机组，保证</w:t>
            </w:r>
            <w:r>
              <w:rPr>
                <w:rFonts w:hint="eastAsia" w:cstheme="minorBidi"/>
                <w:spacing w:val="-8"/>
              </w:rPr>
              <w:t>其</w:t>
            </w:r>
            <w:r>
              <w:rPr>
                <w:rFonts w:cstheme="minorBidi"/>
                <w:spacing w:val="-8"/>
              </w:rPr>
              <w:t>正常运作</w:t>
            </w:r>
            <w:r>
              <w:rPr>
                <w:rFonts w:hint="eastAsia" w:cstheme="minorBidi"/>
                <w:spacing w:val="-8"/>
              </w:rPr>
              <w:t>；</w:t>
            </w:r>
            <w:r>
              <w:rPr>
                <w:rFonts w:cstheme="minorBidi"/>
              </w:rPr>
              <w:t>对于振动较大的设备进行加固，</w:t>
            </w:r>
            <w:r>
              <w:rPr>
                <w:rFonts w:hint="eastAsia" w:cstheme="minorBidi"/>
              </w:rPr>
              <w:t>以</w:t>
            </w:r>
            <w:r>
              <w:rPr>
                <w:rFonts w:cstheme="minorBidi"/>
              </w:rPr>
              <w:t>降低机械设备运行时产生的噪声</w:t>
            </w:r>
          </w:p>
        </w:tc>
        <w:tc>
          <w:tcPr>
            <w:tcW w:w="1134" w:type="dxa"/>
            <w:vAlign w:val="center"/>
          </w:tcPr>
          <w:p w14:paraId="7133A966">
            <w:pPr>
              <w:pStyle w:val="84"/>
              <w:spacing w:line="276" w:lineRule="auto"/>
            </w:pPr>
            <w:r>
              <w:t>建设单位</w:t>
            </w:r>
          </w:p>
        </w:tc>
        <w:tc>
          <w:tcPr>
            <w:tcW w:w="1134" w:type="dxa"/>
            <w:tcBorders>
              <w:right w:val="nil"/>
            </w:tcBorders>
            <w:vAlign w:val="center"/>
          </w:tcPr>
          <w:p w14:paraId="4260B24B">
            <w:pPr>
              <w:pStyle w:val="84"/>
              <w:spacing w:line="276" w:lineRule="auto"/>
            </w:pPr>
            <w:r>
              <w:t>运行期</w:t>
            </w:r>
          </w:p>
        </w:tc>
      </w:tr>
      <w:tr w14:paraId="203CA4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063" w:type="dxa"/>
            <w:vMerge w:val="restart"/>
            <w:tcBorders>
              <w:left w:val="nil"/>
            </w:tcBorders>
            <w:vAlign w:val="center"/>
          </w:tcPr>
          <w:p w14:paraId="37AB7207">
            <w:pPr>
              <w:pStyle w:val="84"/>
              <w:spacing w:line="276" w:lineRule="auto"/>
            </w:pPr>
            <w:r>
              <w:t>固体废物</w:t>
            </w:r>
          </w:p>
        </w:tc>
        <w:tc>
          <w:tcPr>
            <w:tcW w:w="2049" w:type="dxa"/>
            <w:vMerge w:val="restart"/>
            <w:vAlign w:val="center"/>
          </w:tcPr>
          <w:p w14:paraId="17A0774D">
            <w:pPr>
              <w:pStyle w:val="84"/>
              <w:spacing w:line="276" w:lineRule="auto"/>
            </w:pPr>
            <w:r>
              <w:t>保护</w:t>
            </w:r>
            <w:r>
              <w:rPr>
                <w:rFonts w:hint="eastAsia"/>
              </w:rPr>
              <w:t>周边</w:t>
            </w:r>
            <w:r>
              <w:t>环境</w:t>
            </w:r>
          </w:p>
        </w:tc>
        <w:tc>
          <w:tcPr>
            <w:tcW w:w="4536" w:type="dxa"/>
            <w:vAlign w:val="center"/>
          </w:tcPr>
          <w:p w14:paraId="25AA2D85">
            <w:pPr>
              <w:pStyle w:val="84"/>
              <w:spacing w:line="276" w:lineRule="auto"/>
              <w:ind w:firstLine="420" w:firstLineChars="200"/>
              <w:jc w:val="left"/>
            </w:pPr>
            <w:r>
              <w:rPr>
                <w:rFonts w:cstheme="minorBidi"/>
                <w:color w:val="FF0000"/>
              </w:rPr>
              <w:t>加强工程施工管理，开挖形成的弃渣一定要</w:t>
            </w:r>
            <w:r>
              <w:rPr>
                <w:rFonts w:hint="eastAsia" w:cstheme="minorBidi"/>
                <w:color w:val="FF0000"/>
              </w:rPr>
              <w:t>妥善堆存，尽快用于场地回填及河堤防护，禁止随意堆放及倾倒入河。建设单位应于工程结束</w:t>
            </w:r>
            <w:r>
              <w:rPr>
                <w:rFonts w:cstheme="minorBidi"/>
                <w:bCs/>
                <w:color w:val="FF0000"/>
              </w:rPr>
              <w:t>后，尽快</w:t>
            </w:r>
            <w:r>
              <w:rPr>
                <w:rFonts w:hint="eastAsia" w:cstheme="minorBidi"/>
                <w:bCs/>
                <w:color w:val="FF0000"/>
              </w:rPr>
              <w:t>利用开挖表土对施工生产生活区</w:t>
            </w:r>
            <w:r>
              <w:rPr>
                <w:rFonts w:cstheme="minorBidi"/>
                <w:bCs/>
                <w:color w:val="FF0000"/>
              </w:rPr>
              <w:t>进行土地复</w:t>
            </w:r>
            <w:r>
              <w:rPr>
                <w:rFonts w:hint="eastAsia" w:cstheme="minorBidi"/>
                <w:bCs/>
                <w:color w:val="FF0000"/>
              </w:rPr>
              <w:t>垦和</w:t>
            </w:r>
            <w:r>
              <w:rPr>
                <w:rFonts w:cstheme="minorBidi"/>
                <w:bCs/>
                <w:color w:val="FF0000"/>
              </w:rPr>
              <w:t>植被恢复</w:t>
            </w:r>
          </w:p>
        </w:tc>
        <w:tc>
          <w:tcPr>
            <w:tcW w:w="1134" w:type="dxa"/>
            <w:vAlign w:val="center"/>
          </w:tcPr>
          <w:p w14:paraId="6CBD0957">
            <w:pPr>
              <w:pStyle w:val="84"/>
              <w:spacing w:line="276" w:lineRule="auto"/>
            </w:pPr>
            <w:r>
              <w:t>建设单位</w:t>
            </w:r>
          </w:p>
        </w:tc>
        <w:tc>
          <w:tcPr>
            <w:tcW w:w="1134" w:type="dxa"/>
            <w:tcBorders>
              <w:right w:val="nil"/>
            </w:tcBorders>
            <w:vAlign w:val="center"/>
          </w:tcPr>
          <w:p w14:paraId="782933F9">
            <w:pPr>
              <w:pStyle w:val="84"/>
              <w:spacing w:line="276" w:lineRule="auto"/>
            </w:pPr>
            <w:r>
              <w:t>施工期</w:t>
            </w:r>
          </w:p>
        </w:tc>
      </w:tr>
      <w:tr w14:paraId="520572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063" w:type="dxa"/>
            <w:vMerge w:val="continue"/>
            <w:tcBorders>
              <w:left w:val="nil"/>
            </w:tcBorders>
            <w:vAlign w:val="center"/>
          </w:tcPr>
          <w:p w14:paraId="3F117257">
            <w:pPr>
              <w:pStyle w:val="84"/>
              <w:spacing w:line="276" w:lineRule="auto"/>
              <w:rPr>
                <w:highlight w:val="green"/>
              </w:rPr>
            </w:pPr>
          </w:p>
        </w:tc>
        <w:tc>
          <w:tcPr>
            <w:tcW w:w="2049" w:type="dxa"/>
            <w:vMerge w:val="continue"/>
            <w:vAlign w:val="center"/>
          </w:tcPr>
          <w:p w14:paraId="5C2A06B4">
            <w:pPr>
              <w:pStyle w:val="84"/>
              <w:spacing w:line="276" w:lineRule="auto"/>
              <w:rPr>
                <w:highlight w:val="green"/>
              </w:rPr>
            </w:pPr>
          </w:p>
        </w:tc>
        <w:tc>
          <w:tcPr>
            <w:tcW w:w="4536" w:type="dxa"/>
            <w:vAlign w:val="center"/>
          </w:tcPr>
          <w:p w14:paraId="738EBB36">
            <w:pPr>
              <w:pStyle w:val="84"/>
              <w:spacing w:line="276" w:lineRule="auto"/>
              <w:ind w:firstLine="420" w:firstLineChars="200"/>
              <w:jc w:val="left"/>
            </w:pPr>
            <w:r>
              <w:rPr>
                <w:rFonts w:cstheme="minorBidi"/>
              </w:rPr>
              <w:t>施工营地应设置垃圾桶</w:t>
            </w:r>
            <w:r>
              <w:rPr>
                <w:rFonts w:hint="eastAsia" w:cstheme="minorBidi"/>
              </w:rPr>
              <w:t>（1个）</w:t>
            </w:r>
            <w:r>
              <w:rPr>
                <w:rFonts w:cstheme="minorBidi"/>
              </w:rPr>
              <w:t>，并安排清洁工负责日常生活垃圾的清扫，对生活垃圾进行简单的筛选，能够回收利用的尽量回收利用，实现垃圾减量化，其余不能回收的，</w:t>
            </w:r>
            <w:r>
              <w:t>集中堆放</w:t>
            </w:r>
            <w:r>
              <w:rPr>
                <w:rFonts w:hint="eastAsia"/>
              </w:rPr>
              <w:t>后依托周边村庄垃圾收集设施进行处置</w:t>
            </w:r>
          </w:p>
        </w:tc>
        <w:tc>
          <w:tcPr>
            <w:tcW w:w="1134" w:type="dxa"/>
            <w:vAlign w:val="center"/>
          </w:tcPr>
          <w:p w14:paraId="722CC4D1">
            <w:pPr>
              <w:pStyle w:val="84"/>
              <w:spacing w:line="276" w:lineRule="auto"/>
            </w:pPr>
            <w:r>
              <w:t>施工单位</w:t>
            </w:r>
          </w:p>
        </w:tc>
        <w:tc>
          <w:tcPr>
            <w:tcW w:w="1134" w:type="dxa"/>
            <w:tcBorders>
              <w:right w:val="nil"/>
            </w:tcBorders>
            <w:vAlign w:val="center"/>
          </w:tcPr>
          <w:p w14:paraId="68661206">
            <w:pPr>
              <w:pStyle w:val="84"/>
              <w:spacing w:line="276" w:lineRule="auto"/>
            </w:pPr>
            <w:r>
              <w:t>施工期</w:t>
            </w:r>
          </w:p>
        </w:tc>
      </w:tr>
      <w:tr w14:paraId="0F92F4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879" w:hRule="atLeast"/>
          <w:jc w:val="center"/>
        </w:trPr>
        <w:tc>
          <w:tcPr>
            <w:tcW w:w="1063" w:type="dxa"/>
            <w:vMerge w:val="continue"/>
            <w:tcBorders>
              <w:left w:val="nil"/>
            </w:tcBorders>
            <w:vAlign w:val="center"/>
          </w:tcPr>
          <w:p w14:paraId="2EAC8A2D">
            <w:pPr>
              <w:pStyle w:val="84"/>
              <w:spacing w:line="276" w:lineRule="auto"/>
              <w:rPr>
                <w:highlight w:val="green"/>
              </w:rPr>
            </w:pPr>
          </w:p>
        </w:tc>
        <w:tc>
          <w:tcPr>
            <w:tcW w:w="2049" w:type="dxa"/>
            <w:vMerge w:val="continue"/>
            <w:vAlign w:val="center"/>
          </w:tcPr>
          <w:p w14:paraId="241211AC">
            <w:pPr>
              <w:pStyle w:val="84"/>
              <w:spacing w:line="276" w:lineRule="auto"/>
              <w:rPr>
                <w:highlight w:val="green"/>
              </w:rPr>
            </w:pPr>
          </w:p>
        </w:tc>
        <w:tc>
          <w:tcPr>
            <w:tcW w:w="4536" w:type="dxa"/>
            <w:vAlign w:val="center"/>
          </w:tcPr>
          <w:p w14:paraId="38227B79">
            <w:pPr>
              <w:pStyle w:val="84"/>
              <w:spacing w:line="276" w:lineRule="auto"/>
              <w:ind w:firstLine="420" w:firstLineChars="200"/>
              <w:jc w:val="left"/>
              <w:rPr>
                <w:highlight w:val="green"/>
              </w:rPr>
            </w:pPr>
            <w:r>
              <w:rPr>
                <w:rFonts w:hint="eastAsia" w:cstheme="minorBidi"/>
                <w:color w:val="FF0000"/>
              </w:rPr>
              <w:t>管理用房设有垃圾收集桶用以收集生活垃圾。</w:t>
            </w:r>
            <w:r>
              <w:rPr>
                <w:rFonts w:hint="eastAsia" w:cstheme="minorBidi"/>
              </w:rPr>
              <w:t>生活垃圾</w:t>
            </w:r>
            <w:r>
              <w:rPr>
                <w:rFonts w:cstheme="minorBidi"/>
              </w:rPr>
              <w:t>集中堆放，定</w:t>
            </w:r>
            <w:r>
              <w:rPr>
                <w:rFonts w:hint="eastAsia" w:cstheme="minorBidi"/>
              </w:rPr>
              <w:t>期</w:t>
            </w:r>
            <w:r>
              <w:rPr>
                <w:rFonts w:cstheme="minorBidi"/>
              </w:rPr>
              <w:t>清运，进行简单分拣</w:t>
            </w:r>
            <w:r>
              <w:rPr>
                <w:rFonts w:hint="eastAsia" w:cstheme="minorBidi"/>
              </w:rPr>
              <w:t>。</w:t>
            </w:r>
            <w:r>
              <w:rPr>
                <w:rFonts w:cstheme="minorBidi"/>
              </w:rPr>
              <w:t>纸张、塑料制品、废金属等可回收垃圾分类集中堆放，定期运往废品收购站</w:t>
            </w:r>
            <w:r>
              <w:rPr>
                <w:rFonts w:hint="eastAsia" w:cstheme="minorBidi"/>
              </w:rPr>
              <w:t>；</w:t>
            </w:r>
            <w:r>
              <w:rPr>
                <w:rFonts w:cstheme="minorBidi"/>
              </w:rPr>
              <w:t>其余不能回收</w:t>
            </w:r>
            <w:r>
              <w:rPr>
                <w:rFonts w:hint="eastAsia" w:cstheme="minorBidi"/>
              </w:rPr>
              <w:t>利用的垃圾，</w:t>
            </w:r>
            <w:r>
              <w:t>集中堆放</w:t>
            </w:r>
            <w:r>
              <w:rPr>
                <w:rFonts w:hint="eastAsia"/>
              </w:rPr>
              <w:t>后依托周边村庄垃圾收集设施进行处置</w:t>
            </w:r>
          </w:p>
        </w:tc>
        <w:tc>
          <w:tcPr>
            <w:tcW w:w="1134" w:type="dxa"/>
            <w:vAlign w:val="center"/>
          </w:tcPr>
          <w:p w14:paraId="0CA6726D">
            <w:pPr>
              <w:pStyle w:val="84"/>
              <w:spacing w:line="276" w:lineRule="auto"/>
            </w:pPr>
            <w:r>
              <w:t>建设单位</w:t>
            </w:r>
          </w:p>
        </w:tc>
        <w:tc>
          <w:tcPr>
            <w:tcW w:w="1134" w:type="dxa"/>
            <w:tcBorders>
              <w:right w:val="nil"/>
            </w:tcBorders>
            <w:vAlign w:val="center"/>
          </w:tcPr>
          <w:p w14:paraId="3AF31F4B">
            <w:pPr>
              <w:pStyle w:val="84"/>
              <w:spacing w:line="276" w:lineRule="auto"/>
            </w:pPr>
            <w:r>
              <w:t>运行期</w:t>
            </w:r>
          </w:p>
        </w:tc>
      </w:tr>
      <w:tr w14:paraId="5F49A6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063" w:type="dxa"/>
            <w:vMerge w:val="continue"/>
            <w:tcBorders>
              <w:left w:val="nil"/>
            </w:tcBorders>
            <w:vAlign w:val="center"/>
          </w:tcPr>
          <w:p w14:paraId="219FE6F7">
            <w:pPr>
              <w:pStyle w:val="84"/>
              <w:spacing w:line="276" w:lineRule="auto"/>
            </w:pPr>
          </w:p>
        </w:tc>
        <w:tc>
          <w:tcPr>
            <w:tcW w:w="2049" w:type="dxa"/>
            <w:vMerge w:val="continue"/>
            <w:vAlign w:val="center"/>
          </w:tcPr>
          <w:p w14:paraId="377E66B5">
            <w:pPr>
              <w:pStyle w:val="84"/>
              <w:spacing w:line="276" w:lineRule="auto"/>
            </w:pPr>
          </w:p>
        </w:tc>
        <w:tc>
          <w:tcPr>
            <w:tcW w:w="4536" w:type="dxa"/>
            <w:vAlign w:val="center"/>
          </w:tcPr>
          <w:p w14:paraId="2DAA4E6E">
            <w:pPr>
              <w:spacing w:line="276" w:lineRule="auto"/>
              <w:ind w:firstLine="420"/>
            </w:pPr>
            <w:r>
              <w:rPr>
                <w:rFonts w:hint="eastAsia" w:eastAsia="仿宋"/>
                <w:color w:val="FF0000"/>
                <w:sz w:val="21"/>
                <w:szCs w:val="24"/>
              </w:rPr>
              <w:t>对于</w:t>
            </w:r>
            <w:r>
              <w:rPr>
                <w:rFonts w:eastAsia="仿宋"/>
                <w:color w:val="FF0000"/>
                <w:sz w:val="21"/>
                <w:szCs w:val="24"/>
              </w:rPr>
              <w:t>电站机械设备检修</w:t>
            </w:r>
            <w:r>
              <w:rPr>
                <w:rFonts w:hint="eastAsia" w:eastAsia="仿宋"/>
                <w:color w:val="FF0000"/>
                <w:sz w:val="21"/>
                <w:szCs w:val="24"/>
              </w:rPr>
              <w:t>产生的</w:t>
            </w:r>
            <w:r>
              <w:rPr>
                <w:rFonts w:eastAsia="仿宋"/>
                <w:color w:val="FF0000"/>
                <w:sz w:val="21"/>
                <w:szCs w:val="24"/>
              </w:rPr>
              <w:t>废机油、变压器油等，</w:t>
            </w:r>
            <w:r>
              <w:rPr>
                <w:rFonts w:hint="eastAsia" w:eastAsia="仿宋"/>
                <w:color w:val="FF0000"/>
                <w:sz w:val="21"/>
                <w:szCs w:val="24"/>
              </w:rPr>
              <w:t>环评要求建设单位</w:t>
            </w:r>
            <w:r>
              <w:rPr>
                <w:rFonts w:eastAsia="仿宋"/>
                <w:color w:val="FF0000"/>
                <w:sz w:val="21"/>
                <w:szCs w:val="24"/>
              </w:rPr>
              <w:t>在</w:t>
            </w:r>
            <w:r>
              <w:rPr>
                <w:rFonts w:hint="eastAsia" w:eastAsia="仿宋"/>
                <w:color w:val="FF0000"/>
                <w:sz w:val="21"/>
                <w:szCs w:val="24"/>
              </w:rPr>
              <w:t>副厂房内设置危废暂存室，地面需进行防渗处理，其内设置</w:t>
            </w:r>
            <w:r>
              <w:rPr>
                <w:rFonts w:eastAsia="仿宋"/>
                <w:color w:val="FF0000"/>
                <w:sz w:val="21"/>
                <w:szCs w:val="24"/>
              </w:rPr>
              <w:t>废油收集桶</w:t>
            </w:r>
            <w:r>
              <w:rPr>
                <w:rFonts w:hint="eastAsia" w:eastAsia="仿宋"/>
                <w:color w:val="FF0000"/>
                <w:sz w:val="21"/>
                <w:szCs w:val="24"/>
              </w:rPr>
              <w:t>，并于危废暂存室门口及废油收集桶上设置明显的危险废物标志牌，电站检修产生的废机油需及时放入</w:t>
            </w:r>
            <w:r>
              <w:rPr>
                <w:rFonts w:eastAsia="仿宋"/>
                <w:color w:val="FF0000"/>
                <w:sz w:val="21"/>
                <w:szCs w:val="24"/>
              </w:rPr>
              <w:t>废油收集桶</w:t>
            </w:r>
            <w:r>
              <w:rPr>
                <w:rFonts w:hint="eastAsia" w:eastAsia="仿宋"/>
                <w:color w:val="FF0000"/>
                <w:sz w:val="21"/>
                <w:szCs w:val="24"/>
              </w:rPr>
              <w:t>内妥善贮存，并按照《危险废物贮存污染控制标准》（GB18596-2001）对废机油进行管理，委托具有相应资质的单位进行清运、处置，做好废机油储存处置</w:t>
            </w:r>
            <w:r>
              <w:rPr>
                <w:rFonts w:hint="eastAsia" w:eastAsia="仿宋"/>
                <w:color w:val="FF0000"/>
                <w:sz w:val="21"/>
                <w:szCs w:val="24"/>
                <w:lang w:eastAsia="zh-CN"/>
              </w:rPr>
              <w:t>台账</w:t>
            </w:r>
            <w:r>
              <w:rPr>
                <w:rFonts w:hint="eastAsia" w:eastAsia="仿宋"/>
                <w:color w:val="FF0000"/>
                <w:sz w:val="21"/>
                <w:szCs w:val="24"/>
              </w:rPr>
              <w:t>，每年定期到芒市环境保护局进行备案登记</w:t>
            </w:r>
          </w:p>
        </w:tc>
        <w:tc>
          <w:tcPr>
            <w:tcW w:w="1134" w:type="dxa"/>
            <w:vAlign w:val="center"/>
          </w:tcPr>
          <w:p w14:paraId="6C021F7B">
            <w:pPr>
              <w:pStyle w:val="84"/>
              <w:spacing w:line="276" w:lineRule="auto"/>
            </w:pPr>
            <w:r>
              <w:t>建设单位</w:t>
            </w:r>
          </w:p>
        </w:tc>
        <w:tc>
          <w:tcPr>
            <w:tcW w:w="1134" w:type="dxa"/>
            <w:tcBorders>
              <w:right w:val="nil"/>
            </w:tcBorders>
            <w:vAlign w:val="center"/>
          </w:tcPr>
          <w:p w14:paraId="537BF927">
            <w:pPr>
              <w:pStyle w:val="84"/>
              <w:spacing w:line="276" w:lineRule="auto"/>
            </w:pPr>
            <w:r>
              <w:t>运行期</w:t>
            </w:r>
          </w:p>
        </w:tc>
      </w:tr>
      <w:tr w14:paraId="246834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063" w:type="dxa"/>
            <w:tcBorders>
              <w:left w:val="nil"/>
            </w:tcBorders>
            <w:vAlign w:val="center"/>
          </w:tcPr>
          <w:p w14:paraId="674BFC18">
            <w:pPr>
              <w:pStyle w:val="84"/>
              <w:spacing w:line="276" w:lineRule="auto"/>
              <w:rPr>
                <w:color w:val="FF0000"/>
              </w:rPr>
            </w:pPr>
            <w:r>
              <w:rPr>
                <w:rFonts w:hint="eastAsia"/>
                <w:color w:val="FF0000"/>
              </w:rPr>
              <w:t>其它</w:t>
            </w:r>
          </w:p>
        </w:tc>
        <w:tc>
          <w:tcPr>
            <w:tcW w:w="2049" w:type="dxa"/>
            <w:vAlign w:val="center"/>
          </w:tcPr>
          <w:p w14:paraId="4D844454">
            <w:pPr>
              <w:pStyle w:val="84"/>
              <w:spacing w:line="276" w:lineRule="auto"/>
              <w:rPr>
                <w:color w:val="FF0000"/>
              </w:rPr>
            </w:pPr>
            <w:r>
              <w:rPr>
                <w:rFonts w:hint="eastAsia"/>
                <w:color w:val="FF0000"/>
              </w:rPr>
              <w:t>龙瑞高速公路和芒瑞大道，距离大于20m</w:t>
            </w:r>
          </w:p>
        </w:tc>
        <w:tc>
          <w:tcPr>
            <w:tcW w:w="4536" w:type="dxa"/>
            <w:vAlign w:val="center"/>
          </w:tcPr>
          <w:p w14:paraId="69116E11">
            <w:pPr>
              <w:pStyle w:val="84"/>
              <w:spacing w:line="276" w:lineRule="auto"/>
              <w:ind w:firstLine="420" w:firstLineChars="200"/>
              <w:jc w:val="left"/>
              <w:rPr>
                <w:rFonts w:cstheme="minorBidi"/>
                <w:color w:val="FF0000"/>
              </w:rPr>
            </w:pPr>
            <w:r>
              <w:rPr>
                <w:rFonts w:hint="eastAsia"/>
                <w:color w:val="FF0000"/>
              </w:rPr>
              <w:t>本次评价要求建设单位严格控制施工边界，禁止超计划占地，特别应注意拦河坝、主厂房、副厂房、升压站以及尾水渠等永久性建筑物与龙瑞高速公路和芒瑞大道的控制距离不得超过20m。</w:t>
            </w:r>
          </w:p>
        </w:tc>
        <w:tc>
          <w:tcPr>
            <w:tcW w:w="1134" w:type="dxa"/>
            <w:vAlign w:val="center"/>
          </w:tcPr>
          <w:p w14:paraId="0D3161DA">
            <w:pPr>
              <w:pStyle w:val="84"/>
              <w:spacing w:line="276" w:lineRule="auto"/>
              <w:rPr>
                <w:color w:val="FF0000"/>
              </w:rPr>
            </w:pPr>
            <w:r>
              <w:rPr>
                <w:color w:val="FF0000"/>
              </w:rPr>
              <w:t>建设单位</w:t>
            </w:r>
          </w:p>
          <w:p w14:paraId="0634A150">
            <w:pPr>
              <w:pStyle w:val="84"/>
              <w:spacing w:line="276" w:lineRule="auto"/>
              <w:rPr>
                <w:color w:val="FF0000"/>
              </w:rPr>
            </w:pPr>
            <w:r>
              <w:rPr>
                <w:rFonts w:hint="eastAsia"/>
                <w:color w:val="FF0000"/>
              </w:rPr>
              <w:t>施工单位</w:t>
            </w:r>
          </w:p>
        </w:tc>
        <w:tc>
          <w:tcPr>
            <w:tcW w:w="1134" w:type="dxa"/>
            <w:tcBorders>
              <w:right w:val="nil"/>
            </w:tcBorders>
            <w:vAlign w:val="center"/>
          </w:tcPr>
          <w:p w14:paraId="2BF45141">
            <w:pPr>
              <w:pStyle w:val="84"/>
              <w:spacing w:line="276" w:lineRule="auto"/>
              <w:rPr>
                <w:color w:val="FF0000"/>
              </w:rPr>
            </w:pPr>
            <w:r>
              <w:rPr>
                <w:rFonts w:hint="eastAsia"/>
                <w:color w:val="FF0000"/>
              </w:rPr>
              <w:t>施工</w:t>
            </w:r>
            <w:r>
              <w:rPr>
                <w:color w:val="FF0000"/>
              </w:rPr>
              <w:t>期</w:t>
            </w:r>
          </w:p>
        </w:tc>
      </w:tr>
    </w:tbl>
    <w:p w14:paraId="35DB11CA">
      <w:pPr>
        <w:widowControl/>
        <w:spacing w:line="240" w:lineRule="auto"/>
        <w:ind w:firstLine="0" w:firstLineChars="0"/>
        <w:jc w:val="left"/>
        <w:rPr>
          <w:rFonts w:eastAsia="黑体"/>
          <w:bCs/>
          <w:kern w:val="44"/>
          <w:sz w:val="30"/>
          <w:szCs w:val="44"/>
        </w:rPr>
      </w:pPr>
      <w:r>
        <w:br w:type="page"/>
      </w:r>
    </w:p>
    <w:p w14:paraId="6F22517E">
      <w:pPr>
        <w:pStyle w:val="180"/>
      </w:pPr>
      <w:bookmarkStart w:id="975" w:name="_Toc436297624"/>
      <w:bookmarkStart w:id="976" w:name="_Toc508642524"/>
      <w:bookmarkStart w:id="977" w:name="_Toc454046626"/>
      <w:bookmarkStart w:id="978" w:name="_Toc443655523"/>
      <w:bookmarkStart w:id="979" w:name="_Toc471738096"/>
      <w:r>
        <w:rPr>
          <w:rFonts w:hint="eastAsia"/>
        </w:rPr>
        <w:t>9相关规划符合性及选址合理性</w:t>
      </w:r>
      <w:bookmarkEnd w:id="975"/>
      <w:r>
        <w:rPr>
          <w:rFonts w:hint="eastAsia"/>
        </w:rPr>
        <w:t>分析</w:t>
      </w:r>
      <w:bookmarkEnd w:id="976"/>
      <w:bookmarkEnd w:id="977"/>
      <w:bookmarkEnd w:id="978"/>
      <w:bookmarkEnd w:id="979"/>
    </w:p>
    <w:p w14:paraId="63169234">
      <w:pPr>
        <w:pStyle w:val="4"/>
      </w:pPr>
      <w:bookmarkStart w:id="980" w:name="_Toc508642525"/>
      <w:bookmarkStart w:id="981" w:name="_Toc443655524"/>
      <w:bookmarkStart w:id="982" w:name="_Toc365812620"/>
      <w:bookmarkStart w:id="983" w:name="_Toc454046627"/>
      <w:bookmarkStart w:id="984" w:name="_Toc397428306"/>
      <w:bookmarkStart w:id="985" w:name="_Toc471738097"/>
      <w:r>
        <w:rPr>
          <w:rFonts w:hint="eastAsia"/>
        </w:rPr>
        <w:t>9.1产业政策符合性分析</w:t>
      </w:r>
      <w:bookmarkEnd w:id="980"/>
      <w:bookmarkEnd w:id="981"/>
      <w:bookmarkEnd w:id="982"/>
      <w:bookmarkEnd w:id="983"/>
      <w:bookmarkEnd w:id="984"/>
      <w:bookmarkEnd w:id="985"/>
    </w:p>
    <w:p w14:paraId="79A21061">
      <w:pPr>
        <w:ind w:firstLine="480"/>
        <w:rPr>
          <w:color w:val="FF0000"/>
        </w:rPr>
      </w:pPr>
      <w:r>
        <w:rPr>
          <w:rFonts w:hint="eastAsia"/>
          <w:color w:val="FF0000"/>
        </w:rPr>
        <w:t>团结水电站开发任务为水力发电，根据《产业结构调整指导目录（2011年本）》（2013年修正），本电站不属于无下泄生态流量的引水式发电工程，不属于 限制类水力发电行业，工程的建设符合国家最新的产业政策</w:t>
      </w:r>
      <w:r>
        <w:rPr>
          <w:color w:val="FF0000"/>
        </w:rPr>
        <w:t>。</w:t>
      </w:r>
    </w:p>
    <w:p w14:paraId="7AFDAB17">
      <w:pPr>
        <w:pStyle w:val="4"/>
      </w:pPr>
      <w:bookmarkStart w:id="986" w:name="_Toc397428307"/>
      <w:bookmarkStart w:id="987" w:name="_Toc443655525"/>
      <w:bookmarkStart w:id="988" w:name="_Toc471738098"/>
      <w:bookmarkStart w:id="989" w:name="_Toc365812621"/>
      <w:bookmarkStart w:id="990" w:name="_Toc508642526"/>
      <w:bookmarkStart w:id="991" w:name="_Toc454046628"/>
      <w:r>
        <w:rPr>
          <w:rFonts w:hint="eastAsia"/>
        </w:rPr>
        <w:t>9.2规划符合性分析</w:t>
      </w:r>
      <w:bookmarkEnd w:id="986"/>
      <w:bookmarkEnd w:id="987"/>
      <w:bookmarkEnd w:id="988"/>
      <w:bookmarkEnd w:id="989"/>
      <w:bookmarkEnd w:id="990"/>
      <w:bookmarkEnd w:id="991"/>
    </w:p>
    <w:p w14:paraId="4F0E1C73">
      <w:pPr>
        <w:pStyle w:val="113"/>
        <w:rPr>
          <w:snapToGrid w:val="0"/>
        </w:rPr>
      </w:pPr>
      <w:bookmarkStart w:id="992" w:name="_Toc443655526"/>
      <w:bookmarkStart w:id="993" w:name="_Toc508642527"/>
      <w:bookmarkStart w:id="994" w:name="_Toc454046629"/>
      <w:bookmarkStart w:id="995" w:name="_Toc471738099"/>
      <w:bookmarkStart w:id="996" w:name="_Toc377420718"/>
      <w:bookmarkStart w:id="997" w:name="_Toc377831837"/>
      <w:bookmarkStart w:id="998" w:name="_Toc534485214"/>
      <w:bookmarkStart w:id="999" w:name="_Toc377115080"/>
      <w:r>
        <w:rPr>
          <w:rFonts w:hint="eastAsia"/>
        </w:rPr>
        <w:t>9.2.1</w:t>
      </w:r>
      <w:r>
        <w:rPr>
          <w:snapToGrid w:val="0"/>
        </w:rPr>
        <w:t>与</w:t>
      </w:r>
      <w:r>
        <w:t>地方社会经济发展规划的</w:t>
      </w:r>
      <w:r>
        <w:rPr>
          <w:snapToGrid w:val="0"/>
        </w:rPr>
        <w:t>相符性分析</w:t>
      </w:r>
      <w:bookmarkEnd w:id="992"/>
      <w:bookmarkEnd w:id="993"/>
      <w:bookmarkEnd w:id="994"/>
      <w:bookmarkEnd w:id="995"/>
    </w:p>
    <w:p w14:paraId="47E2BB95">
      <w:pPr>
        <w:ind w:firstLine="480"/>
        <w:rPr>
          <w:szCs w:val="24"/>
        </w:rPr>
      </w:pPr>
      <w:r>
        <w:rPr>
          <w:rFonts w:hint="eastAsia" w:ascii="宋体" w:hAnsi="宋体"/>
        </w:rPr>
        <w:t>随着时间</w:t>
      </w:r>
      <w:r>
        <w:rPr>
          <w:rFonts w:hint="eastAsia"/>
        </w:rPr>
        <w:t>的推移和城市化进程的加快，能源越来越短缺，国家提出了“农村电气化”的口号。“农村电气化工程”</w:t>
      </w:r>
      <w:r>
        <w:t>是党中央、国务院为保护生态环境，巩固退耕还林成果，解决</w:t>
      </w:r>
      <w:r>
        <w:rPr>
          <w:rFonts w:hint="eastAsia"/>
        </w:rPr>
        <w:t>“</w:t>
      </w:r>
      <w:r>
        <w:t>三农</w:t>
      </w:r>
      <w:r>
        <w:rPr>
          <w:rFonts w:hint="eastAsia"/>
        </w:rPr>
        <w:t>”</w:t>
      </w:r>
      <w:r>
        <w:t>问题的重要举措。</w:t>
      </w:r>
      <w:r>
        <w:rPr>
          <w:rFonts w:hint="eastAsia"/>
        </w:rPr>
        <w:t>德宏</w:t>
      </w:r>
      <w:r>
        <w:rPr>
          <w:rFonts w:hint="eastAsia" w:ascii="宋体" w:hAnsi="宋体"/>
        </w:rPr>
        <w:t>州位于云南省西南部，属边疆少数民族地区，经济发展落后，人民生活水平低</w:t>
      </w:r>
      <w:r>
        <w:rPr>
          <w:rFonts w:hint="eastAsia"/>
        </w:rPr>
        <w:t>。</w:t>
      </w:r>
      <w:r>
        <w:rPr>
          <w:rFonts w:hint="eastAsia" w:hAnsi="宋体"/>
          <w:bCs/>
          <w:spacing w:val="4"/>
          <w:kern w:val="0"/>
        </w:rPr>
        <w:t>芒市河水力资源蕴含量大，但开发利用率较低</w:t>
      </w:r>
      <w:r>
        <w:rPr>
          <w:rFonts w:hint="eastAsia"/>
        </w:rPr>
        <w:t>，电站工程不涉及自然保护区和风景名胜区。团结水电站属于为水电新农村电气化建设项目，电站运行对于促进当地农村“以电代柴”、改变落后的能源利用方式有直接的积极作用，对保护生态环境、加快新农村建设、促进当地经济发展有重要意义。因此，团结水电站的建设符合云南省、芒市的经济社会发展战略。</w:t>
      </w:r>
    </w:p>
    <w:p w14:paraId="1E0AB4DF">
      <w:pPr>
        <w:pStyle w:val="113"/>
      </w:pPr>
      <w:bookmarkStart w:id="1000" w:name="_Toc443655527"/>
      <w:bookmarkStart w:id="1001" w:name="_Toc454046630"/>
      <w:bookmarkStart w:id="1002" w:name="_Toc508642528"/>
      <w:bookmarkStart w:id="1003" w:name="_Toc471738100"/>
      <w:r>
        <w:rPr>
          <w:rFonts w:hint="eastAsia"/>
        </w:rPr>
        <w:t>9.2.2</w:t>
      </w:r>
      <w:bookmarkEnd w:id="1000"/>
      <w:bookmarkEnd w:id="1001"/>
      <w:bookmarkStart w:id="1004" w:name="_Toc443655528"/>
      <w:bookmarkStart w:id="1005" w:name="_Toc454046631"/>
      <w:r>
        <w:t>与《云南省生物多样性保护战略与行动计划》的符合性分析</w:t>
      </w:r>
      <w:bookmarkEnd w:id="1002"/>
      <w:bookmarkEnd w:id="1003"/>
      <w:bookmarkEnd w:id="1004"/>
      <w:bookmarkEnd w:id="1005"/>
    </w:p>
    <w:p w14:paraId="38F59860">
      <w:pPr>
        <w:adjustRightInd w:val="0"/>
        <w:snapToGrid w:val="0"/>
        <w:ind w:firstLine="480"/>
        <w:rPr>
          <w:bCs/>
          <w:kern w:val="0"/>
          <w:szCs w:val="24"/>
        </w:rPr>
      </w:pPr>
      <w:r>
        <w:rPr>
          <w:bCs/>
          <w:kern w:val="0"/>
          <w:szCs w:val="24"/>
        </w:rPr>
        <w:t>2013年2月5日，云南省人民政府十二届第二次常务会议审议通过了《云南省生物多样性保护战略与行动计划》（2012-2030）。根据云南生态系统类型的典型性、特有程度、特殊生态功能以及物种的丰富程度、珍稀濒危程度、受威胁因子、经济用途、科学研究价值等因素，提出了全省生物多样性保护的6个一级优先区域和18个二级优先区域，涉及16个州、市，101个县、市、区，总面积约9.5</w:t>
      </w:r>
      <w:r>
        <w:rPr>
          <w:rFonts w:hint="eastAsia"/>
          <w:szCs w:val="24"/>
        </w:rPr>
        <w:t>×10</w:t>
      </w:r>
      <w:r>
        <w:rPr>
          <w:rFonts w:hint="eastAsia"/>
          <w:szCs w:val="24"/>
          <w:vertAlign w:val="superscript"/>
        </w:rPr>
        <w:t>4</w:t>
      </w:r>
      <w:r>
        <w:rPr>
          <w:bCs/>
          <w:kern w:val="0"/>
          <w:szCs w:val="24"/>
        </w:rPr>
        <w:t>km</w:t>
      </w:r>
      <w:r>
        <w:rPr>
          <w:bCs/>
          <w:kern w:val="0"/>
          <w:szCs w:val="24"/>
          <w:vertAlign w:val="superscript"/>
        </w:rPr>
        <w:t>2</w:t>
      </w:r>
      <w:r>
        <w:rPr>
          <w:bCs/>
          <w:kern w:val="0"/>
          <w:szCs w:val="24"/>
        </w:rPr>
        <w:t>，占云南国土面积的23.8%。</w:t>
      </w:r>
    </w:p>
    <w:p w14:paraId="43EAE43F">
      <w:pPr>
        <w:adjustRightInd w:val="0"/>
        <w:snapToGrid w:val="0"/>
        <w:ind w:firstLine="480"/>
      </w:pPr>
      <w:r>
        <w:t>经查阅该规划，</w:t>
      </w:r>
      <w:r>
        <w:rPr>
          <w:rFonts w:hint="eastAsia"/>
        </w:rPr>
        <w:t>拟建项目所在芒市属于云南南部边缘热带雨林区域的铜壁关热带雨林区（项目与云南省生物多样性保护优先区域位置关系示意图见附图11），位于我国热带区域的最西部高黎贡山南延余脉，滇西伊洛瓦底江流域，北、西、南三面毗邻缅甸，东至龙陵小黑山，面积约16.18hm</w:t>
      </w:r>
      <w:r>
        <w:rPr>
          <w:rFonts w:hint="eastAsia"/>
          <w:vertAlign w:val="superscript"/>
        </w:rPr>
        <w:t>2</w:t>
      </w:r>
      <w:r>
        <w:rPr>
          <w:rFonts w:hint="eastAsia"/>
        </w:rPr>
        <w:t>，已建有铜壁关国家级自然保护区和小黑山省级自然保护区。它是我国唯一的伊洛瓦底江水系的热带区域，具有印—缅热带生物区系的独特特征，许多重要的动植物物种在我国就仅出现于这一地区，生物多样性极为丰富，物种特有性也较高，约有1/3的种类属滇西南特有种或者我国仅分布于该区域的特有种。主要保护物种以阿萨娒娑罗双、羯布罗香、纤细龙脑香、鹿角蕨、萼翅藤、云南藏榄、蜂猴豹、巨蜥、孟加拉虎、白眉长臂猿、双角犀鸟等为代表。</w:t>
      </w:r>
    </w:p>
    <w:p w14:paraId="7263A87F">
      <w:pPr>
        <w:adjustRightInd w:val="0"/>
        <w:snapToGrid w:val="0"/>
        <w:ind w:firstLine="480"/>
        <w:rPr>
          <w:b/>
          <w:sz w:val="28"/>
          <w:szCs w:val="28"/>
        </w:rPr>
      </w:pPr>
      <w:r>
        <w:rPr>
          <w:rFonts w:hint="eastAsia"/>
        </w:rPr>
        <w:t>工程建设主要影响的植被类型为</w:t>
      </w:r>
      <w:r>
        <w:rPr>
          <w:rFonts w:hint="eastAsia"/>
          <w:kern w:val="0"/>
        </w:rPr>
        <w:t>常绿落叶阔叶混交林</w:t>
      </w:r>
      <w:r>
        <w:rPr>
          <w:rFonts w:hint="eastAsia"/>
        </w:rPr>
        <w:t>、</w:t>
      </w:r>
      <w:r>
        <w:rPr>
          <w:rFonts w:hint="eastAsia"/>
          <w:kern w:val="0"/>
        </w:rPr>
        <w:t>热性稀树灌草丛</w:t>
      </w:r>
      <w:r>
        <w:rPr>
          <w:rFonts w:hint="eastAsia"/>
        </w:rPr>
        <w:t>和</w:t>
      </w:r>
      <w:r>
        <w:t>草丛</w:t>
      </w:r>
      <w:r>
        <w:rPr>
          <w:rFonts w:hint="eastAsia"/>
        </w:rPr>
        <w:t>。评价区未发现</w:t>
      </w:r>
      <w:r>
        <w:rPr>
          <w:szCs w:val="24"/>
        </w:rPr>
        <w:t>云南生物多样性保护</w:t>
      </w:r>
      <w:r>
        <w:rPr>
          <w:rFonts w:hint="eastAsia"/>
          <w:szCs w:val="24"/>
        </w:rPr>
        <w:t>优先区域范围内的保护动植物，因此项目建设对</w:t>
      </w:r>
      <w:r>
        <w:rPr>
          <w:szCs w:val="24"/>
        </w:rPr>
        <w:t>云南生物多样性保护</w:t>
      </w:r>
      <w:r>
        <w:rPr>
          <w:rFonts w:hint="eastAsia"/>
          <w:szCs w:val="24"/>
        </w:rPr>
        <w:t>优先区域的保护物种基本无影响。</w:t>
      </w:r>
    </w:p>
    <w:p w14:paraId="5422AF4B">
      <w:pPr>
        <w:widowControl/>
        <w:ind w:firstLine="480"/>
        <w:rPr>
          <w:szCs w:val="24"/>
        </w:rPr>
      </w:pPr>
      <w:r>
        <w:rPr>
          <w:szCs w:val="24"/>
        </w:rPr>
        <w:t>拟建工程虽然会对当地的植被造成一定</w:t>
      </w:r>
      <w:r>
        <w:rPr>
          <w:rFonts w:hint="eastAsia"/>
          <w:szCs w:val="24"/>
        </w:rPr>
        <w:t>的</w:t>
      </w:r>
      <w:r>
        <w:rPr>
          <w:szCs w:val="24"/>
        </w:rPr>
        <w:t>影响，植被类型会有一定损失和破坏，但所受到影响的植被类型在该区域内广泛分布</w:t>
      </w:r>
      <w:r>
        <w:rPr>
          <w:rFonts w:hint="eastAsia"/>
          <w:szCs w:val="24"/>
        </w:rPr>
        <w:t>。</w:t>
      </w:r>
      <w:r>
        <w:rPr>
          <w:szCs w:val="24"/>
        </w:rPr>
        <w:t>在施工过程中以及施工后期严格执行保护和恢复措施后，工程建设对于该地区的植被类型的影响</w:t>
      </w:r>
      <w:r>
        <w:rPr>
          <w:rFonts w:hint="eastAsia"/>
          <w:szCs w:val="24"/>
        </w:rPr>
        <w:t>可</w:t>
      </w:r>
      <w:r>
        <w:rPr>
          <w:szCs w:val="24"/>
        </w:rPr>
        <w:t>降到最低。</w:t>
      </w:r>
      <w:r>
        <w:rPr>
          <w:rFonts w:hint="eastAsia"/>
          <w:szCs w:val="24"/>
        </w:rPr>
        <w:t>项目的建设不会导致区域内物种消失，对生物多样性影响较小。</w:t>
      </w:r>
    </w:p>
    <w:p w14:paraId="10844CBF">
      <w:pPr>
        <w:widowControl/>
        <w:ind w:firstLine="480"/>
        <w:rPr>
          <w:szCs w:val="24"/>
        </w:rPr>
      </w:pPr>
      <w:r>
        <w:rPr>
          <w:rFonts w:hint="eastAsia"/>
          <w:szCs w:val="24"/>
        </w:rPr>
        <w:t>综上，项目的建设与</w:t>
      </w:r>
      <w:r>
        <w:rPr>
          <w:szCs w:val="24"/>
        </w:rPr>
        <w:t>《云南省生物多样性保护战略与行动计划》</w:t>
      </w:r>
      <w:r>
        <w:rPr>
          <w:rFonts w:hint="eastAsia"/>
          <w:szCs w:val="24"/>
        </w:rPr>
        <w:t>基本</w:t>
      </w:r>
      <w:r>
        <w:rPr>
          <w:szCs w:val="24"/>
        </w:rPr>
        <w:t>符合</w:t>
      </w:r>
      <w:r>
        <w:rPr>
          <w:rFonts w:hint="eastAsia"/>
          <w:szCs w:val="24"/>
        </w:rPr>
        <w:t>。</w:t>
      </w:r>
    </w:p>
    <w:p w14:paraId="76D71D6D">
      <w:pPr>
        <w:pStyle w:val="113"/>
      </w:pPr>
      <w:bookmarkStart w:id="1006" w:name="_Toc471738101"/>
      <w:bookmarkStart w:id="1007" w:name="_Toc443655529"/>
      <w:bookmarkStart w:id="1008" w:name="_Toc454046632"/>
      <w:bookmarkStart w:id="1009" w:name="_Toc508642529"/>
      <w:r>
        <w:rPr>
          <w:rFonts w:hint="eastAsia"/>
        </w:rPr>
        <w:t>9.2.3</w:t>
      </w:r>
      <w:r>
        <w:t>与《云南省生态功能区划》符合性分析</w:t>
      </w:r>
      <w:bookmarkEnd w:id="1006"/>
      <w:bookmarkEnd w:id="1007"/>
      <w:bookmarkEnd w:id="1008"/>
      <w:bookmarkEnd w:id="1009"/>
    </w:p>
    <w:p w14:paraId="183A467E">
      <w:pPr>
        <w:ind w:firstLine="480"/>
      </w:pPr>
      <w:r>
        <w:rPr>
          <w:rFonts w:hint="eastAsia"/>
          <w:kern w:val="0"/>
          <w:szCs w:val="24"/>
        </w:rPr>
        <w:t>根据《云南省生态功能区划》</w:t>
      </w:r>
      <w:r>
        <w:rPr>
          <w:rFonts w:hint="eastAsia"/>
        </w:rPr>
        <w:t>，芒市属于Ⅰ3-1大盈江、南畹河下游中山丘陵农业生态功能区</w:t>
      </w:r>
      <w:r>
        <w:rPr>
          <w:rFonts w:hint="eastAsia"/>
          <w:kern w:val="0"/>
          <w:szCs w:val="24"/>
        </w:rPr>
        <w:t>（项目位于云南省生态功能区划位置示意图见附图12）。</w:t>
      </w:r>
      <w:r>
        <w:rPr>
          <w:rFonts w:hint="eastAsia"/>
        </w:rPr>
        <w:t>主要生态特征：为中山丘陵地貌为主，年降水量1400mm-1700mm，地带性植被类型为季风常绿阔叶林。地带性土壤为赤红壤、红壤；主要生态环境问题：旅游业和不合理的热区开发带来的生态破坏；主要生态系统服务功能：发展生态农业和以蔗糖为主的热带作物、以澳洲坚果和柠檬为主的热带经济林；保护措施与发展方向：保护农业生态环境，防止水土流失和旅游及边境贸易带来的环境污染，推行清洁生产，加强国际大通道的建设。</w:t>
      </w:r>
    </w:p>
    <w:p w14:paraId="35F4A278">
      <w:pPr>
        <w:widowControl/>
        <w:ind w:firstLine="480"/>
        <w:rPr>
          <w:kern w:val="0"/>
          <w:szCs w:val="24"/>
        </w:rPr>
      </w:pPr>
      <w:r>
        <w:rPr>
          <w:rFonts w:hint="eastAsia"/>
          <w:kern w:val="0"/>
          <w:szCs w:val="24"/>
        </w:rPr>
        <w:t>团结水</w:t>
      </w:r>
      <w:r>
        <w:rPr>
          <w:kern w:val="0"/>
          <w:szCs w:val="24"/>
        </w:rPr>
        <w:t>电站位于</w:t>
      </w:r>
      <w:r>
        <w:rPr>
          <w:rFonts w:hint="eastAsia"/>
          <w:kern w:val="0"/>
          <w:szCs w:val="24"/>
        </w:rPr>
        <w:t>云南省德宏州芒市遮放镇芒里村。</w:t>
      </w:r>
      <w:r>
        <w:rPr>
          <w:rFonts w:hint="eastAsia"/>
        </w:rPr>
        <w:t>工程建设主要影响的植被类型为</w:t>
      </w:r>
      <w:r>
        <w:rPr>
          <w:rFonts w:hint="eastAsia"/>
          <w:kern w:val="0"/>
        </w:rPr>
        <w:t>常绿落叶阔叶混交林</w:t>
      </w:r>
      <w:r>
        <w:rPr>
          <w:rFonts w:hint="eastAsia"/>
        </w:rPr>
        <w:t>、</w:t>
      </w:r>
      <w:r>
        <w:rPr>
          <w:rFonts w:hint="eastAsia"/>
          <w:kern w:val="0"/>
        </w:rPr>
        <w:t>热性稀树灌草丛</w:t>
      </w:r>
      <w:r>
        <w:rPr>
          <w:rFonts w:hint="eastAsia"/>
        </w:rPr>
        <w:t>和</w:t>
      </w:r>
      <w:r>
        <w:t>草丛</w:t>
      </w:r>
      <w:r>
        <w:rPr>
          <w:rFonts w:hint="eastAsia"/>
          <w:kern w:val="0"/>
        </w:rPr>
        <w:t>，</w:t>
      </w:r>
      <w:r>
        <w:rPr>
          <w:rFonts w:hint="eastAsia"/>
          <w:kern w:val="0"/>
          <w:szCs w:val="24"/>
        </w:rPr>
        <w:t>占用面积约为</w:t>
      </w:r>
      <w:r>
        <w:rPr>
          <w:rFonts w:hint="eastAsia"/>
          <w:color w:val="FF0000"/>
          <w:kern w:val="0"/>
          <w:szCs w:val="24"/>
        </w:rPr>
        <w:t>1.15hm</w:t>
      </w:r>
      <w:r>
        <w:rPr>
          <w:rFonts w:hint="eastAsia"/>
          <w:color w:val="FF0000"/>
          <w:kern w:val="0"/>
          <w:szCs w:val="24"/>
          <w:vertAlign w:val="superscript"/>
        </w:rPr>
        <w:t>2</w:t>
      </w:r>
      <w:r>
        <w:rPr>
          <w:color w:val="FF0000"/>
          <w:kern w:val="0"/>
          <w:szCs w:val="24"/>
        </w:rPr>
        <w:t>，</w:t>
      </w:r>
      <w:r>
        <w:rPr>
          <w:rFonts w:hint="eastAsia"/>
          <w:kern w:val="0"/>
          <w:szCs w:val="24"/>
        </w:rPr>
        <w:t>其中</w:t>
      </w:r>
      <w:r>
        <w:rPr>
          <w:rFonts w:hint="eastAsia"/>
          <w:kern w:val="0"/>
        </w:rPr>
        <w:t>常绿落叶阔叶混交林</w:t>
      </w:r>
      <w:r>
        <w:rPr>
          <w:rFonts w:hint="eastAsia"/>
        </w:rPr>
        <w:t>占用</w:t>
      </w:r>
      <w:r>
        <w:rPr>
          <w:rFonts w:hint="eastAsia"/>
          <w:color w:val="FF0000"/>
        </w:rPr>
        <w:t>1.1</w:t>
      </w:r>
      <w:r>
        <w:rPr>
          <w:rFonts w:hint="eastAsia"/>
          <w:color w:val="FF0000"/>
          <w:kern w:val="0"/>
          <w:szCs w:val="24"/>
        </w:rPr>
        <w:t>hm</w:t>
      </w:r>
      <w:r>
        <w:rPr>
          <w:rFonts w:hint="eastAsia"/>
          <w:color w:val="FF0000"/>
          <w:kern w:val="0"/>
          <w:szCs w:val="24"/>
          <w:vertAlign w:val="superscript"/>
        </w:rPr>
        <w:t>2</w:t>
      </w:r>
      <w:r>
        <w:rPr>
          <w:rFonts w:hint="eastAsia"/>
          <w:color w:val="FF0000"/>
          <w:kern w:val="0"/>
          <w:szCs w:val="24"/>
        </w:rPr>
        <w:t>，</w:t>
      </w:r>
      <w:r>
        <w:rPr>
          <w:rFonts w:hint="eastAsia"/>
          <w:kern w:val="0"/>
          <w:szCs w:val="24"/>
        </w:rPr>
        <w:t>绝大部分为临时占用，工程</w:t>
      </w:r>
      <w:r>
        <w:rPr>
          <w:kern w:val="0"/>
          <w:szCs w:val="24"/>
        </w:rPr>
        <w:t>施工结束</w:t>
      </w:r>
      <w:r>
        <w:rPr>
          <w:rFonts w:hint="eastAsia"/>
          <w:kern w:val="0"/>
          <w:szCs w:val="24"/>
        </w:rPr>
        <w:t>后</w:t>
      </w:r>
      <w:r>
        <w:rPr>
          <w:kern w:val="0"/>
          <w:szCs w:val="24"/>
        </w:rPr>
        <w:t>对临时占地进行植被恢复，</w:t>
      </w:r>
      <w:r>
        <w:rPr>
          <w:rFonts w:hint="eastAsia"/>
          <w:kern w:val="0"/>
          <w:szCs w:val="24"/>
        </w:rPr>
        <w:t>故</w:t>
      </w:r>
      <w:r>
        <w:rPr>
          <w:kern w:val="0"/>
          <w:szCs w:val="24"/>
        </w:rPr>
        <w:t>项目建设对</w:t>
      </w:r>
      <w:r>
        <w:rPr>
          <w:rFonts w:hint="eastAsia"/>
          <w:kern w:val="0"/>
        </w:rPr>
        <w:t>常绿落叶阔叶混交林</w:t>
      </w:r>
      <w:r>
        <w:rPr>
          <w:kern w:val="0"/>
          <w:szCs w:val="24"/>
        </w:rPr>
        <w:t>影响不大。</w:t>
      </w:r>
      <w:r>
        <w:rPr>
          <w:rFonts w:hint="eastAsia"/>
          <w:kern w:val="0"/>
          <w:szCs w:val="24"/>
        </w:rPr>
        <w:t>团结水电站属</w:t>
      </w:r>
      <w:r>
        <w:rPr>
          <w:rFonts w:hint="eastAsia"/>
        </w:rPr>
        <w:t>水电新农村电气化建设项目</w:t>
      </w:r>
      <w:r>
        <w:rPr>
          <w:rFonts w:hint="eastAsia"/>
          <w:kern w:val="0"/>
          <w:szCs w:val="24"/>
        </w:rPr>
        <w:t>，电站实施将减少当地居民薪柴砍伐，保护区域森林，实现封山育林，同时在施工过程中禁止对野生动植物进行滥捕、乱采、乱猎，后期进行植被的恢复，因此，项目建设与《云南省生态功能区划》基本相符。</w:t>
      </w:r>
    </w:p>
    <w:p w14:paraId="52CE8719">
      <w:pPr>
        <w:pStyle w:val="113"/>
      </w:pPr>
      <w:bookmarkStart w:id="1010" w:name="_Toc508642530"/>
      <w:bookmarkStart w:id="1011" w:name="_Toc443655530"/>
      <w:bookmarkStart w:id="1012" w:name="_Toc454046633"/>
      <w:bookmarkStart w:id="1013" w:name="_Toc471738102"/>
      <w:r>
        <w:rPr>
          <w:rFonts w:hint="eastAsia"/>
        </w:rPr>
        <w:t>9.2.4</w:t>
      </w:r>
      <w:r>
        <w:t>与《云南省主体功能区规划》符合性分析</w:t>
      </w:r>
      <w:bookmarkEnd w:id="1010"/>
      <w:bookmarkEnd w:id="1011"/>
      <w:bookmarkEnd w:id="1012"/>
      <w:bookmarkEnd w:id="1013"/>
    </w:p>
    <w:p w14:paraId="5D7B9023">
      <w:pPr>
        <w:ind w:firstLine="480"/>
      </w:pPr>
      <w:r>
        <w:t>2014年1月6日，云南省人民政府印发《云南省主体功能区规划》（云政发〔2014〕1号）</w:t>
      </w:r>
      <w:r>
        <w:rPr>
          <w:rFonts w:hint="eastAsia"/>
        </w:rPr>
        <w:t>，芒市属于该规划提出的限制开发区域名录中农产品主产区中的49个县市之一</w:t>
      </w:r>
      <w:r>
        <w:rPr>
          <w:rFonts w:hint="eastAsia"/>
          <w:kern w:val="0"/>
          <w:szCs w:val="24"/>
        </w:rPr>
        <w:t>（</w:t>
      </w:r>
      <w:r>
        <w:rPr>
          <w:rFonts w:hint="eastAsia"/>
          <w:szCs w:val="24"/>
        </w:rPr>
        <w:t>项目与云南省主体功能区规划关系图</w:t>
      </w:r>
      <w:r>
        <w:rPr>
          <w:rFonts w:hint="eastAsia"/>
          <w:kern w:val="0"/>
          <w:szCs w:val="24"/>
        </w:rPr>
        <w:t>见附图13）</w:t>
      </w:r>
      <w:r>
        <w:rPr>
          <w:rFonts w:hint="eastAsia"/>
        </w:rPr>
        <w:t>。</w:t>
      </w:r>
      <w:r>
        <w:t>《云南省主体功能区规划》</w:t>
      </w:r>
      <w:r>
        <w:rPr>
          <w:rFonts w:hint="eastAsia"/>
        </w:rPr>
        <w:t>对农产品主产区的功能定位为：以大力发展高原特色农业为重点，切实保护耕地，稳定粮食生产，发展现代农业，增强农业综合生产能力，增加农民收入，加快建设社会主义新农村，有效增强农产品供给保障能力，确保国家粮食安全和食品安全。</w:t>
      </w:r>
    </w:p>
    <w:p w14:paraId="339C49E1">
      <w:pPr>
        <w:ind w:firstLine="480"/>
      </w:pPr>
      <w:r>
        <w:rPr>
          <w:rFonts w:hint="eastAsia"/>
        </w:rPr>
        <w:t>《云南省主体功能区规划》中“第二章 指导思想和开发原则”中的“第二节 主体功能区类型”对限制开发区域定义为</w:t>
      </w:r>
      <w:r>
        <w:t>—</w:t>
      </w:r>
      <w:r>
        <w:rPr>
          <w:rFonts w:hint="eastAsia"/>
        </w:rPr>
        <w:t>限制开发区域是指关系全省农产品供给安全、生态安全，不应该或不适宜进行大规模、高强度工业化和城镇化开发的农产品主产区和重点生态功能区。其中，限制开发区域中的农产品主产区是以提供农产品、保障农产品供给安全为主体功能的区域。限制开发也可发展符合主体功能定位、当地资源环境可承载的产业。</w:t>
      </w:r>
    </w:p>
    <w:p w14:paraId="655EDC8C">
      <w:pPr>
        <w:ind w:firstLine="480"/>
        <w:rPr>
          <w:kern w:val="0"/>
          <w:szCs w:val="24"/>
        </w:rPr>
      </w:pPr>
      <w:r>
        <w:rPr>
          <w:rFonts w:hint="eastAsia"/>
        </w:rPr>
        <w:t>团结水电站工程不属于大规模、高强度工业化和城镇化开发。电站建设中对植物、植被的破坏和影响很小，占用坡耕地的面积也较小，</w:t>
      </w:r>
      <w:r>
        <w:rPr>
          <w:rFonts w:hint="eastAsia"/>
          <w:color w:val="FF0000"/>
        </w:rPr>
        <w:t>仅为1.15hm</w:t>
      </w:r>
      <w:r>
        <w:rPr>
          <w:rFonts w:hint="eastAsia"/>
          <w:color w:val="FF0000"/>
          <w:vertAlign w:val="superscript"/>
        </w:rPr>
        <w:t>2</w:t>
      </w:r>
      <w:r>
        <w:rPr>
          <w:rFonts w:hint="eastAsia"/>
          <w:color w:val="FF0000"/>
        </w:rPr>
        <w:t>，</w:t>
      </w:r>
      <w:r>
        <w:rPr>
          <w:rFonts w:hint="eastAsia"/>
        </w:rPr>
        <w:t>产生的“三废”及噪声可通过相关环保措施控制；电站运行期产生的废水和生活垃圾也可得到妥善处置；团结水电站为水电新农村电气化建设项目，电站的建设可积极促进当地农村“以电代柴”、减少当地居民对林地的砍伐，可节约和保护项目区的森林资源和植被，可促进区域内的水源涵养和水土保持功能，有利于该区域生态功能的维护和发展。总体而言，电站建设和运行对当地环境资源的占用和影响非常小。</w:t>
      </w:r>
    </w:p>
    <w:p w14:paraId="0A946533">
      <w:pPr>
        <w:ind w:firstLine="480"/>
        <w:rPr>
          <w:szCs w:val="24"/>
        </w:rPr>
      </w:pPr>
      <w:r>
        <w:rPr>
          <w:rFonts w:hint="eastAsia"/>
          <w:szCs w:val="24"/>
        </w:rPr>
        <w:t>综上，团结水</w:t>
      </w:r>
      <w:r>
        <w:rPr>
          <w:szCs w:val="24"/>
        </w:rPr>
        <w:t>电站</w:t>
      </w:r>
      <w:r>
        <w:rPr>
          <w:rFonts w:hint="eastAsia"/>
          <w:szCs w:val="24"/>
        </w:rPr>
        <w:t>开发建设与《云南省主体功能区规划》不冲突。</w:t>
      </w:r>
    </w:p>
    <w:p w14:paraId="55744917">
      <w:pPr>
        <w:pStyle w:val="4"/>
        <w:rPr>
          <w:snapToGrid w:val="0"/>
        </w:rPr>
      </w:pPr>
      <w:bookmarkStart w:id="1014" w:name="_Toc508642531"/>
      <w:bookmarkStart w:id="1015" w:name="_Toc397428310"/>
      <w:bookmarkStart w:id="1016" w:name="_Toc454046634"/>
      <w:bookmarkStart w:id="1017" w:name="_Toc443655531"/>
      <w:bookmarkStart w:id="1018" w:name="_Toc471738103"/>
      <w:r>
        <w:rPr>
          <w:rFonts w:hint="eastAsia"/>
          <w:snapToGrid w:val="0"/>
        </w:rPr>
        <w:t>9.3</w:t>
      </w:r>
      <w:r>
        <w:rPr>
          <w:snapToGrid w:val="0"/>
        </w:rPr>
        <w:t>工程</w:t>
      </w:r>
      <w:r>
        <w:rPr>
          <w:rFonts w:hint="eastAsia"/>
          <w:snapToGrid w:val="0"/>
        </w:rPr>
        <w:t>选址的</w:t>
      </w:r>
      <w:r>
        <w:rPr>
          <w:snapToGrid w:val="0"/>
        </w:rPr>
        <w:t>环境合理性分析</w:t>
      </w:r>
      <w:bookmarkEnd w:id="996"/>
      <w:bookmarkEnd w:id="997"/>
      <w:bookmarkEnd w:id="998"/>
      <w:bookmarkEnd w:id="999"/>
      <w:bookmarkEnd w:id="1014"/>
      <w:bookmarkEnd w:id="1015"/>
      <w:bookmarkEnd w:id="1016"/>
      <w:bookmarkEnd w:id="1017"/>
      <w:bookmarkEnd w:id="1018"/>
    </w:p>
    <w:p w14:paraId="0CF16E6B">
      <w:pPr>
        <w:pStyle w:val="113"/>
      </w:pPr>
      <w:bookmarkStart w:id="1019" w:name="_Toc377831838"/>
      <w:bookmarkStart w:id="1020" w:name="_Toc471738104"/>
      <w:bookmarkStart w:id="1021" w:name="_Toc377420719"/>
      <w:bookmarkStart w:id="1022" w:name="_Toc508642532"/>
      <w:bookmarkStart w:id="1023" w:name="_Toc534485215"/>
      <w:bookmarkStart w:id="1024" w:name="_Toc377115081"/>
      <w:bookmarkStart w:id="1025" w:name="_Toc443655532"/>
      <w:bookmarkStart w:id="1026" w:name="_Toc397428311"/>
      <w:bookmarkStart w:id="1027" w:name="_Toc454046635"/>
      <w:r>
        <w:rPr>
          <w:rFonts w:hint="eastAsia"/>
        </w:rPr>
        <w:t>9</w:t>
      </w:r>
      <w:r>
        <w:t>.</w:t>
      </w:r>
      <w:r>
        <w:rPr>
          <w:rFonts w:hint="eastAsia"/>
        </w:rPr>
        <w:t>3</w:t>
      </w:r>
      <w:r>
        <w:t>.1工程选址、布局合理性分析</w:t>
      </w:r>
      <w:bookmarkEnd w:id="1019"/>
      <w:bookmarkEnd w:id="1020"/>
      <w:bookmarkEnd w:id="1021"/>
      <w:bookmarkEnd w:id="1022"/>
      <w:bookmarkEnd w:id="1023"/>
      <w:bookmarkEnd w:id="1024"/>
      <w:bookmarkEnd w:id="1025"/>
      <w:bookmarkEnd w:id="1026"/>
      <w:bookmarkEnd w:id="1027"/>
    </w:p>
    <w:p w14:paraId="22160423">
      <w:pPr>
        <w:pStyle w:val="141"/>
      </w:pPr>
      <w:r>
        <w:rPr>
          <w:rFonts w:hint="eastAsia"/>
        </w:rPr>
        <w:t>9.3.1.1</w:t>
      </w:r>
      <w:r>
        <w:t>坝址选址的环境合理性分析</w:t>
      </w:r>
    </w:p>
    <w:p w14:paraId="542339AA">
      <w:pPr>
        <w:ind w:firstLine="480"/>
      </w:pPr>
      <w:r>
        <w:rPr>
          <w:rFonts w:hint="eastAsia"/>
        </w:rPr>
        <w:t>团结水电站为河床式电站，利用上游2.2km处已建芒里电站的尾水进行发电，属于低水头电站，水库库容较小，电站主要承担发电任务，其水库本身无调节能力，</w:t>
      </w:r>
      <w:r>
        <w:t>修筑拦河闸、坝即可满足电站取水需要</w:t>
      </w:r>
      <w:r>
        <w:rPr>
          <w:rFonts w:hint="eastAsia"/>
        </w:rPr>
        <w:t>。大坝位置原定于现有滚水坝处，工程拟将滚水坝拆除以建拦河坝。后来为了不影响芒瑞大道建设，建设单位将大坝位置往上游方向前移76m。</w:t>
      </w:r>
    </w:p>
    <w:p w14:paraId="68FA2FD8">
      <w:pPr>
        <w:ind w:firstLine="0" w:firstLineChars="0"/>
        <w:jc w:val="center"/>
      </w:pPr>
      <w:r>
        <w:drawing>
          <wp:inline distT="0" distB="0" distL="0" distR="0">
            <wp:extent cx="2938780" cy="2204085"/>
            <wp:effectExtent l="0" t="0" r="0" b="5715"/>
            <wp:docPr id="5" name="图片 5" descr="C:\Users\Administrator.SC-20160229ABXB\Desktop\IMG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SC-20160229ABXB\Desktop\IMG_007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946844" cy="2209732"/>
                    </a:xfrm>
                    <a:prstGeom prst="rect">
                      <a:avLst/>
                    </a:prstGeom>
                    <a:noFill/>
                    <a:ln>
                      <a:noFill/>
                    </a:ln>
                  </pic:spPr>
                </pic:pic>
              </a:graphicData>
            </a:graphic>
          </wp:inline>
        </w:drawing>
      </w:r>
    </w:p>
    <w:p w14:paraId="2CAC82F9">
      <w:pPr>
        <w:pStyle w:val="82"/>
        <w:framePr w:hSpace="0" w:wrap="auto" w:vAnchor="margin" w:hAnchor="text" w:xAlign="left" w:yAlign="inline"/>
      </w:pPr>
      <w:r>
        <w:rPr>
          <w:rFonts w:hint="eastAsia"/>
        </w:rPr>
        <w:t>图9-3-1  拟建坝址与现有滚水坝的位置关系示意图</w:t>
      </w:r>
    </w:p>
    <w:p w14:paraId="3F6F2761">
      <w:pPr>
        <w:spacing w:before="120"/>
        <w:ind w:firstLine="480"/>
      </w:pPr>
      <w:r>
        <w:rPr>
          <w:rFonts w:hint="eastAsia" w:cstheme="minorBidi"/>
        </w:rPr>
        <w:t>团结水电站为小型河床式无调节开发，电站取水发电是在优先满足芒里大沟取水的前提下进行的，发电后尾水回归芒市河，可完全用于下游的农业灌溉。</w:t>
      </w:r>
      <w:r>
        <w:rPr>
          <w:rFonts w:hint="eastAsia"/>
        </w:rPr>
        <w:t>新坝址位于芒里大沟下游约26m处，电站拦河建坝取水发电对上游芒里大沟灌溉用水无影响。</w:t>
      </w:r>
    </w:p>
    <w:p w14:paraId="46475DC8">
      <w:pPr>
        <w:ind w:firstLine="480"/>
        <w:rPr>
          <w:rFonts w:cstheme="minorBidi"/>
        </w:rPr>
      </w:pPr>
      <w:r>
        <w:rPr>
          <w:rFonts w:hint="eastAsia"/>
        </w:rPr>
        <w:t>从环境保护角度来看，所选</w:t>
      </w:r>
      <w:r>
        <w:rPr>
          <w:rFonts w:hint="eastAsia" w:cstheme="minorBidi"/>
        </w:rPr>
        <w:t>坝址周围无工业企业，淹没不涉及移民安置，坝址不涉及自然保护区、风景名胜区等环境敏感区。坝址占地类型主要为</w:t>
      </w:r>
      <w:r>
        <w:rPr>
          <w:rFonts w:hint="eastAsia"/>
        </w:rPr>
        <w:t>坡耕地</w:t>
      </w:r>
      <w:r>
        <w:rPr>
          <w:rFonts w:hint="eastAsia" w:cstheme="minorBidi"/>
        </w:rPr>
        <w:t>，占用植被类型主要为</w:t>
      </w:r>
      <w:r>
        <w:rPr>
          <w:rFonts w:hint="eastAsia"/>
        </w:rPr>
        <w:t>季风常绿阔叶林和热性草丛</w:t>
      </w:r>
      <w:r>
        <w:rPr>
          <w:rFonts w:hint="eastAsia" w:cstheme="minorBidi"/>
        </w:rPr>
        <w:t>，淹没区域和占地区域未发现珍稀濒危保护动植物及古树名木等，对环境的影响较小。</w:t>
      </w:r>
      <w:r>
        <w:rPr>
          <w:rFonts w:hint="eastAsia"/>
        </w:rPr>
        <w:t>坝址施工过程中造成的少量植被破坏，通过后期植被复垦可以得到恢复，对环境造成的影响较小。因此，从环境保护的角度分析，拟建项目坝址选址合理。</w:t>
      </w:r>
    </w:p>
    <w:p w14:paraId="25B6E9FA">
      <w:pPr>
        <w:pStyle w:val="141"/>
      </w:pPr>
      <w:r>
        <w:rPr>
          <w:rFonts w:hint="eastAsia"/>
        </w:rPr>
        <w:t>9.3.1.2</w:t>
      </w:r>
      <w:r>
        <w:t>厂房选址合理性分析</w:t>
      </w:r>
    </w:p>
    <w:p w14:paraId="62776612">
      <w:pPr>
        <w:ind w:firstLine="480"/>
        <w:rPr>
          <w:rFonts w:ascii="宋体" w:hAnsi="宋体"/>
          <w:spacing w:val="4"/>
          <w:kern w:val="0"/>
        </w:rPr>
      </w:pPr>
      <w:r>
        <w:rPr>
          <w:rFonts w:hint="eastAsia"/>
        </w:rPr>
        <w:t>厂区枢纽位于坝址下游右岸河床上，主要建筑物包括主、副厂房和升压站等，</w:t>
      </w:r>
      <w:r>
        <w:rPr>
          <w:rFonts w:hint="eastAsia" w:ascii="宋体" w:hAnsi="宋体"/>
          <w:spacing w:val="4"/>
          <w:kern w:val="0"/>
        </w:rPr>
        <w:t>场地较为开阔平坦，不仅</w:t>
      </w:r>
      <w:r>
        <w:rPr>
          <w:rFonts w:ascii="宋体" w:hAnsi="宋体"/>
          <w:spacing w:val="4"/>
          <w:kern w:val="0"/>
        </w:rPr>
        <w:t>易于厂区建筑物的布置，</w:t>
      </w:r>
      <w:r>
        <w:rPr>
          <w:rFonts w:hint="eastAsia" w:ascii="宋体" w:hAnsi="宋体"/>
          <w:spacing w:val="4"/>
          <w:kern w:val="0"/>
        </w:rPr>
        <w:t>而且也</w:t>
      </w:r>
      <w:r>
        <w:rPr>
          <w:rFonts w:ascii="宋体" w:hAnsi="宋体"/>
          <w:spacing w:val="4"/>
          <w:kern w:val="0"/>
        </w:rPr>
        <w:t>减少了不必要的开挖工程，</w:t>
      </w:r>
      <w:r>
        <w:rPr>
          <w:rFonts w:hint="eastAsia" w:ascii="宋体" w:hAnsi="宋体"/>
          <w:spacing w:val="4"/>
          <w:kern w:val="0"/>
        </w:rPr>
        <w:t>减少了弃渣产生量。</w:t>
      </w:r>
    </w:p>
    <w:p w14:paraId="7FCE3BD6">
      <w:pPr>
        <w:ind w:firstLine="0" w:firstLineChars="0"/>
        <w:jc w:val="center"/>
        <w:rPr>
          <w:highlight w:val="green"/>
        </w:rPr>
      </w:pPr>
      <w:r>
        <w:rPr>
          <w:highlight w:val="green"/>
        </w:rPr>
        <w:drawing>
          <wp:inline distT="0" distB="0" distL="0" distR="0">
            <wp:extent cx="2851785" cy="2138680"/>
            <wp:effectExtent l="0" t="0" r="5715" b="0"/>
            <wp:docPr id="9" name="图片 9" descr="E:\1项目\1送审稿\2报告书\17团结电站2015.12.10\0资料\现场照片12.14\IMG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1项目\1送审稿\2报告书\17团结电站2015.12.10\0资料\现场照片12.14\IMG_004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854001" cy="2140114"/>
                    </a:xfrm>
                    <a:prstGeom prst="rect">
                      <a:avLst/>
                    </a:prstGeom>
                    <a:noFill/>
                    <a:ln>
                      <a:noFill/>
                    </a:ln>
                  </pic:spPr>
                </pic:pic>
              </a:graphicData>
            </a:graphic>
          </wp:inline>
        </w:drawing>
      </w:r>
    </w:p>
    <w:p w14:paraId="4DB4A689">
      <w:pPr>
        <w:pStyle w:val="82"/>
        <w:framePr w:hSpace="0" w:wrap="auto" w:vAnchor="margin" w:hAnchor="text" w:xAlign="left" w:yAlign="inline"/>
      </w:pPr>
      <w:r>
        <w:rPr>
          <w:rFonts w:hint="eastAsia"/>
        </w:rPr>
        <w:t>图9-3-2  拟建厂房位置示意图</w:t>
      </w:r>
    </w:p>
    <w:p w14:paraId="149BA729">
      <w:pPr>
        <w:spacing w:before="120" w:beforeLines="50"/>
        <w:ind w:firstLine="480"/>
        <w:rPr>
          <w:rFonts w:cstheme="minorBidi"/>
        </w:rPr>
      </w:pPr>
      <w:r>
        <w:rPr>
          <w:rFonts w:hint="eastAsia" w:cstheme="minorBidi"/>
        </w:rPr>
        <w:t>厂房主要占用坡耕地，但不涉及基本农田，亦</w:t>
      </w:r>
      <w:r>
        <w:rPr>
          <w:rFonts w:hint="eastAsia" w:ascii="宋体" w:hAnsi="宋体" w:cstheme="minorBidi"/>
          <w:kern w:val="0"/>
        </w:rPr>
        <w:t>不涉及自然保护区、风景名胜区等环境敏感区。</w:t>
      </w:r>
      <w:r>
        <w:rPr>
          <w:rFonts w:hint="eastAsia" w:ascii="宋体" w:hAnsi="宋体" w:cstheme="minorBidi"/>
        </w:rPr>
        <w:t>区域内</w:t>
      </w:r>
      <w:r>
        <w:t>发现</w:t>
      </w:r>
      <w:r>
        <w:rPr>
          <w:rFonts w:hint="eastAsia"/>
        </w:rPr>
        <w:t>2种中国特有属植物，分别是慈竹</w:t>
      </w:r>
      <w:r>
        <w:rPr>
          <w:i/>
        </w:rPr>
        <w:t>Neosinocalamus affinis</w:t>
      </w:r>
      <w:r>
        <w:rPr>
          <w:rFonts w:hint="eastAsia"/>
        </w:rPr>
        <w:t>（位于工程区西侧约30m处）和盾果草</w:t>
      </w:r>
      <w:r>
        <w:rPr>
          <w:i/>
        </w:rPr>
        <w:t>Thyrocarpus sampsonii Hance</w:t>
      </w:r>
      <w:r>
        <w:rPr>
          <w:rFonts w:hint="eastAsia"/>
        </w:rPr>
        <w:t>（位于工程区北侧125m处），只要施工期和运行期间加强环保宣传教育，对其进行围挡，并挂牌保护，电站建设对其影响不大。总的来说，厂区枢纽</w:t>
      </w:r>
      <w:r>
        <w:rPr>
          <w:rFonts w:hint="eastAsia" w:ascii="宋体" w:hAnsi="宋体" w:cstheme="minorBidi"/>
          <w:kern w:val="0"/>
        </w:rPr>
        <w:t>环境不敏感，选址较合理</w:t>
      </w:r>
      <w:r>
        <w:rPr>
          <w:rFonts w:cstheme="minorBidi"/>
        </w:rPr>
        <w:t>。</w:t>
      </w:r>
    </w:p>
    <w:p w14:paraId="59DFC917">
      <w:pPr>
        <w:pStyle w:val="113"/>
      </w:pPr>
      <w:bookmarkStart w:id="1028" w:name="_Toc377115082"/>
      <w:bookmarkStart w:id="1029" w:name="_Toc471738105"/>
      <w:bookmarkStart w:id="1030" w:name="_Toc377831839"/>
      <w:bookmarkStart w:id="1031" w:name="_Toc397428312"/>
      <w:bookmarkStart w:id="1032" w:name="_Toc454046636"/>
      <w:bookmarkStart w:id="1033" w:name="_Toc377420720"/>
      <w:bookmarkStart w:id="1034" w:name="_Toc508642533"/>
      <w:bookmarkStart w:id="1035" w:name="_Toc443655533"/>
      <w:bookmarkStart w:id="1036" w:name="_Toc534485216"/>
      <w:r>
        <w:rPr>
          <w:rFonts w:hint="eastAsia"/>
        </w:rPr>
        <w:t>9</w:t>
      </w:r>
      <w:r>
        <w:t>.</w:t>
      </w:r>
      <w:r>
        <w:rPr>
          <w:rFonts w:hint="eastAsia"/>
        </w:rPr>
        <w:t>3</w:t>
      </w:r>
      <w:r>
        <w:t>.2施工</w:t>
      </w:r>
      <w:r>
        <w:rPr>
          <w:rFonts w:hint="eastAsia"/>
        </w:rPr>
        <w:t>“</w:t>
      </w:r>
      <w:r>
        <w:t>三场</w:t>
      </w:r>
      <w:r>
        <w:rPr>
          <w:rFonts w:hint="eastAsia"/>
        </w:rPr>
        <w:t>”</w:t>
      </w:r>
      <w:r>
        <w:t>合理性分析</w:t>
      </w:r>
      <w:bookmarkEnd w:id="1028"/>
      <w:bookmarkEnd w:id="1029"/>
      <w:bookmarkEnd w:id="1030"/>
      <w:bookmarkEnd w:id="1031"/>
      <w:bookmarkEnd w:id="1032"/>
      <w:bookmarkEnd w:id="1033"/>
      <w:bookmarkEnd w:id="1034"/>
      <w:bookmarkEnd w:id="1035"/>
      <w:bookmarkEnd w:id="1036"/>
    </w:p>
    <w:p w14:paraId="2245CB7A">
      <w:pPr>
        <w:ind w:firstLine="480"/>
      </w:pPr>
      <w:r>
        <w:rPr>
          <w:rFonts w:hint="eastAsia"/>
        </w:rPr>
        <w:t>1、</w:t>
      </w:r>
      <w:r>
        <w:t>料场</w:t>
      </w:r>
    </w:p>
    <w:p w14:paraId="33481843">
      <w:pPr>
        <w:ind w:firstLine="480"/>
        <w:rPr>
          <w:rFonts w:ascii="宋体" w:hAnsi="宋体"/>
          <w:spacing w:val="4"/>
          <w:kern w:val="0"/>
        </w:rPr>
      </w:pPr>
      <w:r>
        <w:rPr>
          <w:szCs w:val="24"/>
        </w:rPr>
        <w:t>根据工程区的具体工情况，本工程不专门设置</w:t>
      </w:r>
      <w:r>
        <w:rPr>
          <w:rFonts w:hint="eastAsia"/>
          <w:szCs w:val="24"/>
        </w:rPr>
        <w:t>石料</w:t>
      </w:r>
      <w:r>
        <w:rPr>
          <w:szCs w:val="24"/>
        </w:rPr>
        <w:t>场，</w:t>
      </w:r>
      <w:r>
        <w:rPr>
          <w:rFonts w:hint="eastAsia" w:ascii="宋体" w:hAnsi="宋体"/>
          <w:spacing w:val="4"/>
          <w:kern w:val="0"/>
        </w:rPr>
        <w:t>工程所需土石料首先考虑利用开挖土石方，缺少的砂料再从规划的砂料场引进，石料则从附近的采石场购买。</w:t>
      </w:r>
    </w:p>
    <w:p w14:paraId="242C47A5">
      <w:pPr>
        <w:ind w:firstLine="480"/>
        <w:rPr>
          <w:rFonts w:hAnsi="宋体"/>
        </w:rPr>
      </w:pPr>
      <w:r>
        <w:rPr>
          <w:rFonts w:hint="eastAsia" w:hAnsi="宋体"/>
        </w:rPr>
        <w:t>工程砂料场位于坝址下游右岸1.8km处芒市河河床内，因芒市河河床比降小，河床内有丰富的天然砂砾料。据野外地质测绘及初步鉴定，可以用作混凝土砂料，料场储量约2.3万</w:t>
      </w:r>
      <w:r>
        <w:rPr>
          <w:rFonts w:hAnsi="宋体"/>
        </w:rPr>
        <w:t>m</w:t>
      </w:r>
      <w:r>
        <w:rPr>
          <w:rFonts w:hint="eastAsia" w:hAnsi="宋体"/>
          <w:vertAlign w:val="superscript"/>
        </w:rPr>
        <w:t>3</w:t>
      </w:r>
      <w:r>
        <w:rPr>
          <w:rFonts w:hint="eastAsia" w:hAnsi="宋体"/>
        </w:rPr>
        <w:t>左右</w:t>
      </w:r>
      <w:r>
        <w:rPr>
          <w:rFonts w:hint="eastAsia" w:ascii="宋体" w:hAnsi="宋体"/>
          <w:spacing w:val="4"/>
          <w:kern w:val="0"/>
        </w:rPr>
        <w:t>。</w:t>
      </w:r>
      <w:r>
        <w:rPr>
          <w:rFonts w:hint="eastAsia"/>
        </w:rPr>
        <w:t>本项目建设所需砂石料充分利用项目区周边已有的自然资源，储量丰富，运距较短，需求量不大。砂料场位于下游平缓的河滩上，开采结束后无需进行植被恢复，选址较为合理。</w:t>
      </w:r>
    </w:p>
    <w:p w14:paraId="7B2AC279">
      <w:pPr>
        <w:ind w:firstLine="480"/>
        <w:rPr>
          <w:rFonts w:cstheme="minorBidi"/>
        </w:rPr>
      </w:pPr>
      <w:r>
        <w:rPr>
          <w:rFonts w:hint="eastAsia" w:cstheme="minorBidi"/>
        </w:rPr>
        <w:t>2、</w:t>
      </w:r>
      <w:r>
        <w:rPr>
          <w:rFonts w:cstheme="minorBidi"/>
        </w:rPr>
        <w:t>施工场地</w:t>
      </w:r>
    </w:p>
    <w:p w14:paraId="54D3F75B">
      <w:pPr>
        <w:ind w:firstLine="480"/>
      </w:pPr>
      <w:r>
        <w:rPr>
          <w:rFonts w:hint="eastAsia"/>
        </w:rPr>
        <w:t>本工程布置比较集中，因施工场地窄小，生活区及生产区布置考虑兼顾大坝、电站厂房等工程的施工，并结合实际地形综合考虑布置，</w:t>
      </w:r>
      <w:r>
        <w:t>避开乔木层发育好的区域，选择灌木、草本植物生长稀疏的区域作为施工场地</w:t>
      </w:r>
      <w:r>
        <w:rPr>
          <w:rFonts w:hint="eastAsia"/>
        </w:rPr>
        <w:t>，</w:t>
      </w:r>
      <w:r>
        <w:t>减少对生态环境的影响。</w:t>
      </w:r>
    </w:p>
    <w:p w14:paraId="15C67CE8">
      <w:pPr>
        <w:ind w:firstLine="0" w:firstLineChars="0"/>
        <w:jc w:val="center"/>
      </w:pPr>
      <w:r>
        <w:drawing>
          <wp:inline distT="0" distB="0" distL="0" distR="0">
            <wp:extent cx="2768600" cy="2076450"/>
            <wp:effectExtent l="0" t="0" r="0" b="0"/>
            <wp:docPr id="11" name="图片 11" descr="E:\1项目\1送审稿\2报告书\17团结电站2015.12.10\0资料\现场照片12.14\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1项目\1送审稿\2报告书\17团结电站2015.12.10\0资料\现场照片12.14\IMG_000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771366" cy="2078148"/>
                    </a:xfrm>
                    <a:prstGeom prst="rect">
                      <a:avLst/>
                    </a:prstGeom>
                    <a:noFill/>
                    <a:ln>
                      <a:noFill/>
                    </a:ln>
                  </pic:spPr>
                </pic:pic>
              </a:graphicData>
            </a:graphic>
          </wp:inline>
        </w:drawing>
      </w:r>
    </w:p>
    <w:p w14:paraId="1AF3A834">
      <w:pPr>
        <w:pStyle w:val="82"/>
        <w:framePr w:hSpace="0" w:wrap="auto" w:vAnchor="margin" w:hAnchor="text" w:xAlign="left" w:yAlign="inline"/>
      </w:pPr>
      <w:r>
        <w:rPr>
          <w:rFonts w:hint="eastAsia"/>
        </w:rPr>
        <w:t>图9-3-4  项目施工场地位置示意图</w:t>
      </w:r>
    </w:p>
    <w:p w14:paraId="252268CE">
      <w:pPr>
        <w:spacing w:before="120" w:beforeLines="50"/>
        <w:ind w:firstLine="480"/>
        <w:rPr>
          <w:rFonts w:cstheme="minorBidi"/>
        </w:rPr>
      </w:pPr>
      <w:r>
        <w:rPr>
          <w:rFonts w:hint="eastAsia" w:cstheme="minorBidi"/>
          <w:bCs/>
        </w:rPr>
        <w:t>拟建项目施工场地设置较为紧凑，占地不涉及自然保护区、风景名胜区等环境敏感区，亦</w:t>
      </w:r>
      <w:r>
        <w:rPr>
          <w:rFonts w:hint="eastAsia"/>
        </w:rPr>
        <w:t>未发现</w:t>
      </w:r>
      <w:r>
        <w:t>珍稀野生保护动植物分布。</w:t>
      </w:r>
      <w:r>
        <w:rPr>
          <w:rFonts w:hint="eastAsia" w:cstheme="minorBidi"/>
        </w:rPr>
        <w:t>施工布置遵循因地制宜、有利生产、易于管理、安全可靠、经济合理的原则，并注意功能分区、尽量少占土地。总的来说，项目施工场地的布置是合理的。</w:t>
      </w:r>
    </w:p>
    <w:p w14:paraId="49B20EAE">
      <w:pPr>
        <w:ind w:firstLine="480"/>
        <w:rPr>
          <w:rFonts w:eastAsia="黑体"/>
          <w:bCs/>
          <w:kern w:val="44"/>
          <w:sz w:val="30"/>
          <w:szCs w:val="44"/>
          <w:highlight w:val="green"/>
        </w:rPr>
      </w:pPr>
      <w:r>
        <w:br w:type="page"/>
      </w:r>
    </w:p>
    <w:p w14:paraId="5E541BAE">
      <w:pPr>
        <w:ind w:firstLine="440"/>
        <w:rPr>
          <w:sz w:val="22"/>
          <w:highlight w:val="green"/>
        </w:rPr>
        <w:sectPr>
          <w:pgSz w:w="11906" w:h="16838"/>
          <w:pgMar w:top="1440" w:right="1800" w:bottom="1440" w:left="1800" w:header="851" w:footer="992" w:gutter="0"/>
          <w:cols w:space="720" w:num="1"/>
          <w:docGrid w:linePitch="326" w:charSpace="0"/>
        </w:sectPr>
      </w:pPr>
    </w:p>
    <w:p w14:paraId="41FFEEDD">
      <w:pPr>
        <w:pStyle w:val="180"/>
      </w:pPr>
      <w:bookmarkStart w:id="1037" w:name="_Toc391300994"/>
      <w:bookmarkStart w:id="1038" w:name="_Toc436297646"/>
      <w:bookmarkStart w:id="1039" w:name="_Toc391486386"/>
      <w:bookmarkStart w:id="1040" w:name="_Toc443655534"/>
      <w:bookmarkStart w:id="1041" w:name="_Toc508642534"/>
      <w:bookmarkStart w:id="1042" w:name="_Toc471738106"/>
      <w:bookmarkStart w:id="1043" w:name="_Toc454046637"/>
      <w:r>
        <w:rPr>
          <w:rFonts w:hint="eastAsia"/>
        </w:rPr>
        <w:t>10</w:t>
      </w:r>
      <w:r>
        <w:t>环境管理、环境监理、环境监测计划</w:t>
      </w:r>
      <w:bookmarkEnd w:id="1037"/>
      <w:bookmarkEnd w:id="1038"/>
      <w:bookmarkEnd w:id="1039"/>
      <w:r>
        <w:t>与环境保护竣工验收</w:t>
      </w:r>
      <w:bookmarkEnd w:id="1040"/>
      <w:bookmarkEnd w:id="1041"/>
      <w:bookmarkEnd w:id="1042"/>
      <w:bookmarkEnd w:id="1043"/>
    </w:p>
    <w:p w14:paraId="2DF67D5B">
      <w:pPr>
        <w:pStyle w:val="4"/>
      </w:pPr>
      <w:bookmarkStart w:id="1044" w:name="_Toc454046638"/>
      <w:bookmarkStart w:id="1045" w:name="_Toc443655535"/>
      <w:bookmarkStart w:id="1046" w:name="_Toc508642535"/>
      <w:bookmarkStart w:id="1047" w:name="_Toc471738107"/>
      <w:r>
        <w:rPr>
          <w:rFonts w:hint="eastAsia"/>
        </w:rPr>
        <w:t>10.1</w:t>
      </w:r>
      <w:r>
        <w:t>环境管理</w:t>
      </w:r>
      <w:bookmarkEnd w:id="1044"/>
      <w:bookmarkEnd w:id="1045"/>
      <w:bookmarkEnd w:id="1046"/>
      <w:bookmarkEnd w:id="1047"/>
    </w:p>
    <w:p w14:paraId="5A7AA290">
      <w:pPr>
        <w:pStyle w:val="113"/>
      </w:pPr>
      <w:bookmarkStart w:id="1048" w:name="_Toc454046639"/>
      <w:bookmarkStart w:id="1049" w:name="_Toc508642536"/>
      <w:bookmarkStart w:id="1050" w:name="_Toc443655536"/>
      <w:bookmarkStart w:id="1051" w:name="_Toc471738108"/>
      <w:r>
        <w:rPr>
          <w:rFonts w:hint="eastAsia"/>
        </w:rPr>
        <w:t>10.1.1环境管理的主体及职责</w:t>
      </w:r>
      <w:bookmarkEnd w:id="1048"/>
      <w:bookmarkEnd w:id="1049"/>
      <w:bookmarkEnd w:id="1050"/>
      <w:bookmarkEnd w:id="1051"/>
    </w:p>
    <w:p w14:paraId="6E3187D5">
      <w:pPr>
        <w:ind w:firstLine="480"/>
      </w:pPr>
      <w:r>
        <w:rPr>
          <w:rFonts w:hint="eastAsia"/>
        </w:rPr>
        <w:t>本工程属小（2）型水利水电工程，因工程涉及范围较小，环境影响问题简单，不必在电站设置环境保护机构，但应有专职或兼职管理人员负责各项环保措施的落实和环保设施的运行、维护，并接受当地环保部门的监督指导。</w:t>
      </w:r>
    </w:p>
    <w:p w14:paraId="0A77921B">
      <w:pPr>
        <w:ind w:firstLine="480"/>
      </w:pPr>
      <w:r>
        <w:rPr>
          <w:rFonts w:hint="eastAsia"/>
        </w:rPr>
        <w:t>环境管理人员的职责是贯彻执行国家环境保护的有关方针、政策及法规；负责工程日常环境管理工作；负责各项环保措施的落实和环保设施的运行、维护；接受相关部门的环境监督和检查。</w:t>
      </w:r>
    </w:p>
    <w:p w14:paraId="5220993F">
      <w:pPr>
        <w:ind w:firstLine="0" w:firstLineChars="0"/>
        <w:jc w:val="center"/>
      </w:pPr>
      <w:r>
        <w:object>
          <v:shape id="_x0000_i1031" o:spt="75" type="#_x0000_t75" style="height:234pt;width:415.5pt;" o:ole="t" filled="f" coordsize="21600,21600">
            <v:path/>
            <v:fill on="f" focussize="0,0"/>
            <v:stroke/>
            <v:imagedata r:id="rId54" o:title=""/>
            <o:lock v:ext="edit" aspectratio="t"/>
            <w10:wrap type="none"/>
            <w10:anchorlock/>
          </v:shape>
          <o:OLEObject Type="Embed" ProgID="Visio.Drawing.11" ShapeID="_x0000_i1031" DrawAspect="Content" ObjectID="_1468075731" r:id="rId53">
            <o:LockedField>false</o:LockedField>
          </o:OLEObject>
        </w:object>
      </w:r>
    </w:p>
    <w:p w14:paraId="16C0279F">
      <w:pPr>
        <w:pStyle w:val="82"/>
        <w:framePr w:hSpace="0" w:wrap="auto" w:vAnchor="margin" w:hAnchor="text" w:xAlign="left" w:yAlign="inline"/>
        <w:spacing w:after="240"/>
      </w:pPr>
      <w:r>
        <w:rPr>
          <w:rFonts w:hint="eastAsia"/>
        </w:rPr>
        <w:t>图10-1-1  环境管理体系图</w:t>
      </w:r>
    </w:p>
    <w:p w14:paraId="535AD2C4">
      <w:pPr>
        <w:pStyle w:val="113"/>
      </w:pPr>
      <w:bookmarkStart w:id="1052" w:name="_Toc508642537"/>
      <w:bookmarkStart w:id="1053" w:name="_Toc443655537"/>
      <w:bookmarkStart w:id="1054" w:name="_Toc454046640"/>
      <w:bookmarkStart w:id="1055" w:name="_Toc471738109"/>
      <w:r>
        <w:rPr>
          <w:rFonts w:hint="eastAsia"/>
        </w:rPr>
        <w:t>10.1.2</w:t>
      </w:r>
      <w:r>
        <w:t>环境管理计划</w:t>
      </w:r>
      <w:bookmarkEnd w:id="1052"/>
      <w:bookmarkEnd w:id="1053"/>
      <w:bookmarkEnd w:id="1054"/>
      <w:bookmarkEnd w:id="1055"/>
    </w:p>
    <w:p w14:paraId="11FEB541">
      <w:pPr>
        <w:ind w:firstLine="480"/>
      </w:pPr>
      <w:r>
        <w:rPr>
          <w:rFonts w:hint="eastAsia"/>
        </w:rPr>
        <w:t>为切实减轻环境影响，落实环评报告中提出的各项环保措施，在项目施工期和运行阶段应执行环境管理计划。</w:t>
      </w:r>
    </w:p>
    <w:p w14:paraId="1FEFB10D">
      <w:pPr>
        <w:ind w:firstLine="480"/>
      </w:pPr>
      <w:r>
        <w:rPr>
          <w:rFonts w:hint="eastAsia"/>
        </w:rPr>
        <w:t>施工期：安排专职人员，依据本次环评报告提出的要求，实施施工期的环境管理与监督，落实各项环保措施。</w:t>
      </w:r>
    </w:p>
    <w:p w14:paraId="3F25F1F2">
      <w:pPr>
        <w:ind w:firstLine="480"/>
      </w:pPr>
      <w:r>
        <w:rPr>
          <w:rFonts w:hint="eastAsia"/>
        </w:rPr>
        <w:t>运行期：安排专职人员负责日常环境管理及环保设施的运行和维护，一旦发现潜在的环境问题，立即提出相应的对策措施。</w:t>
      </w:r>
    </w:p>
    <w:p w14:paraId="51A27256">
      <w:pPr>
        <w:pStyle w:val="82"/>
        <w:framePr w:hSpace="0" w:wrap="auto" w:vAnchor="margin" w:hAnchor="text" w:xAlign="left" w:yAlign="inline"/>
      </w:pPr>
      <w:r>
        <w:t>表</w:t>
      </w:r>
      <w:r>
        <w:rPr>
          <w:rFonts w:hint="eastAsia"/>
        </w:rPr>
        <w:t>10</w:t>
      </w:r>
      <w:r>
        <w:t>-1</w:t>
      </w:r>
      <w:r>
        <w:rPr>
          <w:rFonts w:hint="eastAsia"/>
        </w:rPr>
        <w:t xml:space="preserve">-1  </w:t>
      </w:r>
      <w:r>
        <w:t xml:space="preserve"> 环境管理计划表</w:t>
      </w:r>
    </w:p>
    <w:tbl>
      <w:tblPr>
        <w:tblStyle w:val="56"/>
        <w:tblW w:w="9176"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90"/>
        <w:gridCol w:w="6743"/>
        <w:gridCol w:w="707"/>
        <w:gridCol w:w="636"/>
      </w:tblGrid>
      <w:tr w14:paraId="080006F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 w:hRule="atLeast"/>
          <w:tblHeader/>
          <w:jc w:val="center"/>
        </w:trPr>
        <w:tc>
          <w:tcPr>
            <w:tcW w:w="1090" w:type="dxa"/>
            <w:vAlign w:val="center"/>
          </w:tcPr>
          <w:p w14:paraId="22B0BBC1">
            <w:pPr>
              <w:pStyle w:val="84"/>
            </w:pPr>
            <w:r>
              <w:t>环境单元</w:t>
            </w:r>
          </w:p>
        </w:tc>
        <w:tc>
          <w:tcPr>
            <w:tcW w:w="6743" w:type="dxa"/>
            <w:vAlign w:val="center"/>
          </w:tcPr>
          <w:p w14:paraId="139CFF00">
            <w:pPr>
              <w:pStyle w:val="84"/>
            </w:pPr>
            <w:r>
              <w:t>拟采取的行动及管理要点</w:t>
            </w:r>
          </w:p>
        </w:tc>
        <w:tc>
          <w:tcPr>
            <w:tcW w:w="707" w:type="dxa"/>
            <w:vAlign w:val="center"/>
          </w:tcPr>
          <w:p w14:paraId="7FEA301D">
            <w:pPr>
              <w:pStyle w:val="84"/>
            </w:pPr>
            <w:r>
              <w:t>实施</w:t>
            </w:r>
          </w:p>
          <w:p w14:paraId="5F947F82">
            <w:pPr>
              <w:pStyle w:val="84"/>
            </w:pPr>
            <w:r>
              <w:t>机构</w:t>
            </w:r>
          </w:p>
        </w:tc>
        <w:tc>
          <w:tcPr>
            <w:tcW w:w="636" w:type="dxa"/>
            <w:vAlign w:val="center"/>
          </w:tcPr>
          <w:p w14:paraId="2C1DE6E6">
            <w:pPr>
              <w:pStyle w:val="84"/>
            </w:pPr>
            <w:r>
              <w:t>负责机构</w:t>
            </w:r>
          </w:p>
        </w:tc>
      </w:tr>
      <w:tr w14:paraId="22E4CC7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176" w:type="dxa"/>
            <w:gridSpan w:val="4"/>
            <w:vAlign w:val="center"/>
          </w:tcPr>
          <w:p w14:paraId="7BDFE279">
            <w:pPr>
              <w:pStyle w:val="84"/>
              <w:rPr>
                <w:highlight w:val="green"/>
              </w:rPr>
            </w:pPr>
            <w:r>
              <w:t>一、施工期</w:t>
            </w:r>
          </w:p>
        </w:tc>
      </w:tr>
      <w:tr w14:paraId="0C7069A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090" w:type="dxa"/>
            <w:vAlign w:val="center"/>
          </w:tcPr>
          <w:p w14:paraId="39484D11">
            <w:pPr>
              <w:pStyle w:val="84"/>
              <w:rPr>
                <w:highlight w:val="green"/>
              </w:rPr>
            </w:pPr>
            <w:r>
              <w:t>生态环境</w:t>
            </w:r>
          </w:p>
        </w:tc>
        <w:tc>
          <w:tcPr>
            <w:tcW w:w="6743" w:type="dxa"/>
            <w:vAlign w:val="center"/>
          </w:tcPr>
          <w:p w14:paraId="418D7783">
            <w:pPr>
              <w:pStyle w:val="84"/>
              <w:ind w:firstLine="420" w:firstLineChars="200"/>
              <w:jc w:val="left"/>
              <w:rPr>
                <w:color w:val="FF00FF"/>
              </w:rPr>
            </w:pPr>
            <w:r>
              <w:rPr>
                <w:rFonts w:hint="eastAsia"/>
                <w:color w:val="FF00FF"/>
              </w:rPr>
              <w:t>在尾水渠后设置消力池（60m×20m×5m）将部分尾水引至坝址附近排入芒市河内，作为减水河段的正常生态用水，水量约为坝址断面多年平均流量的30%，即15.84</w:t>
            </w:r>
            <w:r>
              <w:rPr>
                <w:color w:val="FF00FF"/>
              </w:rPr>
              <w:t>m</w:t>
            </w:r>
            <w:r>
              <w:rPr>
                <w:color w:val="FF00FF"/>
                <w:vertAlign w:val="superscript"/>
              </w:rPr>
              <w:t>3</w:t>
            </w:r>
            <w:r>
              <w:rPr>
                <w:color w:val="FF00FF"/>
              </w:rPr>
              <w:t>/s；</w:t>
            </w:r>
          </w:p>
          <w:p w14:paraId="32B9BF41">
            <w:pPr>
              <w:pStyle w:val="84"/>
              <w:ind w:firstLine="420" w:firstLineChars="200"/>
              <w:jc w:val="left"/>
              <w:rPr>
                <w:color w:val="FF00FF"/>
                <w:highlight w:val="green"/>
              </w:rPr>
            </w:pPr>
            <w:r>
              <w:rPr>
                <w:color w:val="FF00FF"/>
              </w:rPr>
              <w:t>在取水口底板高程和冲砂闸底板高程之间设置</w:t>
            </w:r>
            <w:r>
              <w:rPr>
                <w:rFonts w:hint="eastAsia"/>
                <w:color w:val="FF00FF"/>
              </w:rPr>
              <w:t>带</w:t>
            </w:r>
            <w:r>
              <w:rPr>
                <w:color w:val="FF00FF"/>
              </w:rPr>
              <w:t>闸生态流量下泄管，保证坝址下游下泄流量不小于</w:t>
            </w:r>
            <w:r>
              <w:rPr>
                <w:rFonts w:hint="eastAsia"/>
                <w:color w:val="FF00FF"/>
              </w:rPr>
              <w:t>5.28</w:t>
            </w:r>
            <w:r>
              <w:rPr>
                <w:color w:val="FF00FF"/>
              </w:rPr>
              <w:t>m</w:t>
            </w:r>
            <w:r>
              <w:rPr>
                <w:color w:val="FF00FF"/>
                <w:vertAlign w:val="superscript"/>
              </w:rPr>
              <w:t>3</w:t>
            </w:r>
            <w:r>
              <w:rPr>
                <w:color w:val="FF00FF"/>
              </w:rPr>
              <w:t>/s，</w:t>
            </w:r>
            <w:r>
              <w:rPr>
                <w:rFonts w:hint="eastAsia"/>
                <w:color w:val="FF00FF"/>
              </w:rPr>
              <w:t>并安装在线监测设备和监控系统，</w:t>
            </w:r>
            <w:r>
              <w:rPr>
                <w:color w:val="FF00FF"/>
              </w:rPr>
              <w:t>确保</w:t>
            </w:r>
            <w:r>
              <w:rPr>
                <w:rFonts w:hint="eastAsia"/>
                <w:color w:val="FF00FF"/>
              </w:rPr>
              <w:t>电站停运或检修期间</w:t>
            </w:r>
            <w:r>
              <w:rPr>
                <w:color w:val="FF00FF"/>
              </w:rPr>
              <w:t>减水河道必需的生态用水；</w:t>
            </w:r>
          </w:p>
          <w:p w14:paraId="253B6A51">
            <w:pPr>
              <w:pStyle w:val="84"/>
              <w:ind w:firstLine="420" w:firstLineChars="200"/>
              <w:jc w:val="left"/>
            </w:pPr>
            <w:r>
              <w:rPr>
                <w:rFonts w:hint="eastAsia"/>
              </w:rPr>
              <w:t>对慈竹和盾果草进行围挡，并进行挂牌保护，</w:t>
            </w:r>
            <w:r>
              <w:t>严禁施工人员</w:t>
            </w:r>
            <w:r>
              <w:rPr>
                <w:rFonts w:hint="eastAsia"/>
              </w:rPr>
              <w:t>对其进行</w:t>
            </w:r>
            <w:r>
              <w:t>破坏</w:t>
            </w:r>
            <w:r>
              <w:rPr>
                <w:rFonts w:hint="eastAsia"/>
              </w:rPr>
              <w:t>；</w:t>
            </w:r>
          </w:p>
          <w:p w14:paraId="58C90207">
            <w:pPr>
              <w:pStyle w:val="84"/>
              <w:ind w:firstLine="420" w:firstLineChars="200"/>
              <w:jc w:val="left"/>
            </w:pPr>
            <w:r>
              <w:t>严格按照规定的施工占地区域施工；</w:t>
            </w:r>
          </w:p>
          <w:p w14:paraId="113C40CB">
            <w:pPr>
              <w:pStyle w:val="84"/>
              <w:ind w:firstLine="420" w:firstLineChars="200"/>
              <w:jc w:val="left"/>
            </w:pPr>
            <w:r>
              <w:rPr>
                <w:rFonts w:hint="eastAsia"/>
              </w:rPr>
              <w:t>工程完工后应及时</w:t>
            </w:r>
            <w:r>
              <w:t>进行植被恢复</w:t>
            </w:r>
            <w:r>
              <w:rPr>
                <w:rFonts w:hint="eastAsia"/>
              </w:rPr>
              <w:t>，</w:t>
            </w:r>
            <w:r>
              <w:t>杜绝在天然林中种植该区域中没有的物种，以免造成生物入侵的新危害；</w:t>
            </w:r>
          </w:p>
          <w:p w14:paraId="33601B31">
            <w:pPr>
              <w:pStyle w:val="84"/>
              <w:ind w:firstLine="420" w:firstLineChars="200"/>
              <w:jc w:val="left"/>
            </w:pPr>
            <w:r>
              <w:t>严禁猎杀、购买和食用野生动物</w:t>
            </w:r>
            <w:r>
              <w:rPr>
                <w:rFonts w:hint="eastAsia"/>
              </w:rPr>
              <w:t>；</w:t>
            </w:r>
          </w:p>
          <w:p w14:paraId="3B20E366">
            <w:pPr>
              <w:pStyle w:val="84"/>
              <w:ind w:firstLine="420" w:firstLineChars="200"/>
              <w:jc w:val="left"/>
              <w:rPr>
                <w:highlight w:val="green"/>
              </w:rPr>
            </w:pPr>
            <w:r>
              <w:t>严禁施工人员进行非保护性质的鱼类捕捞</w:t>
            </w:r>
            <w:r>
              <w:rPr>
                <w:rFonts w:hint="eastAsia"/>
              </w:rPr>
              <w:t>。</w:t>
            </w:r>
          </w:p>
        </w:tc>
        <w:tc>
          <w:tcPr>
            <w:tcW w:w="707" w:type="dxa"/>
            <w:vMerge w:val="restart"/>
            <w:vAlign w:val="center"/>
          </w:tcPr>
          <w:p w14:paraId="7864769F">
            <w:pPr>
              <w:pStyle w:val="84"/>
            </w:pPr>
            <w:r>
              <w:t>施工单位</w:t>
            </w:r>
          </w:p>
        </w:tc>
        <w:tc>
          <w:tcPr>
            <w:tcW w:w="636" w:type="dxa"/>
            <w:vMerge w:val="restart"/>
            <w:vAlign w:val="center"/>
          </w:tcPr>
          <w:p w14:paraId="5A4322A8">
            <w:pPr>
              <w:pStyle w:val="84"/>
            </w:pPr>
            <w:r>
              <w:rPr>
                <w:rFonts w:hint="eastAsia"/>
              </w:rPr>
              <w:t>建设单位</w:t>
            </w:r>
          </w:p>
        </w:tc>
      </w:tr>
      <w:tr w14:paraId="79123DC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090" w:type="dxa"/>
            <w:vAlign w:val="center"/>
          </w:tcPr>
          <w:p w14:paraId="1B41E80A">
            <w:pPr>
              <w:pStyle w:val="84"/>
              <w:ind w:left="-120" w:leftChars="-50" w:right="-120" w:rightChars="-50"/>
            </w:pPr>
            <w:r>
              <w:t>施工废水及生活污水</w:t>
            </w:r>
          </w:p>
        </w:tc>
        <w:tc>
          <w:tcPr>
            <w:tcW w:w="6743" w:type="dxa"/>
            <w:vAlign w:val="center"/>
          </w:tcPr>
          <w:p w14:paraId="77270B60">
            <w:pPr>
              <w:pStyle w:val="84"/>
              <w:ind w:firstLine="420" w:firstLineChars="200"/>
              <w:jc w:val="left"/>
            </w:pPr>
            <w:r>
              <w:rPr>
                <w:color w:val="FF0000"/>
              </w:rPr>
              <w:t>施工废水经沉淀处理后</w:t>
            </w:r>
            <w:r>
              <w:rPr>
                <w:rFonts w:hint="eastAsia"/>
                <w:color w:val="FF0000"/>
              </w:rPr>
              <w:t>上清液</w:t>
            </w:r>
            <w:r>
              <w:rPr>
                <w:color w:val="FF0000"/>
              </w:rPr>
              <w:t>回用</w:t>
            </w:r>
            <w:r>
              <w:rPr>
                <w:rFonts w:hint="eastAsia"/>
                <w:color w:val="FF0000"/>
              </w:rPr>
              <w:t>于生产</w:t>
            </w:r>
            <w:r>
              <w:rPr>
                <w:color w:val="FF0000"/>
              </w:rPr>
              <w:t>，泥渣</w:t>
            </w:r>
            <w:r>
              <w:rPr>
                <w:rFonts w:hint="eastAsia"/>
                <w:color w:val="FF0000"/>
              </w:rPr>
              <w:t>清掏后用于河堤防护</w:t>
            </w:r>
            <w:r>
              <w:rPr>
                <w:color w:val="FF0000"/>
              </w:rPr>
              <w:t>，不外排；</w:t>
            </w:r>
          </w:p>
          <w:p w14:paraId="13B86A00">
            <w:pPr>
              <w:pStyle w:val="84"/>
              <w:ind w:firstLine="420" w:firstLineChars="200"/>
              <w:jc w:val="left"/>
            </w:pPr>
            <w:r>
              <w:t>生活污水处置，修建旱厕+</w:t>
            </w:r>
            <w:r>
              <w:rPr>
                <w:rFonts w:hint="eastAsia"/>
              </w:rPr>
              <w:t>隔油池+</w:t>
            </w:r>
            <w:r>
              <w:t>沉淀池，旱厕定期</w:t>
            </w:r>
            <w:r>
              <w:rPr>
                <w:rFonts w:hint="eastAsia"/>
              </w:rPr>
              <w:t>清掏</w:t>
            </w:r>
            <w:r>
              <w:t>，生活污水经隔油沉淀后用于洒水降尘，生活污水不外排；</w:t>
            </w:r>
          </w:p>
          <w:p w14:paraId="4B965EC9">
            <w:pPr>
              <w:pStyle w:val="84"/>
              <w:ind w:firstLine="420" w:firstLineChars="200"/>
              <w:jc w:val="left"/>
            </w:pPr>
            <w:r>
              <w:t>施工期严禁施工废污水、施工弃渣、生活垃圾等倾倒入河或沿河丢弃</w:t>
            </w:r>
            <w:r>
              <w:rPr>
                <w:rFonts w:hint="eastAsia"/>
              </w:rPr>
              <w:t>。</w:t>
            </w:r>
          </w:p>
        </w:tc>
        <w:tc>
          <w:tcPr>
            <w:tcW w:w="707" w:type="dxa"/>
            <w:vMerge w:val="continue"/>
            <w:vAlign w:val="center"/>
          </w:tcPr>
          <w:p w14:paraId="41F907C8">
            <w:pPr>
              <w:pStyle w:val="84"/>
              <w:rPr>
                <w:highlight w:val="green"/>
              </w:rPr>
            </w:pPr>
          </w:p>
        </w:tc>
        <w:tc>
          <w:tcPr>
            <w:tcW w:w="636" w:type="dxa"/>
            <w:vMerge w:val="continue"/>
            <w:vAlign w:val="center"/>
          </w:tcPr>
          <w:p w14:paraId="4AF03628">
            <w:pPr>
              <w:pStyle w:val="84"/>
              <w:rPr>
                <w:highlight w:val="green"/>
              </w:rPr>
            </w:pPr>
          </w:p>
        </w:tc>
      </w:tr>
      <w:tr w14:paraId="6B82DCA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090" w:type="dxa"/>
            <w:vAlign w:val="center"/>
          </w:tcPr>
          <w:p w14:paraId="0D5374E7">
            <w:pPr>
              <w:pStyle w:val="84"/>
            </w:pPr>
            <w:r>
              <w:t>环境空气</w:t>
            </w:r>
          </w:p>
        </w:tc>
        <w:tc>
          <w:tcPr>
            <w:tcW w:w="6743" w:type="dxa"/>
            <w:vAlign w:val="center"/>
          </w:tcPr>
          <w:p w14:paraId="216FEA1B">
            <w:pPr>
              <w:pStyle w:val="84"/>
              <w:ind w:firstLine="420" w:firstLineChars="200"/>
              <w:jc w:val="left"/>
            </w:pPr>
            <w:r>
              <w:t>运输易产生扬尘的材料时采用篷布密封；</w:t>
            </w:r>
          </w:p>
          <w:p w14:paraId="0B7C1C5F">
            <w:pPr>
              <w:pStyle w:val="84"/>
              <w:ind w:firstLine="420" w:firstLineChars="200"/>
              <w:jc w:val="left"/>
            </w:pPr>
            <w:r>
              <w:t>洒水降尘，保持路面清洁。</w:t>
            </w:r>
          </w:p>
        </w:tc>
        <w:tc>
          <w:tcPr>
            <w:tcW w:w="707" w:type="dxa"/>
            <w:vMerge w:val="continue"/>
            <w:vAlign w:val="center"/>
          </w:tcPr>
          <w:p w14:paraId="20C01D5B">
            <w:pPr>
              <w:pStyle w:val="84"/>
              <w:rPr>
                <w:highlight w:val="green"/>
              </w:rPr>
            </w:pPr>
          </w:p>
        </w:tc>
        <w:tc>
          <w:tcPr>
            <w:tcW w:w="636" w:type="dxa"/>
            <w:vMerge w:val="continue"/>
            <w:vAlign w:val="center"/>
          </w:tcPr>
          <w:p w14:paraId="10804556">
            <w:pPr>
              <w:pStyle w:val="84"/>
              <w:rPr>
                <w:highlight w:val="green"/>
              </w:rPr>
            </w:pPr>
          </w:p>
        </w:tc>
      </w:tr>
      <w:tr w14:paraId="01B476E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090" w:type="dxa"/>
            <w:vAlign w:val="center"/>
          </w:tcPr>
          <w:p w14:paraId="03AB63BE">
            <w:pPr>
              <w:pStyle w:val="84"/>
            </w:pPr>
            <w:r>
              <w:t>施工噪声</w:t>
            </w:r>
          </w:p>
        </w:tc>
        <w:tc>
          <w:tcPr>
            <w:tcW w:w="6743" w:type="dxa"/>
            <w:vAlign w:val="center"/>
          </w:tcPr>
          <w:p w14:paraId="2875399F">
            <w:pPr>
              <w:pStyle w:val="84"/>
              <w:ind w:firstLine="420" w:firstLineChars="200"/>
              <w:jc w:val="left"/>
              <w:rPr>
                <w:rFonts w:cstheme="minorBidi"/>
              </w:rPr>
            </w:pPr>
            <w:r>
              <w:rPr>
                <w:rFonts w:cstheme="minorBidi"/>
              </w:rPr>
              <w:t>选用低噪声设备，高噪声设备的布置要远离施工生活区</w:t>
            </w:r>
            <w:r>
              <w:rPr>
                <w:rFonts w:hint="eastAsia" w:cstheme="minorBidi"/>
              </w:rPr>
              <w:t>；</w:t>
            </w:r>
          </w:p>
          <w:p w14:paraId="3D919C76">
            <w:pPr>
              <w:pStyle w:val="84"/>
              <w:ind w:firstLine="420" w:firstLineChars="200"/>
              <w:jc w:val="left"/>
            </w:pPr>
            <w:r>
              <w:rPr>
                <w:rFonts w:cstheme="minorBidi"/>
              </w:rPr>
              <w:t>加强</w:t>
            </w:r>
            <w:r>
              <w:rPr>
                <w:rFonts w:hint="eastAsia" w:cstheme="minorBidi"/>
              </w:rPr>
              <w:t>车辆、施工机械</w:t>
            </w:r>
            <w:r>
              <w:rPr>
                <w:rFonts w:cstheme="minorBidi"/>
              </w:rPr>
              <w:t>的维护和保养</w:t>
            </w:r>
            <w:r>
              <w:rPr>
                <w:rFonts w:hint="eastAsia" w:cstheme="minorBidi"/>
              </w:rPr>
              <w:t>。</w:t>
            </w:r>
          </w:p>
        </w:tc>
        <w:tc>
          <w:tcPr>
            <w:tcW w:w="707" w:type="dxa"/>
            <w:vMerge w:val="continue"/>
            <w:vAlign w:val="center"/>
          </w:tcPr>
          <w:p w14:paraId="159E6ECE">
            <w:pPr>
              <w:pStyle w:val="84"/>
              <w:rPr>
                <w:highlight w:val="green"/>
              </w:rPr>
            </w:pPr>
          </w:p>
        </w:tc>
        <w:tc>
          <w:tcPr>
            <w:tcW w:w="636" w:type="dxa"/>
            <w:vMerge w:val="continue"/>
            <w:vAlign w:val="center"/>
          </w:tcPr>
          <w:p w14:paraId="207E65CB">
            <w:pPr>
              <w:pStyle w:val="84"/>
              <w:rPr>
                <w:highlight w:val="green"/>
              </w:rPr>
            </w:pPr>
          </w:p>
        </w:tc>
      </w:tr>
      <w:tr w14:paraId="252A36E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090" w:type="dxa"/>
            <w:vAlign w:val="center"/>
          </w:tcPr>
          <w:p w14:paraId="11321DF0">
            <w:pPr>
              <w:pStyle w:val="84"/>
            </w:pPr>
            <w:r>
              <w:t>固体废物</w:t>
            </w:r>
          </w:p>
        </w:tc>
        <w:tc>
          <w:tcPr>
            <w:tcW w:w="6743" w:type="dxa"/>
            <w:vAlign w:val="center"/>
          </w:tcPr>
          <w:p w14:paraId="4C457CC8">
            <w:pPr>
              <w:pStyle w:val="84"/>
              <w:ind w:firstLine="420" w:firstLineChars="200"/>
              <w:jc w:val="left"/>
            </w:pPr>
            <w:r>
              <w:t>施工期禁止随意弃置生活垃圾</w:t>
            </w:r>
            <w:r>
              <w:rPr>
                <w:rFonts w:hint="eastAsia"/>
              </w:rPr>
              <w:t>，</w:t>
            </w:r>
            <w:r>
              <w:t>集中堆放</w:t>
            </w:r>
            <w:r>
              <w:rPr>
                <w:rFonts w:hint="eastAsia"/>
              </w:rPr>
              <w:t>后依托周边村庄垃圾收集设施进行处置</w:t>
            </w:r>
            <w:r>
              <w:t>；</w:t>
            </w:r>
          </w:p>
          <w:p w14:paraId="3BC7958B">
            <w:pPr>
              <w:pStyle w:val="84"/>
              <w:ind w:firstLine="420" w:firstLineChars="200"/>
              <w:jc w:val="left"/>
            </w:pPr>
            <w:r>
              <w:rPr>
                <w:color w:val="FF0000"/>
              </w:rPr>
              <w:t>施工弃渣</w:t>
            </w:r>
            <w:r>
              <w:rPr>
                <w:rFonts w:hint="eastAsia"/>
                <w:color w:val="FF0000"/>
              </w:rPr>
              <w:t>妥善堆存，及时回填或用于大坝左岸防护。</w:t>
            </w:r>
          </w:p>
        </w:tc>
        <w:tc>
          <w:tcPr>
            <w:tcW w:w="707" w:type="dxa"/>
            <w:vMerge w:val="continue"/>
            <w:vAlign w:val="center"/>
          </w:tcPr>
          <w:p w14:paraId="18A36AD0">
            <w:pPr>
              <w:pStyle w:val="84"/>
              <w:rPr>
                <w:highlight w:val="green"/>
              </w:rPr>
            </w:pPr>
          </w:p>
        </w:tc>
        <w:tc>
          <w:tcPr>
            <w:tcW w:w="636" w:type="dxa"/>
            <w:vMerge w:val="continue"/>
            <w:vAlign w:val="center"/>
          </w:tcPr>
          <w:p w14:paraId="763ADE4A">
            <w:pPr>
              <w:pStyle w:val="84"/>
              <w:rPr>
                <w:highlight w:val="green"/>
              </w:rPr>
            </w:pPr>
          </w:p>
        </w:tc>
      </w:tr>
      <w:tr w14:paraId="1B23C56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176" w:type="dxa"/>
            <w:gridSpan w:val="4"/>
            <w:vAlign w:val="center"/>
          </w:tcPr>
          <w:p w14:paraId="27512068">
            <w:pPr>
              <w:pStyle w:val="84"/>
              <w:rPr>
                <w:highlight w:val="green"/>
              </w:rPr>
            </w:pPr>
            <w:r>
              <w:t>二、运行期</w:t>
            </w:r>
          </w:p>
        </w:tc>
      </w:tr>
      <w:tr w14:paraId="734F437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090" w:type="dxa"/>
            <w:vAlign w:val="center"/>
          </w:tcPr>
          <w:p w14:paraId="71335175">
            <w:pPr>
              <w:pStyle w:val="84"/>
              <w:rPr>
                <w:color w:val="FF0000"/>
              </w:rPr>
            </w:pPr>
            <w:r>
              <w:rPr>
                <w:color w:val="FF0000"/>
              </w:rPr>
              <w:t>生态环境</w:t>
            </w:r>
          </w:p>
        </w:tc>
        <w:tc>
          <w:tcPr>
            <w:tcW w:w="6743" w:type="dxa"/>
            <w:vAlign w:val="center"/>
          </w:tcPr>
          <w:p w14:paraId="43358BFA">
            <w:pPr>
              <w:pStyle w:val="84"/>
              <w:ind w:firstLine="420" w:firstLineChars="200"/>
              <w:jc w:val="left"/>
              <w:rPr>
                <w:color w:val="FF0000"/>
              </w:rPr>
            </w:pPr>
            <w:r>
              <w:rPr>
                <w:color w:val="FF0000"/>
              </w:rPr>
              <w:t>临时施工点植被恢复区域做好植被抚育，开展厂区绿化美化</w:t>
            </w:r>
            <w:r>
              <w:rPr>
                <w:rFonts w:hint="eastAsia"/>
                <w:color w:val="FF0000"/>
              </w:rPr>
              <w:t>，保护厂区附近的兹竹和盾果草。</w:t>
            </w:r>
          </w:p>
        </w:tc>
        <w:tc>
          <w:tcPr>
            <w:tcW w:w="707" w:type="dxa"/>
            <w:vMerge w:val="restart"/>
            <w:vAlign w:val="center"/>
          </w:tcPr>
          <w:p w14:paraId="6FBB5F12">
            <w:pPr>
              <w:pStyle w:val="84"/>
            </w:pPr>
            <w:r>
              <w:rPr>
                <w:rFonts w:hint="eastAsia"/>
              </w:rPr>
              <w:t>建设单位</w:t>
            </w:r>
          </w:p>
        </w:tc>
        <w:tc>
          <w:tcPr>
            <w:tcW w:w="636" w:type="dxa"/>
            <w:vMerge w:val="restart"/>
            <w:vAlign w:val="center"/>
          </w:tcPr>
          <w:p w14:paraId="4CD4DF27">
            <w:pPr>
              <w:pStyle w:val="84"/>
            </w:pPr>
            <w:r>
              <w:rPr>
                <w:rFonts w:hint="eastAsia"/>
              </w:rPr>
              <w:t>建设单位</w:t>
            </w:r>
          </w:p>
        </w:tc>
      </w:tr>
      <w:tr w14:paraId="113E19C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090" w:type="dxa"/>
            <w:vAlign w:val="center"/>
          </w:tcPr>
          <w:p w14:paraId="6C7FDA56">
            <w:pPr>
              <w:pStyle w:val="84"/>
              <w:rPr>
                <w:color w:val="FF0000"/>
              </w:rPr>
            </w:pPr>
            <w:r>
              <w:rPr>
                <w:color w:val="FF0000"/>
              </w:rPr>
              <w:t>生态用水</w:t>
            </w:r>
          </w:p>
        </w:tc>
        <w:tc>
          <w:tcPr>
            <w:tcW w:w="6743" w:type="dxa"/>
            <w:vAlign w:val="center"/>
          </w:tcPr>
          <w:p w14:paraId="36B25E46">
            <w:pPr>
              <w:pStyle w:val="84"/>
              <w:ind w:firstLine="420" w:firstLineChars="200"/>
              <w:jc w:val="left"/>
              <w:rPr>
                <w:color w:val="FF0000"/>
              </w:rPr>
            </w:pPr>
            <w:r>
              <w:rPr>
                <w:rFonts w:hint="eastAsia"/>
                <w:color w:val="FF0000"/>
              </w:rPr>
              <w:t>工程拟将部分尾水引至坝址附近排入芒市河内，作为减水河段的正常生态用水，水量约为坝址断面多年平均流量的30%，即15.84</w:t>
            </w:r>
            <w:r>
              <w:rPr>
                <w:color w:val="FF0000"/>
              </w:rPr>
              <w:t>m</w:t>
            </w:r>
            <w:r>
              <w:rPr>
                <w:color w:val="FF0000"/>
                <w:vertAlign w:val="superscript"/>
              </w:rPr>
              <w:t>3</w:t>
            </w:r>
            <w:r>
              <w:rPr>
                <w:color w:val="FF0000"/>
              </w:rPr>
              <w:t>/s，可确保下游不出现脱水现象。</w:t>
            </w:r>
          </w:p>
        </w:tc>
        <w:tc>
          <w:tcPr>
            <w:tcW w:w="707" w:type="dxa"/>
            <w:vMerge w:val="continue"/>
            <w:vAlign w:val="center"/>
          </w:tcPr>
          <w:p w14:paraId="4B1D855A">
            <w:pPr>
              <w:pStyle w:val="84"/>
            </w:pPr>
          </w:p>
        </w:tc>
        <w:tc>
          <w:tcPr>
            <w:tcW w:w="636" w:type="dxa"/>
            <w:vMerge w:val="continue"/>
            <w:vAlign w:val="center"/>
          </w:tcPr>
          <w:p w14:paraId="223E104E">
            <w:pPr>
              <w:pStyle w:val="84"/>
            </w:pPr>
          </w:p>
        </w:tc>
      </w:tr>
      <w:tr w14:paraId="734EC4E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090" w:type="dxa"/>
            <w:vAlign w:val="center"/>
          </w:tcPr>
          <w:p w14:paraId="2EF25EC8">
            <w:pPr>
              <w:pStyle w:val="84"/>
            </w:pPr>
            <w:r>
              <w:t>生活垃圾</w:t>
            </w:r>
          </w:p>
        </w:tc>
        <w:tc>
          <w:tcPr>
            <w:tcW w:w="6743" w:type="dxa"/>
            <w:vAlign w:val="center"/>
          </w:tcPr>
          <w:p w14:paraId="10704157">
            <w:pPr>
              <w:pStyle w:val="84"/>
              <w:ind w:firstLine="420" w:firstLineChars="200"/>
              <w:jc w:val="left"/>
            </w:pPr>
            <w:r>
              <w:rPr>
                <w:rFonts w:hint="eastAsia"/>
                <w:color w:val="FF0000"/>
              </w:rPr>
              <w:t>管理用房设置</w:t>
            </w:r>
            <w:r>
              <w:rPr>
                <w:color w:val="FF0000"/>
              </w:rPr>
              <w:t>一个垃圾</w:t>
            </w:r>
            <w:r>
              <w:rPr>
                <w:rFonts w:hint="eastAsia"/>
                <w:color w:val="FF0000"/>
              </w:rPr>
              <w:t>收集桶</w:t>
            </w:r>
            <w:r>
              <w:rPr>
                <w:color w:val="FF0000"/>
              </w:rPr>
              <w:t>，</w:t>
            </w:r>
            <w:r>
              <w:rPr>
                <w:rFonts w:hint="eastAsia"/>
              </w:rPr>
              <w:t>生活垃圾</w:t>
            </w:r>
            <w:r>
              <w:t>集中堆放，定</w:t>
            </w:r>
            <w:r>
              <w:rPr>
                <w:rFonts w:hint="eastAsia"/>
              </w:rPr>
              <w:t>期</w:t>
            </w:r>
            <w:r>
              <w:t>清运，进行简单分拣</w:t>
            </w:r>
            <w:r>
              <w:rPr>
                <w:rFonts w:hint="eastAsia"/>
              </w:rPr>
              <w:t>。</w:t>
            </w:r>
            <w:r>
              <w:t>纸张、塑料制品、废金属等可回收垃圾分类集中堆放，定期运往废品收购站</w:t>
            </w:r>
            <w:r>
              <w:rPr>
                <w:rFonts w:hint="eastAsia"/>
              </w:rPr>
              <w:t>；</w:t>
            </w:r>
            <w:r>
              <w:t>其余不能回收</w:t>
            </w:r>
            <w:r>
              <w:rPr>
                <w:rFonts w:hint="eastAsia"/>
              </w:rPr>
              <w:t>利用的垃圾，</w:t>
            </w:r>
            <w:r>
              <w:t>集中堆放</w:t>
            </w:r>
            <w:r>
              <w:rPr>
                <w:rFonts w:hint="eastAsia"/>
              </w:rPr>
              <w:t>后依托周边村庄垃圾收集设施进行处置</w:t>
            </w:r>
            <w:r>
              <w:t>。</w:t>
            </w:r>
          </w:p>
        </w:tc>
        <w:tc>
          <w:tcPr>
            <w:tcW w:w="707" w:type="dxa"/>
            <w:vMerge w:val="continue"/>
            <w:vAlign w:val="center"/>
          </w:tcPr>
          <w:p w14:paraId="50E43DB6">
            <w:pPr>
              <w:pStyle w:val="84"/>
            </w:pPr>
          </w:p>
        </w:tc>
        <w:tc>
          <w:tcPr>
            <w:tcW w:w="636" w:type="dxa"/>
            <w:vMerge w:val="continue"/>
            <w:vAlign w:val="center"/>
          </w:tcPr>
          <w:p w14:paraId="1268E98C">
            <w:pPr>
              <w:pStyle w:val="84"/>
            </w:pPr>
          </w:p>
        </w:tc>
      </w:tr>
    </w:tbl>
    <w:p w14:paraId="3A9CD4EC">
      <w:pPr>
        <w:pStyle w:val="4"/>
        <w:spacing w:before="240"/>
      </w:pPr>
      <w:bookmarkStart w:id="1056" w:name="_Toc391300999"/>
      <w:bookmarkStart w:id="1057" w:name="_Toc443655538"/>
      <w:bookmarkStart w:id="1058" w:name="_Toc436297648"/>
      <w:bookmarkStart w:id="1059" w:name="_Toc471738110"/>
      <w:bookmarkStart w:id="1060" w:name="_Toc508642538"/>
      <w:bookmarkStart w:id="1061" w:name="_Toc391486388"/>
      <w:bookmarkStart w:id="1062" w:name="_Toc454046641"/>
      <w:r>
        <w:rPr>
          <w:rFonts w:hint="eastAsia"/>
        </w:rPr>
        <w:t>10</w:t>
      </w:r>
      <w:r>
        <w:t>.2环境监理</w:t>
      </w:r>
      <w:bookmarkEnd w:id="1056"/>
      <w:bookmarkEnd w:id="1057"/>
      <w:bookmarkEnd w:id="1058"/>
      <w:bookmarkEnd w:id="1059"/>
      <w:bookmarkEnd w:id="1060"/>
      <w:bookmarkEnd w:id="1061"/>
      <w:bookmarkEnd w:id="1062"/>
    </w:p>
    <w:p w14:paraId="49A35290">
      <w:pPr>
        <w:pStyle w:val="113"/>
      </w:pPr>
      <w:bookmarkStart w:id="1063" w:name="_Toc454046642"/>
      <w:bookmarkStart w:id="1064" w:name="_Toc391301000"/>
      <w:bookmarkStart w:id="1065" w:name="_Toc508642539"/>
      <w:bookmarkStart w:id="1066" w:name="_Toc471738111"/>
      <w:bookmarkStart w:id="1067" w:name="_Toc443655539"/>
      <w:r>
        <w:rPr>
          <w:rFonts w:hint="eastAsia"/>
        </w:rPr>
        <w:t>10</w:t>
      </w:r>
      <w:r>
        <w:t>.2.1环境监理目的</w:t>
      </w:r>
      <w:bookmarkEnd w:id="1063"/>
      <w:bookmarkEnd w:id="1064"/>
      <w:bookmarkEnd w:id="1065"/>
      <w:bookmarkEnd w:id="1066"/>
      <w:bookmarkEnd w:id="1067"/>
    </w:p>
    <w:p w14:paraId="30EDDB98">
      <w:pPr>
        <w:ind w:firstLine="480"/>
      </w:pPr>
      <w:r>
        <w:t>实施环境监理是落实水电工程环境保护措施的重要保证，在电站施工期间，应根据环境保护设计要求，开展施工期环境监理，全面监督和检查施工单位</w:t>
      </w:r>
      <w:r>
        <w:rPr>
          <w:rFonts w:hint="eastAsia"/>
        </w:rPr>
        <w:t>对</w:t>
      </w:r>
      <w:r>
        <w:t>环境保护措施的实施和效果，及时处理和解决临时出现的环境污染事件，使环境保护工作由被动治理污染变为主动预防和过程治理污染。</w:t>
      </w:r>
    </w:p>
    <w:p w14:paraId="27157ADF">
      <w:pPr>
        <w:pStyle w:val="113"/>
      </w:pPr>
      <w:bookmarkStart w:id="1068" w:name="_Toc391301001"/>
      <w:bookmarkStart w:id="1069" w:name="_Toc471738112"/>
      <w:bookmarkStart w:id="1070" w:name="_Toc454046643"/>
      <w:bookmarkStart w:id="1071" w:name="_Toc443655540"/>
      <w:bookmarkStart w:id="1072" w:name="_Toc508642540"/>
      <w:r>
        <w:rPr>
          <w:rFonts w:hint="eastAsia"/>
        </w:rPr>
        <w:t>10.</w:t>
      </w:r>
      <w:r>
        <w:t>2.2</w:t>
      </w:r>
      <w:r>
        <w:rPr>
          <w:rFonts w:hint="eastAsia"/>
        </w:rPr>
        <w:t>环境</w:t>
      </w:r>
      <w:r>
        <w:t>监理内容</w:t>
      </w:r>
      <w:bookmarkEnd w:id="1068"/>
      <w:bookmarkEnd w:id="1069"/>
      <w:bookmarkEnd w:id="1070"/>
      <w:bookmarkEnd w:id="1071"/>
      <w:bookmarkEnd w:id="1072"/>
    </w:p>
    <w:p w14:paraId="10F047B6">
      <w:pPr>
        <w:ind w:firstLine="480"/>
      </w:pPr>
      <w:r>
        <w:t>工程环境监理应遵循国家及地方有关环境保护的政策和法律法规的要求，在施工期对所有实施环境保护项目的专业部门及</w:t>
      </w:r>
      <w:r>
        <w:rPr>
          <w:rFonts w:hint="eastAsia"/>
        </w:rPr>
        <w:t>施工单位</w:t>
      </w:r>
      <w:r>
        <w:t>的环境保护工作进行监督、检查，确保工程环境影响报告书中提出的环境保护措施得到落实，主要工作任务包括：</w:t>
      </w:r>
    </w:p>
    <w:p w14:paraId="67E398D3">
      <w:pPr>
        <w:ind w:firstLine="480"/>
      </w:pPr>
      <w:r>
        <w:t>（1）编制环境监理计划，拟定环境监理项目和内容；</w:t>
      </w:r>
    </w:p>
    <w:p w14:paraId="1D49A1C0">
      <w:pPr>
        <w:ind w:firstLine="480"/>
      </w:pPr>
      <w:r>
        <w:t>（2）对施工单位进行监理，防止和减轻施工作业引起的环境污染和对植被、野生动植物的破坏行为；</w:t>
      </w:r>
    </w:p>
    <w:p w14:paraId="123878F1">
      <w:pPr>
        <w:ind w:firstLine="480"/>
      </w:pPr>
      <w:r>
        <w:t>（3）全面监督和检查各施工单位环境保护措施实施情况和实际效果，及时处理和解决临时出现的环境污染事件；</w:t>
      </w:r>
    </w:p>
    <w:p w14:paraId="48338B38">
      <w:pPr>
        <w:ind w:firstLine="480"/>
      </w:pPr>
      <w:r>
        <w:t>（4）全面检查施工单位负责的施工场地的</w:t>
      </w:r>
      <w:r>
        <w:rPr>
          <w:rFonts w:hint="eastAsia"/>
        </w:rPr>
        <w:t>治</w:t>
      </w:r>
      <w:r>
        <w:t>理、恢复情况等；负责落实环境监测的实施，审核有关环境报表，对施工及管理提出相应要求，尽量减少工程施工给环境带来的不利影响；</w:t>
      </w:r>
    </w:p>
    <w:p w14:paraId="48DEF395">
      <w:pPr>
        <w:ind w:firstLine="480"/>
      </w:pPr>
      <w:r>
        <w:t>（5）在日常工作中作好监理记录及监理报告，参与竣工验收。</w:t>
      </w:r>
    </w:p>
    <w:p w14:paraId="46AB3A63">
      <w:pPr>
        <w:ind w:firstLine="480"/>
        <w:rPr>
          <w:color w:val="FF0000"/>
        </w:rPr>
      </w:pPr>
      <w:r>
        <w:rPr>
          <w:color w:val="FF0000"/>
        </w:rPr>
        <w:t>工程环境监理范围</w:t>
      </w:r>
      <w:r>
        <w:rPr>
          <w:rFonts w:hint="eastAsia"/>
          <w:color w:val="FF0000"/>
        </w:rPr>
        <w:t>包括</w:t>
      </w:r>
      <w:r>
        <w:rPr>
          <w:color w:val="FF0000"/>
        </w:rPr>
        <w:t>项目建设区与工程直接影响区域，包括枢纽工程、临时工程的施工现场、施工营地、进场及场内交通等。</w:t>
      </w:r>
    </w:p>
    <w:p w14:paraId="315C06CF">
      <w:pPr>
        <w:pStyle w:val="82"/>
        <w:framePr w:hSpace="0" w:wrap="auto" w:vAnchor="margin" w:hAnchor="text" w:xAlign="left" w:yAlign="inline"/>
      </w:pPr>
      <w:r>
        <w:t>表</w:t>
      </w:r>
      <w:r>
        <w:rPr>
          <w:rFonts w:hint="eastAsia"/>
        </w:rPr>
        <w:t>10-2-1</w:t>
      </w:r>
      <w:r>
        <w:t xml:space="preserve">   环境监理内容一览表</w:t>
      </w:r>
    </w:p>
    <w:tbl>
      <w:tblPr>
        <w:tblStyle w:val="57"/>
        <w:tblW w:w="936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606"/>
        <w:gridCol w:w="4376"/>
        <w:gridCol w:w="1134"/>
        <w:gridCol w:w="1535"/>
      </w:tblGrid>
      <w:tr w14:paraId="0FF1FA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5" w:type="dxa"/>
            <w:vAlign w:val="center"/>
          </w:tcPr>
          <w:p w14:paraId="57C922E0">
            <w:pPr>
              <w:pStyle w:val="84"/>
            </w:pPr>
            <w:r>
              <w:rPr>
                <w:rFonts w:hint="eastAsia"/>
              </w:rPr>
              <w:t>分类</w:t>
            </w:r>
          </w:p>
        </w:tc>
        <w:tc>
          <w:tcPr>
            <w:tcW w:w="1606" w:type="dxa"/>
            <w:vAlign w:val="center"/>
          </w:tcPr>
          <w:p w14:paraId="43E39243">
            <w:pPr>
              <w:pStyle w:val="84"/>
            </w:pPr>
            <w:r>
              <w:rPr>
                <w:rFonts w:hint="eastAsia"/>
              </w:rPr>
              <w:t>项目</w:t>
            </w:r>
          </w:p>
        </w:tc>
        <w:tc>
          <w:tcPr>
            <w:tcW w:w="4376" w:type="dxa"/>
            <w:vAlign w:val="center"/>
          </w:tcPr>
          <w:p w14:paraId="2E5CDEF3">
            <w:pPr>
              <w:pStyle w:val="84"/>
            </w:pPr>
            <w:r>
              <w:rPr>
                <w:rFonts w:hint="eastAsia"/>
              </w:rPr>
              <w:t>监理内容</w:t>
            </w:r>
          </w:p>
        </w:tc>
        <w:tc>
          <w:tcPr>
            <w:tcW w:w="1134" w:type="dxa"/>
            <w:vAlign w:val="center"/>
          </w:tcPr>
          <w:p w14:paraId="4DB86529">
            <w:pPr>
              <w:pStyle w:val="84"/>
            </w:pPr>
            <w:r>
              <w:rPr>
                <w:rFonts w:hint="eastAsia"/>
              </w:rPr>
              <w:t>执行单位</w:t>
            </w:r>
          </w:p>
        </w:tc>
        <w:tc>
          <w:tcPr>
            <w:tcW w:w="1535" w:type="dxa"/>
            <w:vAlign w:val="center"/>
          </w:tcPr>
          <w:p w14:paraId="38629869">
            <w:pPr>
              <w:pStyle w:val="84"/>
            </w:pPr>
            <w:r>
              <w:rPr>
                <w:rFonts w:hint="eastAsia"/>
              </w:rPr>
              <w:t>监督管理部门</w:t>
            </w:r>
          </w:p>
        </w:tc>
      </w:tr>
      <w:tr w14:paraId="021601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715" w:type="dxa"/>
            <w:vMerge w:val="restart"/>
            <w:vAlign w:val="center"/>
          </w:tcPr>
          <w:p w14:paraId="65C50153">
            <w:pPr>
              <w:pStyle w:val="84"/>
              <w:rPr>
                <w:highlight w:val="green"/>
              </w:rPr>
            </w:pPr>
            <w:r>
              <w:rPr>
                <w:rFonts w:hint="eastAsia"/>
              </w:rPr>
              <w:t>生态环境</w:t>
            </w:r>
          </w:p>
        </w:tc>
        <w:tc>
          <w:tcPr>
            <w:tcW w:w="1606" w:type="dxa"/>
            <w:vAlign w:val="center"/>
          </w:tcPr>
          <w:p w14:paraId="1C8CD252">
            <w:pPr>
              <w:pStyle w:val="84"/>
              <w:rPr>
                <w:color w:val="FF0000"/>
              </w:rPr>
            </w:pPr>
            <w:r>
              <w:rPr>
                <w:rFonts w:hint="eastAsia"/>
                <w:color w:val="FF0000"/>
              </w:rPr>
              <w:t>施工迹地</w:t>
            </w:r>
          </w:p>
        </w:tc>
        <w:tc>
          <w:tcPr>
            <w:tcW w:w="4376" w:type="dxa"/>
            <w:vAlign w:val="center"/>
          </w:tcPr>
          <w:p w14:paraId="11404F17">
            <w:pPr>
              <w:pStyle w:val="84"/>
              <w:rPr>
                <w:color w:val="FF0000"/>
              </w:rPr>
            </w:pPr>
            <w:r>
              <w:rPr>
                <w:rFonts w:hint="eastAsia"/>
                <w:color w:val="FF0000"/>
              </w:rPr>
              <w:t>工程治理与迹地恢复措施是否得到落实。</w:t>
            </w:r>
          </w:p>
        </w:tc>
        <w:tc>
          <w:tcPr>
            <w:tcW w:w="1134" w:type="dxa"/>
            <w:vMerge w:val="restart"/>
            <w:vAlign w:val="center"/>
          </w:tcPr>
          <w:p w14:paraId="4E7540EC">
            <w:pPr>
              <w:pStyle w:val="84"/>
            </w:pPr>
            <w:r>
              <w:rPr>
                <w:rFonts w:hint="eastAsia"/>
              </w:rPr>
              <w:t>施工单位</w:t>
            </w:r>
          </w:p>
        </w:tc>
        <w:tc>
          <w:tcPr>
            <w:tcW w:w="1535" w:type="dxa"/>
            <w:vMerge w:val="restart"/>
            <w:vAlign w:val="center"/>
          </w:tcPr>
          <w:p w14:paraId="7C7B6B81">
            <w:pPr>
              <w:pStyle w:val="84"/>
            </w:pPr>
            <w:r>
              <w:rPr>
                <w:rFonts w:hint="eastAsia"/>
              </w:rPr>
              <w:t>施工监理单位、当地环保部门</w:t>
            </w:r>
          </w:p>
        </w:tc>
      </w:tr>
      <w:tr w14:paraId="5F872F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vAlign w:val="center"/>
          </w:tcPr>
          <w:p w14:paraId="192ACB6B">
            <w:pPr>
              <w:pStyle w:val="84"/>
              <w:rPr>
                <w:highlight w:val="green"/>
              </w:rPr>
            </w:pPr>
          </w:p>
        </w:tc>
        <w:tc>
          <w:tcPr>
            <w:tcW w:w="1606" w:type="dxa"/>
            <w:vAlign w:val="center"/>
          </w:tcPr>
          <w:p w14:paraId="6BA89C7B">
            <w:pPr>
              <w:pStyle w:val="84"/>
            </w:pPr>
            <w:r>
              <w:rPr>
                <w:rFonts w:hint="eastAsia"/>
              </w:rPr>
              <w:t>植被恢复措施</w:t>
            </w:r>
          </w:p>
        </w:tc>
        <w:tc>
          <w:tcPr>
            <w:tcW w:w="4376" w:type="dxa"/>
            <w:vAlign w:val="center"/>
          </w:tcPr>
          <w:p w14:paraId="2E9BEEBB">
            <w:pPr>
              <w:pStyle w:val="84"/>
            </w:pPr>
            <w:r>
              <w:rPr>
                <w:rFonts w:hint="eastAsia"/>
              </w:rPr>
              <w:t>物种选择是否符合相应的生境，工程进度是否符合时令，措施是否严格按设计要求，绿化数量和成活率应符合要求，是否执行抚育和管理。</w:t>
            </w:r>
          </w:p>
        </w:tc>
        <w:tc>
          <w:tcPr>
            <w:tcW w:w="1134" w:type="dxa"/>
            <w:vMerge w:val="continue"/>
            <w:vAlign w:val="center"/>
          </w:tcPr>
          <w:p w14:paraId="478F8221">
            <w:pPr>
              <w:pStyle w:val="84"/>
            </w:pPr>
          </w:p>
        </w:tc>
        <w:tc>
          <w:tcPr>
            <w:tcW w:w="1535" w:type="dxa"/>
            <w:vMerge w:val="continue"/>
            <w:vAlign w:val="center"/>
          </w:tcPr>
          <w:p w14:paraId="23FC6236">
            <w:pPr>
              <w:pStyle w:val="84"/>
              <w:rPr>
                <w:highlight w:val="green"/>
              </w:rPr>
            </w:pPr>
          </w:p>
        </w:tc>
      </w:tr>
      <w:tr w14:paraId="7A7A30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vAlign w:val="center"/>
          </w:tcPr>
          <w:p w14:paraId="15B9669E">
            <w:pPr>
              <w:pStyle w:val="84"/>
              <w:rPr>
                <w:highlight w:val="green"/>
              </w:rPr>
            </w:pPr>
          </w:p>
        </w:tc>
        <w:tc>
          <w:tcPr>
            <w:tcW w:w="1606" w:type="dxa"/>
            <w:vAlign w:val="center"/>
          </w:tcPr>
          <w:p w14:paraId="49D440A9">
            <w:pPr>
              <w:pStyle w:val="84"/>
            </w:pPr>
            <w:r>
              <w:rPr>
                <w:rFonts w:hint="eastAsia"/>
              </w:rPr>
              <w:t>植物保护</w:t>
            </w:r>
          </w:p>
        </w:tc>
        <w:tc>
          <w:tcPr>
            <w:tcW w:w="4376" w:type="dxa"/>
            <w:vAlign w:val="center"/>
          </w:tcPr>
          <w:p w14:paraId="71980ED3">
            <w:pPr>
              <w:pStyle w:val="84"/>
            </w:pPr>
            <w:r>
              <w:rPr>
                <w:rFonts w:hint="eastAsia"/>
              </w:rPr>
              <w:t>严禁超计划占地，尽量减少对工程施工区及周边区域植被的破坏，是否存在</w:t>
            </w:r>
            <w:r>
              <w:rPr>
                <w:rFonts w:hint="eastAsia"/>
                <w:lang w:eastAsia="zh-CN"/>
              </w:rPr>
              <w:t>乱砍滥伐</w:t>
            </w:r>
            <w:r>
              <w:rPr>
                <w:rFonts w:hint="eastAsia"/>
              </w:rPr>
              <w:t>现象；是否对工程区附近的兹竹和盾果草进行挂牌保护；</w:t>
            </w:r>
            <w:r>
              <w:rPr>
                <w:rFonts w:hint="eastAsia" w:cs="宋体"/>
              </w:rPr>
              <w:t>工程施工过程中，如发现施工区内有</w:t>
            </w:r>
            <w:r>
              <w:rPr>
                <w:rFonts w:hint="eastAsia"/>
              </w:rPr>
              <w:t>本次调查未发现的</w:t>
            </w:r>
            <w:r>
              <w:rPr>
                <w:rFonts w:hint="eastAsia" w:cs="宋体"/>
              </w:rPr>
              <w:t>国家和云南省重点保护植物，是否采取避让措施并进行挂牌保护。</w:t>
            </w:r>
          </w:p>
        </w:tc>
        <w:tc>
          <w:tcPr>
            <w:tcW w:w="1134" w:type="dxa"/>
            <w:vMerge w:val="continue"/>
            <w:vAlign w:val="center"/>
          </w:tcPr>
          <w:p w14:paraId="3AC6EBE1">
            <w:pPr>
              <w:pStyle w:val="84"/>
              <w:rPr>
                <w:highlight w:val="green"/>
              </w:rPr>
            </w:pPr>
          </w:p>
        </w:tc>
        <w:tc>
          <w:tcPr>
            <w:tcW w:w="1535" w:type="dxa"/>
            <w:vMerge w:val="continue"/>
            <w:vAlign w:val="center"/>
          </w:tcPr>
          <w:p w14:paraId="4F942005">
            <w:pPr>
              <w:pStyle w:val="84"/>
              <w:rPr>
                <w:highlight w:val="green"/>
              </w:rPr>
            </w:pPr>
          </w:p>
        </w:tc>
      </w:tr>
      <w:tr w14:paraId="5C0787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vAlign w:val="center"/>
          </w:tcPr>
          <w:p w14:paraId="301C86C9">
            <w:pPr>
              <w:pStyle w:val="84"/>
              <w:rPr>
                <w:highlight w:val="green"/>
              </w:rPr>
            </w:pPr>
          </w:p>
        </w:tc>
        <w:tc>
          <w:tcPr>
            <w:tcW w:w="1606" w:type="dxa"/>
            <w:vAlign w:val="center"/>
          </w:tcPr>
          <w:p w14:paraId="4C7E955E">
            <w:pPr>
              <w:pStyle w:val="84"/>
            </w:pPr>
            <w:r>
              <w:rPr>
                <w:rFonts w:hint="eastAsia"/>
              </w:rPr>
              <w:t>野生动物保护</w:t>
            </w:r>
          </w:p>
        </w:tc>
        <w:tc>
          <w:tcPr>
            <w:tcW w:w="4376" w:type="dxa"/>
            <w:vAlign w:val="center"/>
          </w:tcPr>
          <w:p w14:paraId="570405E0">
            <w:pPr>
              <w:pStyle w:val="84"/>
            </w:pPr>
            <w:r>
              <w:rPr>
                <w:rFonts w:hint="eastAsia"/>
              </w:rPr>
              <w:t>加强野生动物保护宣传教育工作，严禁狩猎和电鱼、炸鱼。</w:t>
            </w:r>
          </w:p>
        </w:tc>
        <w:tc>
          <w:tcPr>
            <w:tcW w:w="1134" w:type="dxa"/>
            <w:vMerge w:val="continue"/>
            <w:vAlign w:val="center"/>
          </w:tcPr>
          <w:p w14:paraId="4C3BC689">
            <w:pPr>
              <w:pStyle w:val="84"/>
              <w:rPr>
                <w:highlight w:val="green"/>
              </w:rPr>
            </w:pPr>
          </w:p>
        </w:tc>
        <w:tc>
          <w:tcPr>
            <w:tcW w:w="1535" w:type="dxa"/>
            <w:vMerge w:val="continue"/>
            <w:vAlign w:val="center"/>
          </w:tcPr>
          <w:p w14:paraId="55B02540">
            <w:pPr>
              <w:pStyle w:val="84"/>
              <w:rPr>
                <w:highlight w:val="green"/>
              </w:rPr>
            </w:pPr>
          </w:p>
        </w:tc>
      </w:tr>
      <w:tr w14:paraId="11FB57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vAlign w:val="center"/>
          </w:tcPr>
          <w:p w14:paraId="368DAA30">
            <w:pPr>
              <w:pStyle w:val="84"/>
              <w:rPr>
                <w:highlight w:val="green"/>
              </w:rPr>
            </w:pPr>
          </w:p>
        </w:tc>
        <w:tc>
          <w:tcPr>
            <w:tcW w:w="1606" w:type="dxa"/>
            <w:vAlign w:val="center"/>
          </w:tcPr>
          <w:p w14:paraId="4C71B400">
            <w:pPr>
              <w:pStyle w:val="84"/>
            </w:pPr>
            <w:r>
              <w:rPr>
                <w:rFonts w:hint="eastAsia"/>
              </w:rPr>
              <w:t>生态流量</w:t>
            </w:r>
          </w:p>
        </w:tc>
        <w:tc>
          <w:tcPr>
            <w:tcW w:w="4376" w:type="dxa"/>
            <w:vAlign w:val="center"/>
          </w:tcPr>
          <w:p w14:paraId="4630E825">
            <w:pPr>
              <w:pStyle w:val="84"/>
            </w:pPr>
            <w:r>
              <w:rPr>
                <w:rFonts w:hint="eastAsia"/>
              </w:rPr>
              <w:t>是否按要求通过实施工程措施保障在电站运行期间河流不脱水，坝址处下放足够的生态流量，满足下游生态环境用水。</w:t>
            </w:r>
          </w:p>
        </w:tc>
        <w:tc>
          <w:tcPr>
            <w:tcW w:w="1134" w:type="dxa"/>
            <w:vMerge w:val="continue"/>
            <w:vAlign w:val="center"/>
          </w:tcPr>
          <w:p w14:paraId="58268603">
            <w:pPr>
              <w:pStyle w:val="84"/>
              <w:rPr>
                <w:highlight w:val="green"/>
              </w:rPr>
            </w:pPr>
          </w:p>
        </w:tc>
        <w:tc>
          <w:tcPr>
            <w:tcW w:w="1535" w:type="dxa"/>
            <w:vMerge w:val="continue"/>
            <w:vAlign w:val="center"/>
          </w:tcPr>
          <w:p w14:paraId="600F81FC">
            <w:pPr>
              <w:pStyle w:val="84"/>
              <w:rPr>
                <w:highlight w:val="green"/>
              </w:rPr>
            </w:pPr>
          </w:p>
        </w:tc>
      </w:tr>
      <w:tr w14:paraId="191A64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vAlign w:val="center"/>
          </w:tcPr>
          <w:p w14:paraId="18F8649F">
            <w:pPr>
              <w:pStyle w:val="84"/>
            </w:pPr>
            <w:r>
              <w:rPr>
                <w:rFonts w:hint="eastAsia"/>
              </w:rPr>
              <w:t>地表水环境</w:t>
            </w:r>
          </w:p>
        </w:tc>
        <w:tc>
          <w:tcPr>
            <w:tcW w:w="1606" w:type="dxa"/>
            <w:vAlign w:val="center"/>
          </w:tcPr>
          <w:p w14:paraId="2B5D54CD">
            <w:pPr>
              <w:pStyle w:val="84"/>
            </w:pPr>
            <w:r>
              <w:rPr>
                <w:rFonts w:hint="eastAsia"/>
              </w:rPr>
              <w:t>施工生产废水</w:t>
            </w:r>
          </w:p>
        </w:tc>
        <w:tc>
          <w:tcPr>
            <w:tcW w:w="4376" w:type="dxa"/>
            <w:vAlign w:val="center"/>
          </w:tcPr>
          <w:p w14:paraId="35E85A52">
            <w:pPr>
              <w:pStyle w:val="84"/>
            </w:pPr>
            <w:r>
              <w:rPr>
                <w:rFonts w:hint="eastAsia"/>
              </w:rPr>
              <w:t>工程施工期是否执行生产废水处理措施，检查处理效果及循环利用情况。</w:t>
            </w:r>
          </w:p>
        </w:tc>
        <w:tc>
          <w:tcPr>
            <w:tcW w:w="1134" w:type="dxa"/>
            <w:vMerge w:val="continue"/>
            <w:vAlign w:val="center"/>
          </w:tcPr>
          <w:p w14:paraId="7CC49887">
            <w:pPr>
              <w:pStyle w:val="84"/>
              <w:rPr>
                <w:highlight w:val="green"/>
              </w:rPr>
            </w:pPr>
          </w:p>
        </w:tc>
        <w:tc>
          <w:tcPr>
            <w:tcW w:w="1535" w:type="dxa"/>
            <w:vMerge w:val="continue"/>
            <w:vAlign w:val="center"/>
          </w:tcPr>
          <w:p w14:paraId="30D78ADB">
            <w:pPr>
              <w:pStyle w:val="84"/>
              <w:rPr>
                <w:highlight w:val="green"/>
              </w:rPr>
            </w:pPr>
          </w:p>
        </w:tc>
      </w:tr>
      <w:tr w14:paraId="391BF1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vAlign w:val="center"/>
          </w:tcPr>
          <w:p w14:paraId="246EB253">
            <w:pPr>
              <w:pStyle w:val="84"/>
            </w:pPr>
          </w:p>
        </w:tc>
        <w:tc>
          <w:tcPr>
            <w:tcW w:w="1606" w:type="dxa"/>
            <w:vAlign w:val="center"/>
          </w:tcPr>
          <w:p w14:paraId="15932373">
            <w:pPr>
              <w:pStyle w:val="84"/>
            </w:pPr>
            <w:r>
              <w:rPr>
                <w:rFonts w:hint="eastAsia"/>
              </w:rPr>
              <w:t>生活污水</w:t>
            </w:r>
          </w:p>
        </w:tc>
        <w:tc>
          <w:tcPr>
            <w:tcW w:w="4376" w:type="dxa"/>
            <w:vAlign w:val="center"/>
          </w:tcPr>
          <w:p w14:paraId="6A4E15DD">
            <w:pPr>
              <w:pStyle w:val="84"/>
            </w:pPr>
            <w:r>
              <w:t>施工期生活污水是否</w:t>
            </w:r>
            <w:r>
              <w:rPr>
                <w:rFonts w:hint="eastAsia"/>
              </w:rPr>
              <w:t>经过</w:t>
            </w:r>
            <w:r>
              <w:t>处理后用于洒水降尘</w:t>
            </w:r>
            <w:r>
              <w:rPr>
                <w:rFonts w:hint="eastAsia"/>
              </w:rPr>
              <w:t>，</w:t>
            </w:r>
            <w:r>
              <w:t>检查处理效果，禁止直接排放</w:t>
            </w:r>
            <w:r>
              <w:rPr>
                <w:rFonts w:hint="eastAsia"/>
              </w:rPr>
              <w:t>。</w:t>
            </w:r>
          </w:p>
        </w:tc>
        <w:tc>
          <w:tcPr>
            <w:tcW w:w="1134" w:type="dxa"/>
            <w:vMerge w:val="continue"/>
            <w:vAlign w:val="center"/>
          </w:tcPr>
          <w:p w14:paraId="605DA84C">
            <w:pPr>
              <w:pStyle w:val="84"/>
              <w:rPr>
                <w:highlight w:val="green"/>
              </w:rPr>
            </w:pPr>
          </w:p>
        </w:tc>
        <w:tc>
          <w:tcPr>
            <w:tcW w:w="1535" w:type="dxa"/>
            <w:vMerge w:val="continue"/>
            <w:vAlign w:val="center"/>
          </w:tcPr>
          <w:p w14:paraId="07CF0881">
            <w:pPr>
              <w:pStyle w:val="84"/>
              <w:rPr>
                <w:highlight w:val="green"/>
              </w:rPr>
            </w:pPr>
          </w:p>
        </w:tc>
      </w:tr>
      <w:tr w14:paraId="22C801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vAlign w:val="center"/>
          </w:tcPr>
          <w:p w14:paraId="267ACC34">
            <w:pPr>
              <w:pStyle w:val="84"/>
            </w:pPr>
            <w:r>
              <w:rPr>
                <w:rFonts w:hint="eastAsia"/>
              </w:rPr>
              <w:t>大气环境</w:t>
            </w:r>
          </w:p>
        </w:tc>
        <w:tc>
          <w:tcPr>
            <w:tcW w:w="1606" w:type="dxa"/>
            <w:vAlign w:val="center"/>
          </w:tcPr>
          <w:p w14:paraId="24D106A0">
            <w:pPr>
              <w:pStyle w:val="84"/>
            </w:pPr>
            <w:r>
              <w:rPr>
                <w:rFonts w:hint="eastAsia"/>
              </w:rPr>
              <w:t>施工场地</w:t>
            </w:r>
          </w:p>
        </w:tc>
        <w:tc>
          <w:tcPr>
            <w:tcW w:w="4376" w:type="dxa"/>
            <w:vAlign w:val="center"/>
          </w:tcPr>
          <w:p w14:paraId="5C0F459C">
            <w:pPr>
              <w:pStyle w:val="84"/>
            </w:pPr>
            <w:r>
              <w:t>大气环境</w:t>
            </w:r>
            <w:r>
              <w:rPr>
                <w:rFonts w:hint="eastAsia"/>
              </w:rPr>
              <w:t>是否</w:t>
            </w:r>
            <w:r>
              <w:t>符合相应的环境空气质量标准</w:t>
            </w:r>
            <w:r>
              <w:rPr>
                <w:rFonts w:hint="eastAsia"/>
              </w:rPr>
              <w:t>，物料运输是否加盖篷布，对散落渣土是否及时清理，</w:t>
            </w:r>
            <w:r>
              <w:t>施工区是否采取洒水降尘措施</w:t>
            </w:r>
            <w:r>
              <w:rPr>
                <w:rFonts w:hint="eastAsia"/>
              </w:rPr>
              <w:t>。</w:t>
            </w:r>
          </w:p>
        </w:tc>
        <w:tc>
          <w:tcPr>
            <w:tcW w:w="1134" w:type="dxa"/>
            <w:vMerge w:val="continue"/>
            <w:vAlign w:val="center"/>
          </w:tcPr>
          <w:p w14:paraId="1D9873DE">
            <w:pPr>
              <w:pStyle w:val="84"/>
              <w:rPr>
                <w:highlight w:val="green"/>
              </w:rPr>
            </w:pPr>
          </w:p>
        </w:tc>
        <w:tc>
          <w:tcPr>
            <w:tcW w:w="1535" w:type="dxa"/>
            <w:vMerge w:val="continue"/>
            <w:vAlign w:val="center"/>
          </w:tcPr>
          <w:p w14:paraId="3CE696F7">
            <w:pPr>
              <w:pStyle w:val="84"/>
              <w:rPr>
                <w:highlight w:val="green"/>
              </w:rPr>
            </w:pPr>
          </w:p>
        </w:tc>
      </w:tr>
      <w:tr w14:paraId="10E28E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vAlign w:val="center"/>
          </w:tcPr>
          <w:p w14:paraId="14D590DE">
            <w:pPr>
              <w:pStyle w:val="84"/>
            </w:pPr>
          </w:p>
        </w:tc>
        <w:tc>
          <w:tcPr>
            <w:tcW w:w="1606" w:type="dxa"/>
            <w:vAlign w:val="center"/>
          </w:tcPr>
          <w:p w14:paraId="4AB65CBB">
            <w:pPr>
              <w:pStyle w:val="84"/>
            </w:pPr>
            <w:r>
              <w:rPr>
                <w:rFonts w:hint="eastAsia"/>
              </w:rPr>
              <w:t>运输道路</w:t>
            </w:r>
          </w:p>
        </w:tc>
        <w:tc>
          <w:tcPr>
            <w:tcW w:w="4376" w:type="dxa"/>
            <w:vAlign w:val="center"/>
          </w:tcPr>
          <w:p w14:paraId="74BCDB45">
            <w:pPr>
              <w:pStyle w:val="84"/>
            </w:pPr>
            <w:r>
              <w:rPr>
                <w:rFonts w:hint="eastAsia"/>
              </w:rPr>
              <w:t>是否落实洒水降尘措施。</w:t>
            </w:r>
          </w:p>
        </w:tc>
        <w:tc>
          <w:tcPr>
            <w:tcW w:w="1134" w:type="dxa"/>
            <w:vMerge w:val="continue"/>
            <w:vAlign w:val="center"/>
          </w:tcPr>
          <w:p w14:paraId="58FA7F1C">
            <w:pPr>
              <w:pStyle w:val="84"/>
              <w:rPr>
                <w:highlight w:val="green"/>
              </w:rPr>
            </w:pPr>
          </w:p>
        </w:tc>
        <w:tc>
          <w:tcPr>
            <w:tcW w:w="1535" w:type="dxa"/>
            <w:vMerge w:val="continue"/>
            <w:vAlign w:val="center"/>
          </w:tcPr>
          <w:p w14:paraId="43F69F0A">
            <w:pPr>
              <w:pStyle w:val="84"/>
              <w:rPr>
                <w:highlight w:val="green"/>
              </w:rPr>
            </w:pPr>
          </w:p>
        </w:tc>
      </w:tr>
      <w:tr w14:paraId="02E4B0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Align w:val="center"/>
          </w:tcPr>
          <w:p w14:paraId="0AE41846">
            <w:pPr>
              <w:pStyle w:val="84"/>
            </w:pPr>
            <w:r>
              <w:rPr>
                <w:rFonts w:hint="eastAsia"/>
              </w:rPr>
              <w:t>声环境</w:t>
            </w:r>
          </w:p>
        </w:tc>
        <w:tc>
          <w:tcPr>
            <w:tcW w:w="1606" w:type="dxa"/>
            <w:vAlign w:val="center"/>
          </w:tcPr>
          <w:p w14:paraId="1B676A7B">
            <w:pPr>
              <w:pStyle w:val="84"/>
            </w:pPr>
            <w:r>
              <w:rPr>
                <w:rFonts w:hint="eastAsia"/>
              </w:rPr>
              <w:t>施工区及运输道路</w:t>
            </w:r>
          </w:p>
        </w:tc>
        <w:tc>
          <w:tcPr>
            <w:tcW w:w="4376" w:type="dxa"/>
            <w:vAlign w:val="center"/>
          </w:tcPr>
          <w:p w14:paraId="466DCD98">
            <w:pPr>
              <w:pStyle w:val="84"/>
            </w:pPr>
            <w:r>
              <w:t>施工</w:t>
            </w:r>
            <w:r>
              <w:rPr>
                <w:rFonts w:hint="eastAsia"/>
              </w:rPr>
              <w:t>厂界</w:t>
            </w:r>
            <w:r>
              <w:t>噪声</w:t>
            </w:r>
            <w:r>
              <w:rPr>
                <w:rFonts w:hint="eastAsia"/>
              </w:rPr>
              <w:t>是否</w:t>
            </w:r>
            <w:r>
              <w:t>符合相应的环境噪声标准；是否规范施工行为和控制施工时段</w:t>
            </w:r>
            <w:r>
              <w:rPr>
                <w:rFonts w:hint="eastAsia"/>
              </w:rPr>
              <w:t>。</w:t>
            </w:r>
          </w:p>
        </w:tc>
        <w:tc>
          <w:tcPr>
            <w:tcW w:w="1134" w:type="dxa"/>
            <w:vMerge w:val="continue"/>
            <w:vAlign w:val="center"/>
          </w:tcPr>
          <w:p w14:paraId="308F231D">
            <w:pPr>
              <w:pStyle w:val="84"/>
              <w:rPr>
                <w:highlight w:val="green"/>
              </w:rPr>
            </w:pPr>
          </w:p>
        </w:tc>
        <w:tc>
          <w:tcPr>
            <w:tcW w:w="1535" w:type="dxa"/>
            <w:vMerge w:val="continue"/>
            <w:vAlign w:val="center"/>
          </w:tcPr>
          <w:p w14:paraId="288621F0">
            <w:pPr>
              <w:pStyle w:val="84"/>
              <w:rPr>
                <w:highlight w:val="green"/>
              </w:rPr>
            </w:pPr>
          </w:p>
        </w:tc>
      </w:tr>
      <w:tr w14:paraId="448430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vAlign w:val="center"/>
          </w:tcPr>
          <w:p w14:paraId="13424B6C">
            <w:pPr>
              <w:pStyle w:val="84"/>
              <w:rPr>
                <w:color w:val="FF0000"/>
              </w:rPr>
            </w:pPr>
            <w:r>
              <w:rPr>
                <w:rFonts w:hint="eastAsia"/>
                <w:color w:val="FF0000"/>
              </w:rPr>
              <w:t>固体废物</w:t>
            </w:r>
          </w:p>
        </w:tc>
        <w:tc>
          <w:tcPr>
            <w:tcW w:w="1606" w:type="dxa"/>
            <w:vAlign w:val="center"/>
          </w:tcPr>
          <w:p w14:paraId="43462120">
            <w:pPr>
              <w:pStyle w:val="84"/>
              <w:rPr>
                <w:color w:val="FF0000"/>
              </w:rPr>
            </w:pPr>
            <w:r>
              <w:rPr>
                <w:rFonts w:hint="eastAsia"/>
                <w:color w:val="FF0000"/>
              </w:rPr>
              <w:t>工程弃渣</w:t>
            </w:r>
          </w:p>
        </w:tc>
        <w:tc>
          <w:tcPr>
            <w:tcW w:w="4376" w:type="dxa"/>
            <w:vAlign w:val="center"/>
          </w:tcPr>
          <w:p w14:paraId="64469E9A">
            <w:pPr>
              <w:pStyle w:val="84"/>
              <w:rPr>
                <w:color w:val="FF0000"/>
              </w:rPr>
            </w:pPr>
            <w:r>
              <w:rPr>
                <w:rFonts w:hint="eastAsia"/>
                <w:color w:val="FF0000"/>
              </w:rPr>
              <w:t>工程开挖弃渣是否及时回填利用，是否有随意堆放的现象。</w:t>
            </w:r>
          </w:p>
        </w:tc>
        <w:tc>
          <w:tcPr>
            <w:tcW w:w="1134" w:type="dxa"/>
            <w:vMerge w:val="continue"/>
            <w:vAlign w:val="center"/>
          </w:tcPr>
          <w:p w14:paraId="6421E7B5">
            <w:pPr>
              <w:pStyle w:val="84"/>
              <w:rPr>
                <w:highlight w:val="green"/>
              </w:rPr>
            </w:pPr>
          </w:p>
        </w:tc>
        <w:tc>
          <w:tcPr>
            <w:tcW w:w="1535" w:type="dxa"/>
            <w:vMerge w:val="continue"/>
            <w:vAlign w:val="center"/>
          </w:tcPr>
          <w:p w14:paraId="4FB5BA39">
            <w:pPr>
              <w:pStyle w:val="84"/>
              <w:rPr>
                <w:highlight w:val="green"/>
              </w:rPr>
            </w:pPr>
          </w:p>
        </w:tc>
      </w:tr>
      <w:tr w14:paraId="1DBF52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vAlign w:val="center"/>
          </w:tcPr>
          <w:p w14:paraId="3C2F5298">
            <w:pPr>
              <w:pStyle w:val="84"/>
            </w:pPr>
          </w:p>
        </w:tc>
        <w:tc>
          <w:tcPr>
            <w:tcW w:w="1606" w:type="dxa"/>
            <w:vAlign w:val="center"/>
          </w:tcPr>
          <w:p w14:paraId="0307BE32">
            <w:pPr>
              <w:pStyle w:val="84"/>
            </w:pPr>
            <w:r>
              <w:rPr>
                <w:rFonts w:hint="eastAsia"/>
              </w:rPr>
              <w:t>施工生活区</w:t>
            </w:r>
          </w:p>
        </w:tc>
        <w:tc>
          <w:tcPr>
            <w:tcW w:w="4376" w:type="dxa"/>
            <w:vAlign w:val="center"/>
          </w:tcPr>
          <w:p w14:paraId="189C183B">
            <w:pPr>
              <w:pStyle w:val="84"/>
            </w:pPr>
            <w:r>
              <w:rPr>
                <w:rFonts w:hint="eastAsia"/>
              </w:rPr>
              <w:t>施工生活垃圾是否得到妥善处置。</w:t>
            </w:r>
          </w:p>
        </w:tc>
        <w:tc>
          <w:tcPr>
            <w:tcW w:w="1134" w:type="dxa"/>
            <w:vMerge w:val="continue"/>
            <w:vAlign w:val="center"/>
          </w:tcPr>
          <w:p w14:paraId="516049BC">
            <w:pPr>
              <w:pStyle w:val="84"/>
              <w:rPr>
                <w:highlight w:val="green"/>
              </w:rPr>
            </w:pPr>
          </w:p>
        </w:tc>
        <w:tc>
          <w:tcPr>
            <w:tcW w:w="1535" w:type="dxa"/>
            <w:vMerge w:val="continue"/>
            <w:vAlign w:val="center"/>
          </w:tcPr>
          <w:p w14:paraId="0FA405B0">
            <w:pPr>
              <w:pStyle w:val="84"/>
              <w:rPr>
                <w:highlight w:val="green"/>
              </w:rPr>
            </w:pPr>
          </w:p>
        </w:tc>
      </w:tr>
    </w:tbl>
    <w:p w14:paraId="6C456D9B">
      <w:pPr>
        <w:pStyle w:val="4"/>
        <w:spacing w:before="240"/>
        <w:rPr>
          <w:snapToGrid w:val="0"/>
        </w:rPr>
      </w:pPr>
      <w:bookmarkStart w:id="1073" w:name="_Toc397428445"/>
      <w:bookmarkStart w:id="1074" w:name="_Toc443655541"/>
      <w:bookmarkStart w:id="1075" w:name="_Toc414374605"/>
      <w:bookmarkStart w:id="1076" w:name="_Toc508642541"/>
      <w:bookmarkStart w:id="1077" w:name="_Toc405206808"/>
      <w:bookmarkStart w:id="1078" w:name="_Toc454046644"/>
      <w:bookmarkStart w:id="1079" w:name="_Toc471738113"/>
      <w:r>
        <w:rPr>
          <w:rFonts w:hint="eastAsia"/>
          <w:snapToGrid w:val="0"/>
        </w:rPr>
        <w:t>10.3</w:t>
      </w:r>
      <w:r>
        <w:rPr>
          <w:snapToGrid w:val="0"/>
        </w:rPr>
        <w:t>环境监测</w:t>
      </w:r>
      <w:bookmarkEnd w:id="1073"/>
      <w:r>
        <w:rPr>
          <w:rFonts w:hint="eastAsia"/>
          <w:snapToGrid w:val="0"/>
        </w:rPr>
        <w:t>计划</w:t>
      </w:r>
      <w:bookmarkEnd w:id="1074"/>
      <w:bookmarkEnd w:id="1075"/>
      <w:bookmarkEnd w:id="1076"/>
      <w:bookmarkEnd w:id="1077"/>
      <w:bookmarkEnd w:id="1078"/>
      <w:bookmarkEnd w:id="1079"/>
    </w:p>
    <w:p w14:paraId="5F0B988E">
      <w:pPr>
        <w:pStyle w:val="113"/>
      </w:pPr>
      <w:bookmarkStart w:id="1080" w:name="_Toc534485822"/>
      <w:bookmarkStart w:id="1081" w:name="_Toc377115190"/>
      <w:bookmarkStart w:id="1082" w:name="_Toc534485326"/>
      <w:bookmarkStart w:id="1083" w:name="_Toc377420856"/>
      <w:bookmarkStart w:id="1084" w:name="_Toc454046645"/>
      <w:bookmarkStart w:id="1085" w:name="_Toc508642542"/>
      <w:bookmarkStart w:id="1086" w:name="_Toc405206809"/>
      <w:bookmarkStart w:id="1087" w:name="_Toc414374606"/>
      <w:bookmarkStart w:id="1088" w:name="_Toc471738114"/>
      <w:bookmarkStart w:id="1089" w:name="_Toc397428446"/>
      <w:bookmarkStart w:id="1090" w:name="_Toc377831976"/>
      <w:bookmarkStart w:id="1091" w:name="_Toc443655542"/>
      <w:r>
        <w:rPr>
          <w:rFonts w:hint="eastAsia"/>
        </w:rPr>
        <w:t>10.3.1</w:t>
      </w:r>
      <w:r>
        <w:t>环境监测目的</w:t>
      </w:r>
      <w:bookmarkEnd w:id="1080"/>
      <w:bookmarkEnd w:id="1081"/>
      <w:bookmarkEnd w:id="1082"/>
      <w:bookmarkEnd w:id="1083"/>
      <w:bookmarkEnd w:id="1084"/>
      <w:bookmarkEnd w:id="1085"/>
      <w:bookmarkEnd w:id="1086"/>
      <w:bookmarkEnd w:id="1087"/>
      <w:bookmarkEnd w:id="1088"/>
      <w:bookmarkEnd w:id="1089"/>
      <w:bookmarkEnd w:id="1090"/>
      <w:bookmarkEnd w:id="1091"/>
    </w:p>
    <w:p w14:paraId="61DE7D4B">
      <w:pPr>
        <w:ind w:firstLine="480"/>
      </w:pPr>
      <w:r>
        <w:t>环境要素的变化存在各种不确定因素，只有通过监测才能够客观准确地评估环境影响的危害，预防项目施工、</w:t>
      </w:r>
      <w:r>
        <w:rPr>
          <w:rFonts w:hint="eastAsia"/>
        </w:rPr>
        <w:t>运行过程</w:t>
      </w:r>
      <w:r>
        <w:t>中的不利因素，有利于项目的开发进度和正常生产，减轻环境问题对</w:t>
      </w:r>
      <w:r>
        <w:rPr>
          <w:rFonts w:hint="eastAsia"/>
        </w:rPr>
        <w:t>项目运行</w:t>
      </w:r>
      <w:r>
        <w:t>和公众生存环境的威胁，避免因项目开发带来新的环境问题。</w:t>
      </w:r>
    </w:p>
    <w:p w14:paraId="6C1A6044">
      <w:pPr>
        <w:ind w:firstLine="480"/>
      </w:pPr>
      <w:r>
        <w:t>为及时掌握</w:t>
      </w:r>
      <w:r>
        <w:rPr>
          <w:rFonts w:hint="eastAsia"/>
        </w:rPr>
        <w:t>该项目</w:t>
      </w:r>
      <w:r>
        <w:t>施工期废气、废水、噪声、</w:t>
      </w:r>
      <w:r>
        <w:rPr>
          <w:rFonts w:hint="eastAsia"/>
        </w:rPr>
        <w:t>固废</w:t>
      </w:r>
      <w:r>
        <w:t>排放情况，了解在</w:t>
      </w:r>
      <w:r>
        <w:rPr>
          <w:rFonts w:hint="eastAsia"/>
        </w:rPr>
        <w:t>项目</w:t>
      </w:r>
      <w:r>
        <w:t>施工期、运行期的环境质量</w:t>
      </w:r>
      <w:r>
        <w:rPr>
          <w:rFonts w:hint="eastAsia"/>
        </w:rPr>
        <w:t>状况</w:t>
      </w:r>
      <w:r>
        <w:t>，预防突发性污染事故对环境的危害，为施工期、运行期的环境保护及污染控制、环境监测和环境管理提供科学的依据，需进行环境监测。</w:t>
      </w:r>
    </w:p>
    <w:p w14:paraId="753D687F">
      <w:pPr>
        <w:pStyle w:val="113"/>
      </w:pPr>
      <w:bookmarkStart w:id="1092" w:name="_Toc508642543"/>
      <w:bookmarkStart w:id="1093" w:name="_Toc471738115"/>
      <w:bookmarkStart w:id="1094" w:name="_Toc534485823"/>
      <w:bookmarkStart w:id="1095" w:name="_Toc534485327"/>
      <w:bookmarkStart w:id="1096" w:name="_Toc377115191"/>
      <w:bookmarkStart w:id="1097" w:name="_Toc405206810"/>
      <w:bookmarkStart w:id="1098" w:name="_Toc454046646"/>
      <w:bookmarkStart w:id="1099" w:name="_Toc443655543"/>
      <w:bookmarkStart w:id="1100" w:name="_Toc397428447"/>
      <w:bookmarkStart w:id="1101" w:name="_Toc377420857"/>
      <w:bookmarkStart w:id="1102" w:name="_Toc414374607"/>
      <w:bookmarkStart w:id="1103" w:name="_Toc377831977"/>
      <w:r>
        <w:rPr>
          <w:rFonts w:hint="eastAsia"/>
        </w:rPr>
        <w:t>10.3</w:t>
      </w:r>
      <w:r>
        <w:t>.2</w:t>
      </w:r>
      <w:r>
        <w:rPr>
          <w:rFonts w:hint="eastAsia"/>
        </w:rPr>
        <w:t>环境</w:t>
      </w:r>
      <w:r>
        <w:t>监测内容</w:t>
      </w:r>
      <w:bookmarkEnd w:id="1092"/>
      <w:bookmarkEnd w:id="1093"/>
      <w:bookmarkEnd w:id="1094"/>
      <w:bookmarkEnd w:id="1095"/>
      <w:bookmarkEnd w:id="1096"/>
      <w:bookmarkEnd w:id="1097"/>
      <w:bookmarkEnd w:id="1098"/>
      <w:bookmarkEnd w:id="1099"/>
      <w:bookmarkEnd w:id="1100"/>
      <w:bookmarkEnd w:id="1101"/>
      <w:bookmarkEnd w:id="1102"/>
      <w:bookmarkEnd w:id="1103"/>
    </w:p>
    <w:p w14:paraId="6CA60F7C">
      <w:pPr>
        <w:ind w:firstLine="480"/>
        <w:rPr>
          <w:rFonts w:cstheme="minorBidi"/>
          <w:szCs w:val="24"/>
        </w:rPr>
      </w:pPr>
      <w:r>
        <w:rPr>
          <w:rFonts w:hint="eastAsia" w:cstheme="minorBidi"/>
          <w:szCs w:val="24"/>
        </w:rPr>
        <w:t>1、地表水质量监测</w:t>
      </w:r>
    </w:p>
    <w:p w14:paraId="11C0E4A9">
      <w:pPr>
        <w:ind w:firstLine="480"/>
        <w:rPr>
          <w:szCs w:val="24"/>
        </w:rPr>
      </w:pPr>
      <w:r>
        <w:rPr>
          <w:rFonts w:hint="eastAsia"/>
          <w:szCs w:val="24"/>
        </w:rPr>
        <w:t>监测</w:t>
      </w:r>
      <w:r>
        <w:rPr>
          <w:rFonts w:hint="eastAsia"/>
        </w:rPr>
        <w:t>点位：电站坝址上游100m处设一个，厂房尾水口下游100m处设一个，共设2个监测断面；</w:t>
      </w:r>
    </w:p>
    <w:p w14:paraId="285D1535">
      <w:pPr>
        <w:ind w:firstLine="480"/>
        <w:rPr>
          <w:szCs w:val="24"/>
        </w:rPr>
      </w:pPr>
      <w:r>
        <w:rPr>
          <w:rFonts w:hint="eastAsia"/>
          <w:szCs w:val="24"/>
        </w:rPr>
        <w:t>监测项目：</w:t>
      </w:r>
      <w:r>
        <w:t>pH</w:t>
      </w:r>
      <w:r>
        <w:rPr>
          <w:rFonts w:hint="eastAsia"/>
        </w:rPr>
        <w:t>、</w:t>
      </w:r>
      <w:r>
        <w:t>DO</w:t>
      </w:r>
      <w:r>
        <w:rPr>
          <w:rFonts w:hint="eastAsia"/>
        </w:rPr>
        <w:t>、</w:t>
      </w:r>
      <w:r>
        <w:t>COD</w:t>
      </w:r>
      <w:r>
        <w:rPr>
          <w:rFonts w:hint="eastAsia"/>
        </w:rPr>
        <w:t>、</w:t>
      </w:r>
      <w:r>
        <w:t>BOD</w:t>
      </w:r>
      <w:r>
        <w:rPr>
          <w:rFonts w:hint="eastAsia"/>
          <w:vertAlign w:val="subscript"/>
        </w:rPr>
        <w:t>5</w:t>
      </w:r>
      <w:r>
        <w:rPr>
          <w:rFonts w:hint="eastAsia"/>
        </w:rPr>
        <w:t>、</w:t>
      </w:r>
      <w:r>
        <w:t>NH</w:t>
      </w:r>
      <w:r>
        <w:rPr>
          <w:vertAlign w:val="subscript"/>
        </w:rPr>
        <w:t>3</w:t>
      </w:r>
      <w:r>
        <w:t>-N</w:t>
      </w:r>
      <w:r>
        <w:rPr>
          <w:rFonts w:hint="eastAsia"/>
        </w:rPr>
        <w:t>、</w:t>
      </w:r>
      <w:r>
        <w:t>SS</w:t>
      </w:r>
      <w:r>
        <w:rPr>
          <w:rFonts w:hint="eastAsia"/>
        </w:rPr>
        <w:t>、石油类、</w:t>
      </w:r>
      <w:r>
        <w:t>TP</w:t>
      </w:r>
      <w:r>
        <w:rPr>
          <w:rFonts w:hint="eastAsia"/>
        </w:rPr>
        <w:t>、</w:t>
      </w:r>
      <w:r>
        <w:t>TN</w:t>
      </w:r>
      <w:r>
        <w:rPr>
          <w:rFonts w:hint="eastAsia"/>
        </w:rPr>
        <w:t>、粪大肠菌群</w:t>
      </w:r>
      <w:r>
        <w:t>等</w:t>
      </w:r>
      <w:r>
        <w:rPr>
          <w:rFonts w:hint="eastAsia"/>
        </w:rPr>
        <w:t>10</w:t>
      </w:r>
      <w:r>
        <w:t>项</w:t>
      </w:r>
      <w:r>
        <w:rPr>
          <w:rFonts w:hint="eastAsia"/>
        </w:rPr>
        <w:t>；</w:t>
      </w:r>
    </w:p>
    <w:p w14:paraId="5872E832">
      <w:pPr>
        <w:ind w:firstLine="480"/>
        <w:rPr>
          <w:color w:val="FF0000"/>
          <w:szCs w:val="24"/>
        </w:rPr>
      </w:pPr>
      <w:r>
        <w:rPr>
          <w:rFonts w:hint="eastAsia" w:cstheme="minorBidi"/>
          <w:szCs w:val="24"/>
        </w:rPr>
        <w:t>监测频率：</w:t>
      </w:r>
      <w:r>
        <w:rPr>
          <w:rFonts w:hint="eastAsia"/>
          <w:szCs w:val="24"/>
        </w:rPr>
        <w:t>施工高峰期进行1次水质监测，连续采样3天，每天采集一个混合水样；</w:t>
      </w:r>
      <w:r>
        <w:rPr>
          <w:rFonts w:hint="eastAsia"/>
          <w:color w:val="FF0000"/>
          <w:szCs w:val="24"/>
        </w:rPr>
        <w:t>运行期（含试运行期）每年1次，连续采样3天，每天采集一个混合水样。</w:t>
      </w:r>
    </w:p>
    <w:p w14:paraId="797F6404">
      <w:pPr>
        <w:ind w:firstLine="480"/>
        <w:rPr>
          <w:szCs w:val="24"/>
        </w:rPr>
      </w:pPr>
      <w:r>
        <w:rPr>
          <w:rFonts w:hint="eastAsia"/>
          <w:szCs w:val="24"/>
        </w:rPr>
        <w:t>监测方法：水样采集及分析方法按《水环境监测技术规范》（SL219-98）和《地表水环境质量标准》（GB3838-2002）的要求和指定方法进行。</w:t>
      </w:r>
    </w:p>
    <w:p w14:paraId="3EC205ED">
      <w:pPr>
        <w:ind w:firstLine="480"/>
        <w:rPr>
          <w:szCs w:val="24"/>
        </w:rPr>
      </w:pPr>
      <w:r>
        <w:rPr>
          <w:rFonts w:hint="eastAsia"/>
          <w:szCs w:val="24"/>
        </w:rPr>
        <w:t>2、运行期厂界噪声监测</w:t>
      </w:r>
    </w:p>
    <w:p w14:paraId="6E19A8DD">
      <w:pPr>
        <w:pStyle w:val="9"/>
        <w:ind w:firstLine="480"/>
      </w:pPr>
      <w:r>
        <w:rPr>
          <w:rFonts w:hint="eastAsia"/>
        </w:rPr>
        <w:t>监测点位：厂界四周；</w:t>
      </w:r>
    </w:p>
    <w:p w14:paraId="63929989">
      <w:pPr>
        <w:ind w:firstLine="480"/>
        <w:rPr>
          <w:szCs w:val="24"/>
        </w:rPr>
      </w:pPr>
      <w:r>
        <w:rPr>
          <w:rFonts w:hint="eastAsia"/>
          <w:szCs w:val="24"/>
        </w:rPr>
        <w:t>监测项目：Leq(A)；</w:t>
      </w:r>
    </w:p>
    <w:p w14:paraId="3E41F35F">
      <w:pPr>
        <w:pStyle w:val="9"/>
        <w:ind w:firstLine="480"/>
      </w:pPr>
      <w:r>
        <w:rPr>
          <w:rFonts w:hint="eastAsia"/>
        </w:rPr>
        <w:t>监测频率：运行期第一年，机组75%以上负荷正常运行时昼夜各1次；</w:t>
      </w:r>
    </w:p>
    <w:p w14:paraId="15185F60">
      <w:pPr>
        <w:ind w:firstLine="480"/>
      </w:pPr>
      <w:r>
        <w:rPr>
          <w:rFonts w:hint="eastAsia"/>
        </w:rPr>
        <w:t>监测方法：按照《声环境质量标准》（</w:t>
      </w:r>
      <w:r>
        <w:t>GB3096-2008</w:t>
      </w:r>
      <w:r>
        <w:rPr>
          <w:rFonts w:hint="eastAsia"/>
        </w:rPr>
        <w:t>）中的环境噪声监测要求进行监测。</w:t>
      </w:r>
    </w:p>
    <w:p w14:paraId="61950E38">
      <w:pPr>
        <w:pStyle w:val="82"/>
        <w:framePr w:hSpace="0" w:wrap="auto" w:vAnchor="margin" w:hAnchor="text" w:xAlign="left" w:yAlign="inline"/>
      </w:pPr>
      <w:r>
        <w:rPr>
          <w:rFonts w:hint="eastAsia"/>
        </w:rPr>
        <w:t>表10-3-1    环境监测计划一览表</w:t>
      </w:r>
    </w:p>
    <w:tbl>
      <w:tblPr>
        <w:tblStyle w:val="635"/>
        <w:tblW w:w="936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5"/>
        <w:gridCol w:w="2689"/>
        <w:gridCol w:w="2545"/>
        <w:gridCol w:w="3102"/>
      </w:tblGrid>
      <w:tr w14:paraId="6D8D3C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25" w:type="dxa"/>
            <w:vAlign w:val="center"/>
          </w:tcPr>
          <w:p w14:paraId="74F97651">
            <w:pPr>
              <w:pStyle w:val="84"/>
            </w:pPr>
            <w:r>
              <w:t>类别</w:t>
            </w:r>
          </w:p>
        </w:tc>
        <w:tc>
          <w:tcPr>
            <w:tcW w:w="2689" w:type="dxa"/>
            <w:vAlign w:val="center"/>
          </w:tcPr>
          <w:p w14:paraId="6A89F56D">
            <w:pPr>
              <w:pStyle w:val="84"/>
            </w:pPr>
            <w:r>
              <w:rPr>
                <w:rFonts w:hint="eastAsia"/>
              </w:rPr>
              <w:t>监测点位</w:t>
            </w:r>
          </w:p>
        </w:tc>
        <w:tc>
          <w:tcPr>
            <w:tcW w:w="2545" w:type="dxa"/>
            <w:vAlign w:val="center"/>
          </w:tcPr>
          <w:p w14:paraId="0697CE64">
            <w:pPr>
              <w:pStyle w:val="84"/>
            </w:pPr>
            <w:r>
              <w:t>监测项目</w:t>
            </w:r>
          </w:p>
        </w:tc>
        <w:tc>
          <w:tcPr>
            <w:tcW w:w="3102" w:type="dxa"/>
            <w:vAlign w:val="center"/>
          </w:tcPr>
          <w:p w14:paraId="1ACE48CC">
            <w:pPr>
              <w:pStyle w:val="84"/>
            </w:pPr>
            <w:r>
              <w:t>监测频率</w:t>
            </w:r>
          </w:p>
        </w:tc>
      </w:tr>
      <w:tr w14:paraId="2A3A10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25" w:type="dxa"/>
            <w:vAlign w:val="center"/>
          </w:tcPr>
          <w:p w14:paraId="2D20F6D1">
            <w:pPr>
              <w:pStyle w:val="84"/>
            </w:pPr>
            <w:r>
              <w:t>地表水</w:t>
            </w:r>
          </w:p>
        </w:tc>
        <w:tc>
          <w:tcPr>
            <w:tcW w:w="2689" w:type="dxa"/>
            <w:vAlign w:val="center"/>
          </w:tcPr>
          <w:p w14:paraId="7C1EB71A">
            <w:pPr>
              <w:pStyle w:val="84"/>
            </w:pPr>
            <w:r>
              <w:rPr>
                <w:rFonts w:hint="eastAsia"/>
              </w:rPr>
              <w:t>电站坝址上游100m处设一个，厂房尾水口下游100m处设一个，共设2个监测断面</w:t>
            </w:r>
          </w:p>
        </w:tc>
        <w:tc>
          <w:tcPr>
            <w:tcW w:w="2545" w:type="dxa"/>
            <w:vAlign w:val="center"/>
          </w:tcPr>
          <w:p w14:paraId="6B8FF18E">
            <w:pPr>
              <w:pStyle w:val="84"/>
            </w:pPr>
            <w:r>
              <w:t>pH</w:t>
            </w:r>
            <w:r>
              <w:rPr>
                <w:rFonts w:hint="eastAsia"/>
              </w:rPr>
              <w:t>、</w:t>
            </w:r>
            <w:r>
              <w:t>DO</w:t>
            </w:r>
            <w:r>
              <w:rPr>
                <w:rFonts w:hint="eastAsia"/>
              </w:rPr>
              <w:t>、</w:t>
            </w:r>
            <w:r>
              <w:t>COD</w:t>
            </w:r>
            <w:r>
              <w:rPr>
                <w:rFonts w:hint="eastAsia"/>
              </w:rPr>
              <w:t>、</w:t>
            </w:r>
            <w:r>
              <w:t>BOD</w:t>
            </w:r>
            <w:r>
              <w:rPr>
                <w:rFonts w:hint="eastAsia"/>
                <w:vertAlign w:val="subscript"/>
              </w:rPr>
              <w:t>5</w:t>
            </w:r>
            <w:r>
              <w:rPr>
                <w:rFonts w:hint="eastAsia"/>
              </w:rPr>
              <w:t>、</w:t>
            </w:r>
            <w:r>
              <w:t>NH</w:t>
            </w:r>
            <w:r>
              <w:rPr>
                <w:vertAlign w:val="subscript"/>
              </w:rPr>
              <w:t>3</w:t>
            </w:r>
            <w:r>
              <w:t>-N</w:t>
            </w:r>
            <w:r>
              <w:rPr>
                <w:rFonts w:hint="eastAsia"/>
              </w:rPr>
              <w:t>、</w:t>
            </w:r>
            <w:r>
              <w:t>SS</w:t>
            </w:r>
            <w:r>
              <w:rPr>
                <w:rFonts w:hint="eastAsia"/>
              </w:rPr>
              <w:t>、石油类、</w:t>
            </w:r>
            <w:r>
              <w:t>TP</w:t>
            </w:r>
            <w:r>
              <w:rPr>
                <w:rFonts w:hint="eastAsia"/>
              </w:rPr>
              <w:t>、</w:t>
            </w:r>
            <w:r>
              <w:t>TN</w:t>
            </w:r>
            <w:r>
              <w:rPr>
                <w:rFonts w:hint="eastAsia"/>
              </w:rPr>
              <w:t>、粪大肠菌群</w:t>
            </w:r>
          </w:p>
        </w:tc>
        <w:tc>
          <w:tcPr>
            <w:tcW w:w="3102" w:type="dxa"/>
            <w:vAlign w:val="center"/>
          </w:tcPr>
          <w:p w14:paraId="7827BC24">
            <w:pPr>
              <w:pStyle w:val="84"/>
            </w:pPr>
            <w:r>
              <w:rPr>
                <w:rFonts w:hint="eastAsia"/>
              </w:rPr>
              <w:t>施工高峰期进行1次水质监测，连续采样3天，每天采集一个混合水样；运行期（含试运行期）</w:t>
            </w:r>
            <w:r>
              <w:rPr>
                <w:rFonts w:hint="eastAsia"/>
                <w:color w:val="FF0000"/>
              </w:rPr>
              <w:t>每年1次，</w:t>
            </w:r>
            <w:r>
              <w:rPr>
                <w:rFonts w:hint="eastAsia"/>
              </w:rPr>
              <w:t>连续采样3天，每天采集一个混合水样</w:t>
            </w:r>
          </w:p>
        </w:tc>
      </w:tr>
      <w:tr w14:paraId="7F9893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25" w:type="dxa"/>
            <w:vAlign w:val="center"/>
          </w:tcPr>
          <w:p w14:paraId="51C54962">
            <w:pPr>
              <w:pStyle w:val="84"/>
            </w:pPr>
            <w:r>
              <w:rPr>
                <w:rFonts w:hint="eastAsia"/>
              </w:rPr>
              <w:t>噪声</w:t>
            </w:r>
          </w:p>
        </w:tc>
        <w:tc>
          <w:tcPr>
            <w:tcW w:w="2689" w:type="dxa"/>
            <w:vAlign w:val="center"/>
          </w:tcPr>
          <w:p w14:paraId="3FEE6F24">
            <w:pPr>
              <w:pStyle w:val="84"/>
            </w:pPr>
            <w:r>
              <w:rPr>
                <w:rFonts w:hint="eastAsia"/>
              </w:rPr>
              <w:t>厂界四周</w:t>
            </w:r>
          </w:p>
        </w:tc>
        <w:tc>
          <w:tcPr>
            <w:tcW w:w="2545" w:type="dxa"/>
            <w:vAlign w:val="center"/>
          </w:tcPr>
          <w:p w14:paraId="046C5DE8">
            <w:pPr>
              <w:pStyle w:val="84"/>
            </w:pPr>
            <w:r>
              <w:rPr>
                <w:rFonts w:hint="eastAsia"/>
              </w:rPr>
              <w:t>Leq(A)</w:t>
            </w:r>
          </w:p>
        </w:tc>
        <w:tc>
          <w:tcPr>
            <w:tcW w:w="3102" w:type="dxa"/>
            <w:vAlign w:val="center"/>
          </w:tcPr>
          <w:p w14:paraId="25E7432D">
            <w:pPr>
              <w:pStyle w:val="84"/>
            </w:pPr>
            <w:r>
              <w:rPr>
                <w:rFonts w:hint="eastAsia"/>
              </w:rPr>
              <w:t>运行期第一年，机组75%以上负荷正常运行时昼夜各1次</w:t>
            </w:r>
          </w:p>
        </w:tc>
      </w:tr>
    </w:tbl>
    <w:p w14:paraId="66F59FF7">
      <w:pPr>
        <w:pStyle w:val="4"/>
        <w:spacing w:before="240"/>
      </w:pPr>
      <w:bookmarkStart w:id="1104" w:name="_Toc397428448"/>
      <w:bookmarkStart w:id="1105" w:name="_Toc385867959"/>
      <w:bookmarkStart w:id="1106" w:name="_Toc405206811"/>
      <w:bookmarkStart w:id="1107" w:name="_Toc352170847"/>
      <w:bookmarkStart w:id="1108" w:name="_Toc291454500"/>
      <w:bookmarkStart w:id="1109" w:name="_Toc508642544"/>
      <w:bookmarkStart w:id="1110" w:name="_Toc443655544"/>
      <w:bookmarkStart w:id="1111" w:name="_Toc414374608"/>
      <w:bookmarkStart w:id="1112" w:name="_Toc454046647"/>
      <w:bookmarkStart w:id="1113" w:name="_Toc471738116"/>
      <w:r>
        <w:rPr>
          <w:rFonts w:hint="eastAsia"/>
        </w:rPr>
        <w:t>10.4环境保护竣工验收</w:t>
      </w:r>
      <w:bookmarkEnd w:id="1104"/>
      <w:bookmarkEnd w:id="1105"/>
      <w:bookmarkEnd w:id="1106"/>
      <w:bookmarkEnd w:id="1107"/>
      <w:bookmarkEnd w:id="1108"/>
      <w:bookmarkEnd w:id="1109"/>
      <w:bookmarkEnd w:id="1110"/>
      <w:bookmarkEnd w:id="1111"/>
      <w:bookmarkEnd w:id="1112"/>
      <w:bookmarkEnd w:id="1113"/>
    </w:p>
    <w:p w14:paraId="4EF5ED83">
      <w:pPr>
        <w:ind w:firstLine="480"/>
        <w:rPr>
          <w:rFonts w:hint="eastAsia"/>
        </w:rPr>
      </w:pPr>
      <w:r>
        <w:t>本</w:t>
      </w:r>
      <w:r>
        <w:rPr>
          <w:rFonts w:hint="eastAsia"/>
        </w:rPr>
        <w:t>项目</w:t>
      </w:r>
      <w:r>
        <w:t>所有环保设施均应与主体工程同时设计、同时施工、同时投产</w:t>
      </w:r>
      <w:r>
        <w:rPr>
          <w:rFonts w:hint="eastAsia"/>
        </w:rPr>
        <w:t>。项目</w:t>
      </w:r>
      <w:r>
        <w:t>竣工环境保护</w:t>
      </w:r>
      <w:r>
        <w:rPr>
          <w:rFonts w:hint="eastAsia"/>
        </w:rPr>
        <w:t>验收</w:t>
      </w:r>
      <w:r>
        <w:t>的主要内容见</w:t>
      </w:r>
      <w:r>
        <w:rPr>
          <w:rFonts w:hint="eastAsia"/>
        </w:rPr>
        <w:t>下表：</w:t>
      </w:r>
    </w:p>
    <w:p w14:paraId="0592FA4C">
      <w:pPr>
        <w:ind w:firstLine="480"/>
      </w:pPr>
    </w:p>
    <w:p w14:paraId="45A6721F">
      <w:pPr>
        <w:pStyle w:val="82"/>
        <w:framePr w:hSpace="0" w:wrap="auto" w:vAnchor="margin" w:hAnchor="text" w:xAlign="left" w:yAlign="inline"/>
      </w:pPr>
      <w:r>
        <w:rPr>
          <w:rFonts w:hint="eastAsia"/>
        </w:rPr>
        <w:t>表10-4-1  项目竣工环境保护验收一览表</w:t>
      </w:r>
    </w:p>
    <w:tbl>
      <w:tblPr>
        <w:tblStyle w:val="57"/>
        <w:tblW w:w="861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43"/>
        <w:gridCol w:w="4536"/>
        <w:gridCol w:w="43"/>
        <w:gridCol w:w="2664"/>
        <w:gridCol w:w="85"/>
      </w:tblGrid>
      <w:tr w14:paraId="1A2F2F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5" w:type="dxa"/>
          <w:jc w:val="center"/>
        </w:trPr>
        <w:tc>
          <w:tcPr>
            <w:tcW w:w="1285" w:type="dxa"/>
            <w:gridSpan w:val="2"/>
            <w:vAlign w:val="center"/>
          </w:tcPr>
          <w:p w14:paraId="41496F5A">
            <w:pPr>
              <w:pStyle w:val="84"/>
            </w:pPr>
            <w:r>
              <w:rPr>
                <w:rFonts w:hint="eastAsia"/>
              </w:rPr>
              <w:t>项目</w:t>
            </w:r>
          </w:p>
        </w:tc>
        <w:tc>
          <w:tcPr>
            <w:tcW w:w="4579" w:type="dxa"/>
            <w:gridSpan w:val="2"/>
            <w:vAlign w:val="center"/>
          </w:tcPr>
          <w:p w14:paraId="269C7209">
            <w:pPr>
              <w:pStyle w:val="84"/>
            </w:pPr>
            <w:r>
              <w:rPr>
                <w:rFonts w:hint="eastAsia"/>
              </w:rPr>
              <w:t>环保措施及设施</w:t>
            </w:r>
          </w:p>
        </w:tc>
        <w:tc>
          <w:tcPr>
            <w:tcW w:w="2664" w:type="dxa"/>
            <w:vAlign w:val="center"/>
          </w:tcPr>
          <w:p w14:paraId="50313C63">
            <w:pPr>
              <w:pStyle w:val="84"/>
            </w:pPr>
            <w:r>
              <w:rPr>
                <w:rFonts w:hint="eastAsia"/>
              </w:rPr>
              <w:t>验收标准及要求</w:t>
            </w:r>
          </w:p>
        </w:tc>
      </w:tr>
      <w:tr w14:paraId="503AFA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5" w:type="dxa"/>
          <w:jc w:val="center"/>
        </w:trPr>
        <w:tc>
          <w:tcPr>
            <w:tcW w:w="8528" w:type="dxa"/>
            <w:gridSpan w:val="5"/>
            <w:vAlign w:val="center"/>
          </w:tcPr>
          <w:p w14:paraId="60DB23BA">
            <w:pPr>
              <w:pStyle w:val="84"/>
            </w:pPr>
            <w:r>
              <w:rPr>
                <w:rFonts w:hint="eastAsia"/>
              </w:rPr>
              <w:t>施工期</w:t>
            </w:r>
          </w:p>
        </w:tc>
      </w:tr>
      <w:tr w14:paraId="59260E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5" w:type="dxa"/>
          <w:jc w:val="center"/>
        </w:trPr>
        <w:tc>
          <w:tcPr>
            <w:tcW w:w="1285" w:type="dxa"/>
            <w:gridSpan w:val="2"/>
            <w:vMerge w:val="restart"/>
            <w:vAlign w:val="center"/>
          </w:tcPr>
          <w:p w14:paraId="071FB91E">
            <w:pPr>
              <w:pStyle w:val="84"/>
            </w:pPr>
            <w:r>
              <w:rPr>
                <w:rFonts w:hint="eastAsia"/>
              </w:rPr>
              <w:t>生态环境</w:t>
            </w:r>
          </w:p>
        </w:tc>
        <w:tc>
          <w:tcPr>
            <w:tcW w:w="4579" w:type="dxa"/>
            <w:gridSpan w:val="2"/>
            <w:vAlign w:val="center"/>
          </w:tcPr>
          <w:p w14:paraId="64A08ADD">
            <w:pPr>
              <w:pStyle w:val="84"/>
              <w:ind w:firstLine="420" w:firstLineChars="200"/>
              <w:jc w:val="left"/>
              <w:rPr>
                <w:color w:val="FF00FF"/>
              </w:rPr>
            </w:pPr>
            <w:r>
              <w:rPr>
                <w:rFonts w:hint="eastAsia"/>
                <w:color w:val="FF00FF"/>
              </w:rPr>
              <w:t>尾水渠后设置消力池（60m×20m×5m），将部分尾水引至坝址附近排入芒市河内，作为减水河段的正常生态用水</w:t>
            </w:r>
          </w:p>
        </w:tc>
        <w:tc>
          <w:tcPr>
            <w:tcW w:w="2664" w:type="dxa"/>
            <w:vAlign w:val="center"/>
          </w:tcPr>
          <w:p w14:paraId="74997A6F">
            <w:pPr>
              <w:pStyle w:val="84"/>
              <w:rPr>
                <w:color w:val="FF00FF"/>
              </w:rPr>
            </w:pPr>
            <w:r>
              <w:rPr>
                <w:rFonts w:hint="eastAsia"/>
                <w:color w:val="FF00FF"/>
              </w:rPr>
              <w:t>预留15.84m</w:t>
            </w:r>
            <w:r>
              <w:rPr>
                <w:rFonts w:hint="eastAsia"/>
                <w:color w:val="FF00FF"/>
                <w:vertAlign w:val="superscript"/>
              </w:rPr>
              <w:t>3</w:t>
            </w:r>
            <w:r>
              <w:rPr>
                <w:rFonts w:hint="eastAsia"/>
                <w:color w:val="FF00FF"/>
              </w:rPr>
              <w:t>/s的生态流量，保证坝下河段不出现脱水、断流状况</w:t>
            </w:r>
          </w:p>
        </w:tc>
      </w:tr>
      <w:tr w14:paraId="608BE6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5" w:type="dxa"/>
          <w:jc w:val="center"/>
        </w:trPr>
        <w:tc>
          <w:tcPr>
            <w:tcW w:w="1285" w:type="dxa"/>
            <w:gridSpan w:val="2"/>
            <w:vMerge w:val="continue"/>
            <w:vAlign w:val="center"/>
          </w:tcPr>
          <w:p w14:paraId="2DABB4D6">
            <w:pPr>
              <w:pStyle w:val="84"/>
            </w:pPr>
          </w:p>
        </w:tc>
        <w:tc>
          <w:tcPr>
            <w:tcW w:w="4579" w:type="dxa"/>
            <w:gridSpan w:val="2"/>
            <w:vAlign w:val="center"/>
          </w:tcPr>
          <w:p w14:paraId="17779B40">
            <w:pPr>
              <w:pStyle w:val="84"/>
              <w:ind w:firstLine="420" w:firstLineChars="200"/>
              <w:jc w:val="left"/>
              <w:rPr>
                <w:b/>
                <w:color w:val="FF00FF"/>
              </w:rPr>
            </w:pPr>
            <w:r>
              <w:rPr>
                <w:rFonts w:hint="eastAsia"/>
                <w:color w:val="FF00FF"/>
              </w:rPr>
              <w:t>设置生态放流管以便在电站停运或检修期间下放足够的生态用水，并安装在线监测设备和监控系统</w:t>
            </w:r>
          </w:p>
        </w:tc>
        <w:tc>
          <w:tcPr>
            <w:tcW w:w="2664" w:type="dxa"/>
            <w:vAlign w:val="center"/>
          </w:tcPr>
          <w:p w14:paraId="4FD13FAF">
            <w:pPr>
              <w:pStyle w:val="84"/>
              <w:rPr>
                <w:color w:val="FF00FF"/>
              </w:rPr>
            </w:pPr>
            <w:r>
              <w:rPr>
                <w:rFonts w:hint="eastAsia"/>
                <w:color w:val="FF00FF"/>
              </w:rPr>
              <w:t>生态流量不小于5.28m</w:t>
            </w:r>
            <w:r>
              <w:rPr>
                <w:rFonts w:hint="eastAsia"/>
                <w:color w:val="FF00FF"/>
                <w:vertAlign w:val="superscript"/>
              </w:rPr>
              <w:t>3</w:t>
            </w:r>
            <w:r>
              <w:rPr>
                <w:rFonts w:hint="eastAsia"/>
                <w:color w:val="FF00FF"/>
              </w:rPr>
              <w:t>/s，保证电站停运或检修期间坝下河段不出现脱水、断流状况</w:t>
            </w:r>
          </w:p>
        </w:tc>
      </w:tr>
      <w:tr w14:paraId="75A64C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5" w:type="dxa"/>
          <w:jc w:val="center"/>
        </w:trPr>
        <w:tc>
          <w:tcPr>
            <w:tcW w:w="1285" w:type="dxa"/>
            <w:gridSpan w:val="2"/>
            <w:vMerge w:val="continue"/>
            <w:vAlign w:val="center"/>
          </w:tcPr>
          <w:p w14:paraId="0C4DDCDB">
            <w:pPr>
              <w:pStyle w:val="84"/>
              <w:rPr>
                <w:highlight w:val="green"/>
              </w:rPr>
            </w:pPr>
          </w:p>
        </w:tc>
        <w:tc>
          <w:tcPr>
            <w:tcW w:w="4579" w:type="dxa"/>
            <w:gridSpan w:val="2"/>
            <w:vAlign w:val="center"/>
          </w:tcPr>
          <w:p w14:paraId="3F0234F5">
            <w:pPr>
              <w:pStyle w:val="84"/>
              <w:ind w:firstLine="420" w:firstLineChars="200"/>
              <w:jc w:val="left"/>
            </w:pPr>
            <w:r>
              <w:rPr>
                <w:rFonts w:hint="eastAsia"/>
              </w:rPr>
              <w:t>严禁超计划占地，减少对植被的破坏；对慈竹和盾果草进行围挡，并进行挂牌保护</w:t>
            </w:r>
          </w:p>
        </w:tc>
        <w:tc>
          <w:tcPr>
            <w:tcW w:w="2664" w:type="dxa"/>
            <w:vAlign w:val="center"/>
          </w:tcPr>
          <w:p w14:paraId="54311DFC">
            <w:pPr>
              <w:pStyle w:val="84"/>
            </w:pPr>
            <w:r>
              <w:rPr>
                <w:rFonts w:hint="eastAsia"/>
              </w:rPr>
              <w:t>保护慈竹和盾果草不受施工破坏</w:t>
            </w:r>
          </w:p>
        </w:tc>
      </w:tr>
      <w:tr w14:paraId="689903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5" w:type="dxa"/>
          <w:jc w:val="center"/>
        </w:trPr>
        <w:tc>
          <w:tcPr>
            <w:tcW w:w="1285" w:type="dxa"/>
            <w:gridSpan w:val="2"/>
            <w:vMerge w:val="continue"/>
            <w:vAlign w:val="center"/>
          </w:tcPr>
          <w:p w14:paraId="05517816">
            <w:pPr>
              <w:pStyle w:val="84"/>
              <w:rPr>
                <w:highlight w:val="green"/>
              </w:rPr>
            </w:pPr>
          </w:p>
        </w:tc>
        <w:tc>
          <w:tcPr>
            <w:tcW w:w="4579" w:type="dxa"/>
            <w:gridSpan w:val="2"/>
            <w:vAlign w:val="center"/>
          </w:tcPr>
          <w:p w14:paraId="09E55FB9">
            <w:pPr>
              <w:pStyle w:val="84"/>
              <w:ind w:firstLine="420" w:firstLineChars="200"/>
              <w:jc w:val="left"/>
              <w:rPr>
                <w:color w:val="FF0000"/>
              </w:rPr>
            </w:pPr>
            <w:r>
              <w:rPr>
                <w:rFonts w:hint="eastAsia"/>
                <w:color w:val="FF0000"/>
              </w:rPr>
              <w:t>设置隔鱼、过鱼措施（如闸门式鱼道或者采取网捕过坝方式）</w:t>
            </w:r>
          </w:p>
        </w:tc>
        <w:tc>
          <w:tcPr>
            <w:tcW w:w="2664" w:type="dxa"/>
            <w:vAlign w:val="center"/>
          </w:tcPr>
          <w:p w14:paraId="3D950529">
            <w:pPr>
              <w:pStyle w:val="84"/>
              <w:rPr>
                <w:color w:val="FF0000"/>
              </w:rPr>
            </w:pPr>
            <w:r>
              <w:rPr>
                <w:rFonts w:hint="eastAsia"/>
                <w:color w:val="FF0000"/>
              </w:rPr>
              <w:t>防止鱼类进入厂房，保护短距离洄游鱼类的生境</w:t>
            </w:r>
          </w:p>
        </w:tc>
      </w:tr>
      <w:tr w14:paraId="3CCE64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5" w:type="dxa"/>
          <w:jc w:val="center"/>
        </w:trPr>
        <w:tc>
          <w:tcPr>
            <w:tcW w:w="1285" w:type="dxa"/>
            <w:gridSpan w:val="2"/>
            <w:vMerge w:val="continue"/>
            <w:vAlign w:val="center"/>
          </w:tcPr>
          <w:p w14:paraId="2459CA06">
            <w:pPr>
              <w:pStyle w:val="84"/>
              <w:rPr>
                <w:highlight w:val="green"/>
              </w:rPr>
            </w:pPr>
          </w:p>
        </w:tc>
        <w:tc>
          <w:tcPr>
            <w:tcW w:w="4579" w:type="dxa"/>
            <w:gridSpan w:val="2"/>
            <w:vAlign w:val="center"/>
          </w:tcPr>
          <w:p w14:paraId="3D7ACF3B">
            <w:pPr>
              <w:pStyle w:val="84"/>
              <w:ind w:firstLine="420" w:firstLineChars="200"/>
              <w:jc w:val="left"/>
            </w:pPr>
            <w:r>
              <w:t>严禁渣土、生活垃圾</w:t>
            </w:r>
            <w:r>
              <w:rPr>
                <w:rFonts w:hint="eastAsia"/>
              </w:rPr>
              <w:t>、</w:t>
            </w:r>
            <w:r>
              <w:t>未经处理的污废水倾倒入河</w:t>
            </w:r>
          </w:p>
        </w:tc>
        <w:tc>
          <w:tcPr>
            <w:tcW w:w="2664" w:type="dxa"/>
            <w:vAlign w:val="center"/>
          </w:tcPr>
          <w:p w14:paraId="040A98C9">
            <w:pPr>
              <w:pStyle w:val="84"/>
            </w:pPr>
            <w:r>
              <w:rPr>
                <w:rFonts w:hint="eastAsia"/>
              </w:rPr>
              <w:t>按环保及水保批复要求</w:t>
            </w:r>
          </w:p>
        </w:tc>
      </w:tr>
      <w:tr w14:paraId="7C7853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42" w:type="dxa"/>
            <w:vMerge w:val="restart"/>
            <w:vAlign w:val="center"/>
          </w:tcPr>
          <w:p w14:paraId="41013E77">
            <w:pPr>
              <w:pStyle w:val="84"/>
            </w:pPr>
            <w:r>
              <w:rPr>
                <w:rFonts w:hint="eastAsia"/>
              </w:rPr>
              <w:t>地表水</w:t>
            </w:r>
          </w:p>
          <w:p w14:paraId="751B163C">
            <w:pPr>
              <w:pStyle w:val="84"/>
            </w:pPr>
            <w:r>
              <w:rPr>
                <w:rFonts w:hint="eastAsia"/>
              </w:rPr>
              <w:t>环境</w:t>
            </w:r>
          </w:p>
        </w:tc>
        <w:tc>
          <w:tcPr>
            <w:tcW w:w="4579" w:type="dxa"/>
            <w:gridSpan w:val="2"/>
            <w:vAlign w:val="center"/>
          </w:tcPr>
          <w:p w14:paraId="7CFC0E31">
            <w:pPr>
              <w:pStyle w:val="84"/>
              <w:ind w:firstLine="420" w:firstLineChars="200"/>
              <w:jc w:val="left"/>
            </w:pPr>
            <w:r>
              <w:rPr>
                <w:rFonts w:hint="eastAsia"/>
              </w:rPr>
              <w:t>设置沉淀池（一用一备，容积均为75m</w:t>
            </w:r>
            <w:r>
              <w:rPr>
                <w:rFonts w:hint="eastAsia"/>
                <w:vertAlign w:val="superscript"/>
              </w:rPr>
              <w:t>3</w:t>
            </w:r>
            <w:r>
              <w:rPr>
                <w:rFonts w:hint="eastAsia"/>
              </w:rPr>
              <w:t>/个，共设置2个）来处理生产废水，上清液回用于生产</w:t>
            </w:r>
          </w:p>
        </w:tc>
        <w:tc>
          <w:tcPr>
            <w:tcW w:w="2792" w:type="dxa"/>
            <w:gridSpan w:val="3"/>
            <w:vMerge w:val="restart"/>
            <w:vAlign w:val="center"/>
          </w:tcPr>
          <w:p w14:paraId="34174771">
            <w:pPr>
              <w:pStyle w:val="84"/>
              <w:ind w:firstLine="420" w:firstLineChars="200"/>
              <w:jc w:val="left"/>
            </w:pPr>
            <w:r>
              <w:rPr>
                <w:rFonts w:hint="eastAsia"/>
              </w:rPr>
              <w:t>废水回用不外排</w:t>
            </w:r>
          </w:p>
        </w:tc>
      </w:tr>
      <w:tr w14:paraId="75023C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42" w:type="dxa"/>
            <w:vMerge w:val="continue"/>
            <w:vAlign w:val="center"/>
          </w:tcPr>
          <w:p w14:paraId="54C5BE51">
            <w:pPr>
              <w:pStyle w:val="84"/>
              <w:rPr>
                <w:highlight w:val="green"/>
              </w:rPr>
            </w:pPr>
          </w:p>
        </w:tc>
        <w:tc>
          <w:tcPr>
            <w:tcW w:w="4579" w:type="dxa"/>
            <w:gridSpan w:val="2"/>
            <w:vAlign w:val="center"/>
          </w:tcPr>
          <w:p w14:paraId="4779933E">
            <w:pPr>
              <w:pStyle w:val="84"/>
              <w:ind w:firstLine="420" w:firstLineChars="200"/>
              <w:jc w:val="left"/>
            </w:pPr>
            <w:r>
              <w:rPr>
                <w:rFonts w:hint="eastAsia"/>
              </w:rPr>
              <w:t>施工生活污水经隔油池（设置1个，容积为1m</w:t>
            </w:r>
            <w:r>
              <w:rPr>
                <w:rFonts w:hint="eastAsia"/>
                <w:vertAlign w:val="superscript"/>
              </w:rPr>
              <w:t>3</w:t>
            </w:r>
            <w:r>
              <w:rPr>
                <w:rFonts w:hint="eastAsia"/>
              </w:rPr>
              <w:t>）、沉淀池（设置1个，容积为5m</w:t>
            </w:r>
            <w:r>
              <w:rPr>
                <w:rFonts w:hint="eastAsia"/>
                <w:vertAlign w:val="superscript"/>
              </w:rPr>
              <w:t>3</w:t>
            </w:r>
            <w:r>
              <w:rPr>
                <w:rFonts w:hint="eastAsia"/>
              </w:rPr>
              <w:t>）处理后回用于场地洒水降尘，不外排；施工营地设置旱厕，污粪定期清掏后用作绿化施肥</w:t>
            </w:r>
          </w:p>
        </w:tc>
        <w:tc>
          <w:tcPr>
            <w:tcW w:w="2792" w:type="dxa"/>
            <w:gridSpan w:val="3"/>
            <w:vMerge w:val="continue"/>
            <w:vAlign w:val="center"/>
          </w:tcPr>
          <w:p w14:paraId="4589F24F">
            <w:pPr>
              <w:pStyle w:val="84"/>
              <w:ind w:firstLine="420" w:firstLineChars="200"/>
              <w:jc w:val="left"/>
            </w:pPr>
          </w:p>
        </w:tc>
      </w:tr>
      <w:tr w14:paraId="553779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5" w:type="dxa"/>
          <w:jc w:val="center"/>
        </w:trPr>
        <w:tc>
          <w:tcPr>
            <w:tcW w:w="1285" w:type="dxa"/>
            <w:gridSpan w:val="2"/>
            <w:vAlign w:val="center"/>
          </w:tcPr>
          <w:p w14:paraId="202AADAC">
            <w:pPr>
              <w:pStyle w:val="84"/>
            </w:pPr>
            <w:r>
              <w:rPr>
                <w:rFonts w:hint="eastAsia"/>
              </w:rPr>
              <w:t>大气环境</w:t>
            </w:r>
          </w:p>
        </w:tc>
        <w:tc>
          <w:tcPr>
            <w:tcW w:w="4579" w:type="dxa"/>
            <w:gridSpan w:val="2"/>
            <w:vAlign w:val="center"/>
          </w:tcPr>
          <w:p w14:paraId="24C59309">
            <w:pPr>
              <w:pStyle w:val="84"/>
              <w:ind w:firstLine="420" w:firstLineChars="200"/>
              <w:jc w:val="left"/>
            </w:pPr>
            <w:r>
              <w:rPr>
                <w:rFonts w:hint="eastAsia"/>
              </w:rPr>
              <w:t>施工场地、施工运输道路定期洒水降尘；物料运输加盖</w:t>
            </w:r>
            <w:r>
              <w:rPr>
                <w:rFonts w:hint="eastAsia"/>
                <w:lang w:eastAsia="zh-CN"/>
              </w:rPr>
              <w:t>篷布</w:t>
            </w:r>
            <w:r>
              <w:rPr>
                <w:rFonts w:hint="eastAsia"/>
              </w:rPr>
              <w:t>；对散落的渣土及时清扫，并定期检修、保养施工机械设备</w:t>
            </w:r>
          </w:p>
        </w:tc>
        <w:tc>
          <w:tcPr>
            <w:tcW w:w="2664" w:type="dxa"/>
            <w:vAlign w:val="center"/>
          </w:tcPr>
          <w:p w14:paraId="062F16CF">
            <w:pPr>
              <w:pStyle w:val="84"/>
            </w:pPr>
            <w:r>
              <w:rPr>
                <w:rFonts w:hint="eastAsia"/>
              </w:rPr>
              <w:t>《大气污染物综合排放标准》（GB16297-1996）无组织排放监控浓度限值</w:t>
            </w:r>
          </w:p>
        </w:tc>
      </w:tr>
      <w:tr w14:paraId="50C35C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5" w:type="dxa"/>
          <w:jc w:val="center"/>
        </w:trPr>
        <w:tc>
          <w:tcPr>
            <w:tcW w:w="1285" w:type="dxa"/>
            <w:gridSpan w:val="2"/>
            <w:vMerge w:val="restart"/>
            <w:vAlign w:val="center"/>
          </w:tcPr>
          <w:p w14:paraId="37C868FE">
            <w:pPr>
              <w:pStyle w:val="84"/>
            </w:pPr>
            <w:r>
              <w:rPr>
                <w:rFonts w:hint="eastAsia"/>
              </w:rPr>
              <w:t>声环境</w:t>
            </w:r>
          </w:p>
        </w:tc>
        <w:tc>
          <w:tcPr>
            <w:tcW w:w="4579" w:type="dxa"/>
            <w:gridSpan w:val="2"/>
            <w:vAlign w:val="center"/>
          </w:tcPr>
          <w:p w14:paraId="3608EBAC">
            <w:pPr>
              <w:pStyle w:val="84"/>
              <w:ind w:firstLine="420" w:firstLineChars="200"/>
              <w:jc w:val="left"/>
            </w:pPr>
            <w:r>
              <w:rPr>
                <w:rFonts w:cstheme="minorBidi"/>
              </w:rPr>
              <w:t>选用低噪声设备，合理规划施工组织设计，尽量避免同时使用多个</w:t>
            </w:r>
            <w:r>
              <w:rPr>
                <w:rFonts w:hint="eastAsia" w:cstheme="minorBidi"/>
              </w:rPr>
              <w:t>高</w:t>
            </w:r>
            <w:r>
              <w:rPr>
                <w:rFonts w:cstheme="minorBidi"/>
              </w:rPr>
              <w:t>噪声设备，高噪声设备的布置要远离施工生活区</w:t>
            </w:r>
          </w:p>
        </w:tc>
        <w:tc>
          <w:tcPr>
            <w:tcW w:w="2664" w:type="dxa"/>
            <w:vMerge w:val="restart"/>
            <w:vAlign w:val="center"/>
          </w:tcPr>
          <w:p w14:paraId="4B911A0C">
            <w:pPr>
              <w:pStyle w:val="84"/>
            </w:pPr>
            <w:r>
              <w:rPr>
                <w:rFonts w:cstheme="minorBidi"/>
              </w:rPr>
              <w:t>《建筑施工场界</w:t>
            </w:r>
            <w:r>
              <w:rPr>
                <w:rFonts w:hint="eastAsia" w:cstheme="minorBidi"/>
              </w:rPr>
              <w:t>环境</w:t>
            </w:r>
            <w:r>
              <w:rPr>
                <w:rFonts w:cstheme="minorBidi"/>
              </w:rPr>
              <w:t>噪声</w:t>
            </w:r>
            <w:r>
              <w:rPr>
                <w:rFonts w:hint="eastAsia" w:cstheme="minorBidi"/>
              </w:rPr>
              <w:t>排放标准</w:t>
            </w:r>
            <w:r>
              <w:rPr>
                <w:rFonts w:cstheme="minorBidi"/>
              </w:rPr>
              <w:t>》</w:t>
            </w:r>
            <w:r>
              <w:rPr>
                <w:rFonts w:hint="eastAsia" w:cstheme="minorBidi"/>
              </w:rPr>
              <w:t>（</w:t>
            </w:r>
            <w:r>
              <w:rPr>
                <w:rFonts w:cstheme="minorBidi"/>
              </w:rPr>
              <w:t>GB12523-</w:t>
            </w:r>
            <w:r>
              <w:rPr>
                <w:rFonts w:hint="eastAsia" w:cstheme="minorBidi"/>
              </w:rPr>
              <w:t>2011）</w:t>
            </w:r>
          </w:p>
        </w:tc>
      </w:tr>
      <w:tr w14:paraId="3059A1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5" w:type="dxa"/>
          <w:jc w:val="center"/>
        </w:trPr>
        <w:tc>
          <w:tcPr>
            <w:tcW w:w="1285" w:type="dxa"/>
            <w:gridSpan w:val="2"/>
            <w:vMerge w:val="continue"/>
            <w:vAlign w:val="center"/>
          </w:tcPr>
          <w:p w14:paraId="2F174FC2">
            <w:pPr>
              <w:pStyle w:val="84"/>
            </w:pPr>
          </w:p>
        </w:tc>
        <w:tc>
          <w:tcPr>
            <w:tcW w:w="4579" w:type="dxa"/>
            <w:gridSpan w:val="2"/>
            <w:vAlign w:val="center"/>
          </w:tcPr>
          <w:p w14:paraId="10D0C840">
            <w:pPr>
              <w:pStyle w:val="84"/>
              <w:ind w:firstLine="420" w:firstLineChars="200"/>
              <w:jc w:val="left"/>
            </w:pPr>
            <w:r>
              <w:rPr>
                <w:rFonts w:hint="eastAsia" w:cstheme="minorBidi"/>
              </w:rPr>
              <w:t>加</w:t>
            </w:r>
            <w:r>
              <w:rPr>
                <w:rFonts w:cstheme="minorBidi"/>
              </w:rPr>
              <w:t>强</w:t>
            </w:r>
            <w:r>
              <w:rPr>
                <w:rFonts w:hint="eastAsia" w:cstheme="minorBidi"/>
              </w:rPr>
              <w:t>车辆、施工机械</w:t>
            </w:r>
            <w:r>
              <w:rPr>
                <w:rFonts w:cstheme="minorBidi"/>
              </w:rPr>
              <w:t>的维护和保养，保持机械润滑，减少运行噪声</w:t>
            </w:r>
            <w:r>
              <w:rPr>
                <w:rFonts w:hint="eastAsia" w:cstheme="minorBidi"/>
              </w:rPr>
              <w:t>；车辆严禁超速、超载，夜间禁止运输</w:t>
            </w:r>
          </w:p>
        </w:tc>
        <w:tc>
          <w:tcPr>
            <w:tcW w:w="2664" w:type="dxa"/>
            <w:vMerge w:val="continue"/>
            <w:vAlign w:val="center"/>
          </w:tcPr>
          <w:p w14:paraId="682C7257">
            <w:pPr>
              <w:pStyle w:val="84"/>
            </w:pPr>
          </w:p>
        </w:tc>
      </w:tr>
      <w:tr w14:paraId="3019DD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5" w:type="dxa"/>
          <w:jc w:val="center"/>
        </w:trPr>
        <w:tc>
          <w:tcPr>
            <w:tcW w:w="1285" w:type="dxa"/>
            <w:gridSpan w:val="2"/>
            <w:vMerge w:val="restart"/>
            <w:vAlign w:val="center"/>
          </w:tcPr>
          <w:p w14:paraId="28D11BEC">
            <w:pPr>
              <w:pStyle w:val="84"/>
            </w:pPr>
            <w:r>
              <w:rPr>
                <w:rFonts w:hint="eastAsia"/>
              </w:rPr>
              <w:t>固体废物</w:t>
            </w:r>
          </w:p>
        </w:tc>
        <w:tc>
          <w:tcPr>
            <w:tcW w:w="4579" w:type="dxa"/>
            <w:gridSpan w:val="2"/>
            <w:vAlign w:val="center"/>
          </w:tcPr>
          <w:p w14:paraId="08B25E9D">
            <w:pPr>
              <w:pStyle w:val="84"/>
              <w:ind w:firstLine="420" w:firstLineChars="200"/>
              <w:jc w:val="left"/>
            </w:pPr>
            <w:r>
              <w:rPr>
                <w:color w:val="FF0000"/>
              </w:rPr>
              <w:t>弃渣</w:t>
            </w:r>
            <w:r>
              <w:rPr>
                <w:rFonts w:hint="eastAsia"/>
                <w:color w:val="FF0000"/>
              </w:rPr>
              <w:t>妥善堆存，及时回填或用于大坝左岸防护</w:t>
            </w:r>
          </w:p>
        </w:tc>
        <w:tc>
          <w:tcPr>
            <w:tcW w:w="2664" w:type="dxa"/>
            <w:vMerge w:val="restart"/>
            <w:vAlign w:val="center"/>
          </w:tcPr>
          <w:p w14:paraId="762A8877">
            <w:pPr>
              <w:pStyle w:val="84"/>
            </w:pPr>
            <w:r>
              <w:rPr>
                <w:rFonts w:hint="eastAsia"/>
              </w:rPr>
              <w:t>处置率100%</w:t>
            </w:r>
          </w:p>
        </w:tc>
      </w:tr>
      <w:tr w14:paraId="3E8FF0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5" w:type="dxa"/>
          <w:jc w:val="center"/>
        </w:trPr>
        <w:tc>
          <w:tcPr>
            <w:tcW w:w="1285" w:type="dxa"/>
            <w:gridSpan w:val="2"/>
            <w:vMerge w:val="continue"/>
            <w:vAlign w:val="center"/>
          </w:tcPr>
          <w:p w14:paraId="2A495662">
            <w:pPr>
              <w:pStyle w:val="84"/>
              <w:rPr>
                <w:highlight w:val="green"/>
              </w:rPr>
            </w:pPr>
          </w:p>
        </w:tc>
        <w:tc>
          <w:tcPr>
            <w:tcW w:w="4579" w:type="dxa"/>
            <w:gridSpan w:val="2"/>
            <w:vAlign w:val="center"/>
          </w:tcPr>
          <w:p w14:paraId="7390C856">
            <w:pPr>
              <w:pStyle w:val="84"/>
              <w:ind w:firstLine="420" w:firstLineChars="200"/>
              <w:jc w:val="left"/>
              <w:rPr>
                <w:highlight w:val="green"/>
              </w:rPr>
            </w:pPr>
            <w:r>
              <w:rPr>
                <w:rFonts w:cstheme="minorBidi"/>
              </w:rPr>
              <w:t>施工营地设置垃圾桶</w:t>
            </w:r>
            <w:r>
              <w:rPr>
                <w:rFonts w:hint="eastAsia" w:cstheme="minorBidi"/>
              </w:rPr>
              <w:t>（1个）</w:t>
            </w:r>
            <w:r>
              <w:rPr>
                <w:rFonts w:cstheme="minorBidi"/>
              </w:rPr>
              <w:t>，</w:t>
            </w:r>
            <w:r>
              <w:rPr>
                <w:rFonts w:hint="eastAsia" w:cstheme="minorBidi"/>
              </w:rPr>
              <w:t>施工</w:t>
            </w:r>
            <w:r>
              <w:rPr>
                <w:rFonts w:cstheme="minorBidi"/>
              </w:rPr>
              <w:t>生活垃圾</w:t>
            </w:r>
            <w:r>
              <w:t>集中堆放</w:t>
            </w:r>
            <w:r>
              <w:rPr>
                <w:rFonts w:hint="eastAsia"/>
              </w:rPr>
              <w:t>后依托周边村庄垃圾收集设施进行处置</w:t>
            </w:r>
          </w:p>
        </w:tc>
        <w:tc>
          <w:tcPr>
            <w:tcW w:w="2664" w:type="dxa"/>
            <w:vMerge w:val="continue"/>
            <w:vAlign w:val="center"/>
          </w:tcPr>
          <w:p w14:paraId="0637AEC9">
            <w:pPr>
              <w:pStyle w:val="84"/>
              <w:rPr>
                <w:highlight w:val="green"/>
              </w:rPr>
            </w:pPr>
          </w:p>
        </w:tc>
      </w:tr>
      <w:tr w14:paraId="2833AA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5" w:type="dxa"/>
          <w:jc w:val="center"/>
        </w:trPr>
        <w:tc>
          <w:tcPr>
            <w:tcW w:w="8528" w:type="dxa"/>
            <w:gridSpan w:val="5"/>
            <w:vAlign w:val="center"/>
          </w:tcPr>
          <w:p w14:paraId="1B615F52">
            <w:pPr>
              <w:pStyle w:val="84"/>
              <w:rPr>
                <w:highlight w:val="green"/>
              </w:rPr>
            </w:pPr>
            <w:r>
              <w:rPr>
                <w:rFonts w:hint="eastAsia"/>
              </w:rPr>
              <w:t>运行期</w:t>
            </w:r>
          </w:p>
        </w:tc>
      </w:tr>
      <w:tr w14:paraId="157801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5" w:type="dxa"/>
          <w:jc w:val="center"/>
        </w:trPr>
        <w:tc>
          <w:tcPr>
            <w:tcW w:w="1285" w:type="dxa"/>
            <w:gridSpan w:val="2"/>
            <w:vMerge w:val="restart"/>
            <w:vAlign w:val="center"/>
          </w:tcPr>
          <w:p w14:paraId="23BF9540">
            <w:pPr>
              <w:pStyle w:val="84"/>
            </w:pPr>
            <w:r>
              <w:rPr>
                <w:rFonts w:hint="eastAsia"/>
              </w:rPr>
              <w:t>生态环境</w:t>
            </w:r>
          </w:p>
        </w:tc>
        <w:tc>
          <w:tcPr>
            <w:tcW w:w="4579" w:type="dxa"/>
            <w:gridSpan w:val="2"/>
            <w:vAlign w:val="center"/>
          </w:tcPr>
          <w:p w14:paraId="5D007120">
            <w:pPr>
              <w:pStyle w:val="84"/>
              <w:ind w:firstLine="420" w:firstLineChars="200"/>
              <w:jc w:val="left"/>
            </w:pPr>
            <w:r>
              <w:rPr>
                <w:rFonts w:hint="eastAsia"/>
              </w:rPr>
              <w:t>保护工程区附近的兹竹和盾果草，对其进行挂牌保护</w:t>
            </w:r>
          </w:p>
        </w:tc>
        <w:tc>
          <w:tcPr>
            <w:tcW w:w="2664" w:type="dxa"/>
            <w:vMerge w:val="restart"/>
            <w:vAlign w:val="center"/>
          </w:tcPr>
          <w:p w14:paraId="15847399">
            <w:pPr>
              <w:pStyle w:val="84"/>
            </w:pPr>
            <w:r>
              <w:rPr>
                <w:rFonts w:hint="eastAsia"/>
              </w:rPr>
              <w:t>保护生态环境</w:t>
            </w:r>
          </w:p>
        </w:tc>
      </w:tr>
      <w:tr w14:paraId="522040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5" w:type="dxa"/>
          <w:jc w:val="center"/>
        </w:trPr>
        <w:tc>
          <w:tcPr>
            <w:tcW w:w="1285" w:type="dxa"/>
            <w:gridSpan w:val="2"/>
            <w:vMerge w:val="continue"/>
            <w:vAlign w:val="center"/>
          </w:tcPr>
          <w:p w14:paraId="175C65A6">
            <w:pPr>
              <w:pStyle w:val="84"/>
            </w:pPr>
          </w:p>
        </w:tc>
        <w:tc>
          <w:tcPr>
            <w:tcW w:w="4579" w:type="dxa"/>
            <w:gridSpan w:val="2"/>
            <w:vAlign w:val="center"/>
          </w:tcPr>
          <w:p w14:paraId="1DB86FAC">
            <w:pPr>
              <w:pStyle w:val="84"/>
              <w:ind w:firstLine="420" w:firstLineChars="200"/>
              <w:jc w:val="left"/>
            </w:pPr>
            <w:r>
              <w:rPr>
                <w:rFonts w:hint="eastAsia"/>
              </w:rPr>
              <w:t>做好施工迹地的植被抚育工作，保证其成活率</w:t>
            </w:r>
          </w:p>
        </w:tc>
        <w:tc>
          <w:tcPr>
            <w:tcW w:w="2664" w:type="dxa"/>
            <w:vMerge w:val="continue"/>
            <w:vAlign w:val="center"/>
          </w:tcPr>
          <w:p w14:paraId="4663B779">
            <w:pPr>
              <w:pStyle w:val="84"/>
            </w:pPr>
          </w:p>
        </w:tc>
      </w:tr>
      <w:tr w14:paraId="17F5D1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5" w:type="dxa"/>
          <w:jc w:val="center"/>
        </w:trPr>
        <w:tc>
          <w:tcPr>
            <w:tcW w:w="1285" w:type="dxa"/>
            <w:gridSpan w:val="2"/>
            <w:vAlign w:val="center"/>
          </w:tcPr>
          <w:p w14:paraId="3892C125">
            <w:pPr>
              <w:pStyle w:val="84"/>
            </w:pPr>
            <w:r>
              <w:rPr>
                <w:rFonts w:hint="eastAsia"/>
              </w:rPr>
              <w:t>声环境</w:t>
            </w:r>
          </w:p>
        </w:tc>
        <w:tc>
          <w:tcPr>
            <w:tcW w:w="4579" w:type="dxa"/>
            <w:gridSpan w:val="2"/>
            <w:vAlign w:val="center"/>
          </w:tcPr>
          <w:p w14:paraId="68B0422E">
            <w:pPr>
              <w:pStyle w:val="84"/>
              <w:ind w:firstLine="420" w:firstLineChars="200"/>
              <w:jc w:val="left"/>
            </w:pPr>
            <w:r>
              <w:t>加强设备的维护和保养，定期检修机组，对于振动较大的设备进行加固，</w:t>
            </w:r>
            <w:r>
              <w:rPr>
                <w:rFonts w:hint="eastAsia"/>
              </w:rPr>
              <w:t>以</w:t>
            </w:r>
            <w:r>
              <w:t>降低机械设备运行时产生的噪声</w:t>
            </w:r>
          </w:p>
        </w:tc>
        <w:tc>
          <w:tcPr>
            <w:tcW w:w="2664" w:type="dxa"/>
            <w:vAlign w:val="center"/>
          </w:tcPr>
          <w:p w14:paraId="06AD5E6D">
            <w:pPr>
              <w:pStyle w:val="84"/>
            </w:pPr>
            <w:r>
              <w:t>《工业企业厂界环境噪声排放标准》（GB12348-2008）</w:t>
            </w:r>
          </w:p>
          <w:p w14:paraId="076355D9">
            <w:pPr>
              <w:pStyle w:val="84"/>
            </w:pPr>
            <w:r>
              <w:rPr>
                <w:rFonts w:hint="eastAsia"/>
              </w:rPr>
              <w:t>2级、4a类标准</w:t>
            </w:r>
          </w:p>
        </w:tc>
      </w:tr>
      <w:tr w14:paraId="1F040A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5" w:type="dxa"/>
          <w:jc w:val="center"/>
        </w:trPr>
        <w:tc>
          <w:tcPr>
            <w:tcW w:w="1285" w:type="dxa"/>
            <w:gridSpan w:val="2"/>
            <w:vMerge w:val="restart"/>
            <w:vAlign w:val="center"/>
          </w:tcPr>
          <w:p w14:paraId="63743CE1">
            <w:pPr>
              <w:pStyle w:val="84"/>
            </w:pPr>
            <w:r>
              <w:rPr>
                <w:rFonts w:hint="eastAsia"/>
              </w:rPr>
              <w:t>固体废物</w:t>
            </w:r>
          </w:p>
        </w:tc>
        <w:tc>
          <w:tcPr>
            <w:tcW w:w="4579" w:type="dxa"/>
            <w:gridSpan w:val="2"/>
            <w:vAlign w:val="center"/>
          </w:tcPr>
          <w:p w14:paraId="3217B448">
            <w:pPr>
              <w:pStyle w:val="84"/>
              <w:ind w:firstLine="420" w:firstLineChars="200"/>
              <w:jc w:val="left"/>
            </w:pPr>
            <w:r>
              <w:rPr>
                <w:rFonts w:hint="eastAsia"/>
                <w:color w:val="FF0000"/>
              </w:rPr>
              <w:t>管理用房设置</w:t>
            </w:r>
            <w:r>
              <w:rPr>
                <w:color w:val="FF0000"/>
              </w:rPr>
              <w:t>一个垃圾</w:t>
            </w:r>
            <w:r>
              <w:rPr>
                <w:rFonts w:hint="eastAsia"/>
                <w:color w:val="FF0000"/>
              </w:rPr>
              <w:t>收集桶</w:t>
            </w:r>
            <w:r>
              <w:rPr>
                <w:color w:val="FF0000"/>
              </w:rPr>
              <w:t>，</w:t>
            </w:r>
            <w:r>
              <w:rPr>
                <w:rFonts w:hint="eastAsia" w:cstheme="minorBidi"/>
              </w:rPr>
              <w:t>生活垃圾</w:t>
            </w:r>
            <w:r>
              <w:rPr>
                <w:rFonts w:cstheme="minorBidi"/>
              </w:rPr>
              <w:t>集中堆放，定</w:t>
            </w:r>
            <w:r>
              <w:rPr>
                <w:rFonts w:hint="eastAsia" w:cstheme="minorBidi"/>
              </w:rPr>
              <w:t>期</w:t>
            </w:r>
            <w:r>
              <w:rPr>
                <w:rFonts w:cstheme="minorBidi"/>
              </w:rPr>
              <w:t>清运，进行简单分拣</w:t>
            </w:r>
            <w:r>
              <w:rPr>
                <w:rFonts w:hint="eastAsia" w:cstheme="minorBidi"/>
              </w:rPr>
              <w:t>。能回收部分出售给</w:t>
            </w:r>
            <w:r>
              <w:rPr>
                <w:rFonts w:cstheme="minorBidi"/>
              </w:rPr>
              <w:t>废品收购站</w:t>
            </w:r>
            <w:r>
              <w:rPr>
                <w:rFonts w:hint="eastAsia" w:cstheme="minorBidi"/>
              </w:rPr>
              <w:t>；</w:t>
            </w:r>
            <w:r>
              <w:rPr>
                <w:rFonts w:cstheme="minorBidi"/>
              </w:rPr>
              <w:t>其余</w:t>
            </w:r>
            <w:r>
              <w:t>集中堆放</w:t>
            </w:r>
            <w:r>
              <w:rPr>
                <w:rFonts w:hint="eastAsia"/>
              </w:rPr>
              <w:t>后依托周边村庄垃圾收集设施进行处置</w:t>
            </w:r>
          </w:p>
        </w:tc>
        <w:tc>
          <w:tcPr>
            <w:tcW w:w="2664" w:type="dxa"/>
            <w:vMerge w:val="restart"/>
            <w:vAlign w:val="center"/>
          </w:tcPr>
          <w:p w14:paraId="3E184094">
            <w:pPr>
              <w:pStyle w:val="84"/>
              <w:rPr>
                <w:highlight w:val="green"/>
              </w:rPr>
            </w:pPr>
            <w:r>
              <w:rPr>
                <w:rFonts w:hint="eastAsia"/>
              </w:rPr>
              <w:t>固废妥善处置，处置率为100%</w:t>
            </w:r>
          </w:p>
        </w:tc>
      </w:tr>
      <w:tr w14:paraId="332A0F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5" w:type="dxa"/>
          <w:jc w:val="center"/>
        </w:trPr>
        <w:tc>
          <w:tcPr>
            <w:tcW w:w="1285" w:type="dxa"/>
            <w:gridSpan w:val="2"/>
            <w:vMerge w:val="continue"/>
            <w:vAlign w:val="center"/>
          </w:tcPr>
          <w:p w14:paraId="42B265D0">
            <w:pPr>
              <w:pStyle w:val="84"/>
              <w:rPr>
                <w:highlight w:val="green"/>
              </w:rPr>
            </w:pPr>
          </w:p>
        </w:tc>
        <w:tc>
          <w:tcPr>
            <w:tcW w:w="4579" w:type="dxa"/>
            <w:gridSpan w:val="2"/>
            <w:vAlign w:val="center"/>
          </w:tcPr>
          <w:p w14:paraId="5FBA178E">
            <w:pPr>
              <w:pStyle w:val="84"/>
              <w:ind w:firstLine="420" w:firstLineChars="200"/>
              <w:jc w:val="left"/>
              <w:rPr>
                <w:highlight w:val="green"/>
              </w:rPr>
            </w:pPr>
            <w:r>
              <w:rPr>
                <w:rFonts w:hint="eastAsia"/>
                <w:color w:val="FF0000"/>
              </w:rPr>
              <w:t>环评要求建设单位</w:t>
            </w:r>
            <w:r>
              <w:rPr>
                <w:color w:val="FF0000"/>
              </w:rPr>
              <w:t>在</w:t>
            </w:r>
            <w:r>
              <w:rPr>
                <w:rFonts w:hint="eastAsia"/>
                <w:color w:val="FF0000"/>
              </w:rPr>
              <w:t>副</w:t>
            </w:r>
            <w:r>
              <w:rPr>
                <w:color w:val="FF0000"/>
              </w:rPr>
              <w:t>厂房内设置废油收集桶</w:t>
            </w:r>
            <w:r>
              <w:rPr>
                <w:rFonts w:hint="eastAsia"/>
                <w:color w:val="FF0000"/>
              </w:rPr>
              <w:t>及暂存间以收集</w:t>
            </w:r>
            <w:r>
              <w:rPr>
                <w:rFonts w:hint="eastAsia" w:cstheme="minorBidi"/>
                <w:color w:val="FF0000"/>
              </w:rPr>
              <w:t>电站</w:t>
            </w:r>
            <w:r>
              <w:rPr>
                <w:rFonts w:cstheme="minorBidi"/>
                <w:color w:val="FF0000"/>
              </w:rPr>
              <w:t>检修</w:t>
            </w:r>
            <w:r>
              <w:rPr>
                <w:rFonts w:hint="eastAsia" w:cstheme="minorBidi"/>
                <w:color w:val="FF0000"/>
              </w:rPr>
              <w:t>产生的</w:t>
            </w:r>
            <w:r>
              <w:rPr>
                <w:rFonts w:cstheme="minorBidi"/>
                <w:color w:val="FF0000"/>
              </w:rPr>
              <w:t>废机油</w:t>
            </w:r>
            <w:r>
              <w:rPr>
                <w:rFonts w:hint="eastAsia" w:cstheme="minorBidi"/>
                <w:color w:val="FF0000"/>
              </w:rPr>
              <w:t>和</w:t>
            </w:r>
            <w:r>
              <w:rPr>
                <w:rFonts w:cstheme="minorBidi"/>
                <w:color w:val="FF0000"/>
              </w:rPr>
              <w:t>变压器油</w:t>
            </w:r>
            <w:r>
              <w:rPr>
                <w:rFonts w:hint="eastAsia"/>
                <w:color w:val="FF0000"/>
              </w:rPr>
              <w:t>，并设置危险废物标志牌，严格按照危险废物暂存要求进行管理，废油</w:t>
            </w:r>
            <w:r>
              <w:rPr>
                <w:color w:val="FF0000"/>
              </w:rPr>
              <w:t>交</w:t>
            </w:r>
            <w:r>
              <w:rPr>
                <w:rFonts w:hint="eastAsia"/>
                <w:color w:val="FF0000"/>
              </w:rPr>
              <w:t>有资质单位处置</w:t>
            </w:r>
          </w:p>
        </w:tc>
        <w:tc>
          <w:tcPr>
            <w:tcW w:w="2664" w:type="dxa"/>
            <w:vMerge w:val="continue"/>
            <w:vAlign w:val="center"/>
          </w:tcPr>
          <w:p w14:paraId="0099F3EE">
            <w:pPr>
              <w:pStyle w:val="84"/>
              <w:rPr>
                <w:highlight w:val="green"/>
              </w:rPr>
            </w:pPr>
          </w:p>
        </w:tc>
      </w:tr>
      <w:tr w14:paraId="6ADB7C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5" w:type="dxa"/>
          <w:jc w:val="center"/>
        </w:trPr>
        <w:tc>
          <w:tcPr>
            <w:tcW w:w="1285" w:type="dxa"/>
            <w:gridSpan w:val="2"/>
            <w:vAlign w:val="center"/>
          </w:tcPr>
          <w:p w14:paraId="4E7545A3">
            <w:pPr>
              <w:pStyle w:val="84"/>
            </w:pPr>
            <w:r>
              <w:t>环境管理</w:t>
            </w:r>
          </w:p>
          <w:p w14:paraId="5520B1AD">
            <w:pPr>
              <w:pStyle w:val="84"/>
            </w:pPr>
            <w:r>
              <w:t>状况</w:t>
            </w:r>
          </w:p>
        </w:tc>
        <w:tc>
          <w:tcPr>
            <w:tcW w:w="7243" w:type="dxa"/>
            <w:gridSpan w:val="3"/>
            <w:vAlign w:val="center"/>
          </w:tcPr>
          <w:p w14:paraId="4E88882C">
            <w:pPr>
              <w:pStyle w:val="84"/>
              <w:ind w:firstLine="420" w:firstLineChars="200"/>
              <w:jc w:val="left"/>
              <w:rPr>
                <w:szCs w:val="21"/>
              </w:rPr>
            </w:pPr>
            <w:r>
              <w:rPr>
                <w:rFonts w:hint="eastAsia"/>
                <w:szCs w:val="21"/>
              </w:rPr>
              <w:t>1、</w:t>
            </w:r>
            <w:r>
              <w:rPr>
                <w:szCs w:val="21"/>
              </w:rPr>
              <w:t>提出健全项目营运期的环境管理计划和加强环境管理的建议；</w:t>
            </w:r>
          </w:p>
          <w:p w14:paraId="75EC4F81">
            <w:pPr>
              <w:pStyle w:val="84"/>
              <w:ind w:firstLine="420" w:firstLineChars="200"/>
              <w:jc w:val="left"/>
              <w:rPr>
                <w:szCs w:val="21"/>
              </w:rPr>
            </w:pPr>
            <w:r>
              <w:rPr>
                <w:rFonts w:hint="eastAsia"/>
                <w:szCs w:val="21"/>
              </w:rPr>
              <w:t>2、</w:t>
            </w:r>
            <w:r>
              <w:rPr>
                <w:szCs w:val="21"/>
              </w:rPr>
              <w:t>调查环境管理落实情况；</w:t>
            </w:r>
          </w:p>
          <w:p w14:paraId="6BBEB734">
            <w:pPr>
              <w:pStyle w:val="84"/>
              <w:ind w:firstLine="420" w:firstLineChars="200"/>
              <w:jc w:val="left"/>
              <w:rPr>
                <w:szCs w:val="21"/>
              </w:rPr>
            </w:pPr>
            <w:r>
              <w:rPr>
                <w:rFonts w:hint="eastAsia"/>
                <w:szCs w:val="21"/>
              </w:rPr>
              <w:t>3、</w:t>
            </w:r>
            <w:r>
              <w:rPr>
                <w:szCs w:val="21"/>
              </w:rPr>
              <w:t>结合项目施工期和运</w:t>
            </w:r>
            <w:r>
              <w:rPr>
                <w:rFonts w:hint="eastAsia"/>
                <w:szCs w:val="21"/>
              </w:rPr>
              <w:t>行</w:t>
            </w:r>
            <w:r>
              <w:rPr>
                <w:szCs w:val="21"/>
              </w:rPr>
              <w:t>期环境影响特点，提出切实有效的环境监测计划；</w:t>
            </w:r>
          </w:p>
          <w:p w14:paraId="3384E2B9">
            <w:pPr>
              <w:pStyle w:val="84"/>
              <w:ind w:firstLine="420" w:firstLineChars="200"/>
              <w:jc w:val="left"/>
              <w:rPr>
                <w:szCs w:val="21"/>
              </w:rPr>
            </w:pPr>
            <w:r>
              <w:rPr>
                <w:rFonts w:hint="eastAsia"/>
                <w:szCs w:val="21"/>
              </w:rPr>
              <w:t>4、</w:t>
            </w:r>
            <w:r>
              <w:rPr>
                <w:szCs w:val="21"/>
              </w:rPr>
              <w:t>根据调查情况，对环境管理和环境监测计划提出建议。</w:t>
            </w:r>
          </w:p>
          <w:p w14:paraId="2017E9F8">
            <w:pPr>
              <w:pStyle w:val="84"/>
              <w:ind w:firstLine="420" w:firstLineChars="200"/>
              <w:jc w:val="left"/>
            </w:pPr>
            <w:r>
              <w:rPr>
                <w:szCs w:val="21"/>
              </w:rPr>
              <w:t>5、环保经费落实情况</w:t>
            </w:r>
            <w:r>
              <w:rPr>
                <w:rFonts w:hint="eastAsia"/>
              </w:rPr>
              <w:t>。</w:t>
            </w:r>
          </w:p>
        </w:tc>
      </w:tr>
    </w:tbl>
    <w:p w14:paraId="1110AD6F">
      <w:pPr>
        <w:widowControl/>
        <w:spacing w:line="240" w:lineRule="auto"/>
        <w:ind w:firstLine="0" w:firstLineChars="0"/>
        <w:jc w:val="left"/>
        <w:rPr>
          <w:rFonts w:eastAsia="黑体"/>
          <w:bCs/>
          <w:kern w:val="44"/>
          <w:sz w:val="30"/>
          <w:szCs w:val="44"/>
        </w:rPr>
      </w:pPr>
      <w:r>
        <w:rPr>
          <w:rFonts w:eastAsia="黑体"/>
          <w:bCs/>
          <w:kern w:val="44"/>
          <w:sz w:val="30"/>
          <w:szCs w:val="44"/>
        </w:rPr>
        <w:br w:type="page"/>
      </w:r>
    </w:p>
    <w:p w14:paraId="45AD009B">
      <w:pPr>
        <w:pStyle w:val="180"/>
      </w:pPr>
      <w:bookmarkStart w:id="1114" w:name="_Toc436297651"/>
      <w:bookmarkStart w:id="1115" w:name="_Toc454046648"/>
      <w:bookmarkStart w:id="1116" w:name="_Toc443655545"/>
      <w:bookmarkStart w:id="1117" w:name="_Toc508642545"/>
      <w:bookmarkStart w:id="1118" w:name="_Toc471738117"/>
      <w:r>
        <w:rPr>
          <w:rFonts w:hint="eastAsia"/>
        </w:rPr>
        <w:t>11</w:t>
      </w:r>
      <w:r>
        <w:t>环境保护投资及环境经济损益分析</w:t>
      </w:r>
      <w:bookmarkEnd w:id="1114"/>
      <w:bookmarkEnd w:id="1115"/>
      <w:bookmarkEnd w:id="1116"/>
      <w:bookmarkEnd w:id="1117"/>
      <w:bookmarkEnd w:id="1118"/>
    </w:p>
    <w:p w14:paraId="772963B0">
      <w:pPr>
        <w:pStyle w:val="4"/>
      </w:pPr>
      <w:bookmarkStart w:id="1119" w:name="_Toc405206813"/>
      <w:bookmarkStart w:id="1120" w:name="_Toc414374610"/>
      <w:bookmarkStart w:id="1121" w:name="_Toc443655546"/>
      <w:bookmarkStart w:id="1122" w:name="_Toc471738118"/>
      <w:bookmarkStart w:id="1123" w:name="_Toc454046649"/>
      <w:bookmarkStart w:id="1124" w:name="_Toc508642546"/>
      <w:r>
        <w:rPr>
          <w:rFonts w:hint="eastAsia"/>
        </w:rPr>
        <w:t>11</w:t>
      </w:r>
      <w:r>
        <w:t>.1</w:t>
      </w:r>
      <w:bookmarkEnd w:id="1119"/>
      <w:bookmarkEnd w:id="1120"/>
      <w:bookmarkStart w:id="1125" w:name="_Toc405206814"/>
      <w:bookmarkStart w:id="1126" w:name="_Toc414374611"/>
      <w:r>
        <w:t>原则</w:t>
      </w:r>
      <w:bookmarkEnd w:id="1121"/>
      <w:bookmarkEnd w:id="1122"/>
      <w:bookmarkEnd w:id="1123"/>
      <w:bookmarkEnd w:id="1124"/>
      <w:bookmarkEnd w:id="1125"/>
      <w:bookmarkEnd w:id="1126"/>
    </w:p>
    <w:p w14:paraId="5CCED5B3">
      <w:pPr>
        <w:ind w:firstLine="480"/>
        <w:rPr>
          <w:rFonts w:cstheme="minorBidi"/>
        </w:rPr>
      </w:pPr>
      <w:r>
        <w:rPr>
          <w:rFonts w:cstheme="minorBidi"/>
        </w:rPr>
        <w:t>（1）遵循</w:t>
      </w:r>
      <w:r>
        <w:rPr>
          <w:rFonts w:hint="eastAsia" w:cstheme="minorBidi"/>
        </w:rPr>
        <w:t>“</w:t>
      </w:r>
      <w:r>
        <w:rPr>
          <w:rFonts w:cstheme="minorBidi"/>
        </w:rPr>
        <w:t>谁污染，谁治理，谁开发，谁保护</w:t>
      </w:r>
      <w:r>
        <w:rPr>
          <w:rFonts w:hint="eastAsia" w:cstheme="minorBidi"/>
        </w:rPr>
        <w:t>”</w:t>
      </w:r>
      <w:r>
        <w:rPr>
          <w:rFonts w:cstheme="minorBidi"/>
        </w:rPr>
        <w:t>原则。对于既保护环境又为主体工程服务，以及为减轻或消除因工程兴建对环境造成不利影响需采取的环境保护、环境管理</w:t>
      </w:r>
      <w:r>
        <w:rPr>
          <w:rFonts w:hint="eastAsia" w:cstheme="minorBidi"/>
        </w:rPr>
        <w:t>、</w:t>
      </w:r>
      <w:r>
        <w:rPr>
          <w:rFonts w:cstheme="minorBidi"/>
        </w:rPr>
        <w:t>环境监</w:t>
      </w:r>
      <w:r>
        <w:rPr>
          <w:rFonts w:hint="eastAsia" w:cstheme="minorBidi"/>
        </w:rPr>
        <w:t>理和</w:t>
      </w:r>
      <w:r>
        <w:rPr>
          <w:rFonts w:cstheme="minorBidi"/>
        </w:rPr>
        <w:t>环境监测等措施，其所需的投资均列入工程环境保护总投资中。</w:t>
      </w:r>
    </w:p>
    <w:p w14:paraId="48F396EF">
      <w:pPr>
        <w:ind w:firstLine="480"/>
        <w:rPr>
          <w:rFonts w:cstheme="minorBidi"/>
        </w:rPr>
      </w:pPr>
      <w:r>
        <w:rPr>
          <w:rFonts w:cstheme="minorBidi"/>
        </w:rPr>
        <w:t>（2）以水利水电工程设计概算编制的有关规定为基础，概算本工程为减免、降低不利环境影响所采取的环境保护工程和管理等措施所需投资，并结合工程建设和环境保护工程的特点，采用单价法和指标法等计算方法。</w:t>
      </w:r>
    </w:p>
    <w:p w14:paraId="4FCCAB24">
      <w:pPr>
        <w:ind w:firstLine="480"/>
        <w:rPr>
          <w:rFonts w:cstheme="minorBidi"/>
        </w:rPr>
      </w:pPr>
      <w:r>
        <w:rPr>
          <w:rFonts w:cstheme="minorBidi"/>
        </w:rPr>
        <w:t>（3）对既属于主体工程组成部分，又具有环境保护效益（如淹没处理和工程占地处理等）的项目，其投资应列入主体工程，不计入环保投资中。</w:t>
      </w:r>
    </w:p>
    <w:p w14:paraId="257E5AB5">
      <w:pPr>
        <w:ind w:firstLine="480"/>
        <w:rPr>
          <w:rFonts w:cstheme="minorBidi"/>
        </w:rPr>
      </w:pPr>
      <w:r>
        <w:rPr>
          <w:rFonts w:cstheme="minorBidi"/>
        </w:rPr>
        <w:t>（4）其它环境保护费用，参照同类工程单价，采用综合指标法进行计算或根据实际需要估列。</w:t>
      </w:r>
    </w:p>
    <w:p w14:paraId="6005AE8B">
      <w:pPr>
        <w:pStyle w:val="4"/>
      </w:pPr>
      <w:bookmarkStart w:id="1127" w:name="_Toc405206816"/>
      <w:bookmarkStart w:id="1128" w:name="_Toc443655547"/>
      <w:bookmarkStart w:id="1129" w:name="_Toc508642547"/>
      <w:bookmarkStart w:id="1130" w:name="_Toc454046650"/>
      <w:bookmarkStart w:id="1131" w:name="_Toc471738119"/>
      <w:bookmarkStart w:id="1132" w:name="_Toc414374613"/>
      <w:r>
        <w:rPr>
          <w:rFonts w:hint="eastAsia"/>
        </w:rPr>
        <w:t>11</w:t>
      </w:r>
      <w:r>
        <w:t>.2环境经济损益综合分析</w:t>
      </w:r>
      <w:bookmarkEnd w:id="1127"/>
      <w:bookmarkEnd w:id="1128"/>
      <w:bookmarkEnd w:id="1129"/>
      <w:bookmarkEnd w:id="1130"/>
      <w:bookmarkEnd w:id="1131"/>
      <w:bookmarkEnd w:id="1132"/>
    </w:p>
    <w:p w14:paraId="47B5EB11">
      <w:pPr>
        <w:pStyle w:val="113"/>
      </w:pPr>
      <w:bookmarkStart w:id="1133" w:name="_Toc454046651"/>
      <w:bookmarkStart w:id="1134" w:name="_Toc414374614"/>
      <w:bookmarkStart w:id="1135" w:name="_Toc405206817"/>
      <w:bookmarkStart w:id="1136" w:name="_Toc443655548"/>
      <w:bookmarkStart w:id="1137" w:name="_Toc471738120"/>
      <w:bookmarkStart w:id="1138" w:name="_Toc508642548"/>
      <w:r>
        <w:rPr>
          <w:rFonts w:hint="eastAsia"/>
        </w:rPr>
        <w:t>11</w:t>
      </w:r>
      <w:r>
        <w:t>.2.1环保投资估算</w:t>
      </w:r>
      <w:bookmarkEnd w:id="1133"/>
      <w:bookmarkEnd w:id="1134"/>
      <w:bookmarkEnd w:id="1135"/>
      <w:bookmarkEnd w:id="1136"/>
      <w:bookmarkEnd w:id="1137"/>
      <w:bookmarkEnd w:id="1138"/>
    </w:p>
    <w:p w14:paraId="3AFF81BC">
      <w:pPr>
        <w:ind w:left="240" w:leftChars="100" w:firstLine="480"/>
        <w:rPr>
          <w:rFonts w:cstheme="minorBidi"/>
          <w:color w:val="FF0000"/>
        </w:rPr>
      </w:pPr>
      <w:r>
        <w:rPr>
          <w:rFonts w:cstheme="minorBidi"/>
          <w:color w:val="FF0000"/>
        </w:rPr>
        <w:t>本</w:t>
      </w:r>
      <w:r>
        <w:rPr>
          <w:color w:val="FF0000"/>
        </w:rPr>
        <w:t>项目总投资为</w:t>
      </w:r>
      <w:r>
        <w:rPr>
          <w:rFonts w:hint="eastAsia"/>
          <w:color w:val="FF0000"/>
        </w:rPr>
        <w:t>4333.14</w:t>
      </w:r>
      <w:r>
        <w:rPr>
          <w:color w:val="FF0000"/>
        </w:rPr>
        <w:t>万元，</w:t>
      </w:r>
      <w:r>
        <w:rPr>
          <w:rFonts w:hint="eastAsia"/>
          <w:color w:val="FF0000"/>
        </w:rPr>
        <w:t>项目</w:t>
      </w:r>
      <w:r>
        <w:rPr>
          <w:rFonts w:hint="eastAsia" w:cstheme="minorBidi"/>
          <w:color w:val="FF0000"/>
        </w:rPr>
        <w:t>环保投资</w:t>
      </w:r>
      <w:r>
        <w:rPr>
          <w:rFonts w:cstheme="minorBidi"/>
          <w:color w:val="FF0000"/>
        </w:rPr>
        <w:t>共计</w:t>
      </w:r>
      <w:r>
        <w:rPr>
          <w:rFonts w:hint="eastAsia"/>
          <w:color w:val="FF0000"/>
        </w:rPr>
        <w:t>38.965</w:t>
      </w:r>
      <w:r>
        <w:rPr>
          <w:rFonts w:cstheme="minorBidi"/>
          <w:color w:val="FF0000"/>
        </w:rPr>
        <w:t>万元，占总投资</w:t>
      </w:r>
      <w:r>
        <w:rPr>
          <w:rFonts w:hint="eastAsia" w:cstheme="minorBidi"/>
          <w:color w:val="FF0000"/>
        </w:rPr>
        <w:t>的</w:t>
      </w:r>
      <w:r>
        <w:rPr>
          <w:rFonts w:hint="eastAsia"/>
          <w:color w:val="FF0000"/>
        </w:rPr>
        <w:t>0.9</w:t>
      </w:r>
      <w:r>
        <w:rPr>
          <w:color w:val="FF0000"/>
        </w:rPr>
        <w:t>%</w:t>
      </w:r>
      <w:r>
        <w:rPr>
          <w:rFonts w:hint="eastAsia"/>
          <w:color w:val="FF0000"/>
        </w:rPr>
        <w:t>。</w:t>
      </w:r>
    </w:p>
    <w:p w14:paraId="3F549558">
      <w:pPr>
        <w:pStyle w:val="82"/>
        <w:framePr w:hSpace="0" w:wrap="auto" w:vAnchor="margin" w:hAnchor="text" w:xAlign="left" w:yAlign="inline"/>
        <w:rPr>
          <w:color w:val="FF0000"/>
        </w:rPr>
      </w:pPr>
      <w:r>
        <w:rPr>
          <w:rFonts w:hint="eastAsia"/>
          <w:color w:val="FF0000"/>
        </w:rPr>
        <w:t>表11-2-1    环保投资一览表</w:t>
      </w:r>
    </w:p>
    <w:tbl>
      <w:tblPr>
        <w:tblStyle w:val="56"/>
        <w:tblW w:w="5070" w:type="pct"/>
        <w:tblInd w:w="-34"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337"/>
        <w:gridCol w:w="682"/>
        <w:gridCol w:w="795"/>
        <w:gridCol w:w="1140"/>
        <w:gridCol w:w="1984"/>
      </w:tblGrid>
      <w:tr w14:paraId="5289A3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9" w:hRule="atLeast"/>
          <w:tblHeader/>
        </w:trPr>
        <w:tc>
          <w:tcPr>
            <w:tcW w:w="709" w:type="dxa"/>
            <w:shd w:val="clear" w:color="auto" w:fill="auto"/>
            <w:vAlign w:val="center"/>
          </w:tcPr>
          <w:p w14:paraId="02D4FCA1">
            <w:pPr>
              <w:pStyle w:val="84"/>
              <w:rPr>
                <w:color w:val="FF0000"/>
              </w:rPr>
            </w:pPr>
            <w:r>
              <w:rPr>
                <w:color w:val="FF0000"/>
              </w:rPr>
              <w:t>序号</w:t>
            </w:r>
          </w:p>
        </w:tc>
        <w:tc>
          <w:tcPr>
            <w:tcW w:w="3337" w:type="dxa"/>
            <w:shd w:val="clear" w:color="auto" w:fill="auto"/>
            <w:vAlign w:val="center"/>
          </w:tcPr>
          <w:p w14:paraId="1EC470CB">
            <w:pPr>
              <w:pStyle w:val="84"/>
              <w:rPr>
                <w:color w:val="FF0000"/>
              </w:rPr>
            </w:pPr>
            <w:r>
              <w:rPr>
                <w:color w:val="FF0000"/>
              </w:rPr>
              <w:t>项　目</w:t>
            </w:r>
          </w:p>
        </w:tc>
        <w:tc>
          <w:tcPr>
            <w:tcW w:w="682" w:type="dxa"/>
            <w:shd w:val="clear" w:color="auto" w:fill="auto"/>
            <w:vAlign w:val="center"/>
          </w:tcPr>
          <w:p w14:paraId="3D636A44">
            <w:pPr>
              <w:pStyle w:val="84"/>
              <w:rPr>
                <w:color w:val="FF0000"/>
              </w:rPr>
            </w:pPr>
            <w:r>
              <w:rPr>
                <w:color w:val="FF0000"/>
              </w:rPr>
              <w:t>单位</w:t>
            </w:r>
          </w:p>
        </w:tc>
        <w:tc>
          <w:tcPr>
            <w:tcW w:w="795" w:type="dxa"/>
            <w:shd w:val="clear" w:color="auto" w:fill="auto"/>
            <w:vAlign w:val="center"/>
          </w:tcPr>
          <w:p w14:paraId="7C35D8FE">
            <w:pPr>
              <w:pStyle w:val="84"/>
              <w:rPr>
                <w:color w:val="FF0000"/>
              </w:rPr>
            </w:pPr>
            <w:r>
              <w:rPr>
                <w:color w:val="FF0000"/>
              </w:rPr>
              <w:t>数量</w:t>
            </w:r>
          </w:p>
        </w:tc>
        <w:tc>
          <w:tcPr>
            <w:tcW w:w="1140" w:type="dxa"/>
            <w:shd w:val="clear" w:color="auto" w:fill="auto"/>
            <w:vAlign w:val="center"/>
          </w:tcPr>
          <w:p w14:paraId="61DFF6A4">
            <w:pPr>
              <w:pStyle w:val="84"/>
              <w:rPr>
                <w:color w:val="FF0000"/>
              </w:rPr>
            </w:pPr>
            <w:r>
              <w:rPr>
                <w:color w:val="FF0000"/>
              </w:rPr>
              <w:t>单价（元）</w:t>
            </w:r>
          </w:p>
        </w:tc>
        <w:tc>
          <w:tcPr>
            <w:tcW w:w="1984" w:type="dxa"/>
            <w:shd w:val="clear" w:color="auto" w:fill="auto"/>
            <w:vAlign w:val="center"/>
          </w:tcPr>
          <w:p w14:paraId="03F602A6">
            <w:pPr>
              <w:pStyle w:val="84"/>
              <w:rPr>
                <w:color w:val="FF0000"/>
              </w:rPr>
            </w:pPr>
            <w:r>
              <w:rPr>
                <w:color w:val="FF0000"/>
              </w:rPr>
              <w:t>投资（万元）</w:t>
            </w:r>
          </w:p>
        </w:tc>
      </w:tr>
      <w:tr w14:paraId="2D7A34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tblHeader/>
        </w:trPr>
        <w:tc>
          <w:tcPr>
            <w:tcW w:w="6663" w:type="dxa"/>
            <w:gridSpan w:val="5"/>
            <w:shd w:val="clear" w:color="auto" w:fill="auto"/>
            <w:vAlign w:val="center"/>
          </w:tcPr>
          <w:p w14:paraId="4E5F31B2">
            <w:pPr>
              <w:pStyle w:val="84"/>
              <w:rPr>
                <w:color w:val="FF0000"/>
              </w:rPr>
            </w:pPr>
            <w:r>
              <w:rPr>
                <w:rFonts w:hint="eastAsia"/>
                <w:color w:val="FF0000"/>
              </w:rPr>
              <w:t>第一部分  环境保护措施</w:t>
            </w:r>
          </w:p>
        </w:tc>
        <w:tc>
          <w:tcPr>
            <w:tcW w:w="1984" w:type="dxa"/>
            <w:shd w:val="clear" w:color="auto" w:fill="auto"/>
            <w:vAlign w:val="center"/>
          </w:tcPr>
          <w:p w14:paraId="1D07902B">
            <w:pPr>
              <w:pStyle w:val="84"/>
              <w:rPr>
                <w:color w:val="FF0000"/>
              </w:rPr>
            </w:pPr>
            <w:r>
              <w:rPr>
                <w:rFonts w:hint="eastAsia"/>
                <w:color w:val="FF0000"/>
              </w:rPr>
              <w:t>37.265</w:t>
            </w:r>
          </w:p>
        </w:tc>
      </w:tr>
      <w:tr w14:paraId="42B5AD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709" w:type="dxa"/>
            <w:shd w:val="clear" w:color="auto" w:fill="auto"/>
            <w:vAlign w:val="center"/>
          </w:tcPr>
          <w:p w14:paraId="1BA8FB7A">
            <w:pPr>
              <w:pStyle w:val="84"/>
              <w:rPr>
                <w:color w:val="FF0000"/>
              </w:rPr>
            </w:pPr>
            <w:r>
              <w:rPr>
                <w:rFonts w:hint="eastAsia"/>
                <w:color w:val="FF0000"/>
              </w:rPr>
              <w:t>一</w:t>
            </w:r>
          </w:p>
        </w:tc>
        <w:tc>
          <w:tcPr>
            <w:tcW w:w="3337" w:type="dxa"/>
            <w:shd w:val="clear" w:color="auto" w:fill="auto"/>
            <w:vAlign w:val="center"/>
          </w:tcPr>
          <w:p w14:paraId="2B06042B">
            <w:pPr>
              <w:pStyle w:val="84"/>
              <w:rPr>
                <w:color w:val="FF0000"/>
              </w:rPr>
            </w:pPr>
            <w:r>
              <w:rPr>
                <w:color w:val="FF0000"/>
              </w:rPr>
              <w:t>生态保护措施</w:t>
            </w:r>
          </w:p>
        </w:tc>
        <w:tc>
          <w:tcPr>
            <w:tcW w:w="682" w:type="dxa"/>
            <w:shd w:val="clear" w:color="auto" w:fill="auto"/>
            <w:vAlign w:val="center"/>
          </w:tcPr>
          <w:p w14:paraId="5DEBEE3E">
            <w:pPr>
              <w:pStyle w:val="84"/>
              <w:rPr>
                <w:color w:val="FF0000"/>
              </w:rPr>
            </w:pPr>
            <w:r>
              <w:rPr>
                <w:rFonts w:hint="eastAsia"/>
                <w:color w:val="FF0000"/>
              </w:rPr>
              <w:t>—</w:t>
            </w:r>
          </w:p>
        </w:tc>
        <w:tc>
          <w:tcPr>
            <w:tcW w:w="795" w:type="dxa"/>
            <w:shd w:val="clear" w:color="auto" w:fill="auto"/>
            <w:vAlign w:val="center"/>
          </w:tcPr>
          <w:p w14:paraId="655A1DBC">
            <w:pPr>
              <w:pStyle w:val="84"/>
              <w:rPr>
                <w:color w:val="FF0000"/>
              </w:rPr>
            </w:pPr>
            <w:r>
              <w:rPr>
                <w:rFonts w:hint="eastAsia"/>
                <w:color w:val="FF0000"/>
              </w:rPr>
              <w:t>—</w:t>
            </w:r>
          </w:p>
        </w:tc>
        <w:tc>
          <w:tcPr>
            <w:tcW w:w="1140" w:type="dxa"/>
            <w:shd w:val="clear" w:color="auto" w:fill="auto"/>
            <w:vAlign w:val="center"/>
          </w:tcPr>
          <w:p w14:paraId="0C11D97C">
            <w:pPr>
              <w:pStyle w:val="84"/>
              <w:rPr>
                <w:color w:val="FF0000"/>
              </w:rPr>
            </w:pPr>
            <w:r>
              <w:rPr>
                <w:rFonts w:hint="eastAsia"/>
                <w:color w:val="FF0000"/>
              </w:rPr>
              <w:t>—</w:t>
            </w:r>
          </w:p>
        </w:tc>
        <w:tc>
          <w:tcPr>
            <w:tcW w:w="1984" w:type="dxa"/>
            <w:shd w:val="clear" w:color="auto" w:fill="auto"/>
            <w:vAlign w:val="center"/>
          </w:tcPr>
          <w:p w14:paraId="75B0B4FC">
            <w:pPr>
              <w:pStyle w:val="84"/>
              <w:rPr>
                <w:color w:val="FF0000"/>
              </w:rPr>
            </w:pPr>
            <w:r>
              <w:rPr>
                <w:rFonts w:hint="eastAsia"/>
                <w:color w:val="FF0000"/>
              </w:rPr>
              <w:t>16</w:t>
            </w:r>
          </w:p>
        </w:tc>
      </w:tr>
      <w:tr w14:paraId="23F87F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709" w:type="dxa"/>
            <w:shd w:val="clear" w:color="auto" w:fill="auto"/>
            <w:vAlign w:val="center"/>
          </w:tcPr>
          <w:p w14:paraId="1E113934">
            <w:pPr>
              <w:pStyle w:val="84"/>
              <w:rPr>
                <w:color w:val="FF0000"/>
              </w:rPr>
            </w:pPr>
            <w:r>
              <w:rPr>
                <w:color w:val="FF0000"/>
              </w:rPr>
              <w:t>1</w:t>
            </w:r>
          </w:p>
        </w:tc>
        <w:tc>
          <w:tcPr>
            <w:tcW w:w="3337" w:type="dxa"/>
            <w:shd w:val="clear" w:color="auto" w:fill="auto"/>
            <w:vAlign w:val="center"/>
          </w:tcPr>
          <w:p w14:paraId="0A51E40F">
            <w:pPr>
              <w:pStyle w:val="84"/>
              <w:rPr>
                <w:color w:val="FF0000"/>
              </w:rPr>
            </w:pPr>
            <w:r>
              <w:rPr>
                <w:color w:val="FF0000"/>
              </w:rPr>
              <w:t>植被恢复</w:t>
            </w:r>
          </w:p>
        </w:tc>
        <w:tc>
          <w:tcPr>
            <w:tcW w:w="682" w:type="dxa"/>
            <w:shd w:val="clear" w:color="auto" w:fill="auto"/>
            <w:vAlign w:val="center"/>
          </w:tcPr>
          <w:p w14:paraId="0F14364E">
            <w:pPr>
              <w:pStyle w:val="84"/>
              <w:rPr>
                <w:color w:val="FF0000"/>
              </w:rPr>
            </w:pPr>
            <w:r>
              <w:rPr>
                <w:color w:val="FF0000"/>
              </w:rPr>
              <w:t>项</w:t>
            </w:r>
          </w:p>
        </w:tc>
        <w:tc>
          <w:tcPr>
            <w:tcW w:w="795" w:type="dxa"/>
            <w:shd w:val="clear" w:color="auto" w:fill="auto"/>
            <w:vAlign w:val="center"/>
          </w:tcPr>
          <w:p w14:paraId="56A7EFD6">
            <w:pPr>
              <w:pStyle w:val="84"/>
              <w:rPr>
                <w:color w:val="FF0000"/>
              </w:rPr>
            </w:pPr>
            <w:r>
              <w:rPr>
                <w:color w:val="FF0000"/>
              </w:rPr>
              <w:t>1</w:t>
            </w:r>
          </w:p>
        </w:tc>
        <w:tc>
          <w:tcPr>
            <w:tcW w:w="1140" w:type="dxa"/>
            <w:shd w:val="clear" w:color="auto" w:fill="auto"/>
            <w:vAlign w:val="center"/>
          </w:tcPr>
          <w:p w14:paraId="0A68EA6F">
            <w:pPr>
              <w:pStyle w:val="84"/>
              <w:rPr>
                <w:color w:val="FF0000"/>
              </w:rPr>
            </w:pPr>
            <w:r>
              <w:rPr>
                <w:rFonts w:hint="eastAsia"/>
                <w:color w:val="FF0000"/>
              </w:rPr>
              <w:t>—</w:t>
            </w:r>
          </w:p>
        </w:tc>
        <w:tc>
          <w:tcPr>
            <w:tcW w:w="1984" w:type="dxa"/>
            <w:shd w:val="clear" w:color="auto" w:fill="auto"/>
            <w:vAlign w:val="center"/>
          </w:tcPr>
          <w:p w14:paraId="043EBFB8">
            <w:pPr>
              <w:pStyle w:val="84"/>
              <w:rPr>
                <w:color w:val="FF0000"/>
              </w:rPr>
            </w:pPr>
            <w:r>
              <w:rPr>
                <w:color w:val="FF0000"/>
              </w:rPr>
              <w:t>已</w:t>
            </w:r>
            <w:r>
              <w:rPr>
                <w:rFonts w:hint="eastAsia"/>
                <w:color w:val="FF0000"/>
              </w:rPr>
              <w:t>计</w:t>
            </w:r>
            <w:r>
              <w:rPr>
                <w:color w:val="FF0000"/>
              </w:rPr>
              <w:t>入水保投资</w:t>
            </w:r>
          </w:p>
        </w:tc>
      </w:tr>
      <w:tr w14:paraId="5DE53F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709" w:type="dxa"/>
            <w:shd w:val="clear" w:color="auto" w:fill="auto"/>
            <w:vAlign w:val="center"/>
          </w:tcPr>
          <w:p w14:paraId="035064D8">
            <w:pPr>
              <w:pStyle w:val="84"/>
              <w:rPr>
                <w:color w:val="FF0000"/>
              </w:rPr>
            </w:pPr>
            <w:r>
              <w:rPr>
                <w:color w:val="FF0000"/>
              </w:rPr>
              <w:t>2</w:t>
            </w:r>
          </w:p>
        </w:tc>
        <w:tc>
          <w:tcPr>
            <w:tcW w:w="3337" w:type="dxa"/>
            <w:shd w:val="clear" w:color="auto" w:fill="auto"/>
            <w:vAlign w:val="center"/>
          </w:tcPr>
          <w:p w14:paraId="1E8F9CD2">
            <w:pPr>
              <w:pStyle w:val="84"/>
              <w:rPr>
                <w:color w:val="FF0000"/>
              </w:rPr>
            </w:pPr>
            <w:r>
              <w:rPr>
                <w:color w:val="FF0000"/>
              </w:rPr>
              <w:t>宣传</w:t>
            </w:r>
            <w:r>
              <w:rPr>
                <w:rFonts w:hint="eastAsia"/>
                <w:color w:val="FF0000"/>
              </w:rPr>
              <w:t>保护设施费</w:t>
            </w:r>
          </w:p>
        </w:tc>
        <w:tc>
          <w:tcPr>
            <w:tcW w:w="682" w:type="dxa"/>
            <w:shd w:val="clear" w:color="auto" w:fill="auto"/>
            <w:vAlign w:val="center"/>
          </w:tcPr>
          <w:p w14:paraId="4E9F10C1">
            <w:pPr>
              <w:pStyle w:val="84"/>
              <w:rPr>
                <w:color w:val="FF0000"/>
              </w:rPr>
            </w:pPr>
            <w:r>
              <w:rPr>
                <w:rFonts w:hint="eastAsia"/>
                <w:color w:val="FF0000"/>
              </w:rPr>
              <w:t>—</w:t>
            </w:r>
          </w:p>
        </w:tc>
        <w:tc>
          <w:tcPr>
            <w:tcW w:w="795" w:type="dxa"/>
            <w:shd w:val="clear" w:color="auto" w:fill="auto"/>
            <w:vAlign w:val="center"/>
          </w:tcPr>
          <w:p w14:paraId="53660FB0">
            <w:pPr>
              <w:pStyle w:val="84"/>
              <w:rPr>
                <w:color w:val="FF0000"/>
              </w:rPr>
            </w:pPr>
            <w:r>
              <w:rPr>
                <w:rFonts w:hint="eastAsia"/>
                <w:color w:val="FF0000"/>
              </w:rPr>
              <w:t>—</w:t>
            </w:r>
          </w:p>
        </w:tc>
        <w:tc>
          <w:tcPr>
            <w:tcW w:w="1140" w:type="dxa"/>
            <w:shd w:val="clear" w:color="auto" w:fill="auto"/>
            <w:vAlign w:val="center"/>
          </w:tcPr>
          <w:p w14:paraId="03F191E3">
            <w:pPr>
              <w:pStyle w:val="84"/>
              <w:rPr>
                <w:color w:val="FF0000"/>
              </w:rPr>
            </w:pPr>
            <w:r>
              <w:rPr>
                <w:rFonts w:hint="eastAsia"/>
                <w:color w:val="FF0000"/>
              </w:rPr>
              <w:t>—</w:t>
            </w:r>
          </w:p>
        </w:tc>
        <w:tc>
          <w:tcPr>
            <w:tcW w:w="1984" w:type="dxa"/>
            <w:shd w:val="clear" w:color="auto" w:fill="auto"/>
            <w:vAlign w:val="center"/>
          </w:tcPr>
          <w:p w14:paraId="400943F3">
            <w:pPr>
              <w:pStyle w:val="84"/>
              <w:rPr>
                <w:color w:val="FF0000"/>
              </w:rPr>
            </w:pPr>
            <w:r>
              <w:rPr>
                <w:rFonts w:hint="eastAsia"/>
                <w:color w:val="FF0000"/>
              </w:rPr>
              <w:t>1</w:t>
            </w:r>
          </w:p>
        </w:tc>
      </w:tr>
      <w:tr w14:paraId="4A0B57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09" w:type="dxa"/>
            <w:shd w:val="clear" w:color="auto" w:fill="auto"/>
            <w:vAlign w:val="center"/>
          </w:tcPr>
          <w:p w14:paraId="74B88895">
            <w:pPr>
              <w:pStyle w:val="84"/>
              <w:rPr>
                <w:color w:val="FF0000"/>
              </w:rPr>
            </w:pPr>
            <w:r>
              <w:rPr>
                <w:color w:val="FF0000"/>
              </w:rPr>
              <w:t>3</w:t>
            </w:r>
          </w:p>
        </w:tc>
        <w:tc>
          <w:tcPr>
            <w:tcW w:w="3337" w:type="dxa"/>
            <w:shd w:val="clear" w:color="auto" w:fill="auto"/>
            <w:vAlign w:val="center"/>
          </w:tcPr>
          <w:p w14:paraId="562A7B23">
            <w:pPr>
              <w:pStyle w:val="84"/>
              <w:rPr>
                <w:color w:val="FF0000"/>
              </w:rPr>
            </w:pPr>
            <w:r>
              <w:rPr>
                <w:rFonts w:hint="eastAsia"/>
                <w:color w:val="FF0000"/>
              </w:rPr>
              <w:t>消力池</w:t>
            </w:r>
          </w:p>
        </w:tc>
        <w:tc>
          <w:tcPr>
            <w:tcW w:w="682" w:type="dxa"/>
            <w:shd w:val="clear" w:color="auto" w:fill="auto"/>
            <w:vAlign w:val="center"/>
          </w:tcPr>
          <w:p w14:paraId="56258071">
            <w:pPr>
              <w:pStyle w:val="84"/>
              <w:rPr>
                <w:color w:val="FF0000"/>
              </w:rPr>
            </w:pPr>
            <w:r>
              <w:rPr>
                <w:color w:val="FF0000"/>
              </w:rPr>
              <w:t>处</w:t>
            </w:r>
          </w:p>
        </w:tc>
        <w:tc>
          <w:tcPr>
            <w:tcW w:w="795" w:type="dxa"/>
            <w:shd w:val="clear" w:color="auto" w:fill="auto"/>
            <w:vAlign w:val="center"/>
          </w:tcPr>
          <w:p w14:paraId="088032C1">
            <w:pPr>
              <w:pStyle w:val="84"/>
              <w:rPr>
                <w:color w:val="FF0000"/>
              </w:rPr>
            </w:pPr>
            <w:r>
              <w:rPr>
                <w:color w:val="FF0000"/>
              </w:rPr>
              <w:t>1</w:t>
            </w:r>
          </w:p>
        </w:tc>
        <w:tc>
          <w:tcPr>
            <w:tcW w:w="1140" w:type="dxa"/>
            <w:shd w:val="clear" w:color="auto" w:fill="auto"/>
            <w:vAlign w:val="center"/>
          </w:tcPr>
          <w:p w14:paraId="474BCACC">
            <w:pPr>
              <w:pStyle w:val="84"/>
              <w:rPr>
                <w:color w:val="FF0000"/>
              </w:rPr>
            </w:pPr>
            <w:r>
              <w:rPr>
                <w:rFonts w:hint="eastAsia"/>
                <w:color w:val="FF0000"/>
              </w:rPr>
              <w:t>—</w:t>
            </w:r>
          </w:p>
        </w:tc>
        <w:tc>
          <w:tcPr>
            <w:tcW w:w="1984" w:type="dxa"/>
            <w:shd w:val="clear" w:color="auto" w:fill="auto"/>
            <w:vAlign w:val="center"/>
          </w:tcPr>
          <w:p w14:paraId="7E5B7AB5">
            <w:pPr>
              <w:pStyle w:val="84"/>
              <w:rPr>
                <w:rFonts w:eastAsiaTheme="minorEastAsia"/>
                <w:color w:val="FF0000"/>
              </w:rPr>
            </w:pPr>
            <w:r>
              <w:rPr>
                <w:rFonts w:hint="eastAsia"/>
                <w:color w:val="FF0000"/>
              </w:rPr>
              <w:t>计</w:t>
            </w:r>
            <w:r>
              <w:rPr>
                <w:color w:val="FF0000"/>
              </w:rPr>
              <w:t>入主体工程</w:t>
            </w:r>
          </w:p>
        </w:tc>
      </w:tr>
      <w:tr w14:paraId="0E7239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709" w:type="dxa"/>
            <w:shd w:val="clear" w:color="auto" w:fill="auto"/>
            <w:vAlign w:val="center"/>
          </w:tcPr>
          <w:p w14:paraId="5AEF598B">
            <w:pPr>
              <w:pStyle w:val="84"/>
              <w:rPr>
                <w:color w:val="FF0000"/>
              </w:rPr>
            </w:pPr>
            <w:r>
              <w:rPr>
                <w:color w:val="FF0000"/>
              </w:rPr>
              <w:t>4</w:t>
            </w:r>
          </w:p>
        </w:tc>
        <w:tc>
          <w:tcPr>
            <w:tcW w:w="3337" w:type="dxa"/>
            <w:shd w:val="clear" w:color="auto" w:fill="auto"/>
            <w:vAlign w:val="center"/>
          </w:tcPr>
          <w:p w14:paraId="03E40334">
            <w:pPr>
              <w:pStyle w:val="84"/>
              <w:rPr>
                <w:color w:val="FF0000"/>
              </w:rPr>
            </w:pPr>
            <w:r>
              <w:rPr>
                <w:rFonts w:hint="eastAsia"/>
                <w:color w:val="FF0000"/>
              </w:rPr>
              <w:t>隔鱼、过鱼设施</w:t>
            </w:r>
          </w:p>
        </w:tc>
        <w:tc>
          <w:tcPr>
            <w:tcW w:w="682" w:type="dxa"/>
            <w:shd w:val="clear" w:color="auto" w:fill="auto"/>
            <w:vAlign w:val="center"/>
          </w:tcPr>
          <w:p w14:paraId="1A77D1EC">
            <w:pPr>
              <w:pStyle w:val="84"/>
              <w:rPr>
                <w:color w:val="FF0000"/>
              </w:rPr>
            </w:pPr>
            <w:r>
              <w:rPr>
                <w:rFonts w:hint="eastAsia"/>
                <w:color w:val="FF0000"/>
              </w:rPr>
              <w:t>—</w:t>
            </w:r>
          </w:p>
        </w:tc>
        <w:tc>
          <w:tcPr>
            <w:tcW w:w="795" w:type="dxa"/>
            <w:shd w:val="clear" w:color="auto" w:fill="auto"/>
            <w:vAlign w:val="center"/>
          </w:tcPr>
          <w:p w14:paraId="17382000">
            <w:pPr>
              <w:pStyle w:val="84"/>
              <w:rPr>
                <w:color w:val="FF0000"/>
              </w:rPr>
            </w:pPr>
            <w:r>
              <w:rPr>
                <w:rFonts w:hint="eastAsia"/>
                <w:color w:val="FF0000"/>
              </w:rPr>
              <w:t>1</w:t>
            </w:r>
          </w:p>
        </w:tc>
        <w:tc>
          <w:tcPr>
            <w:tcW w:w="1140" w:type="dxa"/>
            <w:shd w:val="clear" w:color="auto" w:fill="auto"/>
            <w:vAlign w:val="center"/>
          </w:tcPr>
          <w:p w14:paraId="6A0C7A55">
            <w:pPr>
              <w:pStyle w:val="84"/>
              <w:rPr>
                <w:color w:val="FF0000"/>
              </w:rPr>
            </w:pPr>
            <w:r>
              <w:rPr>
                <w:rFonts w:hint="eastAsia"/>
                <w:color w:val="FF0000"/>
              </w:rPr>
              <w:t>50000</w:t>
            </w:r>
          </w:p>
        </w:tc>
        <w:tc>
          <w:tcPr>
            <w:tcW w:w="1984" w:type="dxa"/>
            <w:shd w:val="clear" w:color="auto" w:fill="auto"/>
            <w:vAlign w:val="center"/>
          </w:tcPr>
          <w:p w14:paraId="157BB7ED">
            <w:pPr>
              <w:pStyle w:val="84"/>
              <w:rPr>
                <w:color w:val="FF0000"/>
              </w:rPr>
            </w:pPr>
            <w:r>
              <w:rPr>
                <w:rFonts w:hint="eastAsia"/>
                <w:color w:val="FF0000"/>
              </w:rPr>
              <w:t>5</w:t>
            </w:r>
          </w:p>
        </w:tc>
      </w:tr>
      <w:tr w14:paraId="251CA2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709" w:type="dxa"/>
            <w:shd w:val="clear" w:color="auto" w:fill="auto"/>
            <w:vAlign w:val="center"/>
          </w:tcPr>
          <w:p w14:paraId="4A2A74C2">
            <w:pPr>
              <w:pStyle w:val="84"/>
              <w:rPr>
                <w:color w:val="FF0000"/>
              </w:rPr>
            </w:pPr>
            <w:r>
              <w:rPr>
                <w:rFonts w:hint="eastAsia"/>
                <w:color w:val="FF0000"/>
              </w:rPr>
              <w:t>5</w:t>
            </w:r>
          </w:p>
        </w:tc>
        <w:tc>
          <w:tcPr>
            <w:tcW w:w="3337" w:type="dxa"/>
            <w:shd w:val="clear" w:color="auto" w:fill="auto"/>
            <w:vAlign w:val="center"/>
          </w:tcPr>
          <w:p w14:paraId="689B239F">
            <w:pPr>
              <w:pStyle w:val="84"/>
              <w:rPr>
                <w:color w:val="FF0000"/>
              </w:rPr>
            </w:pPr>
            <w:r>
              <w:rPr>
                <w:color w:val="FF0000"/>
              </w:rPr>
              <w:t>生态</w:t>
            </w:r>
            <w:r>
              <w:rPr>
                <w:rFonts w:hint="eastAsia"/>
                <w:color w:val="FF0000"/>
              </w:rPr>
              <w:t>放流管</w:t>
            </w:r>
          </w:p>
        </w:tc>
        <w:tc>
          <w:tcPr>
            <w:tcW w:w="682" w:type="dxa"/>
            <w:shd w:val="clear" w:color="auto" w:fill="auto"/>
            <w:vAlign w:val="center"/>
          </w:tcPr>
          <w:p w14:paraId="762CCC89">
            <w:pPr>
              <w:pStyle w:val="84"/>
              <w:rPr>
                <w:color w:val="FF0000"/>
              </w:rPr>
            </w:pPr>
            <w:r>
              <w:rPr>
                <w:color w:val="FF0000"/>
              </w:rPr>
              <w:t>处</w:t>
            </w:r>
          </w:p>
        </w:tc>
        <w:tc>
          <w:tcPr>
            <w:tcW w:w="795" w:type="dxa"/>
            <w:shd w:val="clear" w:color="auto" w:fill="auto"/>
            <w:vAlign w:val="center"/>
          </w:tcPr>
          <w:p w14:paraId="359025B3">
            <w:pPr>
              <w:pStyle w:val="84"/>
              <w:rPr>
                <w:color w:val="FF0000"/>
              </w:rPr>
            </w:pPr>
            <w:r>
              <w:rPr>
                <w:color w:val="FF0000"/>
              </w:rPr>
              <w:t>1</w:t>
            </w:r>
          </w:p>
        </w:tc>
        <w:tc>
          <w:tcPr>
            <w:tcW w:w="1140" w:type="dxa"/>
            <w:shd w:val="clear" w:color="auto" w:fill="auto"/>
            <w:vAlign w:val="center"/>
          </w:tcPr>
          <w:p w14:paraId="421DF16A">
            <w:pPr>
              <w:pStyle w:val="84"/>
              <w:rPr>
                <w:color w:val="FF0000"/>
              </w:rPr>
            </w:pPr>
            <w:r>
              <w:rPr>
                <w:rFonts w:hint="eastAsia"/>
                <w:color w:val="FF0000"/>
              </w:rPr>
              <w:t>—</w:t>
            </w:r>
          </w:p>
        </w:tc>
        <w:tc>
          <w:tcPr>
            <w:tcW w:w="1984" w:type="dxa"/>
            <w:shd w:val="clear" w:color="auto" w:fill="auto"/>
            <w:vAlign w:val="center"/>
          </w:tcPr>
          <w:p w14:paraId="556C1029">
            <w:pPr>
              <w:pStyle w:val="84"/>
              <w:rPr>
                <w:rFonts w:eastAsiaTheme="minorEastAsia"/>
                <w:color w:val="FF0000"/>
              </w:rPr>
            </w:pPr>
            <w:r>
              <w:rPr>
                <w:rFonts w:hint="eastAsia"/>
                <w:color w:val="FF0000"/>
              </w:rPr>
              <w:t>已</w:t>
            </w:r>
            <w:r>
              <w:rPr>
                <w:color w:val="FF0000"/>
              </w:rPr>
              <w:t>列入主体工程</w:t>
            </w:r>
          </w:p>
        </w:tc>
      </w:tr>
      <w:tr w14:paraId="42F7E4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709" w:type="dxa"/>
            <w:shd w:val="clear" w:color="auto" w:fill="auto"/>
            <w:vAlign w:val="center"/>
          </w:tcPr>
          <w:p w14:paraId="13F25409">
            <w:pPr>
              <w:pStyle w:val="84"/>
              <w:rPr>
                <w:color w:val="FF0000"/>
              </w:rPr>
            </w:pPr>
            <w:r>
              <w:rPr>
                <w:rFonts w:hint="eastAsia"/>
                <w:color w:val="FF0000"/>
              </w:rPr>
              <w:t>6</w:t>
            </w:r>
          </w:p>
        </w:tc>
        <w:tc>
          <w:tcPr>
            <w:tcW w:w="3337" w:type="dxa"/>
            <w:shd w:val="clear" w:color="auto" w:fill="auto"/>
            <w:vAlign w:val="center"/>
          </w:tcPr>
          <w:p w14:paraId="15C3E481">
            <w:pPr>
              <w:pStyle w:val="84"/>
              <w:rPr>
                <w:color w:val="FF0000"/>
              </w:rPr>
            </w:pPr>
            <w:r>
              <w:rPr>
                <w:rFonts w:hint="eastAsia"/>
                <w:color w:val="FF0000"/>
              </w:rPr>
              <w:t>生态流量在线监测仪器、监控系统</w:t>
            </w:r>
          </w:p>
        </w:tc>
        <w:tc>
          <w:tcPr>
            <w:tcW w:w="682" w:type="dxa"/>
            <w:shd w:val="clear" w:color="auto" w:fill="auto"/>
            <w:vAlign w:val="center"/>
          </w:tcPr>
          <w:p w14:paraId="7E5774DE">
            <w:pPr>
              <w:pStyle w:val="84"/>
              <w:rPr>
                <w:color w:val="FF0000"/>
              </w:rPr>
            </w:pPr>
            <w:r>
              <w:rPr>
                <w:rFonts w:hint="eastAsia"/>
                <w:color w:val="FF0000"/>
              </w:rPr>
              <w:t>套</w:t>
            </w:r>
          </w:p>
        </w:tc>
        <w:tc>
          <w:tcPr>
            <w:tcW w:w="795" w:type="dxa"/>
            <w:shd w:val="clear" w:color="auto" w:fill="auto"/>
            <w:vAlign w:val="center"/>
          </w:tcPr>
          <w:p w14:paraId="159C0238">
            <w:pPr>
              <w:pStyle w:val="84"/>
              <w:rPr>
                <w:color w:val="FF0000"/>
              </w:rPr>
            </w:pPr>
            <w:r>
              <w:rPr>
                <w:rFonts w:hint="eastAsia"/>
                <w:color w:val="FF0000"/>
              </w:rPr>
              <w:t>1</w:t>
            </w:r>
          </w:p>
        </w:tc>
        <w:tc>
          <w:tcPr>
            <w:tcW w:w="1140" w:type="dxa"/>
            <w:shd w:val="clear" w:color="auto" w:fill="auto"/>
            <w:vAlign w:val="center"/>
          </w:tcPr>
          <w:p w14:paraId="21B11E4D">
            <w:pPr>
              <w:pStyle w:val="84"/>
              <w:rPr>
                <w:color w:val="FF0000"/>
              </w:rPr>
            </w:pPr>
            <w:r>
              <w:rPr>
                <w:rFonts w:hint="eastAsia"/>
                <w:color w:val="FF0000"/>
              </w:rPr>
              <w:t>100000</w:t>
            </w:r>
          </w:p>
        </w:tc>
        <w:tc>
          <w:tcPr>
            <w:tcW w:w="1984" w:type="dxa"/>
            <w:shd w:val="clear" w:color="auto" w:fill="auto"/>
            <w:vAlign w:val="center"/>
          </w:tcPr>
          <w:p w14:paraId="70868928">
            <w:pPr>
              <w:pStyle w:val="84"/>
              <w:rPr>
                <w:color w:val="FF0000"/>
              </w:rPr>
            </w:pPr>
            <w:r>
              <w:rPr>
                <w:rFonts w:hint="eastAsia"/>
                <w:color w:val="FF0000"/>
              </w:rPr>
              <w:t>10</w:t>
            </w:r>
          </w:p>
        </w:tc>
      </w:tr>
      <w:tr w14:paraId="49E678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709" w:type="dxa"/>
            <w:shd w:val="clear" w:color="auto" w:fill="auto"/>
            <w:vAlign w:val="center"/>
          </w:tcPr>
          <w:p w14:paraId="19537CA9">
            <w:pPr>
              <w:pStyle w:val="84"/>
              <w:rPr>
                <w:color w:val="FF0000"/>
              </w:rPr>
            </w:pPr>
            <w:r>
              <w:rPr>
                <w:rFonts w:hint="eastAsia"/>
                <w:color w:val="FF0000"/>
              </w:rPr>
              <w:t>二</w:t>
            </w:r>
          </w:p>
        </w:tc>
        <w:tc>
          <w:tcPr>
            <w:tcW w:w="3337" w:type="dxa"/>
            <w:shd w:val="clear" w:color="auto" w:fill="auto"/>
            <w:vAlign w:val="center"/>
          </w:tcPr>
          <w:p w14:paraId="54821244">
            <w:pPr>
              <w:pStyle w:val="84"/>
              <w:rPr>
                <w:color w:val="FF0000"/>
              </w:rPr>
            </w:pPr>
            <w:r>
              <w:rPr>
                <w:color w:val="FF0000"/>
              </w:rPr>
              <w:t>大气环境保护</w:t>
            </w:r>
          </w:p>
        </w:tc>
        <w:tc>
          <w:tcPr>
            <w:tcW w:w="682" w:type="dxa"/>
            <w:shd w:val="clear" w:color="auto" w:fill="auto"/>
            <w:vAlign w:val="center"/>
          </w:tcPr>
          <w:p w14:paraId="40BBF8DF">
            <w:pPr>
              <w:pStyle w:val="84"/>
              <w:rPr>
                <w:color w:val="FF0000"/>
              </w:rPr>
            </w:pPr>
            <w:r>
              <w:rPr>
                <w:rFonts w:hint="eastAsia"/>
                <w:color w:val="FF0000"/>
              </w:rPr>
              <w:t>—</w:t>
            </w:r>
          </w:p>
        </w:tc>
        <w:tc>
          <w:tcPr>
            <w:tcW w:w="795" w:type="dxa"/>
            <w:shd w:val="clear" w:color="auto" w:fill="auto"/>
            <w:vAlign w:val="center"/>
          </w:tcPr>
          <w:p w14:paraId="1FF275B1">
            <w:pPr>
              <w:pStyle w:val="84"/>
              <w:rPr>
                <w:color w:val="FF0000"/>
              </w:rPr>
            </w:pPr>
            <w:r>
              <w:rPr>
                <w:rFonts w:hint="eastAsia"/>
                <w:color w:val="FF0000"/>
              </w:rPr>
              <w:t>—</w:t>
            </w:r>
          </w:p>
        </w:tc>
        <w:tc>
          <w:tcPr>
            <w:tcW w:w="1140" w:type="dxa"/>
            <w:shd w:val="clear" w:color="auto" w:fill="auto"/>
            <w:vAlign w:val="center"/>
          </w:tcPr>
          <w:p w14:paraId="18DD4FF1">
            <w:pPr>
              <w:pStyle w:val="84"/>
              <w:rPr>
                <w:color w:val="FF0000"/>
              </w:rPr>
            </w:pPr>
            <w:r>
              <w:rPr>
                <w:rFonts w:hint="eastAsia"/>
                <w:color w:val="FF0000"/>
              </w:rPr>
              <w:t>—</w:t>
            </w:r>
          </w:p>
        </w:tc>
        <w:tc>
          <w:tcPr>
            <w:tcW w:w="1984" w:type="dxa"/>
            <w:shd w:val="clear" w:color="auto" w:fill="auto"/>
            <w:vAlign w:val="center"/>
          </w:tcPr>
          <w:p w14:paraId="778A180D">
            <w:pPr>
              <w:pStyle w:val="84"/>
              <w:rPr>
                <w:color w:val="FF0000"/>
              </w:rPr>
            </w:pPr>
            <w:r>
              <w:rPr>
                <w:rFonts w:hint="eastAsia"/>
                <w:color w:val="FF0000"/>
              </w:rPr>
              <w:t>8.6</w:t>
            </w:r>
          </w:p>
        </w:tc>
      </w:tr>
      <w:tr w14:paraId="7B7E87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709" w:type="dxa"/>
            <w:shd w:val="clear" w:color="auto" w:fill="auto"/>
            <w:vAlign w:val="center"/>
          </w:tcPr>
          <w:p w14:paraId="3A5EFD2B">
            <w:pPr>
              <w:pStyle w:val="84"/>
              <w:rPr>
                <w:color w:val="FF0000"/>
              </w:rPr>
            </w:pPr>
            <w:r>
              <w:rPr>
                <w:rFonts w:hint="eastAsia"/>
                <w:color w:val="FF0000"/>
              </w:rPr>
              <w:t>1</w:t>
            </w:r>
          </w:p>
        </w:tc>
        <w:tc>
          <w:tcPr>
            <w:tcW w:w="3337" w:type="dxa"/>
            <w:shd w:val="clear" w:color="auto" w:fill="auto"/>
            <w:vAlign w:val="center"/>
          </w:tcPr>
          <w:p w14:paraId="6B14C34B">
            <w:pPr>
              <w:pStyle w:val="84"/>
              <w:rPr>
                <w:color w:val="FF0000"/>
              </w:rPr>
            </w:pPr>
            <w:r>
              <w:rPr>
                <w:rFonts w:hint="eastAsia"/>
                <w:color w:val="FF0000"/>
              </w:rPr>
              <w:t>施工期</w:t>
            </w:r>
          </w:p>
        </w:tc>
        <w:tc>
          <w:tcPr>
            <w:tcW w:w="682" w:type="dxa"/>
            <w:shd w:val="clear" w:color="auto" w:fill="auto"/>
            <w:vAlign w:val="center"/>
          </w:tcPr>
          <w:p w14:paraId="420EBF5A">
            <w:pPr>
              <w:pStyle w:val="84"/>
              <w:rPr>
                <w:color w:val="FF0000"/>
              </w:rPr>
            </w:pPr>
            <w:r>
              <w:rPr>
                <w:rFonts w:hint="eastAsia"/>
                <w:color w:val="FF0000"/>
              </w:rPr>
              <w:t>—</w:t>
            </w:r>
          </w:p>
        </w:tc>
        <w:tc>
          <w:tcPr>
            <w:tcW w:w="795" w:type="dxa"/>
            <w:shd w:val="clear" w:color="auto" w:fill="auto"/>
            <w:vAlign w:val="center"/>
          </w:tcPr>
          <w:p w14:paraId="101E9C52">
            <w:pPr>
              <w:pStyle w:val="84"/>
              <w:rPr>
                <w:color w:val="FF0000"/>
              </w:rPr>
            </w:pPr>
            <w:r>
              <w:rPr>
                <w:rFonts w:hint="eastAsia"/>
                <w:color w:val="FF0000"/>
              </w:rPr>
              <w:t>—</w:t>
            </w:r>
          </w:p>
        </w:tc>
        <w:tc>
          <w:tcPr>
            <w:tcW w:w="1140" w:type="dxa"/>
            <w:shd w:val="clear" w:color="auto" w:fill="auto"/>
            <w:vAlign w:val="center"/>
          </w:tcPr>
          <w:p w14:paraId="7D8E36B0">
            <w:pPr>
              <w:pStyle w:val="84"/>
              <w:rPr>
                <w:color w:val="FF0000"/>
              </w:rPr>
            </w:pPr>
            <w:r>
              <w:rPr>
                <w:rFonts w:hint="eastAsia"/>
                <w:color w:val="FF0000"/>
              </w:rPr>
              <w:t>—</w:t>
            </w:r>
          </w:p>
        </w:tc>
        <w:tc>
          <w:tcPr>
            <w:tcW w:w="1984" w:type="dxa"/>
            <w:shd w:val="clear" w:color="auto" w:fill="auto"/>
            <w:vAlign w:val="center"/>
          </w:tcPr>
          <w:p w14:paraId="52C6ED45">
            <w:pPr>
              <w:pStyle w:val="84"/>
              <w:rPr>
                <w:color w:val="FF0000"/>
              </w:rPr>
            </w:pPr>
            <w:r>
              <w:rPr>
                <w:rFonts w:hint="eastAsia"/>
                <w:color w:val="FF0000"/>
              </w:rPr>
              <w:t>8.6</w:t>
            </w:r>
          </w:p>
        </w:tc>
      </w:tr>
      <w:tr w14:paraId="198B4B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709" w:type="dxa"/>
            <w:shd w:val="clear" w:color="auto" w:fill="auto"/>
            <w:vAlign w:val="center"/>
          </w:tcPr>
          <w:p w14:paraId="71965764">
            <w:pPr>
              <w:pStyle w:val="84"/>
              <w:rPr>
                <w:color w:val="FF0000"/>
              </w:rPr>
            </w:pPr>
            <w:r>
              <w:rPr>
                <w:rFonts w:hint="eastAsia"/>
                <w:color w:val="FF0000"/>
              </w:rPr>
              <w:t>（1）</w:t>
            </w:r>
          </w:p>
        </w:tc>
        <w:tc>
          <w:tcPr>
            <w:tcW w:w="3337" w:type="dxa"/>
            <w:shd w:val="clear" w:color="auto" w:fill="auto"/>
            <w:vAlign w:val="center"/>
          </w:tcPr>
          <w:p w14:paraId="4916DBB9">
            <w:pPr>
              <w:pStyle w:val="84"/>
              <w:rPr>
                <w:color w:val="FF0000"/>
              </w:rPr>
            </w:pPr>
            <w:r>
              <w:rPr>
                <w:color w:val="FF0000"/>
              </w:rPr>
              <w:t>施工期洒水降尘</w:t>
            </w:r>
          </w:p>
        </w:tc>
        <w:tc>
          <w:tcPr>
            <w:tcW w:w="682" w:type="dxa"/>
            <w:shd w:val="clear" w:color="auto" w:fill="auto"/>
            <w:vAlign w:val="center"/>
          </w:tcPr>
          <w:p w14:paraId="4F26A719">
            <w:pPr>
              <w:pStyle w:val="84"/>
              <w:rPr>
                <w:color w:val="FF0000"/>
              </w:rPr>
            </w:pPr>
            <w:r>
              <w:rPr>
                <w:color w:val="FF0000"/>
              </w:rPr>
              <w:t>月</w:t>
            </w:r>
          </w:p>
        </w:tc>
        <w:tc>
          <w:tcPr>
            <w:tcW w:w="795" w:type="dxa"/>
            <w:shd w:val="clear" w:color="auto" w:fill="auto"/>
            <w:vAlign w:val="center"/>
          </w:tcPr>
          <w:p w14:paraId="076AC00B">
            <w:pPr>
              <w:pStyle w:val="84"/>
              <w:rPr>
                <w:color w:val="FF0000"/>
              </w:rPr>
            </w:pPr>
            <w:r>
              <w:rPr>
                <w:rFonts w:hint="eastAsia"/>
                <w:color w:val="FF0000"/>
              </w:rPr>
              <w:t>12</w:t>
            </w:r>
          </w:p>
        </w:tc>
        <w:tc>
          <w:tcPr>
            <w:tcW w:w="1140" w:type="dxa"/>
            <w:shd w:val="clear" w:color="auto" w:fill="auto"/>
            <w:vAlign w:val="center"/>
          </w:tcPr>
          <w:p w14:paraId="728DF7C8">
            <w:pPr>
              <w:pStyle w:val="84"/>
              <w:rPr>
                <w:color w:val="FF0000"/>
              </w:rPr>
            </w:pPr>
            <w:r>
              <w:rPr>
                <w:rFonts w:hint="eastAsia"/>
                <w:color w:val="FF0000"/>
              </w:rPr>
              <w:t>3000</w:t>
            </w:r>
          </w:p>
        </w:tc>
        <w:tc>
          <w:tcPr>
            <w:tcW w:w="1984" w:type="dxa"/>
            <w:shd w:val="clear" w:color="auto" w:fill="auto"/>
            <w:vAlign w:val="center"/>
          </w:tcPr>
          <w:p w14:paraId="727038B0">
            <w:pPr>
              <w:pStyle w:val="84"/>
              <w:rPr>
                <w:color w:val="FF0000"/>
              </w:rPr>
            </w:pPr>
            <w:r>
              <w:rPr>
                <w:rFonts w:hint="eastAsia"/>
                <w:color w:val="FF0000"/>
              </w:rPr>
              <w:t>3.6</w:t>
            </w:r>
          </w:p>
        </w:tc>
      </w:tr>
      <w:tr w14:paraId="04B4FA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709" w:type="dxa"/>
            <w:shd w:val="clear" w:color="auto" w:fill="auto"/>
            <w:vAlign w:val="center"/>
          </w:tcPr>
          <w:p w14:paraId="016F72E6">
            <w:pPr>
              <w:pStyle w:val="84"/>
              <w:rPr>
                <w:color w:val="FF0000"/>
              </w:rPr>
            </w:pPr>
            <w:r>
              <w:rPr>
                <w:rFonts w:hint="eastAsia"/>
                <w:color w:val="FF0000"/>
              </w:rPr>
              <w:t>（</w:t>
            </w:r>
            <w:r>
              <w:rPr>
                <w:color w:val="FF0000"/>
              </w:rPr>
              <w:t>2</w:t>
            </w:r>
            <w:r>
              <w:rPr>
                <w:rFonts w:hint="eastAsia"/>
                <w:color w:val="FF0000"/>
              </w:rPr>
              <w:t>）</w:t>
            </w:r>
          </w:p>
        </w:tc>
        <w:tc>
          <w:tcPr>
            <w:tcW w:w="3337" w:type="dxa"/>
            <w:shd w:val="clear" w:color="auto" w:fill="auto"/>
            <w:vAlign w:val="center"/>
          </w:tcPr>
          <w:p w14:paraId="2075AE2B">
            <w:pPr>
              <w:pStyle w:val="84"/>
              <w:rPr>
                <w:color w:val="FF0000"/>
              </w:rPr>
            </w:pPr>
            <w:r>
              <w:rPr>
                <w:rFonts w:hint="eastAsia"/>
                <w:color w:val="FF0000"/>
              </w:rPr>
              <w:t>车辆、</w:t>
            </w:r>
            <w:r>
              <w:rPr>
                <w:color w:val="FF0000"/>
              </w:rPr>
              <w:t>机械设备定期维修、保养</w:t>
            </w:r>
          </w:p>
        </w:tc>
        <w:tc>
          <w:tcPr>
            <w:tcW w:w="682" w:type="dxa"/>
            <w:shd w:val="clear" w:color="auto" w:fill="auto"/>
            <w:vAlign w:val="center"/>
          </w:tcPr>
          <w:p w14:paraId="24650584">
            <w:pPr>
              <w:pStyle w:val="84"/>
              <w:rPr>
                <w:color w:val="FF0000"/>
              </w:rPr>
            </w:pPr>
            <w:r>
              <w:rPr>
                <w:rFonts w:hint="eastAsia"/>
                <w:color w:val="FF0000"/>
              </w:rPr>
              <w:t>—</w:t>
            </w:r>
          </w:p>
        </w:tc>
        <w:tc>
          <w:tcPr>
            <w:tcW w:w="795" w:type="dxa"/>
            <w:shd w:val="clear" w:color="auto" w:fill="auto"/>
            <w:vAlign w:val="center"/>
          </w:tcPr>
          <w:p w14:paraId="3118FB3E">
            <w:pPr>
              <w:pStyle w:val="84"/>
              <w:rPr>
                <w:color w:val="FF0000"/>
              </w:rPr>
            </w:pPr>
            <w:r>
              <w:rPr>
                <w:rFonts w:hint="eastAsia"/>
                <w:color w:val="FF0000"/>
              </w:rPr>
              <w:t>—</w:t>
            </w:r>
          </w:p>
        </w:tc>
        <w:tc>
          <w:tcPr>
            <w:tcW w:w="1140" w:type="dxa"/>
            <w:shd w:val="clear" w:color="auto" w:fill="auto"/>
            <w:vAlign w:val="center"/>
          </w:tcPr>
          <w:p w14:paraId="67FED409">
            <w:pPr>
              <w:pStyle w:val="84"/>
              <w:rPr>
                <w:color w:val="FF0000"/>
              </w:rPr>
            </w:pPr>
            <w:r>
              <w:rPr>
                <w:rFonts w:hint="eastAsia"/>
                <w:color w:val="FF0000"/>
              </w:rPr>
              <w:t>—</w:t>
            </w:r>
          </w:p>
        </w:tc>
        <w:tc>
          <w:tcPr>
            <w:tcW w:w="1984" w:type="dxa"/>
            <w:shd w:val="clear" w:color="auto" w:fill="auto"/>
            <w:vAlign w:val="center"/>
          </w:tcPr>
          <w:p w14:paraId="09D25A81">
            <w:pPr>
              <w:pStyle w:val="84"/>
              <w:rPr>
                <w:color w:val="FF0000"/>
              </w:rPr>
            </w:pPr>
            <w:r>
              <w:rPr>
                <w:rFonts w:hint="eastAsia"/>
                <w:color w:val="FF0000"/>
              </w:rPr>
              <w:t>5</w:t>
            </w:r>
          </w:p>
        </w:tc>
      </w:tr>
      <w:tr w14:paraId="3D6968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97" w:hRule="atLeast"/>
        </w:trPr>
        <w:tc>
          <w:tcPr>
            <w:tcW w:w="709" w:type="dxa"/>
            <w:shd w:val="clear" w:color="auto" w:fill="auto"/>
            <w:vAlign w:val="center"/>
          </w:tcPr>
          <w:p w14:paraId="217A61E8">
            <w:pPr>
              <w:pStyle w:val="84"/>
              <w:rPr>
                <w:color w:val="FF0000"/>
              </w:rPr>
            </w:pPr>
            <w:r>
              <w:rPr>
                <w:rFonts w:hint="eastAsia"/>
                <w:color w:val="FF0000"/>
              </w:rPr>
              <w:t>三</w:t>
            </w:r>
          </w:p>
        </w:tc>
        <w:tc>
          <w:tcPr>
            <w:tcW w:w="3337" w:type="dxa"/>
            <w:shd w:val="clear" w:color="auto" w:fill="auto"/>
            <w:vAlign w:val="center"/>
          </w:tcPr>
          <w:p w14:paraId="7C95A963">
            <w:pPr>
              <w:pStyle w:val="84"/>
              <w:rPr>
                <w:color w:val="FF0000"/>
              </w:rPr>
            </w:pPr>
            <w:r>
              <w:rPr>
                <w:color w:val="FF0000"/>
              </w:rPr>
              <w:t>水环境保护工程</w:t>
            </w:r>
          </w:p>
        </w:tc>
        <w:tc>
          <w:tcPr>
            <w:tcW w:w="682" w:type="dxa"/>
            <w:shd w:val="clear" w:color="auto" w:fill="auto"/>
            <w:vAlign w:val="center"/>
          </w:tcPr>
          <w:p w14:paraId="68228224">
            <w:pPr>
              <w:pStyle w:val="84"/>
              <w:rPr>
                <w:color w:val="FF0000"/>
              </w:rPr>
            </w:pPr>
            <w:r>
              <w:rPr>
                <w:rFonts w:hint="eastAsia"/>
                <w:color w:val="FF0000"/>
              </w:rPr>
              <w:t>—</w:t>
            </w:r>
          </w:p>
        </w:tc>
        <w:tc>
          <w:tcPr>
            <w:tcW w:w="795" w:type="dxa"/>
            <w:shd w:val="clear" w:color="auto" w:fill="auto"/>
            <w:vAlign w:val="center"/>
          </w:tcPr>
          <w:p w14:paraId="48E4B16F">
            <w:pPr>
              <w:pStyle w:val="84"/>
              <w:rPr>
                <w:color w:val="FF0000"/>
              </w:rPr>
            </w:pPr>
            <w:r>
              <w:rPr>
                <w:rFonts w:hint="eastAsia"/>
                <w:color w:val="FF0000"/>
              </w:rPr>
              <w:t>—</w:t>
            </w:r>
          </w:p>
        </w:tc>
        <w:tc>
          <w:tcPr>
            <w:tcW w:w="1140" w:type="dxa"/>
            <w:shd w:val="clear" w:color="auto" w:fill="auto"/>
            <w:vAlign w:val="center"/>
          </w:tcPr>
          <w:p w14:paraId="38E2E42F">
            <w:pPr>
              <w:pStyle w:val="84"/>
              <w:rPr>
                <w:color w:val="FF0000"/>
              </w:rPr>
            </w:pPr>
            <w:r>
              <w:rPr>
                <w:rFonts w:hint="eastAsia"/>
                <w:color w:val="FF0000"/>
              </w:rPr>
              <w:t>—</w:t>
            </w:r>
          </w:p>
        </w:tc>
        <w:tc>
          <w:tcPr>
            <w:tcW w:w="1984" w:type="dxa"/>
            <w:shd w:val="clear" w:color="auto" w:fill="auto"/>
            <w:vAlign w:val="center"/>
          </w:tcPr>
          <w:p w14:paraId="10E00FE6">
            <w:pPr>
              <w:pStyle w:val="84"/>
              <w:rPr>
                <w:color w:val="FF0000"/>
              </w:rPr>
            </w:pPr>
            <w:r>
              <w:rPr>
                <w:rFonts w:hint="eastAsia"/>
                <w:color w:val="FF0000"/>
              </w:rPr>
              <w:t>1.6</w:t>
            </w:r>
          </w:p>
        </w:tc>
      </w:tr>
      <w:tr w14:paraId="141E48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709" w:type="dxa"/>
            <w:shd w:val="clear" w:color="auto" w:fill="auto"/>
            <w:vAlign w:val="center"/>
          </w:tcPr>
          <w:p w14:paraId="65D4E35A">
            <w:pPr>
              <w:pStyle w:val="84"/>
              <w:rPr>
                <w:color w:val="FF0000"/>
              </w:rPr>
            </w:pPr>
            <w:r>
              <w:rPr>
                <w:color w:val="FF0000"/>
              </w:rPr>
              <w:t>1</w:t>
            </w:r>
          </w:p>
        </w:tc>
        <w:tc>
          <w:tcPr>
            <w:tcW w:w="3337" w:type="dxa"/>
            <w:shd w:val="clear" w:color="auto" w:fill="auto"/>
            <w:vAlign w:val="center"/>
          </w:tcPr>
          <w:p w14:paraId="5CFEE361">
            <w:pPr>
              <w:pStyle w:val="84"/>
              <w:rPr>
                <w:color w:val="FF0000"/>
              </w:rPr>
            </w:pPr>
            <w:r>
              <w:rPr>
                <w:color w:val="FF0000"/>
              </w:rPr>
              <w:t>施工废水处理</w:t>
            </w:r>
          </w:p>
        </w:tc>
        <w:tc>
          <w:tcPr>
            <w:tcW w:w="682" w:type="dxa"/>
            <w:shd w:val="clear" w:color="auto" w:fill="auto"/>
            <w:vAlign w:val="center"/>
          </w:tcPr>
          <w:p w14:paraId="3272F9A2">
            <w:pPr>
              <w:pStyle w:val="84"/>
              <w:rPr>
                <w:color w:val="FF0000"/>
              </w:rPr>
            </w:pPr>
            <w:r>
              <w:rPr>
                <w:rFonts w:hint="eastAsia"/>
                <w:color w:val="FF0000"/>
              </w:rPr>
              <w:t>—</w:t>
            </w:r>
          </w:p>
        </w:tc>
        <w:tc>
          <w:tcPr>
            <w:tcW w:w="795" w:type="dxa"/>
            <w:shd w:val="clear" w:color="auto" w:fill="auto"/>
            <w:vAlign w:val="center"/>
          </w:tcPr>
          <w:p w14:paraId="67E4DC54">
            <w:pPr>
              <w:pStyle w:val="84"/>
              <w:rPr>
                <w:color w:val="FF0000"/>
              </w:rPr>
            </w:pPr>
            <w:r>
              <w:rPr>
                <w:rFonts w:hint="eastAsia"/>
                <w:color w:val="FF0000"/>
              </w:rPr>
              <w:t>—</w:t>
            </w:r>
          </w:p>
        </w:tc>
        <w:tc>
          <w:tcPr>
            <w:tcW w:w="1140" w:type="dxa"/>
            <w:shd w:val="clear" w:color="auto" w:fill="auto"/>
            <w:vAlign w:val="center"/>
          </w:tcPr>
          <w:p w14:paraId="0C1A9398">
            <w:pPr>
              <w:pStyle w:val="84"/>
              <w:rPr>
                <w:color w:val="FF0000"/>
              </w:rPr>
            </w:pPr>
            <w:r>
              <w:rPr>
                <w:rFonts w:hint="eastAsia"/>
                <w:color w:val="FF0000"/>
              </w:rPr>
              <w:t>—</w:t>
            </w:r>
          </w:p>
        </w:tc>
        <w:tc>
          <w:tcPr>
            <w:tcW w:w="1984" w:type="dxa"/>
            <w:shd w:val="clear" w:color="auto" w:fill="auto"/>
            <w:vAlign w:val="center"/>
          </w:tcPr>
          <w:p w14:paraId="1F4694B6">
            <w:pPr>
              <w:pStyle w:val="84"/>
              <w:rPr>
                <w:color w:val="FF0000"/>
              </w:rPr>
            </w:pPr>
            <w:r>
              <w:rPr>
                <w:rFonts w:hint="eastAsia"/>
                <w:color w:val="FF0000"/>
              </w:rPr>
              <w:t>1.6</w:t>
            </w:r>
          </w:p>
        </w:tc>
      </w:tr>
      <w:tr w14:paraId="4ECDC6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709" w:type="dxa"/>
            <w:shd w:val="clear" w:color="auto" w:fill="auto"/>
            <w:vAlign w:val="center"/>
          </w:tcPr>
          <w:p w14:paraId="3E9E8AEF">
            <w:pPr>
              <w:pStyle w:val="84"/>
              <w:rPr>
                <w:color w:val="FF0000"/>
              </w:rPr>
            </w:pPr>
            <w:r>
              <w:rPr>
                <w:color w:val="FF0000"/>
              </w:rPr>
              <w:t>（</w:t>
            </w:r>
            <w:r>
              <w:rPr>
                <w:rFonts w:hint="eastAsia"/>
                <w:color w:val="FF0000"/>
              </w:rPr>
              <w:t>1</w:t>
            </w:r>
            <w:r>
              <w:rPr>
                <w:color w:val="FF0000"/>
              </w:rPr>
              <w:t>）</w:t>
            </w:r>
          </w:p>
        </w:tc>
        <w:tc>
          <w:tcPr>
            <w:tcW w:w="3337" w:type="dxa"/>
            <w:shd w:val="clear" w:color="auto" w:fill="auto"/>
            <w:vAlign w:val="center"/>
          </w:tcPr>
          <w:p w14:paraId="4CB6608B">
            <w:pPr>
              <w:pStyle w:val="84"/>
              <w:rPr>
                <w:color w:val="FF0000"/>
              </w:rPr>
            </w:pPr>
            <w:r>
              <w:rPr>
                <w:rFonts w:hint="eastAsia"/>
                <w:color w:val="FF0000"/>
              </w:rPr>
              <w:t>生产废水</w:t>
            </w:r>
            <w:r>
              <w:rPr>
                <w:color w:val="FF0000"/>
              </w:rPr>
              <w:t>沉淀池</w:t>
            </w:r>
          </w:p>
        </w:tc>
        <w:tc>
          <w:tcPr>
            <w:tcW w:w="682" w:type="dxa"/>
            <w:shd w:val="clear" w:color="auto" w:fill="auto"/>
            <w:vAlign w:val="center"/>
          </w:tcPr>
          <w:p w14:paraId="28401E75">
            <w:pPr>
              <w:pStyle w:val="84"/>
              <w:rPr>
                <w:color w:val="FF0000"/>
              </w:rPr>
            </w:pPr>
            <w:r>
              <w:rPr>
                <w:rFonts w:hint="eastAsia"/>
                <w:color w:val="FF0000"/>
              </w:rPr>
              <w:t>个</w:t>
            </w:r>
          </w:p>
        </w:tc>
        <w:tc>
          <w:tcPr>
            <w:tcW w:w="795" w:type="dxa"/>
            <w:shd w:val="clear" w:color="auto" w:fill="auto"/>
            <w:vAlign w:val="center"/>
          </w:tcPr>
          <w:p w14:paraId="718833DE">
            <w:pPr>
              <w:pStyle w:val="84"/>
              <w:rPr>
                <w:color w:val="FF0000"/>
              </w:rPr>
            </w:pPr>
            <w:r>
              <w:rPr>
                <w:rFonts w:hint="eastAsia"/>
                <w:color w:val="FF0000"/>
              </w:rPr>
              <w:t>2</w:t>
            </w:r>
          </w:p>
        </w:tc>
        <w:tc>
          <w:tcPr>
            <w:tcW w:w="1140" w:type="dxa"/>
            <w:shd w:val="clear" w:color="auto" w:fill="auto"/>
            <w:vAlign w:val="center"/>
          </w:tcPr>
          <w:p w14:paraId="0235B4AD">
            <w:pPr>
              <w:pStyle w:val="84"/>
              <w:rPr>
                <w:color w:val="FF0000"/>
              </w:rPr>
            </w:pPr>
            <w:r>
              <w:rPr>
                <w:rFonts w:hint="eastAsia"/>
                <w:color w:val="FF0000"/>
              </w:rPr>
              <w:t>2000</w:t>
            </w:r>
          </w:p>
        </w:tc>
        <w:tc>
          <w:tcPr>
            <w:tcW w:w="1984" w:type="dxa"/>
            <w:shd w:val="clear" w:color="auto" w:fill="auto"/>
            <w:vAlign w:val="center"/>
          </w:tcPr>
          <w:p w14:paraId="5EF46FA8">
            <w:pPr>
              <w:pStyle w:val="84"/>
              <w:rPr>
                <w:color w:val="FF0000"/>
              </w:rPr>
            </w:pPr>
            <w:r>
              <w:rPr>
                <w:rFonts w:hint="eastAsia"/>
                <w:color w:val="FF0000"/>
              </w:rPr>
              <w:t>0.4</w:t>
            </w:r>
          </w:p>
        </w:tc>
      </w:tr>
      <w:tr w14:paraId="3E0A41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09" w:type="dxa"/>
            <w:shd w:val="clear" w:color="auto" w:fill="auto"/>
            <w:vAlign w:val="center"/>
          </w:tcPr>
          <w:p w14:paraId="00866B86">
            <w:pPr>
              <w:pStyle w:val="84"/>
              <w:rPr>
                <w:color w:val="FF0000"/>
              </w:rPr>
            </w:pPr>
            <w:r>
              <w:rPr>
                <w:rFonts w:hint="eastAsia"/>
                <w:color w:val="FF0000"/>
              </w:rPr>
              <w:t>（2）</w:t>
            </w:r>
          </w:p>
        </w:tc>
        <w:tc>
          <w:tcPr>
            <w:tcW w:w="3337" w:type="dxa"/>
            <w:shd w:val="clear" w:color="auto" w:fill="auto"/>
            <w:vAlign w:val="center"/>
          </w:tcPr>
          <w:p w14:paraId="3A30B98A">
            <w:pPr>
              <w:pStyle w:val="84"/>
              <w:rPr>
                <w:color w:val="FF0000"/>
              </w:rPr>
            </w:pPr>
            <w:r>
              <w:rPr>
                <w:rFonts w:hint="eastAsia"/>
                <w:color w:val="FF0000"/>
              </w:rPr>
              <w:t>施工期生活污水隔油池</w:t>
            </w:r>
          </w:p>
        </w:tc>
        <w:tc>
          <w:tcPr>
            <w:tcW w:w="682" w:type="dxa"/>
            <w:shd w:val="clear" w:color="auto" w:fill="auto"/>
            <w:vAlign w:val="center"/>
          </w:tcPr>
          <w:p w14:paraId="08926859">
            <w:pPr>
              <w:pStyle w:val="84"/>
              <w:rPr>
                <w:color w:val="FF0000"/>
              </w:rPr>
            </w:pPr>
            <w:r>
              <w:rPr>
                <w:rFonts w:hint="eastAsia"/>
                <w:color w:val="FF0000"/>
              </w:rPr>
              <w:t>个</w:t>
            </w:r>
          </w:p>
        </w:tc>
        <w:tc>
          <w:tcPr>
            <w:tcW w:w="795" w:type="dxa"/>
            <w:shd w:val="clear" w:color="auto" w:fill="auto"/>
            <w:vAlign w:val="center"/>
          </w:tcPr>
          <w:p w14:paraId="14E7BF47">
            <w:pPr>
              <w:pStyle w:val="84"/>
              <w:rPr>
                <w:color w:val="FF0000"/>
              </w:rPr>
            </w:pPr>
            <w:r>
              <w:rPr>
                <w:rFonts w:hint="eastAsia"/>
                <w:color w:val="FF0000"/>
              </w:rPr>
              <w:t>1</w:t>
            </w:r>
          </w:p>
        </w:tc>
        <w:tc>
          <w:tcPr>
            <w:tcW w:w="1140" w:type="dxa"/>
            <w:shd w:val="clear" w:color="auto" w:fill="auto"/>
            <w:vAlign w:val="center"/>
          </w:tcPr>
          <w:p w14:paraId="076ABD7B">
            <w:pPr>
              <w:pStyle w:val="84"/>
              <w:rPr>
                <w:color w:val="FF0000"/>
              </w:rPr>
            </w:pPr>
            <w:r>
              <w:rPr>
                <w:rFonts w:hint="eastAsia"/>
                <w:color w:val="FF0000"/>
              </w:rPr>
              <w:t>3000</w:t>
            </w:r>
          </w:p>
        </w:tc>
        <w:tc>
          <w:tcPr>
            <w:tcW w:w="1984" w:type="dxa"/>
            <w:shd w:val="clear" w:color="auto" w:fill="auto"/>
            <w:vAlign w:val="center"/>
          </w:tcPr>
          <w:p w14:paraId="4F7DE6AD">
            <w:pPr>
              <w:pStyle w:val="84"/>
              <w:rPr>
                <w:color w:val="FF0000"/>
              </w:rPr>
            </w:pPr>
            <w:r>
              <w:rPr>
                <w:rFonts w:hint="eastAsia"/>
                <w:color w:val="FF0000"/>
              </w:rPr>
              <w:t>0.3</w:t>
            </w:r>
          </w:p>
        </w:tc>
      </w:tr>
      <w:tr w14:paraId="3DC35A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09" w:type="dxa"/>
            <w:shd w:val="clear" w:color="auto" w:fill="auto"/>
            <w:vAlign w:val="center"/>
          </w:tcPr>
          <w:p w14:paraId="3D9A1852">
            <w:pPr>
              <w:pStyle w:val="84"/>
              <w:rPr>
                <w:color w:val="FF0000"/>
              </w:rPr>
            </w:pPr>
            <w:r>
              <w:rPr>
                <w:rFonts w:hint="eastAsia"/>
                <w:color w:val="FF0000"/>
              </w:rPr>
              <w:t>（3）</w:t>
            </w:r>
          </w:p>
        </w:tc>
        <w:tc>
          <w:tcPr>
            <w:tcW w:w="3337" w:type="dxa"/>
            <w:shd w:val="clear" w:color="auto" w:fill="auto"/>
            <w:vAlign w:val="center"/>
          </w:tcPr>
          <w:p w14:paraId="30240576">
            <w:pPr>
              <w:pStyle w:val="84"/>
              <w:rPr>
                <w:color w:val="FF0000"/>
              </w:rPr>
            </w:pPr>
            <w:r>
              <w:rPr>
                <w:rFonts w:hint="eastAsia"/>
                <w:color w:val="FF0000"/>
              </w:rPr>
              <w:t>施工期生活污水沉淀池</w:t>
            </w:r>
          </w:p>
        </w:tc>
        <w:tc>
          <w:tcPr>
            <w:tcW w:w="682" w:type="dxa"/>
            <w:shd w:val="clear" w:color="auto" w:fill="auto"/>
            <w:vAlign w:val="center"/>
          </w:tcPr>
          <w:p w14:paraId="0544D3D3">
            <w:pPr>
              <w:pStyle w:val="84"/>
              <w:rPr>
                <w:color w:val="FF0000"/>
              </w:rPr>
            </w:pPr>
            <w:r>
              <w:rPr>
                <w:rFonts w:hint="eastAsia"/>
                <w:color w:val="FF0000"/>
              </w:rPr>
              <w:t>个</w:t>
            </w:r>
          </w:p>
        </w:tc>
        <w:tc>
          <w:tcPr>
            <w:tcW w:w="795" w:type="dxa"/>
            <w:shd w:val="clear" w:color="auto" w:fill="auto"/>
            <w:vAlign w:val="center"/>
          </w:tcPr>
          <w:p w14:paraId="4C58238F">
            <w:pPr>
              <w:pStyle w:val="84"/>
              <w:rPr>
                <w:color w:val="FF0000"/>
              </w:rPr>
            </w:pPr>
            <w:r>
              <w:rPr>
                <w:rFonts w:hint="eastAsia"/>
                <w:color w:val="FF0000"/>
              </w:rPr>
              <w:t>1</w:t>
            </w:r>
          </w:p>
        </w:tc>
        <w:tc>
          <w:tcPr>
            <w:tcW w:w="1140" w:type="dxa"/>
            <w:shd w:val="clear" w:color="auto" w:fill="auto"/>
            <w:vAlign w:val="center"/>
          </w:tcPr>
          <w:p w14:paraId="45DFD115">
            <w:pPr>
              <w:pStyle w:val="84"/>
              <w:rPr>
                <w:color w:val="FF0000"/>
              </w:rPr>
            </w:pPr>
            <w:r>
              <w:rPr>
                <w:rFonts w:hint="eastAsia"/>
                <w:color w:val="FF0000"/>
              </w:rPr>
              <w:t>1000</w:t>
            </w:r>
          </w:p>
        </w:tc>
        <w:tc>
          <w:tcPr>
            <w:tcW w:w="1984" w:type="dxa"/>
            <w:shd w:val="clear" w:color="auto" w:fill="auto"/>
            <w:vAlign w:val="center"/>
          </w:tcPr>
          <w:p w14:paraId="002AAD16">
            <w:pPr>
              <w:pStyle w:val="84"/>
              <w:rPr>
                <w:color w:val="FF0000"/>
              </w:rPr>
            </w:pPr>
            <w:r>
              <w:rPr>
                <w:rFonts w:hint="eastAsia"/>
                <w:color w:val="FF0000"/>
              </w:rPr>
              <w:t>0.1</w:t>
            </w:r>
          </w:p>
        </w:tc>
      </w:tr>
      <w:tr w14:paraId="3629A5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09" w:type="dxa"/>
            <w:shd w:val="clear" w:color="auto" w:fill="auto"/>
            <w:vAlign w:val="center"/>
          </w:tcPr>
          <w:p w14:paraId="5A32D48B">
            <w:pPr>
              <w:pStyle w:val="84"/>
              <w:rPr>
                <w:color w:val="FF0000"/>
              </w:rPr>
            </w:pPr>
            <w:r>
              <w:rPr>
                <w:rFonts w:hint="eastAsia"/>
                <w:color w:val="FF0000"/>
              </w:rPr>
              <w:t>（4）</w:t>
            </w:r>
          </w:p>
        </w:tc>
        <w:tc>
          <w:tcPr>
            <w:tcW w:w="3337" w:type="dxa"/>
            <w:shd w:val="clear" w:color="auto" w:fill="auto"/>
            <w:vAlign w:val="center"/>
          </w:tcPr>
          <w:p w14:paraId="40756791">
            <w:pPr>
              <w:pStyle w:val="84"/>
              <w:rPr>
                <w:color w:val="FF0000"/>
              </w:rPr>
            </w:pPr>
            <w:r>
              <w:rPr>
                <w:rFonts w:hint="eastAsia"/>
                <w:color w:val="FF0000"/>
              </w:rPr>
              <w:t>旱厕</w:t>
            </w:r>
          </w:p>
        </w:tc>
        <w:tc>
          <w:tcPr>
            <w:tcW w:w="682" w:type="dxa"/>
            <w:shd w:val="clear" w:color="auto" w:fill="auto"/>
            <w:vAlign w:val="center"/>
          </w:tcPr>
          <w:p w14:paraId="00930A80">
            <w:pPr>
              <w:pStyle w:val="84"/>
              <w:rPr>
                <w:color w:val="FF0000"/>
              </w:rPr>
            </w:pPr>
            <w:r>
              <w:rPr>
                <w:rFonts w:hint="eastAsia"/>
                <w:color w:val="FF0000"/>
              </w:rPr>
              <w:t>个</w:t>
            </w:r>
          </w:p>
        </w:tc>
        <w:tc>
          <w:tcPr>
            <w:tcW w:w="795" w:type="dxa"/>
            <w:shd w:val="clear" w:color="auto" w:fill="auto"/>
            <w:vAlign w:val="center"/>
          </w:tcPr>
          <w:p w14:paraId="500D1EAB">
            <w:pPr>
              <w:pStyle w:val="84"/>
              <w:rPr>
                <w:color w:val="FF0000"/>
              </w:rPr>
            </w:pPr>
            <w:r>
              <w:rPr>
                <w:rFonts w:hint="eastAsia"/>
                <w:color w:val="FF0000"/>
              </w:rPr>
              <w:t>1</w:t>
            </w:r>
          </w:p>
        </w:tc>
        <w:tc>
          <w:tcPr>
            <w:tcW w:w="1140" w:type="dxa"/>
            <w:shd w:val="clear" w:color="auto" w:fill="auto"/>
            <w:vAlign w:val="center"/>
          </w:tcPr>
          <w:p w14:paraId="226291A1">
            <w:pPr>
              <w:pStyle w:val="84"/>
              <w:rPr>
                <w:color w:val="FF0000"/>
              </w:rPr>
            </w:pPr>
            <w:r>
              <w:rPr>
                <w:rFonts w:hint="eastAsia"/>
                <w:color w:val="FF0000"/>
              </w:rPr>
              <w:t>8000</w:t>
            </w:r>
          </w:p>
        </w:tc>
        <w:tc>
          <w:tcPr>
            <w:tcW w:w="1984" w:type="dxa"/>
            <w:shd w:val="clear" w:color="auto" w:fill="auto"/>
            <w:vAlign w:val="center"/>
          </w:tcPr>
          <w:p w14:paraId="0CDD335B">
            <w:pPr>
              <w:pStyle w:val="84"/>
              <w:rPr>
                <w:color w:val="FF0000"/>
              </w:rPr>
            </w:pPr>
            <w:r>
              <w:rPr>
                <w:rFonts w:hint="eastAsia"/>
                <w:color w:val="FF0000"/>
              </w:rPr>
              <w:t>0.8</w:t>
            </w:r>
          </w:p>
        </w:tc>
      </w:tr>
      <w:tr w14:paraId="32A14E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709" w:type="dxa"/>
            <w:shd w:val="clear" w:color="auto" w:fill="auto"/>
            <w:noWrap/>
            <w:vAlign w:val="center"/>
          </w:tcPr>
          <w:p w14:paraId="24904733">
            <w:pPr>
              <w:pStyle w:val="84"/>
              <w:rPr>
                <w:color w:val="FF0000"/>
              </w:rPr>
            </w:pPr>
            <w:r>
              <w:rPr>
                <w:rFonts w:hint="eastAsia"/>
                <w:color w:val="FF0000"/>
              </w:rPr>
              <w:t>四</w:t>
            </w:r>
          </w:p>
        </w:tc>
        <w:tc>
          <w:tcPr>
            <w:tcW w:w="3337" w:type="dxa"/>
            <w:shd w:val="clear" w:color="auto" w:fill="auto"/>
            <w:vAlign w:val="center"/>
          </w:tcPr>
          <w:p w14:paraId="447908D9">
            <w:pPr>
              <w:pStyle w:val="84"/>
              <w:rPr>
                <w:color w:val="FF0000"/>
              </w:rPr>
            </w:pPr>
            <w:r>
              <w:rPr>
                <w:color w:val="FF0000"/>
              </w:rPr>
              <w:t>声环境保护</w:t>
            </w:r>
          </w:p>
        </w:tc>
        <w:tc>
          <w:tcPr>
            <w:tcW w:w="682" w:type="dxa"/>
            <w:shd w:val="clear" w:color="auto" w:fill="auto"/>
            <w:vAlign w:val="center"/>
          </w:tcPr>
          <w:p w14:paraId="4C6120EE">
            <w:pPr>
              <w:pStyle w:val="84"/>
              <w:rPr>
                <w:color w:val="FF0000"/>
              </w:rPr>
            </w:pPr>
            <w:r>
              <w:rPr>
                <w:rFonts w:hint="eastAsia"/>
                <w:color w:val="FF0000"/>
              </w:rPr>
              <w:t>—</w:t>
            </w:r>
          </w:p>
        </w:tc>
        <w:tc>
          <w:tcPr>
            <w:tcW w:w="795" w:type="dxa"/>
            <w:shd w:val="clear" w:color="auto" w:fill="auto"/>
            <w:vAlign w:val="center"/>
          </w:tcPr>
          <w:p w14:paraId="7F002B71">
            <w:pPr>
              <w:pStyle w:val="84"/>
              <w:rPr>
                <w:color w:val="FF0000"/>
              </w:rPr>
            </w:pPr>
            <w:r>
              <w:rPr>
                <w:rFonts w:hint="eastAsia"/>
                <w:color w:val="FF0000"/>
              </w:rPr>
              <w:t>—</w:t>
            </w:r>
          </w:p>
        </w:tc>
        <w:tc>
          <w:tcPr>
            <w:tcW w:w="1140" w:type="dxa"/>
            <w:shd w:val="clear" w:color="auto" w:fill="auto"/>
            <w:vAlign w:val="center"/>
          </w:tcPr>
          <w:p w14:paraId="5B7C2AE0">
            <w:pPr>
              <w:pStyle w:val="84"/>
              <w:rPr>
                <w:color w:val="FF0000"/>
              </w:rPr>
            </w:pPr>
            <w:r>
              <w:rPr>
                <w:rFonts w:hint="eastAsia"/>
                <w:color w:val="FF0000"/>
              </w:rPr>
              <w:t>—</w:t>
            </w:r>
          </w:p>
        </w:tc>
        <w:tc>
          <w:tcPr>
            <w:tcW w:w="1984" w:type="dxa"/>
            <w:shd w:val="clear" w:color="auto" w:fill="auto"/>
            <w:vAlign w:val="center"/>
          </w:tcPr>
          <w:p w14:paraId="4857C5A7">
            <w:pPr>
              <w:pStyle w:val="84"/>
              <w:rPr>
                <w:color w:val="FF0000"/>
              </w:rPr>
            </w:pPr>
            <w:r>
              <w:rPr>
                <w:rFonts w:hint="eastAsia"/>
                <w:color w:val="FF0000"/>
              </w:rPr>
              <w:t>10</w:t>
            </w:r>
          </w:p>
        </w:tc>
      </w:tr>
      <w:tr w14:paraId="7B13E6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709" w:type="dxa"/>
            <w:shd w:val="clear" w:color="auto" w:fill="auto"/>
            <w:noWrap/>
            <w:vAlign w:val="center"/>
          </w:tcPr>
          <w:p w14:paraId="79486DE1">
            <w:pPr>
              <w:pStyle w:val="84"/>
              <w:rPr>
                <w:color w:val="FF0000"/>
              </w:rPr>
            </w:pPr>
            <w:r>
              <w:rPr>
                <w:color w:val="FF0000"/>
              </w:rPr>
              <w:t>1</w:t>
            </w:r>
          </w:p>
        </w:tc>
        <w:tc>
          <w:tcPr>
            <w:tcW w:w="3337" w:type="dxa"/>
            <w:shd w:val="clear" w:color="auto" w:fill="auto"/>
            <w:vAlign w:val="center"/>
          </w:tcPr>
          <w:p w14:paraId="6BFF5776">
            <w:pPr>
              <w:pStyle w:val="84"/>
              <w:rPr>
                <w:color w:val="FF0000"/>
              </w:rPr>
            </w:pPr>
            <w:r>
              <w:rPr>
                <w:color w:val="FF0000"/>
              </w:rPr>
              <w:t>机组设备定期检修</w:t>
            </w:r>
          </w:p>
        </w:tc>
        <w:tc>
          <w:tcPr>
            <w:tcW w:w="682" w:type="dxa"/>
            <w:shd w:val="clear" w:color="auto" w:fill="auto"/>
            <w:vAlign w:val="center"/>
          </w:tcPr>
          <w:p w14:paraId="696BAED7">
            <w:pPr>
              <w:pStyle w:val="84"/>
              <w:rPr>
                <w:color w:val="FF0000"/>
              </w:rPr>
            </w:pPr>
            <w:r>
              <w:rPr>
                <w:rFonts w:hint="eastAsia"/>
                <w:color w:val="FF0000"/>
              </w:rPr>
              <w:t>—</w:t>
            </w:r>
          </w:p>
        </w:tc>
        <w:tc>
          <w:tcPr>
            <w:tcW w:w="795" w:type="dxa"/>
            <w:shd w:val="clear" w:color="auto" w:fill="auto"/>
            <w:vAlign w:val="center"/>
          </w:tcPr>
          <w:p w14:paraId="2F44CCAE">
            <w:pPr>
              <w:pStyle w:val="84"/>
              <w:rPr>
                <w:color w:val="FF0000"/>
              </w:rPr>
            </w:pPr>
            <w:r>
              <w:rPr>
                <w:rFonts w:hint="eastAsia"/>
                <w:color w:val="FF0000"/>
              </w:rPr>
              <w:t>—</w:t>
            </w:r>
          </w:p>
        </w:tc>
        <w:tc>
          <w:tcPr>
            <w:tcW w:w="1140" w:type="dxa"/>
            <w:shd w:val="clear" w:color="auto" w:fill="auto"/>
            <w:vAlign w:val="center"/>
          </w:tcPr>
          <w:p w14:paraId="4CF41342">
            <w:pPr>
              <w:pStyle w:val="84"/>
              <w:rPr>
                <w:color w:val="FF0000"/>
              </w:rPr>
            </w:pPr>
            <w:r>
              <w:rPr>
                <w:rFonts w:hint="eastAsia"/>
                <w:color w:val="FF0000"/>
              </w:rPr>
              <w:t>—</w:t>
            </w:r>
          </w:p>
        </w:tc>
        <w:tc>
          <w:tcPr>
            <w:tcW w:w="1984" w:type="dxa"/>
            <w:shd w:val="clear" w:color="auto" w:fill="auto"/>
            <w:vAlign w:val="center"/>
          </w:tcPr>
          <w:p w14:paraId="104D0466">
            <w:pPr>
              <w:pStyle w:val="84"/>
              <w:rPr>
                <w:color w:val="FF0000"/>
              </w:rPr>
            </w:pPr>
            <w:r>
              <w:rPr>
                <w:rFonts w:hint="eastAsia"/>
                <w:color w:val="FF0000"/>
              </w:rPr>
              <w:t>10</w:t>
            </w:r>
          </w:p>
        </w:tc>
      </w:tr>
      <w:tr w14:paraId="0B1C1C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709" w:type="dxa"/>
            <w:shd w:val="clear" w:color="auto" w:fill="auto"/>
            <w:vAlign w:val="center"/>
          </w:tcPr>
          <w:p w14:paraId="381CE5AC">
            <w:pPr>
              <w:pStyle w:val="84"/>
              <w:rPr>
                <w:color w:val="FF0000"/>
              </w:rPr>
            </w:pPr>
            <w:r>
              <w:rPr>
                <w:rFonts w:hint="eastAsia"/>
                <w:color w:val="FF0000"/>
              </w:rPr>
              <w:t>五</w:t>
            </w:r>
          </w:p>
        </w:tc>
        <w:tc>
          <w:tcPr>
            <w:tcW w:w="3337" w:type="dxa"/>
            <w:shd w:val="clear" w:color="auto" w:fill="auto"/>
            <w:vAlign w:val="center"/>
          </w:tcPr>
          <w:p w14:paraId="62F97382">
            <w:pPr>
              <w:pStyle w:val="84"/>
              <w:rPr>
                <w:color w:val="FF0000"/>
              </w:rPr>
            </w:pPr>
            <w:r>
              <w:rPr>
                <w:color w:val="FF0000"/>
              </w:rPr>
              <w:t>生活垃圾处理</w:t>
            </w:r>
          </w:p>
        </w:tc>
        <w:tc>
          <w:tcPr>
            <w:tcW w:w="682" w:type="dxa"/>
            <w:shd w:val="clear" w:color="auto" w:fill="auto"/>
            <w:vAlign w:val="center"/>
          </w:tcPr>
          <w:p w14:paraId="745094A8">
            <w:pPr>
              <w:pStyle w:val="84"/>
              <w:rPr>
                <w:color w:val="FF0000"/>
              </w:rPr>
            </w:pPr>
            <w:r>
              <w:rPr>
                <w:rFonts w:hint="eastAsia"/>
                <w:color w:val="FF0000"/>
              </w:rPr>
              <w:t>—</w:t>
            </w:r>
          </w:p>
        </w:tc>
        <w:tc>
          <w:tcPr>
            <w:tcW w:w="795" w:type="dxa"/>
            <w:shd w:val="clear" w:color="auto" w:fill="auto"/>
            <w:vAlign w:val="center"/>
          </w:tcPr>
          <w:p w14:paraId="7E01F41B">
            <w:pPr>
              <w:pStyle w:val="84"/>
              <w:rPr>
                <w:color w:val="FF0000"/>
              </w:rPr>
            </w:pPr>
            <w:r>
              <w:rPr>
                <w:rFonts w:hint="eastAsia"/>
                <w:color w:val="FF0000"/>
              </w:rPr>
              <w:t>—</w:t>
            </w:r>
          </w:p>
        </w:tc>
        <w:tc>
          <w:tcPr>
            <w:tcW w:w="1140" w:type="dxa"/>
            <w:shd w:val="clear" w:color="auto" w:fill="auto"/>
            <w:vAlign w:val="center"/>
          </w:tcPr>
          <w:p w14:paraId="25968E56">
            <w:pPr>
              <w:pStyle w:val="84"/>
              <w:rPr>
                <w:color w:val="FF0000"/>
              </w:rPr>
            </w:pPr>
            <w:r>
              <w:rPr>
                <w:rFonts w:hint="eastAsia"/>
                <w:color w:val="FF0000"/>
              </w:rPr>
              <w:t>—</w:t>
            </w:r>
          </w:p>
        </w:tc>
        <w:tc>
          <w:tcPr>
            <w:tcW w:w="1984" w:type="dxa"/>
            <w:shd w:val="clear" w:color="auto" w:fill="auto"/>
            <w:vAlign w:val="center"/>
          </w:tcPr>
          <w:p w14:paraId="0A1A2D1F">
            <w:pPr>
              <w:pStyle w:val="84"/>
              <w:rPr>
                <w:color w:val="FF0000"/>
              </w:rPr>
            </w:pPr>
            <w:r>
              <w:rPr>
                <w:rFonts w:hint="eastAsia"/>
                <w:color w:val="FF0000"/>
              </w:rPr>
              <w:t>1.065</w:t>
            </w:r>
          </w:p>
        </w:tc>
      </w:tr>
      <w:tr w14:paraId="513D15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97" w:hRule="atLeast"/>
        </w:trPr>
        <w:tc>
          <w:tcPr>
            <w:tcW w:w="709" w:type="dxa"/>
            <w:shd w:val="clear" w:color="auto" w:fill="auto"/>
            <w:vAlign w:val="center"/>
          </w:tcPr>
          <w:p w14:paraId="12F67FEF">
            <w:pPr>
              <w:pStyle w:val="84"/>
              <w:rPr>
                <w:color w:val="FF0000"/>
              </w:rPr>
            </w:pPr>
            <w:r>
              <w:rPr>
                <w:color w:val="FF0000"/>
              </w:rPr>
              <w:t>1</w:t>
            </w:r>
          </w:p>
        </w:tc>
        <w:tc>
          <w:tcPr>
            <w:tcW w:w="3337" w:type="dxa"/>
            <w:shd w:val="clear" w:color="auto" w:fill="auto"/>
            <w:vAlign w:val="center"/>
          </w:tcPr>
          <w:p w14:paraId="3CC0C4DF">
            <w:pPr>
              <w:pStyle w:val="84"/>
              <w:rPr>
                <w:color w:val="FF0000"/>
              </w:rPr>
            </w:pPr>
            <w:r>
              <w:rPr>
                <w:color w:val="FF0000"/>
              </w:rPr>
              <w:t>施工期垃圾桶</w:t>
            </w:r>
          </w:p>
        </w:tc>
        <w:tc>
          <w:tcPr>
            <w:tcW w:w="682" w:type="dxa"/>
            <w:shd w:val="clear" w:color="auto" w:fill="auto"/>
            <w:vAlign w:val="center"/>
          </w:tcPr>
          <w:p w14:paraId="783CE30E">
            <w:pPr>
              <w:pStyle w:val="84"/>
              <w:rPr>
                <w:color w:val="FF0000"/>
              </w:rPr>
            </w:pPr>
            <w:r>
              <w:rPr>
                <w:color w:val="FF0000"/>
              </w:rPr>
              <w:t>个</w:t>
            </w:r>
          </w:p>
        </w:tc>
        <w:tc>
          <w:tcPr>
            <w:tcW w:w="795" w:type="dxa"/>
            <w:shd w:val="clear" w:color="auto" w:fill="auto"/>
            <w:vAlign w:val="center"/>
          </w:tcPr>
          <w:p w14:paraId="01A63474">
            <w:pPr>
              <w:pStyle w:val="84"/>
              <w:rPr>
                <w:color w:val="FF0000"/>
              </w:rPr>
            </w:pPr>
            <w:r>
              <w:rPr>
                <w:rFonts w:hint="eastAsia"/>
                <w:color w:val="FF0000"/>
              </w:rPr>
              <w:t>1</w:t>
            </w:r>
          </w:p>
        </w:tc>
        <w:tc>
          <w:tcPr>
            <w:tcW w:w="1140" w:type="dxa"/>
            <w:shd w:val="clear" w:color="auto" w:fill="auto"/>
            <w:vAlign w:val="center"/>
          </w:tcPr>
          <w:p w14:paraId="3DBE7539">
            <w:pPr>
              <w:pStyle w:val="84"/>
              <w:rPr>
                <w:color w:val="FF0000"/>
              </w:rPr>
            </w:pPr>
            <w:r>
              <w:rPr>
                <w:rFonts w:hint="eastAsia"/>
                <w:color w:val="FF0000"/>
              </w:rPr>
              <w:t>2</w:t>
            </w:r>
            <w:r>
              <w:rPr>
                <w:color w:val="FF0000"/>
              </w:rPr>
              <w:t>00</w:t>
            </w:r>
          </w:p>
        </w:tc>
        <w:tc>
          <w:tcPr>
            <w:tcW w:w="1984" w:type="dxa"/>
            <w:shd w:val="clear" w:color="auto" w:fill="auto"/>
            <w:vAlign w:val="center"/>
          </w:tcPr>
          <w:p w14:paraId="2455A323">
            <w:pPr>
              <w:pStyle w:val="84"/>
              <w:rPr>
                <w:color w:val="FF0000"/>
              </w:rPr>
            </w:pPr>
            <w:r>
              <w:rPr>
                <w:rFonts w:hint="eastAsia"/>
                <w:color w:val="FF0000"/>
              </w:rPr>
              <w:t>0.02</w:t>
            </w:r>
          </w:p>
        </w:tc>
      </w:tr>
      <w:tr w14:paraId="220988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97" w:hRule="atLeast"/>
        </w:trPr>
        <w:tc>
          <w:tcPr>
            <w:tcW w:w="709" w:type="dxa"/>
            <w:shd w:val="clear" w:color="auto" w:fill="auto"/>
            <w:vAlign w:val="center"/>
          </w:tcPr>
          <w:p w14:paraId="0CC05CF6">
            <w:pPr>
              <w:pStyle w:val="84"/>
              <w:rPr>
                <w:color w:val="FF0000"/>
              </w:rPr>
            </w:pPr>
            <w:r>
              <w:rPr>
                <w:color w:val="FF0000"/>
              </w:rPr>
              <w:t>2</w:t>
            </w:r>
          </w:p>
        </w:tc>
        <w:tc>
          <w:tcPr>
            <w:tcW w:w="3337" w:type="dxa"/>
            <w:shd w:val="clear" w:color="auto" w:fill="auto"/>
            <w:vAlign w:val="center"/>
          </w:tcPr>
          <w:p w14:paraId="68ACE432">
            <w:pPr>
              <w:pStyle w:val="84"/>
              <w:rPr>
                <w:color w:val="FF0000"/>
              </w:rPr>
            </w:pPr>
            <w:r>
              <w:rPr>
                <w:color w:val="FF0000"/>
              </w:rPr>
              <w:t>施工期垃圾清运费</w:t>
            </w:r>
          </w:p>
        </w:tc>
        <w:tc>
          <w:tcPr>
            <w:tcW w:w="682" w:type="dxa"/>
            <w:shd w:val="clear" w:color="auto" w:fill="auto"/>
            <w:vAlign w:val="center"/>
          </w:tcPr>
          <w:p w14:paraId="0D032D48">
            <w:pPr>
              <w:pStyle w:val="84"/>
              <w:rPr>
                <w:color w:val="FF0000"/>
              </w:rPr>
            </w:pPr>
            <w:r>
              <w:rPr>
                <w:rFonts w:hint="eastAsia"/>
                <w:color w:val="FF0000"/>
              </w:rPr>
              <w:t>月</w:t>
            </w:r>
          </w:p>
        </w:tc>
        <w:tc>
          <w:tcPr>
            <w:tcW w:w="795" w:type="dxa"/>
            <w:shd w:val="clear" w:color="auto" w:fill="auto"/>
            <w:vAlign w:val="center"/>
          </w:tcPr>
          <w:p w14:paraId="439223C9">
            <w:pPr>
              <w:pStyle w:val="84"/>
              <w:rPr>
                <w:color w:val="FF0000"/>
              </w:rPr>
            </w:pPr>
            <w:r>
              <w:rPr>
                <w:rFonts w:hint="eastAsia"/>
                <w:color w:val="FF0000"/>
              </w:rPr>
              <w:t>12</w:t>
            </w:r>
          </w:p>
        </w:tc>
        <w:tc>
          <w:tcPr>
            <w:tcW w:w="1140" w:type="dxa"/>
            <w:shd w:val="clear" w:color="auto" w:fill="auto"/>
            <w:vAlign w:val="center"/>
          </w:tcPr>
          <w:p w14:paraId="32FFB6B7">
            <w:pPr>
              <w:pStyle w:val="84"/>
              <w:rPr>
                <w:color w:val="FF0000"/>
              </w:rPr>
            </w:pPr>
            <w:r>
              <w:rPr>
                <w:rFonts w:hint="eastAsia"/>
                <w:color w:val="FF0000"/>
              </w:rPr>
              <w:t>800</w:t>
            </w:r>
          </w:p>
        </w:tc>
        <w:tc>
          <w:tcPr>
            <w:tcW w:w="1984" w:type="dxa"/>
            <w:shd w:val="clear" w:color="auto" w:fill="auto"/>
            <w:vAlign w:val="center"/>
          </w:tcPr>
          <w:p w14:paraId="757072DE">
            <w:pPr>
              <w:pStyle w:val="84"/>
              <w:rPr>
                <w:color w:val="FF0000"/>
              </w:rPr>
            </w:pPr>
            <w:r>
              <w:rPr>
                <w:rFonts w:hint="eastAsia"/>
                <w:color w:val="FF0000"/>
              </w:rPr>
              <w:t>0.96</w:t>
            </w:r>
          </w:p>
        </w:tc>
      </w:tr>
      <w:tr w14:paraId="1028DE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709" w:type="dxa"/>
            <w:shd w:val="clear" w:color="auto" w:fill="auto"/>
            <w:vAlign w:val="center"/>
          </w:tcPr>
          <w:p w14:paraId="3154B5AD">
            <w:pPr>
              <w:pStyle w:val="84"/>
              <w:rPr>
                <w:color w:val="FF0000"/>
              </w:rPr>
            </w:pPr>
            <w:r>
              <w:rPr>
                <w:color w:val="FF0000"/>
              </w:rPr>
              <w:t>3</w:t>
            </w:r>
          </w:p>
        </w:tc>
        <w:tc>
          <w:tcPr>
            <w:tcW w:w="3337" w:type="dxa"/>
            <w:shd w:val="clear" w:color="auto" w:fill="auto"/>
            <w:vAlign w:val="center"/>
          </w:tcPr>
          <w:p w14:paraId="45B2A9DC">
            <w:pPr>
              <w:pStyle w:val="84"/>
              <w:rPr>
                <w:color w:val="FF0000"/>
              </w:rPr>
            </w:pPr>
            <w:r>
              <w:rPr>
                <w:color w:val="FF0000"/>
              </w:rPr>
              <w:t>运行期垃圾收集桶</w:t>
            </w:r>
          </w:p>
        </w:tc>
        <w:tc>
          <w:tcPr>
            <w:tcW w:w="682" w:type="dxa"/>
            <w:shd w:val="clear" w:color="auto" w:fill="auto"/>
            <w:vAlign w:val="center"/>
          </w:tcPr>
          <w:p w14:paraId="7694C6A0">
            <w:pPr>
              <w:pStyle w:val="84"/>
              <w:rPr>
                <w:color w:val="FF0000"/>
              </w:rPr>
            </w:pPr>
            <w:r>
              <w:rPr>
                <w:rFonts w:hint="eastAsia"/>
                <w:color w:val="FF0000"/>
              </w:rPr>
              <w:t>个</w:t>
            </w:r>
          </w:p>
        </w:tc>
        <w:tc>
          <w:tcPr>
            <w:tcW w:w="795" w:type="dxa"/>
            <w:shd w:val="clear" w:color="auto" w:fill="auto"/>
            <w:vAlign w:val="center"/>
          </w:tcPr>
          <w:p w14:paraId="28B882FE">
            <w:pPr>
              <w:pStyle w:val="84"/>
              <w:rPr>
                <w:color w:val="FF0000"/>
              </w:rPr>
            </w:pPr>
            <w:r>
              <w:rPr>
                <w:rFonts w:hint="eastAsia"/>
                <w:color w:val="FF0000"/>
              </w:rPr>
              <w:t>1</w:t>
            </w:r>
          </w:p>
        </w:tc>
        <w:tc>
          <w:tcPr>
            <w:tcW w:w="1140" w:type="dxa"/>
            <w:shd w:val="clear" w:color="auto" w:fill="auto"/>
            <w:vAlign w:val="center"/>
          </w:tcPr>
          <w:p w14:paraId="7FDF11F0">
            <w:pPr>
              <w:pStyle w:val="84"/>
              <w:rPr>
                <w:color w:val="FF0000"/>
              </w:rPr>
            </w:pPr>
            <w:r>
              <w:rPr>
                <w:rFonts w:hint="eastAsia"/>
                <w:color w:val="FF0000"/>
              </w:rPr>
              <w:t>300</w:t>
            </w:r>
          </w:p>
        </w:tc>
        <w:tc>
          <w:tcPr>
            <w:tcW w:w="1984" w:type="dxa"/>
            <w:shd w:val="clear" w:color="auto" w:fill="auto"/>
            <w:vAlign w:val="center"/>
          </w:tcPr>
          <w:p w14:paraId="5BC90F6B">
            <w:pPr>
              <w:pStyle w:val="84"/>
              <w:rPr>
                <w:color w:val="FF0000"/>
              </w:rPr>
            </w:pPr>
            <w:r>
              <w:rPr>
                <w:rFonts w:hint="eastAsia"/>
                <w:color w:val="FF0000"/>
              </w:rPr>
              <w:t>0.03</w:t>
            </w:r>
          </w:p>
        </w:tc>
      </w:tr>
      <w:tr w14:paraId="2127CD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7" w:hRule="atLeast"/>
        </w:trPr>
        <w:tc>
          <w:tcPr>
            <w:tcW w:w="709" w:type="dxa"/>
            <w:shd w:val="clear" w:color="auto" w:fill="auto"/>
            <w:vAlign w:val="center"/>
          </w:tcPr>
          <w:p w14:paraId="29717DD9">
            <w:pPr>
              <w:pStyle w:val="84"/>
              <w:rPr>
                <w:color w:val="FF0000"/>
              </w:rPr>
            </w:pPr>
            <w:r>
              <w:rPr>
                <w:rFonts w:hint="eastAsia"/>
                <w:color w:val="FF0000"/>
              </w:rPr>
              <w:t>4</w:t>
            </w:r>
          </w:p>
        </w:tc>
        <w:tc>
          <w:tcPr>
            <w:tcW w:w="3337" w:type="dxa"/>
            <w:shd w:val="clear" w:color="auto" w:fill="auto"/>
            <w:vAlign w:val="center"/>
          </w:tcPr>
          <w:p w14:paraId="471F630D">
            <w:pPr>
              <w:pStyle w:val="84"/>
              <w:rPr>
                <w:color w:val="FF0000"/>
              </w:rPr>
            </w:pPr>
            <w:r>
              <w:rPr>
                <w:rFonts w:hint="eastAsia"/>
                <w:color w:val="FF0000"/>
              </w:rPr>
              <w:t>运行期危废暂存</w:t>
            </w:r>
          </w:p>
        </w:tc>
        <w:tc>
          <w:tcPr>
            <w:tcW w:w="682" w:type="dxa"/>
            <w:shd w:val="clear" w:color="auto" w:fill="auto"/>
            <w:vAlign w:val="center"/>
          </w:tcPr>
          <w:p w14:paraId="43103B6F">
            <w:pPr>
              <w:pStyle w:val="84"/>
              <w:rPr>
                <w:color w:val="FF0000"/>
              </w:rPr>
            </w:pPr>
            <w:r>
              <w:rPr>
                <w:rFonts w:hint="eastAsia"/>
                <w:color w:val="FF0000"/>
              </w:rPr>
              <w:t>—</w:t>
            </w:r>
          </w:p>
        </w:tc>
        <w:tc>
          <w:tcPr>
            <w:tcW w:w="795" w:type="dxa"/>
            <w:shd w:val="clear" w:color="auto" w:fill="auto"/>
            <w:vAlign w:val="center"/>
          </w:tcPr>
          <w:p w14:paraId="00565F25">
            <w:pPr>
              <w:pStyle w:val="84"/>
              <w:rPr>
                <w:color w:val="FF0000"/>
              </w:rPr>
            </w:pPr>
            <w:r>
              <w:rPr>
                <w:rFonts w:hint="eastAsia"/>
                <w:color w:val="FF0000"/>
              </w:rPr>
              <w:t>—</w:t>
            </w:r>
          </w:p>
        </w:tc>
        <w:tc>
          <w:tcPr>
            <w:tcW w:w="1140" w:type="dxa"/>
            <w:shd w:val="clear" w:color="auto" w:fill="auto"/>
            <w:vAlign w:val="center"/>
          </w:tcPr>
          <w:p w14:paraId="252F7379">
            <w:pPr>
              <w:pStyle w:val="84"/>
              <w:rPr>
                <w:color w:val="FF0000"/>
              </w:rPr>
            </w:pPr>
            <w:r>
              <w:rPr>
                <w:rFonts w:hint="eastAsia"/>
                <w:color w:val="FF0000"/>
              </w:rPr>
              <w:t>—</w:t>
            </w:r>
          </w:p>
        </w:tc>
        <w:tc>
          <w:tcPr>
            <w:tcW w:w="1984" w:type="dxa"/>
            <w:shd w:val="clear" w:color="auto" w:fill="auto"/>
            <w:vAlign w:val="center"/>
          </w:tcPr>
          <w:p w14:paraId="4FDE5C25">
            <w:pPr>
              <w:pStyle w:val="84"/>
              <w:rPr>
                <w:color w:val="FF0000"/>
              </w:rPr>
            </w:pPr>
            <w:r>
              <w:rPr>
                <w:rFonts w:hint="eastAsia"/>
                <w:color w:val="FF0000"/>
              </w:rPr>
              <w:t>0.055</w:t>
            </w:r>
          </w:p>
        </w:tc>
      </w:tr>
      <w:tr w14:paraId="332EED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7" w:hRule="atLeast"/>
        </w:trPr>
        <w:tc>
          <w:tcPr>
            <w:tcW w:w="709" w:type="dxa"/>
            <w:shd w:val="clear" w:color="auto" w:fill="auto"/>
            <w:vAlign w:val="center"/>
          </w:tcPr>
          <w:p w14:paraId="5149410B">
            <w:pPr>
              <w:pStyle w:val="84"/>
              <w:rPr>
                <w:color w:val="FF0000"/>
              </w:rPr>
            </w:pPr>
            <w:r>
              <w:rPr>
                <w:rFonts w:hint="eastAsia"/>
                <w:color w:val="FF0000"/>
              </w:rPr>
              <w:t>（1）</w:t>
            </w:r>
          </w:p>
        </w:tc>
        <w:tc>
          <w:tcPr>
            <w:tcW w:w="3337" w:type="dxa"/>
            <w:shd w:val="clear" w:color="auto" w:fill="auto"/>
            <w:vAlign w:val="center"/>
          </w:tcPr>
          <w:p w14:paraId="57CDA339">
            <w:pPr>
              <w:pStyle w:val="84"/>
              <w:rPr>
                <w:color w:val="FF0000"/>
              </w:rPr>
            </w:pPr>
            <w:r>
              <w:rPr>
                <w:rFonts w:hint="eastAsia"/>
                <w:color w:val="FF0000"/>
              </w:rPr>
              <w:t>储油桶</w:t>
            </w:r>
          </w:p>
        </w:tc>
        <w:tc>
          <w:tcPr>
            <w:tcW w:w="682" w:type="dxa"/>
            <w:shd w:val="clear" w:color="auto" w:fill="auto"/>
            <w:vAlign w:val="center"/>
          </w:tcPr>
          <w:p w14:paraId="5ABD3FB4">
            <w:pPr>
              <w:pStyle w:val="84"/>
              <w:rPr>
                <w:color w:val="FF0000"/>
              </w:rPr>
            </w:pPr>
            <w:r>
              <w:rPr>
                <w:rFonts w:hint="eastAsia"/>
                <w:color w:val="FF0000"/>
              </w:rPr>
              <w:t>个</w:t>
            </w:r>
          </w:p>
        </w:tc>
        <w:tc>
          <w:tcPr>
            <w:tcW w:w="795" w:type="dxa"/>
            <w:shd w:val="clear" w:color="auto" w:fill="auto"/>
            <w:vAlign w:val="center"/>
          </w:tcPr>
          <w:p w14:paraId="708C58E0">
            <w:pPr>
              <w:pStyle w:val="84"/>
              <w:rPr>
                <w:color w:val="FF0000"/>
              </w:rPr>
            </w:pPr>
            <w:r>
              <w:rPr>
                <w:rFonts w:hint="eastAsia"/>
                <w:color w:val="FF0000"/>
              </w:rPr>
              <w:t>1</w:t>
            </w:r>
          </w:p>
        </w:tc>
        <w:tc>
          <w:tcPr>
            <w:tcW w:w="1140" w:type="dxa"/>
            <w:shd w:val="clear" w:color="auto" w:fill="auto"/>
            <w:vAlign w:val="center"/>
          </w:tcPr>
          <w:p w14:paraId="4ABB2B40">
            <w:pPr>
              <w:pStyle w:val="84"/>
              <w:rPr>
                <w:color w:val="FF0000"/>
              </w:rPr>
            </w:pPr>
            <w:r>
              <w:rPr>
                <w:rFonts w:hint="eastAsia"/>
                <w:color w:val="FF0000"/>
              </w:rPr>
              <w:t>500</w:t>
            </w:r>
          </w:p>
        </w:tc>
        <w:tc>
          <w:tcPr>
            <w:tcW w:w="1984" w:type="dxa"/>
            <w:shd w:val="clear" w:color="auto" w:fill="auto"/>
            <w:vAlign w:val="center"/>
          </w:tcPr>
          <w:p w14:paraId="5FDEDED0">
            <w:pPr>
              <w:pStyle w:val="84"/>
              <w:rPr>
                <w:color w:val="FF0000"/>
              </w:rPr>
            </w:pPr>
            <w:r>
              <w:rPr>
                <w:rFonts w:hint="eastAsia"/>
                <w:color w:val="FF0000"/>
              </w:rPr>
              <w:t>0.05</w:t>
            </w:r>
          </w:p>
        </w:tc>
      </w:tr>
      <w:tr w14:paraId="5AF176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7" w:hRule="atLeast"/>
        </w:trPr>
        <w:tc>
          <w:tcPr>
            <w:tcW w:w="709" w:type="dxa"/>
            <w:shd w:val="clear" w:color="auto" w:fill="auto"/>
            <w:vAlign w:val="center"/>
          </w:tcPr>
          <w:p w14:paraId="5F3AB247">
            <w:pPr>
              <w:pStyle w:val="84"/>
              <w:rPr>
                <w:color w:val="FF0000"/>
              </w:rPr>
            </w:pPr>
            <w:r>
              <w:rPr>
                <w:rFonts w:hint="eastAsia"/>
                <w:color w:val="FF0000"/>
              </w:rPr>
              <w:t>（2）</w:t>
            </w:r>
          </w:p>
        </w:tc>
        <w:tc>
          <w:tcPr>
            <w:tcW w:w="3337" w:type="dxa"/>
            <w:shd w:val="clear" w:color="auto" w:fill="auto"/>
            <w:vAlign w:val="center"/>
          </w:tcPr>
          <w:p w14:paraId="22DF1631">
            <w:pPr>
              <w:pStyle w:val="84"/>
              <w:rPr>
                <w:color w:val="FF0000"/>
              </w:rPr>
            </w:pPr>
            <w:r>
              <w:rPr>
                <w:rFonts w:hint="eastAsia"/>
                <w:color w:val="FF0000"/>
              </w:rPr>
              <w:t>危废暂存间</w:t>
            </w:r>
          </w:p>
        </w:tc>
        <w:tc>
          <w:tcPr>
            <w:tcW w:w="682" w:type="dxa"/>
            <w:shd w:val="clear" w:color="auto" w:fill="auto"/>
            <w:vAlign w:val="center"/>
          </w:tcPr>
          <w:p w14:paraId="76E22C48">
            <w:pPr>
              <w:pStyle w:val="84"/>
              <w:rPr>
                <w:color w:val="FF0000"/>
              </w:rPr>
            </w:pPr>
            <w:r>
              <w:rPr>
                <w:rFonts w:hint="eastAsia"/>
                <w:color w:val="FF0000"/>
              </w:rPr>
              <w:t>间</w:t>
            </w:r>
          </w:p>
        </w:tc>
        <w:tc>
          <w:tcPr>
            <w:tcW w:w="795" w:type="dxa"/>
            <w:shd w:val="clear" w:color="auto" w:fill="auto"/>
            <w:vAlign w:val="center"/>
          </w:tcPr>
          <w:p w14:paraId="737368C4">
            <w:pPr>
              <w:pStyle w:val="84"/>
              <w:rPr>
                <w:color w:val="FF0000"/>
              </w:rPr>
            </w:pPr>
            <w:r>
              <w:rPr>
                <w:rFonts w:hint="eastAsia"/>
                <w:color w:val="FF0000"/>
              </w:rPr>
              <w:t>1</w:t>
            </w:r>
          </w:p>
        </w:tc>
        <w:tc>
          <w:tcPr>
            <w:tcW w:w="1140" w:type="dxa"/>
            <w:shd w:val="clear" w:color="auto" w:fill="auto"/>
            <w:vAlign w:val="center"/>
          </w:tcPr>
          <w:p w14:paraId="4879458B">
            <w:pPr>
              <w:pStyle w:val="84"/>
              <w:rPr>
                <w:color w:val="FF0000"/>
              </w:rPr>
            </w:pPr>
            <w:r>
              <w:rPr>
                <w:rFonts w:hint="eastAsia"/>
                <w:color w:val="FF0000"/>
              </w:rPr>
              <w:t>—</w:t>
            </w:r>
          </w:p>
        </w:tc>
        <w:tc>
          <w:tcPr>
            <w:tcW w:w="1984" w:type="dxa"/>
            <w:shd w:val="clear" w:color="auto" w:fill="auto"/>
            <w:vAlign w:val="center"/>
          </w:tcPr>
          <w:p w14:paraId="51A3F062">
            <w:pPr>
              <w:pStyle w:val="84"/>
              <w:rPr>
                <w:color w:val="FF0000"/>
              </w:rPr>
            </w:pPr>
            <w:r>
              <w:rPr>
                <w:rFonts w:hint="eastAsia"/>
                <w:color w:val="FF0000"/>
              </w:rPr>
              <w:t>计入主体工程</w:t>
            </w:r>
          </w:p>
        </w:tc>
      </w:tr>
      <w:tr w14:paraId="527EDD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7" w:hRule="atLeast"/>
        </w:trPr>
        <w:tc>
          <w:tcPr>
            <w:tcW w:w="709" w:type="dxa"/>
            <w:shd w:val="clear" w:color="auto" w:fill="auto"/>
            <w:vAlign w:val="center"/>
          </w:tcPr>
          <w:p w14:paraId="68D1FE64">
            <w:pPr>
              <w:pStyle w:val="84"/>
              <w:rPr>
                <w:color w:val="FF0000"/>
              </w:rPr>
            </w:pPr>
            <w:r>
              <w:rPr>
                <w:rFonts w:hint="eastAsia"/>
                <w:color w:val="FF0000"/>
              </w:rPr>
              <w:t>（3）</w:t>
            </w:r>
          </w:p>
        </w:tc>
        <w:tc>
          <w:tcPr>
            <w:tcW w:w="3337" w:type="dxa"/>
            <w:shd w:val="clear" w:color="auto" w:fill="auto"/>
            <w:vAlign w:val="center"/>
          </w:tcPr>
          <w:p w14:paraId="68A84EEC">
            <w:pPr>
              <w:pStyle w:val="84"/>
              <w:rPr>
                <w:color w:val="FF0000"/>
              </w:rPr>
            </w:pPr>
            <w:r>
              <w:rPr>
                <w:rFonts w:hint="eastAsia"/>
                <w:color w:val="FF0000"/>
              </w:rPr>
              <w:t>危废标志牌</w:t>
            </w:r>
          </w:p>
        </w:tc>
        <w:tc>
          <w:tcPr>
            <w:tcW w:w="682" w:type="dxa"/>
            <w:shd w:val="clear" w:color="auto" w:fill="auto"/>
            <w:vAlign w:val="center"/>
          </w:tcPr>
          <w:p w14:paraId="2F3F2156">
            <w:pPr>
              <w:pStyle w:val="84"/>
              <w:rPr>
                <w:color w:val="FF0000"/>
              </w:rPr>
            </w:pPr>
            <w:r>
              <w:rPr>
                <w:rFonts w:hint="eastAsia"/>
                <w:color w:val="FF0000"/>
              </w:rPr>
              <w:t>个</w:t>
            </w:r>
          </w:p>
        </w:tc>
        <w:tc>
          <w:tcPr>
            <w:tcW w:w="795" w:type="dxa"/>
            <w:shd w:val="clear" w:color="auto" w:fill="auto"/>
            <w:vAlign w:val="center"/>
          </w:tcPr>
          <w:p w14:paraId="7AB206EC">
            <w:pPr>
              <w:pStyle w:val="84"/>
              <w:rPr>
                <w:color w:val="FF0000"/>
              </w:rPr>
            </w:pPr>
            <w:r>
              <w:rPr>
                <w:rFonts w:hint="eastAsia"/>
                <w:color w:val="FF0000"/>
              </w:rPr>
              <w:t>1</w:t>
            </w:r>
          </w:p>
        </w:tc>
        <w:tc>
          <w:tcPr>
            <w:tcW w:w="1140" w:type="dxa"/>
            <w:shd w:val="clear" w:color="auto" w:fill="auto"/>
            <w:vAlign w:val="center"/>
          </w:tcPr>
          <w:p w14:paraId="26F36D46">
            <w:pPr>
              <w:pStyle w:val="84"/>
              <w:rPr>
                <w:color w:val="FF0000"/>
              </w:rPr>
            </w:pPr>
            <w:r>
              <w:rPr>
                <w:rFonts w:hint="eastAsia"/>
                <w:color w:val="FF0000"/>
              </w:rPr>
              <w:t>50</w:t>
            </w:r>
          </w:p>
        </w:tc>
        <w:tc>
          <w:tcPr>
            <w:tcW w:w="1984" w:type="dxa"/>
            <w:shd w:val="clear" w:color="auto" w:fill="auto"/>
            <w:vAlign w:val="center"/>
          </w:tcPr>
          <w:p w14:paraId="7E7730DB">
            <w:pPr>
              <w:pStyle w:val="84"/>
              <w:rPr>
                <w:color w:val="FF0000"/>
              </w:rPr>
            </w:pPr>
            <w:r>
              <w:rPr>
                <w:rFonts w:hint="eastAsia"/>
                <w:color w:val="FF0000"/>
              </w:rPr>
              <w:t>0.005</w:t>
            </w:r>
          </w:p>
        </w:tc>
      </w:tr>
      <w:tr w14:paraId="2D4B84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7" w:hRule="atLeast"/>
        </w:trPr>
        <w:tc>
          <w:tcPr>
            <w:tcW w:w="6663" w:type="dxa"/>
            <w:gridSpan w:val="5"/>
            <w:shd w:val="clear" w:color="auto" w:fill="auto"/>
            <w:vAlign w:val="center"/>
          </w:tcPr>
          <w:p w14:paraId="6FDDCE60">
            <w:pPr>
              <w:pStyle w:val="84"/>
              <w:rPr>
                <w:color w:val="FF0000"/>
              </w:rPr>
            </w:pPr>
            <w:r>
              <w:rPr>
                <w:color w:val="FF0000"/>
              </w:rPr>
              <w:t>第</w:t>
            </w:r>
            <w:r>
              <w:rPr>
                <w:rFonts w:hint="eastAsia"/>
                <w:color w:val="FF0000"/>
              </w:rPr>
              <w:t>二</w:t>
            </w:r>
            <w:r>
              <w:rPr>
                <w:color w:val="FF0000"/>
              </w:rPr>
              <w:t>部分 环境监测</w:t>
            </w:r>
          </w:p>
        </w:tc>
        <w:tc>
          <w:tcPr>
            <w:tcW w:w="1984" w:type="dxa"/>
            <w:shd w:val="clear" w:color="auto" w:fill="auto"/>
            <w:vAlign w:val="center"/>
          </w:tcPr>
          <w:p w14:paraId="7103DD7E">
            <w:pPr>
              <w:pStyle w:val="84"/>
              <w:rPr>
                <w:color w:val="FF0000"/>
              </w:rPr>
            </w:pPr>
            <w:r>
              <w:rPr>
                <w:rFonts w:hint="eastAsia"/>
                <w:color w:val="FF0000"/>
              </w:rPr>
              <w:t>1.7</w:t>
            </w:r>
          </w:p>
        </w:tc>
      </w:tr>
      <w:tr w14:paraId="0BBA7B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7" w:hRule="atLeast"/>
        </w:trPr>
        <w:tc>
          <w:tcPr>
            <w:tcW w:w="709" w:type="dxa"/>
            <w:shd w:val="clear" w:color="auto" w:fill="auto"/>
            <w:vAlign w:val="center"/>
          </w:tcPr>
          <w:p w14:paraId="6611217A">
            <w:pPr>
              <w:pStyle w:val="84"/>
              <w:rPr>
                <w:color w:val="FF0000"/>
              </w:rPr>
            </w:pPr>
            <w:r>
              <w:rPr>
                <w:rFonts w:hint="eastAsia"/>
                <w:color w:val="FF0000"/>
              </w:rPr>
              <w:t>1</w:t>
            </w:r>
          </w:p>
        </w:tc>
        <w:tc>
          <w:tcPr>
            <w:tcW w:w="3337" w:type="dxa"/>
            <w:shd w:val="clear" w:color="auto" w:fill="auto"/>
            <w:vAlign w:val="center"/>
          </w:tcPr>
          <w:p w14:paraId="7257A83A">
            <w:pPr>
              <w:pStyle w:val="84"/>
              <w:rPr>
                <w:color w:val="FF0000"/>
              </w:rPr>
            </w:pPr>
            <w:r>
              <w:rPr>
                <w:rFonts w:hint="eastAsia"/>
                <w:color w:val="FF0000"/>
              </w:rPr>
              <w:t>地表水水质监测</w:t>
            </w:r>
          </w:p>
        </w:tc>
        <w:tc>
          <w:tcPr>
            <w:tcW w:w="682" w:type="dxa"/>
            <w:shd w:val="clear" w:color="auto" w:fill="auto"/>
            <w:vAlign w:val="center"/>
          </w:tcPr>
          <w:p w14:paraId="28FE0DE6">
            <w:pPr>
              <w:pStyle w:val="84"/>
              <w:rPr>
                <w:color w:val="FF0000"/>
              </w:rPr>
            </w:pPr>
            <w:r>
              <w:rPr>
                <w:rFonts w:hint="eastAsia"/>
                <w:color w:val="FF0000"/>
              </w:rPr>
              <w:t>次</w:t>
            </w:r>
          </w:p>
        </w:tc>
        <w:tc>
          <w:tcPr>
            <w:tcW w:w="795" w:type="dxa"/>
            <w:shd w:val="clear" w:color="auto" w:fill="auto"/>
            <w:vAlign w:val="center"/>
          </w:tcPr>
          <w:p w14:paraId="4CA19626">
            <w:pPr>
              <w:pStyle w:val="84"/>
              <w:rPr>
                <w:color w:val="FF0000"/>
              </w:rPr>
            </w:pPr>
            <w:r>
              <w:rPr>
                <w:rFonts w:hint="eastAsia"/>
                <w:color w:val="FF0000"/>
              </w:rPr>
              <w:t>2</w:t>
            </w:r>
          </w:p>
        </w:tc>
        <w:tc>
          <w:tcPr>
            <w:tcW w:w="1140" w:type="dxa"/>
            <w:shd w:val="clear" w:color="auto" w:fill="auto"/>
            <w:vAlign w:val="center"/>
          </w:tcPr>
          <w:p w14:paraId="554B1F3B">
            <w:pPr>
              <w:pStyle w:val="84"/>
              <w:rPr>
                <w:color w:val="FF0000"/>
              </w:rPr>
            </w:pPr>
            <w:r>
              <w:rPr>
                <w:rFonts w:hint="eastAsia"/>
                <w:color w:val="FF0000"/>
              </w:rPr>
              <w:t>8000</w:t>
            </w:r>
          </w:p>
        </w:tc>
        <w:tc>
          <w:tcPr>
            <w:tcW w:w="1984" w:type="dxa"/>
            <w:shd w:val="clear" w:color="auto" w:fill="auto"/>
            <w:vAlign w:val="center"/>
          </w:tcPr>
          <w:p w14:paraId="3377076B">
            <w:pPr>
              <w:pStyle w:val="84"/>
              <w:rPr>
                <w:color w:val="FF0000"/>
              </w:rPr>
            </w:pPr>
            <w:r>
              <w:rPr>
                <w:rFonts w:hint="eastAsia"/>
                <w:color w:val="FF0000"/>
              </w:rPr>
              <w:t>1.6</w:t>
            </w:r>
          </w:p>
        </w:tc>
      </w:tr>
      <w:tr w14:paraId="7D4001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7" w:hRule="atLeast"/>
        </w:trPr>
        <w:tc>
          <w:tcPr>
            <w:tcW w:w="709" w:type="dxa"/>
            <w:shd w:val="clear" w:color="auto" w:fill="auto"/>
            <w:vAlign w:val="center"/>
          </w:tcPr>
          <w:p w14:paraId="220B11EF">
            <w:pPr>
              <w:pStyle w:val="84"/>
              <w:rPr>
                <w:color w:val="FF0000"/>
              </w:rPr>
            </w:pPr>
            <w:r>
              <w:rPr>
                <w:rFonts w:hint="eastAsia"/>
                <w:color w:val="FF0000"/>
              </w:rPr>
              <w:t>2</w:t>
            </w:r>
          </w:p>
        </w:tc>
        <w:tc>
          <w:tcPr>
            <w:tcW w:w="3337" w:type="dxa"/>
            <w:shd w:val="clear" w:color="auto" w:fill="auto"/>
            <w:vAlign w:val="center"/>
          </w:tcPr>
          <w:p w14:paraId="5EDE1207">
            <w:pPr>
              <w:pStyle w:val="84"/>
              <w:rPr>
                <w:color w:val="FF0000"/>
              </w:rPr>
            </w:pPr>
            <w:r>
              <w:rPr>
                <w:rFonts w:hint="eastAsia"/>
                <w:color w:val="FF0000"/>
              </w:rPr>
              <w:t>厂界噪声监测</w:t>
            </w:r>
          </w:p>
        </w:tc>
        <w:tc>
          <w:tcPr>
            <w:tcW w:w="682" w:type="dxa"/>
            <w:shd w:val="clear" w:color="auto" w:fill="auto"/>
            <w:vAlign w:val="center"/>
          </w:tcPr>
          <w:p w14:paraId="5C08FB35">
            <w:pPr>
              <w:pStyle w:val="84"/>
              <w:rPr>
                <w:color w:val="FF0000"/>
              </w:rPr>
            </w:pPr>
            <w:r>
              <w:rPr>
                <w:rFonts w:hint="eastAsia"/>
                <w:color w:val="FF0000"/>
              </w:rPr>
              <w:t>次</w:t>
            </w:r>
          </w:p>
        </w:tc>
        <w:tc>
          <w:tcPr>
            <w:tcW w:w="795" w:type="dxa"/>
            <w:shd w:val="clear" w:color="auto" w:fill="auto"/>
            <w:vAlign w:val="center"/>
          </w:tcPr>
          <w:p w14:paraId="6B59F27E">
            <w:pPr>
              <w:pStyle w:val="84"/>
              <w:rPr>
                <w:color w:val="FF0000"/>
              </w:rPr>
            </w:pPr>
            <w:r>
              <w:rPr>
                <w:rFonts w:hint="eastAsia"/>
                <w:color w:val="FF0000"/>
              </w:rPr>
              <w:t>1</w:t>
            </w:r>
          </w:p>
        </w:tc>
        <w:tc>
          <w:tcPr>
            <w:tcW w:w="1140" w:type="dxa"/>
            <w:shd w:val="clear" w:color="auto" w:fill="auto"/>
            <w:vAlign w:val="center"/>
          </w:tcPr>
          <w:p w14:paraId="105F9DFB">
            <w:pPr>
              <w:pStyle w:val="84"/>
              <w:rPr>
                <w:color w:val="FF0000"/>
              </w:rPr>
            </w:pPr>
            <w:r>
              <w:rPr>
                <w:rFonts w:hint="eastAsia"/>
                <w:color w:val="FF0000"/>
              </w:rPr>
              <w:t>1000</w:t>
            </w:r>
          </w:p>
        </w:tc>
        <w:tc>
          <w:tcPr>
            <w:tcW w:w="1984" w:type="dxa"/>
            <w:shd w:val="clear" w:color="auto" w:fill="auto"/>
            <w:vAlign w:val="center"/>
          </w:tcPr>
          <w:p w14:paraId="0FFB34F6">
            <w:pPr>
              <w:pStyle w:val="84"/>
              <w:rPr>
                <w:color w:val="FF0000"/>
              </w:rPr>
            </w:pPr>
            <w:r>
              <w:rPr>
                <w:rFonts w:hint="eastAsia"/>
                <w:color w:val="FF0000"/>
              </w:rPr>
              <w:t>0.1</w:t>
            </w:r>
          </w:p>
        </w:tc>
      </w:tr>
      <w:tr w14:paraId="4C21C5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663" w:type="dxa"/>
            <w:gridSpan w:val="5"/>
            <w:shd w:val="clear" w:color="auto" w:fill="auto"/>
            <w:noWrap/>
            <w:vAlign w:val="center"/>
          </w:tcPr>
          <w:p w14:paraId="2E830AD8">
            <w:pPr>
              <w:pStyle w:val="84"/>
              <w:rPr>
                <w:color w:val="FF0000"/>
              </w:rPr>
            </w:pPr>
            <w:r>
              <w:rPr>
                <w:rFonts w:hint="eastAsia"/>
                <w:color w:val="FF0000"/>
              </w:rPr>
              <w:t>合计</w:t>
            </w:r>
          </w:p>
        </w:tc>
        <w:tc>
          <w:tcPr>
            <w:tcW w:w="1984" w:type="dxa"/>
            <w:shd w:val="clear" w:color="auto" w:fill="auto"/>
            <w:vAlign w:val="center"/>
          </w:tcPr>
          <w:p w14:paraId="44D07ACC">
            <w:pPr>
              <w:pStyle w:val="84"/>
              <w:rPr>
                <w:color w:val="FF0000"/>
              </w:rPr>
            </w:pPr>
            <w:r>
              <w:rPr>
                <w:rFonts w:hint="eastAsia"/>
                <w:color w:val="FF0000"/>
              </w:rPr>
              <w:t>38.965</w:t>
            </w:r>
          </w:p>
        </w:tc>
      </w:tr>
    </w:tbl>
    <w:p w14:paraId="7BE68389">
      <w:pPr>
        <w:pStyle w:val="113"/>
      </w:pPr>
      <w:bookmarkStart w:id="1139" w:name="_Toc471738121"/>
      <w:bookmarkStart w:id="1140" w:name="_Toc405206818"/>
      <w:bookmarkStart w:id="1141" w:name="_Toc414374615"/>
      <w:bookmarkStart w:id="1142" w:name="_Toc508642549"/>
      <w:bookmarkStart w:id="1143" w:name="_Toc454046652"/>
      <w:bookmarkStart w:id="1144" w:name="_Toc443655549"/>
      <w:r>
        <w:rPr>
          <w:rFonts w:hint="eastAsia"/>
        </w:rPr>
        <w:t>11</w:t>
      </w:r>
      <w:r>
        <w:t>.2.2 环境经济</w:t>
      </w:r>
      <w:r>
        <w:rPr>
          <w:rFonts w:hint="eastAsia"/>
        </w:rPr>
        <w:t>损益</w:t>
      </w:r>
      <w:r>
        <w:t>分析</w:t>
      </w:r>
      <w:bookmarkEnd w:id="1139"/>
      <w:bookmarkEnd w:id="1140"/>
      <w:bookmarkEnd w:id="1141"/>
      <w:bookmarkEnd w:id="1142"/>
      <w:bookmarkEnd w:id="1143"/>
      <w:bookmarkEnd w:id="1144"/>
    </w:p>
    <w:p w14:paraId="52940FBE">
      <w:pPr>
        <w:pStyle w:val="141"/>
      </w:pPr>
      <w:bookmarkStart w:id="1145" w:name="_Toc377420879"/>
      <w:bookmarkStart w:id="1146" w:name="_Toc327443589"/>
      <w:bookmarkStart w:id="1147" w:name="_Toc377831999"/>
      <w:bookmarkStart w:id="1148" w:name="_Toc534485346"/>
      <w:bookmarkStart w:id="1149" w:name="_Toc304985288"/>
      <w:bookmarkStart w:id="1150" w:name="_Toc377115210"/>
      <w:bookmarkStart w:id="1151" w:name="_Toc397428458"/>
      <w:r>
        <w:rPr>
          <w:rFonts w:hint="eastAsia"/>
        </w:rPr>
        <w:t>11.2.2.1经济效益分析</w:t>
      </w:r>
    </w:p>
    <w:p w14:paraId="1F8648D5">
      <w:pPr>
        <w:ind w:firstLine="480"/>
      </w:pPr>
      <w:r>
        <w:rPr>
          <w:rFonts w:hint="eastAsia"/>
        </w:rPr>
        <w:t>本电站装机规模为</w:t>
      </w:r>
      <w:r>
        <w:t>2×2450kW</w:t>
      </w:r>
      <w:r>
        <w:rPr>
          <w:rFonts w:hint="eastAsia"/>
        </w:rPr>
        <w:t>，装机容量为4900kW，</w:t>
      </w:r>
      <w:r>
        <w:rPr>
          <w:bCs/>
          <w:szCs w:val="24"/>
        </w:rPr>
        <w:t>多年平均发电量为</w:t>
      </w:r>
      <w:r>
        <w:t>2208.43万kW</w:t>
      </w:r>
      <w:r>
        <w:rPr>
          <w:szCs w:val="24"/>
        </w:rPr>
        <w:t>·</w:t>
      </w:r>
      <w:r>
        <w:t>h</w:t>
      </w:r>
      <w:r>
        <w:rPr>
          <w:bCs/>
          <w:szCs w:val="24"/>
        </w:rPr>
        <w:t>，</w:t>
      </w:r>
      <w:r>
        <w:t>综合有效电量系数取0.9</w:t>
      </w:r>
      <w:r>
        <w:rPr>
          <w:rFonts w:hint="eastAsia"/>
        </w:rPr>
        <w:t>6</w:t>
      </w:r>
      <w:r>
        <w:t>，考虑</w:t>
      </w:r>
      <w:r>
        <w:rPr>
          <w:rFonts w:hint="eastAsia"/>
        </w:rPr>
        <w:t>厂区</w:t>
      </w:r>
      <w:r>
        <w:t>用电率为0.</w:t>
      </w:r>
      <w:r>
        <w:rPr>
          <w:rFonts w:hint="eastAsia"/>
        </w:rPr>
        <w:t>0</w:t>
      </w:r>
      <w:r>
        <w:t>5%，则上网电量为</w:t>
      </w:r>
      <w:r>
        <w:rPr>
          <w:rFonts w:hint="eastAsia"/>
        </w:rPr>
        <w:t>2014.09</w:t>
      </w:r>
      <w:r>
        <w:t>万</w:t>
      </w:r>
      <w:r>
        <w:rPr>
          <w:bCs/>
          <w:szCs w:val="24"/>
        </w:rPr>
        <w:t>kW·h</w:t>
      </w:r>
      <w:r>
        <w:rPr>
          <w:rFonts w:hint="eastAsia"/>
        </w:rPr>
        <w:t>。</w:t>
      </w:r>
      <w:r>
        <w:t>上网电价按0.3043965元/kW·h计，电站</w:t>
      </w:r>
      <w:r>
        <w:rPr>
          <w:rFonts w:hint="eastAsia"/>
        </w:rPr>
        <w:t>运行期内</w:t>
      </w:r>
      <w:r>
        <w:t>总收入</w:t>
      </w:r>
      <w:r>
        <w:rPr>
          <w:rFonts w:hint="eastAsia"/>
        </w:rPr>
        <w:t>613.08</w:t>
      </w:r>
      <w:r>
        <w:t>万元，单位千瓦投资</w:t>
      </w:r>
      <w:r>
        <w:rPr>
          <w:rFonts w:hint="eastAsia"/>
        </w:rPr>
        <w:t>8843.15</w:t>
      </w:r>
      <w:r>
        <w:t>元/kW</w:t>
      </w:r>
      <w:r>
        <w:rPr>
          <w:rFonts w:hint="eastAsia"/>
        </w:rPr>
        <w:t>，</w:t>
      </w:r>
      <w:r>
        <w:t>单位电能投资</w:t>
      </w:r>
      <w:r>
        <w:rPr>
          <w:rFonts w:hint="eastAsia"/>
        </w:rPr>
        <w:t>1.96</w:t>
      </w:r>
      <w:r>
        <w:t>元/kW·h。</w:t>
      </w:r>
    </w:p>
    <w:p w14:paraId="00383206">
      <w:pPr>
        <w:ind w:firstLine="480"/>
      </w:pPr>
      <w:r>
        <w:rPr>
          <w:rFonts w:hint="eastAsia"/>
        </w:rPr>
        <w:t>本项目经济内部收益率8.77%，高于社会折现率8%；经济净现值279.47万元，大于零，经济效益好；经济效益费用比EBCR＝1.062＞1。</w:t>
      </w:r>
      <w:r>
        <w:rPr>
          <w:rFonts w:hint="eastAsia" w:ascii="宋体" w:hAnsi="宋体"/>
        </w:rPr>
        <w:t>表明该项目在经济上是合理的。</w:t>
      </w:r>
      <w:r>
        <w:t>项目的财务内部收益率为10%，满足国家规定要求，财务净现值为</w:t>
      </w:r>
      <w:r>
        <w:rPr>
          <w:rFonts w:hint="eastAsia"/>
        </w:rPr>
        <w:t>4.9</w:t>
      </w:r>
      <w:r>
        <w:t>万元，大于零，投资回收期为10</w:t>
      </w:r>
      <w:r>
        <w:rPr>
          <w:rFonts w:hint="eastAsia"/>
        </w:rPr>
        <w:t>.4</w:t>
      </w:r>
      <w:r>
        <w:t>年</w:t>
      </w:r>
      <w:r>
        <w:rPr>
          <w:rFonts w:hint="eastAsia"/>
        </w:rPr>
        <w:t>，</w:t>
      </w:r>
      <w:r>
        <w:t>有一定的盈利能力。</w:t>
      </w:r>
    </w:p>
    <w:p w14:paraId="6C6F67FC">
      <w:pPr>
        <w:ind w:firstLine="480"/>
        <w:rPr>
          <w:rFonts w:hint="eastAsia"/>
        </w:rPr>
      </w:pPr>
      <w:r>
        <w:rPr>
          <w:rFonts w:hint="eastAsia"/>
        </w:rPr>
        <w:t>综上，该</w:t>
      </w:r>
      <w:r>
        <w:t>项目财务上可行，经济上合理，具有较强的抗风险能力</w:t>
      </w:r>
      <w:r>
        <w:rPr>
          <w:rFonts w:hint="eastAsia"/>
        </w:rPr>
        <w:t>，社会效益显著。</w:t>
      </w:r>
    </w:p>
    <w:p w14:paraId="62885648">
      <w:pPr>
        <w:ind w:firstLine="480"/>
      </w:pPr>
    </w:p>
    <w:p w14:paraId="5FCF26B2">
      <w:pPr>
        <w:pStyle w:val="141"/>
      </w:pPr>
      <w:r>
        <w:rPr>
          <w:rFonts w:hint="eastAsia"/>
        </w:rPr>
        <w:t>11.2.2.2环境效益分析</w:t>
      </w:r>
    </w:p>
    <w:p w14:paraId="07A4AC0E">
      <w:pPr>
        <w:ind w:firstLine="480"/>
      </w:pPr>
      <w:r>
        <w:rPr>
          <w:rFonts w:hint="eastAsia"/>
        </w:rPr>
        <w:t>1、环境正效益</w:t>
      </w:r>
    </w:p>
    <w:p w14:paraId="1A69081B">
      <w:pPr>
        <w:ind w:firstLine="480"/>
        <w:rPr>
          <w:bCs/>
          <w:szCs w:val="24"/>
        </w:rPr>
      </w:pPr>
      <w:r>
        <w:rPr>
          <w:rFonts w:hint="eastAsia"/>
        </w:rPr>
        <w:t>电站多年平均发电量</w:t>
      </w:r>
      <w:r>
        <w:t>2208.43万kW</w:t>
      </w:r>
      <w:r>
        <w:rPr>
          <w:szCs w:val="24"/>
        </w:rPr>
        <w:t>·</w:t>
      </w:r>
      <w:r>
        <w:t>h</w:t>
      </w:r>
      <w:r>
        <w:rPr>
          <w:bCs/>
          <w:szCs w:val="24"/>
        </w:rPr>
        <w:t>，</w:t>
      </w:r>
      <w:r>
        <w:rPr>
          <w:rFonts w:hint="eastAsia"/>
          <w:bCs/>
          <w:szCs w:val="24"/>
        </w:rPr>
        <w:t>按发电标煤耗320g/</w:t>
      </w:r>
      <w:r>
        <w:rPr>
          <w:bCs/>
          <w:szCs w:val="24"/>
        </w:rPr>
        <w:t>kW·h</w:t>
      </w:r>
      <w:r>
        <w:rPr>
          <w:rFonts w:hint="eastAsia"/>
          <w:bCs/>
          <w:szCs w:val="24"/>
        </w:rPr>
        <w:t>计，每年可节约标煤约0.069t，</w:t>
      </w:r>
      <w:r>
        <w:t>可大量减少TSP、CO</w:t>
      </w:r>
      <w:r>
        <w:rPr>
          <w:vertAlign w:val="subscript"/>
        </w:rPr>
        <w:t>2</w:t>
      </w:r>
      <w:r>
        <w:rPr>
          <w:rFonts w:hint="eastAsia"/>
        </w:rPr>
        <w:t>、</w:t>
      </w:r>
      <w:r>
        <w:t>SO</w:t>
      </w:r>
      <w:r>
        <w:rPr>
          <w:vertAlign w:val="subscript"/>
        </w:rPr>
        <w:t>2</w:t>
      </w:r>
      <w:r>
        <w:t>、NOx的排放，对于减少温室气体排放、保护大气环境将</w:t>
      </w:r>
      <w:r>
        <w:rPr>
          <w:rFonts w:hint="eastAsia"/>
        </w:rPr>
        <w:t>起到</w:t>
      </w:r>
      <w:r>
        <w:t>积极的作用</w:t>
      </w:r>
      <w:r>
        <w:rPr>
          <w:rFonts w:hint="eastAsia"/>
        </w:rPr>
        <w:t>，</w:t>
      </w:r>
      <w:r>
        <w:t>具有明显的环境效益。</w:t>
      </w:r>
      <w:r>
        <w:rPr>
          <w:rFonts w:hint="eastAsia"/>
          <w:bCs/>
          <w:szCs w:val="24"/>
        </w:rPr>
        <w:t>同时，按国内先进水平，火力发电消耗新鲜水0.5kg/</w:t>
      </w:r>
      <w:r>
        <w:rPr>
          <w:bCs/>
          <w:szCs w:val="24"/>
        </w:rPr>
        <w:t>kW·h</w:t>
      </w:r>
      <w:r>
        <w:rPr>
          <w:rFonts w:hint="eastAsia"/>
          <w:bCs/>
          <w:szCs w:val="24"/>
        </w:rPr>
        <w:t>，本项目的兴建可以节约新鲜水量约4.42万t，在节约水资源的同时也减少了对环境空气的污染。</w:t>
      </w:r>
    </w:p>
    <w:p w14:paraId="50CD28E5">
      <w:pPr>
        <w:ind w:firstLine="480"/>
      </w:pPr>
      <w:r>
        <w:rPr>
          <w:rFonts w:hint="eastAsia"/>
        </w:rPr>
        <w:t>本项目的建成，将使云南省水能资源优势充分发挥，对逐步形成以水电为主的电力行业，实现云南省建设绿色经济强省的战略目标有积极推动作用。此外，电站的建设对劳动力的需求，将为当地群众提供就业机会，工程建设队伍的进驻，有利于促进当地服务业的发展，加快贫困地区脱贫致富。</w:t>
      </w:r>
    </w:p>
    <w:p w14:paraId="7CDDAC99">
      <w:pPr>
        <w:ind w:firstLine="480"/>
      </w:pPr>
      <w:r>
        <w:rPr>
          <w:rFonts w:hint="eastAsia"/>
        </w:rPr>
        <w:t>2、环境负效益</w:t>
      </w:r>
    </w:p>
    <w:p w14:paraId="2631EBCA">
      <w:pPr>
        <w:ind w:firstLine="480"/>
      </w:pPr>
      <w:r>
        <w:rPr>
          <w:rFonts w:hint="eastAsia"/>
        </w:rPr>
        <w:t>工程建设对环境造成的影响主要有以下几点：</w:t>
      </w:r>
    </w:p>
    <w:p w14:paraId="5F938B04">
      <w:pPr>
        <w:ind w:firstLine="480"/>
      </w:pPr>
      <w:r>
        <w:rPr>
          <w:rFonts w:hint="eastAsia"/>
        </w:rPr>
        <w:t>（1）工程永久占地将完全改变土地利用状态，地面植被将全部消毁，影响是永久性的；施工临时占地上的植被待工程完工后，可进行植被恢复，影响是暂时的。</w:t>
      </w:r>
    </w:p>
    <w:p w14:paraId="1103D593">
      <w:pPr>
        <w:ind w:firstLine="480"/>
      </w:pPr>
      <w:r>
        <w:rPr>
          <w:rFonts w:hint="eastAsia"/>
        </w:rPr>
        <w:t>（2）施工期废水可全部回用，对地表水环境基本不会产生影响。废气的排放和噪声污染对周围环境会带来一定程度的影响。尽管本次环评提出了消减措施，但仍不能将污染影响完全消除。</w:t>
      </w:r>
    </w:p>
    <w:p w14:paraId="5BC5C85A">
      <w:pPr>
        <w:pStyle w:val="113"/>
      </w:pPr>
      <w:bookmarkStart w:id="1152" w:name="_Toc454046653"/>
      <w:bookmarkStart w:id="1153" w:name="_Toc471738122"/>
      <w:bookmarkStart w:id="1154" w:name="_Toc443655550"/>
      <w:bookmarkStart w:id="1155" w:name="_Toc508642550"/>
      <w:r>
        <w:rPr>
          <w:rFonts w:hint="eastAsia"/>
        </w:rPr>
        <w:t>11.2.3</w:t>
      </w:r>
      <w:r>
        <w:t>环境</w:t>
      </w:r>
      <w:bookmarkEnd w:id="1145"/>
      <w:bookmarkEnd w:id="1146"/>
      <w:bookmarkEnd w:id="1147"/>
      <w:bookmarkEnd w:id="1148"/>
      <w:bookmarkEnd w:id="1149"/>
      <w:bookmarkEnd w:id="1150"/>
      <w:r>
        <w:rPr>
          <w:rFonts w:hint="eastAsia"/>
        </w:rPr>
        <w:t>经济损益分析</w:t>
      </w:r>
      <w:bookmarkEnd w:id="1151"/>
      <w:r>
        <w:rPr>
          <w:rFonts w:hint="eastAsia"/>
        </w:rPr>
        <w:t>结论</w:t>
      </w:r>
      <w:bookmarkEnd w:id="1152"/>
      <w:bookmarkEnd w:id="1153"/>
      <w:bookmarkEnd w:id="1154"/>
      <w:bookmarkEnd w:id="1155"/>
    </w:p>
    <w:p w14:paraId="03462098">
      <w:pPr>
        <w:ind w:firstLine="480"/>
      </w:pPr>
      <w:r>
        <w:rPr>
          <w:rFonts w:hint="eastAsia"/>
        </w:rPr>
        <w:t>本项目</w:t>
      </w:r>
      <w:r>
        <w:t>因施工占地、施工</w:t>
      </w:r>
      <w:r>
        <w:rPr>
          <w:rFonts w:hint="eastAsia"/>
        </w:rPr>
        <w:t>“</w:t>
      </w:r>
      <w:r>
        <w:t>三废</w:t>
      </w:r>
      <w:r>
        <w:rPr>
          <w:rFonts w:hint="eastAsia"/>
        </w:rPr>
        <w:t>”</w:t>
      </w:r>
      <w:r>
        <w:t>及噪声污染对工程区域环境资源、环境质量</w:t>
      </w:r>
      <w:r>
        <w:rPr>
          <w:rFonts w:hint="eastAsia"/>
        </w:rPr>
        <w:t>将</w:t>
      </w:r>
      <w:r>
        <w:t>带来一定程度的损失和影响。从工程投资方面分析，为了减少和避免这些影响，需要投资</w:t>
      </w:r>
      <w:r>
        <w:rPr>
          <w:rFonts w:hint="eastAsia"/>
          <w:color w:val="FF0000"/>
        </w:rPr>
        <w:t>38.965</w:t>
      </w:r>
      <w:r>
        <w:rPr>
          <w:rFonts w:cstheme="minorBidi"/>
          <w:color w:val="FF0000"/>
        </w:rPr>
        <w:t>万元</w:t>
      </w:r>
      <w:r>
        <w:rPr>
          <w:rFonts w:hint="eastAsia"/>
        </w:rPr>
        <w:t>用以</w:t>
      </w:r>
      <w:r>
        <w:t>采取</w:t>
      </w:r>
      <w:r>
        <w:rPr>
          <w:rFonts w:hint="eastAsia"/>
        </w:rPr>
        <w:t>相关</w:t>
      </w:r>
      <w:r>
        <w:t>环境保护措施</w:t>
      </w:r>
      <w:r>
        <w:rPr>
          <w:rFonts w:hint="eastAsia"/>
        </w:rPr>
        <w:t>来降低工程建设对区域环境的影响</w:t>
      </w:r>
      <w:r>
        <w:t>。</w:t>
      </w:r>
    </w:p>
    <w:p w14:paraId="5F93A34C">
      <w:pPr>
        <w:ind w:firstLine="480"/>
      </w:pPr>
      <w:bookmarkStart w:id="1156" w:name="_Toc365812754"/>
      <w:bookmarkStart w:id="1157" w:name="_Toc355709101"/>
      <w:bookmarkStart w:id="1158" w:name="_Toc355784390"/>
      <w:bookmarkStart w:id="1159" w:name="_Toc355784631"/>
      <w:bookmarkStart w:id="1160" w:name="_Toc24976"/>
      <w:bookmarkStart w:id="1161" w:name="_Toc277321448"/>
      <w:bookmarkStart w:id="1162" w:name="_Toc356556807"/>
      <w:r>
        <w:t>本</w:t>
      </w:r>
      <w:r>
        <w:rPr>
          <w:rFonts w:hint="eastAsia"/>
        </w:rPr>
        <w:t>项目</w:t>
      </w:r>
      <w:r>
        <w:t>为</w:t>
      </w:r>
      <w:r>
        <w:rPr>
          <w:rFonts w:hint="eastAsia"/>
        </w:rPr>
        <w:t>水力发电</w:t>
      </w:r>
      <w:r>
        <w:t>工程，具有运行年限长、环境损失补偿大多为一次性投入的特点</w:t>
      </w:r>
      <w:r>
        <w:rPr>
          <w:rFonts w:hint="eastAsia"/>
        </w:rPr>
        <w:t>。项目</w:t>
      </w:r>
      <w:r>
        <w:t>建成后，在环境损失方面的补偿随时间的增加基本不需追加投资，随着工程的运行，环境效益将不断</w:t>
      </w:r>
      <w:r>
        <w:rPr>
          <w:rFonts w:hint="eastAsia"/>
        </w:rPr>
        <w:t>扩</w:t>
      </w:r>
      <w:r>
        <w:t>大。因此，在环境费用</w:t>
      </w:r>
      <w:r>
        <w:rPr>
          <w:rFonts w:hint="eastAsia"/>
        </w:rPr>
        <w:t>和环境</w:t>
      </w:r>
      <w:r>
        <w:t>效益方面，工程具有较优越的经济指标。</w:t>
      </w:r>
    </w:p>
    <w:p w14:paraId="0D48ED11">
      <w:pPr>
        <w:ind w:firstLine="480"/>
      </w:pPr>
      <w:r>
        <w:t>本工程对环境不利影响的范围和程度不大，随着工程</w:t>
      </w:r>
      <w:r>
        <w:rPr>
          <w:rFonts w:hint="eastAsia"/>
        </w:rPr>
        <w:t>结束</w:t>
      </w:r>
      <w:r>
        <w:t>，大部分不利影响将逐渐</w:t>
      </w:r>
      <w:r>
        <w:rPr>
          <w:rFonts w:hint="eastAsia"/>
        </w:rPr>
        <w:t>消除</w:t>
      </w:r>
      <w:r>
        <w:t>。从环境保护措施实施效果分析，只要</w:t>
      </w:r>
      <w:r>
        <w:rPr>
          <w:rFonts w:hint="eastAsia"/>
        </w:rPr>
        <w:t>建设单位</w:t>
      </w:r>
      <w:r>
        <w:t>认真落实</w:t>
      </w:r>
      <w:r>
        <w:rPr>
          <w:rFonts w:hint="eastAsia"/>
        </w:rPr>
        <w:t>各项</w:t>
      </w:r>
      <w:r>
        <w:t>环境保护措施，除</w:t>
      </w:r>
      <w:r>
        <w:rPr>
          <w:rFonts w:hint="eastAsia"/>
        </w:rPr>
        <w:t>永久占地造成的</w:t>
      </w:r>
      <w:r>
        <w:t>植物</w:t>
      </w:r>
      <w:r>
        <w:rPr>
          <w:rFonts w:hint="eastAsia"/>
        </w:rPr>
        <w:t>和植被</w:t>
      </w:r>
      <w:r>
        <w:t>资源损失无法</w:t>
      </w:r>
      <w:r>
        <w:rPr>
          <w:rFonts w:hint="eastAsia"/>
        </w:rPr>
        <w:t>避免</w:t>
      </w:r>
      <w:r>
        <w:t>外，其它各种环境影响均可在工程建设过程中，实施相应的</w:t>
      </w:r>
      <w:r>
        <w:rPr>
          <w:rFonts w:hint="eastAsia"/>
        </w:rPr>
        <w:t>预防</w:t>
      </w:r>
      <w:r>
        <w:t>和改善措施，</w:t>
      </w:r>
      <w:r>
        <w:rPr>
          <w:rFonts w:hint="eastAsia"/>
        </w:rPr>
        <w:t>其影响将得到最大程度的减免。</w:t>
      </w:r>
      <w:bookmarkEnd w:id="1156"/>
      <w:bookmarkEnd w:id="1157"/>
      <w:bookmarkEnd w:id="1158"/>
      <w:bookmarkEnd w:id="1159"/>
      <w:bookmarkEnd w:id="1160"/>
      <w:bookmarkEnd w:id="1161"/>
      <w:bookmarkEnd w:id="1162"/>
    </w:p>
    <w:p w14:paraId="00E4F3C5">
      <w:pPr>
        <w:ind w:firstLine="480"/>
        <w:rPr>
          <w:rFonts w:eastAsia="黑体"/>
          <w:bCs/>
          <w:kern w:val="44"/>
          <w:sz w:val="30"/>
          <w:szCs w:val="44"/>
        </w:rPr>
      </w:pPr>
      <w:r>
        <w:br w:type="page"/>
      </w:r>
    </w:p>
    <w:p w14:paraId="372B70A8">
      <w:pPr>
        <w:pStyle w:val="180"/>
      </w:pPr>
      <w:bookmarkStart w:id="1163" w:name="_Toc508642551"/>
      <w:bookmarkStart w:id="1164" w:name="_Toc443655571"/>
      <w:bookmarkStart w:id="1165" w:name="_Toc436297661"/>
      <w:bookmarkStart w:id="1166" w:name="_Toc471738143"/>
      <w:bookmarkStart w:id="1167" w:name="_Toc454046674"/>
      <w:r>
        <w:t>1</w:t>
      </w:r>
      <w:r>
        <w:rPr>
          <w:rFonts w:hint="eastAsia"/>
        </w:rPr>
        <w:t>2</w:t>
      </w:r>
      <w:r>
        <w:t>评价结论</w:t>
      </w:r>
      <w:bookmarkEnd w:id="1163"/>
      <w:bookmarkEnd w:id="1164"/>
      <w:bookmarkEnd w:id="1165"/>
      <w:bookmarkEnd w:id="1166"/>
      <w:bookmarkEnd w:id="1167"/>
    </w:p>
    <w:p w14:paraId="27A033AC">
      <w:pPr>
        <w:pStyle w:val="4"/>
      </w:pPr>
      <w:bookmarkStart w:id="1168" w:name="_Toc471738144"/>
      <w:bookmarkStart w:id="1169" w:name="_Toc454046675"/>
      <w:bookmarkStart w:id="1170" w:name="_Toc508642552"/>
      <w:bookmarkStart w:id="1171" w:name="_Toc436297662"/>
      <w:bookmarkStart w:id="1172" w:name="_Toc443655572"/>
      <w:r>
        <w:t>1</w:t>
      </w:r>
      <w:r>
        <w:rPr>
          <w:rFonts w:hint="eastAsia"/>
        </w:rPr>
        <w:t>2</w:t>
      </w:r>
      <w:r>
        <w:t>.1项目概况</w:t>
      </w:r>
      <w:bookmarkEnd w:id="1168"/>
      <w:bookmarkEnd w:id="1169"/>
      <w:bookmarkEnd w:id="1170"/>
      <w:bookmarkEnd w:id="1171"/>
      <w:bookmarkEnd w:id="1172"/>
    </w:p>
    <w:p w14:paraId="2E13FCDB">
      <w:pPr>
        <w:ind w:firstLine="480"/>
        <w:rPr>
          <w:color w:val="FF0000"/>
        </w:rPr>
      </w:pPr>
      <w:r>
        <w:rPr>
          <w:rFonts w:hint="eastAsia"/>
        </w:rPr>
        <w:t>团结水电站位于云南省德宏州芒市境内，距遮放镇约5km，与上游芒里电站尾水堰距离约2.2km，坝址地理坐标为：E98°17</w:t>
      </w:r>
      <w:r>
        <w:t>′</w:t>
      </w:r>
      <w:r>
        <w:rPr>
          <w:rFonts w:hint="eastAsia"/>
        </w:rPr>
        <w:t>13.37</w:t>
      </w:r>
      <w:r>
        <w:t>″</w:t>
      </w:r>
      <w:r>
        <w:rPr>
          <w:rFonts w:hint="eastAsia"/>
        </w:rPr>
        <w:t>、N24°17</w:t>
      </w:r>
      <w:r>
        <w:t>′</w:t>
      </w:r>
      <w:r>
        <w:rPr>
          <w:rFonts w:hint="eastAsia"/>
        </w:rPr>
        <w:t>48</w:t>
      </w:r>
      <w:r>
        <w:t>″</w:t>
      </w:r>
      <w:r>
        <w:rPr>
          <w:rFonts w:hint="eastAsia"/>
        </w:rPr>
        <w:t>，厂址地理坐标为：E98°17</w:t>
      </w:r>
      <w:r>
        <w:t>′</w:t>
      </w:r>
      <w:r>
        <w:rPr>
          <w:rFonts w:hint="eastAsia"/>
        </w:rPr>
        <w:t>12.8</w:t>
      </w:r>
      <w:r>
        <w:t>″</w:t>
      </w:r>
      <w:r>
        <w:rPr>
          <w:rFonts w:hint="eastAsia"/>
        </w:rPr>
        <w:t>、N24°17</w:t>
      </w:r>
      <w:r>
        <w:t>′</w:t>
      </w:r>
      <w:r>
        <w:rPr>
          <w:rFonts w:hint="eastAsia"/>
        </w:rPr>
        <w:t>49.59</w:t>
      </w:r>
      <w:r>
        <w:t>″</w:t>
      </w:r>
      <w:r>
        <w:rPr>
          <w:rFonts w:hint="eastAsia"/>
        </w:rPr>
        <w:t>。电站为小型河床式无调节电站，利用上游芒里水电站的尾水进</w:t>
      </w:r>
      <w:r>
        <w:t>行发电</w:t>
      </w:r>
      <w:r>
        <w:rPr>
          <w:rFonts w:hint="eastAsia"/>
        </w:rPr>
        <w:t>。</w:t>
      </w:r>
      <w:r>
        <w:t>团结水电站总装机容量4900kW（2×2450kW），引用发电流量106.3m³/s，设计水头5.5m，装机年利用小时数4507h，多年平均发电量2208.43万kW</w:t>
      </w:r>
      <w:r>
        <w:rPr>
          <w:szCs w:val="24"/>
        </w:rPr>
        <w:t>·</w:t>
      </w:r>
      <w:r>
        <w:t>h</w:t>
      </w:r>
      <w:r>
        <w:rPr>
          <w:rFonts w:hint="eastAsia"/>
        </w:rPr>
        <w:t>，保证出力1712</w:t>
      </w:r>
      <w:r>
        <w:t>kW。</w:t>
      </w:r>
      <w:r>
        <w:rPr>
          <w:rFonts w:hint="eastAsia"/>
        </w:rPr>
        <w:t>工程等别为五等，工程规模为小（2）型。</w:t>
      </w:r>
      <w:r>
        <w:rPr>
          <w:rFonts w:hint="eastAsia"/>
          <w:color w:val="FF0000"/>
        </w:rPr>
        <w:t>工程</w:t>
      </w:r>
      <w:r>
        <w:rPr>
          <w:color w:val="FF0000"/>
        </w:rPr>
        <w:t>占地</w:t>
      </w:r>
      <w:r>
        <w:rPr>
          <w:rFonts w:hint="eastAsia"/>
          <w:color w:val="FF0000"/>
        </w:rPr>
        <w:t>4.02</w:t>
      </w:r>
      <w:r>
        <w:rPr>
          <w:color w:val="FF0000"/>
        </w:rPr>
        <w:t>hm</w:t>
      </w:r>
      <w:r>
        <w:rPr>
          <w:color w:val="FF0000"/>
          <w:vertAlign w:val="superscript"/>
        </w:rPr>
        <w:t>2</w:t>
      </w:r>
      <w:r>
        <w:rPr>
          <w:color w:val="FF0000"/>
        </w:rPr>
        <w:t>（含水库淹没），包括永久占地</w:t>
      </w:r>
      <w:r>
        <w:rPr>
          <w:rFonts w:hint="eastAsia"/>
          <w:color w:val="FF0000"/>
        </w:rPr>
        <w:t>3.03</w:t>
      </w:r>
      <w:r>
        <w:rPr>
          <w:color w:val="FF0000"/>
        </w:rPr>
        <w:t>hm</w:t>
      </w:r>
      <w:r>
        <w:rPr>
          <w:color w:val="FF0000"/>
          <w:vertAlign w:val="superscript"/>
        </w:rPr>
        <w:t>2</w:t>
      </w:r>
      <w:r>
        <w:rPr>
          <w:color w:val="FF0000"/>
        </w:rPr>
        <w:t>，临时占地</w:t>
      </w:r>
      <w:r>
        <w:rPr>
          <w:rFonts w:hint="eastAsia"/>
          <w:color w:val="FF0000"/>
        </w:rPr>
        <w:t>0.99</w:t>
      </w:r>
      <w:r>
        <w:rPr>
          <w:color w:val="FF0000"/>
        </w:rPr>
        <w:t>hm</w:t>
      </w:r>
      <w:r>
        <w:rPr>
          <w:color w:val="FF0000"/>
          <w:vertAlign w:val="superscript"/>
        </w:rPr>
        <w:t>2</w:t>
      </w:r>
      <w:r>
        <w:rPr>
          <w:color w:val="FF0000"/>
        </w:rPr>
        <w:t>。占用坡耕地</w:t>
      </w:r>
      <w:r>
        <w:rPr>
          <w:rFonts w:hint="eastAsia"/>
          <w:color w:val="FF0000"/>
        </w:rPr>
        <w:t>1.15</w:t>
      </w:r>
      <w:r>
        <w:rPr>
          <w:color w:val="FF0000"/>
        </w:rPr>
        <w:t>hm</w:t>
      </w:r>
      <w:r>
        <w:rPr>
          <w:color w:val="FF0000"/>
          <w:vertAlign w:val="superscript"/>
        </w:rPr>
        <w:t>2</w:t>
      </w:r>
      <w:r>
        <w:rPr>
          <w:color w:val="FF0000"/>
        </w:rPr>
        <w:t>、</w:t>
      </w:r>
      <w:r>
        <w:rPr>
          <w:rFonts w:hint="eastAsia"/>
          <w:color w:val="FF0000"/>
        </w:rPr>
        <w:t>水域及水利设施</w:t>
      </w:r>
      <w:r>
        <w:rPr>
          <w:color w:val="FF0000"/>
        </w:rPr>
        <w:t>用地</w:t>
      </w:r>
      <w:r>
        <w:rPr>
          <w:rFonts w:hint="eastAsia"/>
          <w:color w:val="FF0000"/>
        </w:rPr>
        <w:t>2.8</w:t>
      </w:r>
      <w:r>
        <w:rPr>
          <w:color w:val="FF0000"/>
        </w:rPr>
        <w:t>7hm</w:t>
      </w:r>
      <w:r>
        <w:rPr>
          <w:color w:val="FF0000"/>
          <w:vertAlign w:val="superscript"/>
        </w:rPr>
        <w:t>2</w:t>
      </w:r>
      <w:r>
        <w:rPr>
          <w:color w:val="FF0000"/>
        </w:rPr>
        <w:t>。工程总投资</w:t>
      </w:r>
      <w:r>
        <w:rPr>
          <w:rFonts w:hint="eastAsia"/>
          <w:color w:val="FF0000"/>
        </w:rPr>
        <w:t>4333.14</w:t>
      </w:r>
      <w:r>
        <w:rPr>
          <w:color w:val="FF0000"/>
        </w:rPr>
        <w:t>万元</w:t>
      </w:r>
      <w:r>
        <w:rPr>
          <w:rFonts w:hint="eastAsia"/>
          <w:color w:val="FF0000"/>
        </w:rPr>
        <w:t>，其中</w:t>
      </w:r>
      <w:r>
        <w:rPr>
          <w:rFonts w:hint="eastAsia" w:cstheme="minorBidi"/>
          <w:color w:val="FF0000"/>
        </w:rPr>
        <w:t>环保投资约</w:t>
      </w:r>
      <w:r>
        <w:rPr>
          <w:rFonts w:hint="eastAsia"/>
          <w:color w:val="FF0000"/>
        </w:rPr>
        <w:t>38.965</w:t>
      </w:r>
      <w:r>
        <w:rPr>
          <w:rFonts w:cstheme="minorBidi"/>
          <w:color w:val="FF0000"/>
        </w:rPr>
        <w:t>万元</w:t>
      </w:r>
      <w:r>
        <w:rPr>
          <w:rFonts w:hint="eastAsia"/>
          <w:color w:val="FF0000"/>
        </w:rPr>
        <w:t>。</w:t>
      </w:r>
    </w:p>
    <w:p w14:paraId="24821F11">
      <w:pPr>
        <w:pStyle w:val="4"/>
      </w:pPr>
      <w:bookmarkStart w:id="1173" w:name="_Toc443655573"/>
      <w:bookmarkStart w:id="1174" w:name="_Toc471738145"/>
      <w:bookmarkStart w:id="1175" w:name="_Toc454046676"/>
      <w:bookmarkStart w:id="1176" w:name="_Toc436297663"/>
      <w:bookmarkStart w:id="1177" w:name="_Toc508642553"/>
      <w:r>
        <w:rPr>
          <w:rFonts w:hint="eastAsia"/>
        </w:rPr>
        <w:t>12.2与国家产业政策及相关规划符合性</w:t>
      </w:r>
      <w:bookmarkEnd w:id="1173"/>
      <w:bookmarkEnd w:id="1174"/>
      <w:bookmarkEnd w:id="1175"/>
      <w:bookmarkEnd w:id="1176"/>
      <w:bookmarkEnd w:id="1177"/>
    </w:p>
    <w:p w14:paraId="7B922C46">
      <w:pPr>
        <w:ind w:firstLine="480"/>
      </w:pPr>
      <w:r>
        <w:rPr>
          <w:rFonts w:hint="eastAsia"/>
        </w:rPr>
        <w:t>根据《产业结构调整指导目录（2011年本）》（2013年修正），工程建设符合国家产业政策</w:t>
      </w:r>
      <w:r>
        <w:t>。</w:t>
      </w:r>
    </w:p>
    <w:p w14:paraId="7B13A0D7">
      <w:pPr>
        <w:ind w:firstLine="480"/>
      </w:pPr>
      <w:r>
        <w:rPr>
          <w:rFonts w:hint="eastAsia"/>
        </w:rPr>
        <w:t>工程</w:t>
      </w:r>
      <w:r>
        <w:t>建设不会导致区域内</w:t>
      </w:r>
      <w:r>
        <w:rPr>
          <w:rFonts w:hint="eastAsia"/>
        </w:rPr>
        <w:t>任何</w:t>
      </w:r>
      <w:r>
        <w:t>物种消失，对生物</w:t>
      </w:r>
      <w:r>
        <w:rPr>
          <w:rFonts w:hint="eastAsia"/>
        </w:rPr>
        <w:t>环境</w:t>
      </w:r>
      <w:r>
        <w:t>影响较小</w:t>
      </w:r>
      <w:r>
        <w:rPr>
          <w:rFonts w:hint="eastAsia"/>
        </w:rPr>
        <w:t>，拟建</w:t>
      </w:r>
      <w:r>
        <w:t>项目与《云南省生物多样性保护战略与行动计划》、《云南省生态功能区划》、《云南省主体功能区规划》相符。</w:t>
      </w:r>
    </w:p>
    <w:p w14:paraId="0BE6BA07">
      <w:pPr>
        <w:pStyle w:val="4"/>
      </w:pPr>
      <w:bookmarkStart w:id="1178" w:name="_Toc436297664"/>
      <w:bookmarkStart w:id="1179" w:name="_Toc443655574"/>
      <w:bookmarkStart w:id="1180" w:name="_Toc471738146"/>
      <w:bookmarkStart w:id="1181" w:name="_Toc508642554"/>
      <w:bookmarkStart w:id="1182" w:name="_Toc454046677"/>
      <w:r>
        <w:rPr>
          <w:rFonts w:hint="eastAsia"/>
        </w:rPr>
        <w:t>12.3环境</w:t>
      </w:r>
      <w:bookmarkEnd w:id="1178"/>
      <w:bookmarkEnd w:id="1179"/>
      <w:r>
        <w:rPr>
          <w:rFonts w:hint="eastAsia"/>
        </w:rPr>
        <w:t>质量现状</w:t>
      </w:r>
      <w:bookmarkEnd w:id="1180"/>
      <w:bookmarkEnd w:id="1181"/>
      <w:bookmarkEnd w:id="1182"/>
    </w:p>
    <w:p w14:paraId="09340149">
      <w:pPr>
        <w:ind w:firstLine="480"/>
      </w:pPr>
      <w:r>
        <w:rPr>
          <w:rFonts w:hint="eastAsia"/>
        </w:rPr>
        <w:t>1、地表水环境质量现状</w:t>
      </w:r>
    </w:p>
    <w:p w14:paraId="2AF000E6">
      <w:pPr>
        <w:ind w:firstLine="480"/>
      </w:pPr>
      <w:r>
        <w:rPr>
          <w:rFonts w:hint="eastAsia"/>
        </w:rPr>
        <w:t>根据</w:t>
      </w:r>
      <w:r>
        <w:t>云南环绿环境检测技术有限公司于201</w:t>
      </w:r>
      <w:r>
        <w:rPr>
          <w:rFonts w:hint="eastAsia"/>
        </w:rPr>
        <w:t>6</w:t>
      </w:r>
      <w:r>
        <w:t>年</w:t>
      </w:r>
      <w:r>
        <w:rPr>
          <w:rFonts w:hint="eastAsia"/>
        </w:rPr>
        <w:t>1</w:t>
      </w:r>
      <w:r>
        <w:t>月</w:t>
      </w:r>
      <w:r>
        <w:rPr>
          <w:rFonts w:hint="eastAsia"/>
        </w:rPr>
        <w:t>29日~1月31</w:t>
      </w:r>
      <w:r>
        <w:t>日</w:t>
      </w:r>
      <w:r>
        <w:rPr>
          <w:rFonts w:hint="eastAsia"/>
        </w:rPr>
        <w:t>对电站坝址上游100m和厂房尾水口下游100m处2个断面进行的水质检测结果，评价河段</w:t>
      </w:r>
      <w:r>
        <w:rPr>
          <w:szCs w:val="24"/>
        </w:rPr>
        <w:t>水</w:t>
      </w:r>
      <w:r>
        <w:rPr>
          <w:rFonts w:hint="eastAsia"/>
          <w:szCs w:val="24"/>
        </w:rPr>
        <w:t>体中各项检测指标</w:t>
      </w:r>
      <w:r>
        <w:rPr>
          <w:szCs w:val="24"/>
        </w:rPr>
        <w:t>均能达到《地表水环境质量标准》（GB3838-2002）III类水水质标准要求</w:t>
      </w:r>
      <w:r>
        <w:rPr>
          <w:rFonts w:hint="eastAsia"/>
          <w:szCs w:val="24"/>
        </w:rPr>
        <w:t>，水质现状较好。</w:t>
      </w:r>
    </w:p>
    <w:p w14:paraId="276C9787">
      <w:pPr>
        <w:ind w:firstLine="480"/>
      </w:pPr>
      <w:r>
        <w:rPr>
          <w:rFonts w:hint="eastAsia"/>
        </w:rPr>
        <w:t>2、</w:t>
      </w:r>
      <w:r>
        <w:t>植被及植物</w:t>
      </w:r>
      <w:r>
        <w:rPr>
          <w:rFonts w:hint="eastAsia"/>
        </w:rPr>
        <w:t>资源</w:t>
      </w:r>
    </w:p>
    <w:p w14:paraId="2F9A09B8">
      <w:pPr>
        <w:ind w:firstLine="508"/>
      </w:pPr>
      <w:r>
        <w:rPr>
          <w:spacing w:val="7"/>
        </w:rPr>
        <w:t>采用</w:t>
      </w:r>
      <w:r>
        <w:rPr>
          <w:rFonts w:hint="eastAsia"/>
          <w:spacing w:val="7"/>
        </w:rPr>
        <w:t>基础资料收集和野外实地调查</w:t>
      </w:r>
      <w:r>
        <w:rPr>
          <w:spacing w:val="7"/>
        </w:rPr>
        <w:t>的方法进行评价区植被及植物调查</w:t>
      </w:r>
      <w:r>
        <w:rPr>
          <w:rFonts w:hint="eastAsia"/>
          <w:spacing w:val="7"/>
        </w:rPr>
        <w:t>。</w:t>
      </w:r>
      <w:r>
        <w:rPr>
          <w:rFonts w:hint="eastAsia"/>
        </w:rPr>
        <w:t>据调查记录的统计结果，</w:t>
      </w:r>
      <w:r>
        <w:t>评价区野生维管束植物</w:t>
      </w:r>
      <w:r>
        <w:rPr>
          <w:rFonts w:hint="eastAsia"/>
        </w:rPr>
        <w:t>295</w:t>
      </w:r>
      <w:r>
        <w:t>种，隶属</w:t>
      </w:r>
      <w:r>
        <w:rPr>
          <w:rFonts w:hint="eastAsia"/>
        </w:rPr>
        <w:t>82</w:t>
      </w:r>
      <w:r>
        <w:t>科</w:t>
      </w:r>
      <w:r>
        <w:rPr>
          <w:rFonts w:hint="eastAsia"/>
        </w:rPr>
        <w:t>227</w:t>
      </w:r>
      <w:r>
        <w:t>属。其中，蕨类植物</w:t>
      </w:r>
      <w:r>
        <w:rPr>
          <w:rFonts w:hint="eastAsia"/>
        </w:rPr>
        <w:t>11</w:t>
      </w:r>
      <w:r>
        <w:t>科</w:t>
      </w:r>
      <w:r>
        <w:rPr>
          <w:rFonts w:hint="eastAsia"/>
        </w:rPr>
        <w:t>13</w:t>
      </w:r>
      <w:r>
        <w:t>属</w:t>
      </w:r>
      <w:r>
        <w:rPr>
          <w:rFonts w:hint="eastAsia"/>
        </w:rPr>
        <w:t>18</w:t>
      </w:r>
      <w:r>
        <w:t>种，种子植物</w:t>
      </w:r>
      <w:r>
        <w:rPr>
          <w:rFonts w:hint="eastAsia"/>
        </w:rPr>
        <w:t>71</w:t>
      </w:r>
      <w:r>
        <w:t>科</w:t>
      </w:r>
      <w:r>
        <w:rPr>
          <w:rFonts w:hint="eastAsia"/>
        </w:rPr>
        <w:t>214</w:t>
      </w:r>
      <w:r>
        <w:t>属</w:t>
      </w:r>
      <w:r>
        <w:rPr>
          <w:rFonts w:hint="eastAsia"/>
        </w:rPr>
        <w:t>277</w:t>
      </w:r>
      <w:r>
        <w:t>种</w:t>
      </w:r>
      <w:r>
        <w:rPr>
          <w:rFonts w:hint="eastAsia"/>
        </w:rPr>
        <w:t>（裸子植物1科1属1种，被子植物70科213属276种），</w:t>
      </w:r>
      <w:r>
        <w:t>被子植物中双子叶植物</w:t>
      </w:r>
      <w:r>
        <w:rPr>
          <w:rFonts w:hint="eastAsia"/>
        </w:rPr>
        <w:t>63</w:t>
      </w:r>
      <w:r>
        <w:t>科</w:t>
      </w:r>
      <w:r>
        <w:rPr>
          <w:rFonts w:hint="eastAsia"/>
        </w:rPr>
        <w:t>173</w:t>
      </w:r>
      <w:r>
        <w:t>属</w:t>
      </w:r>
      <w:r>
        <w:rPr>
          <w:rFonts w:hint="eastAsia"/>
        </w:rPr>
        <w:t>224</w:t>
      </w:r>
      <w:r>
        <w:t>种，单子叶植物</w:t>
      </w:r>
      <w:r>
        <w:rPr>
          <w:rFonts w:hint="eastAsia"/>
        </w:rPr>
        <w:t>7</w:t>
      </w:r>
      <w:r>
        <w:t>科</w:t>
      </w:r>
      <w:r>
        <w:rPr>
          <w:rFonts w:hint="eastAsia"/>
        </w:rPr>
        <w:t>40</w:t>
      </w:r>
      <w:r>
        <w:t>属</w:t>
      </w:r>
      <w:r>
        <w:rPr>
          <w:rFonts w:hint="eastAsia"/>
        </w:rPr>
        <w:t>52</w:t>
      </w:r>
      <w:r>
        <w:t>种。根据相关资料记录和野外考察结果，评价区</w:t>
      </w:r>
      <w:r>
        <w:rPr>
          <w:rFonts w:hint="eastAsia"/>
        </w:rPr>
        <w:t>未发现</w:t>
      </w:r>
      <w:r>
        <w:t>有《国家重点保护野生植物名录》(第一批，1999)记载</w:t>
      </w:r>
      <w:r>
        <w:rPr>
          <w:rFonts w:hint="eastAsia"/>
        </w:rPr>
        <w:t>的保护植物，仅有2种中国特有属植物，分别是慈竹</w:t>
      </w:r>
      <w:r>
        <w:rPr>
          <w:i/>
        </w:rPr>
        <w:t>Neosinocalamus affinis</w:t>
      </w:r>
      <w:r>
        <w:rPr>
          <w:rFonts w:hint="eastAsia"/>
        </w:rPr>
        <w:t>和盾果草</w:t>
      </w:r>
      <w:r>
        <w:rPr>
          <w:i/>
        </w:rPr>
        <w:t>Thyrocarpus sampsonii Hance</w:t>
      </w:r>
      <w:r>
        <w:rPr>
          <w:rFonts w:hint="eastAsia"/>
        </w:rPr>
        <w:t>。</w:t>
      </w:r>
    </w:p>
    <w:p w14:paraId="062ADC1D">
      <w:pPr>
        <w:ind w:firstLine="480"/>
      </w:pPr>
      <w:r>
        <w:rPr>
          <w:rFonts w:hint="eastAsia"/>
        </w:rPr>
        <w:t>3、陆生脊椎动物</w:t>
      </w:r>
    </w:p>
    <w:p w14:paraId="6FB0B0C8">
      <w:pPr>
        <w:ind w:firstLine="480"/>
      </w:pPr>
      <w:r>
        <w:rPr>
          <w:rFonts w:hint="eastAsia"/>
        </w:rPr>
        <w:t>动物资源现状调查采用资料收集及实地调查相结合的方法进行。据不完全统计共记录脊椎动物共</w:t>
      </w:r>
      <w:r>
        <w:t>5纲2</w:t>
      </w:r>
      <w:r>
        <w:rPr>
          <w:rFonts w:hint="eastAsia"/>
        </w:rPr>
        <w:t>1</w:t>
      </w:r>
      <w:r>
        <w:t>目</w:t>
      </w:r>
      <w:r>
        <w:rPr>
          <w:rFonts w:hint="eastAsia"/>
        </w:rPr>
        <w:t>42</w:t>
      </w:r>
      <w:r>
        <w:t>科</w:t>
      </w:r>
      <w:r>
        <w:rPr>
          <w:rFonts w:hint="eastAsia"/>
        </w:rPr>
        <w:t>110</w:t>
      </w:r>
      <w:r>
        <w:t>种，其中鱼纲4目5科</w:t>
      </w:r>
      <w:r>
        <w:rPr>
          <w:rFonts w:hint="eastAsia"/>
        </w:rPr>
        <w:t>33</w:t>
      </w:r>
      <w:r>
        <w:t>种；两栖纲1目</w:t>
      </w:r>
      <w:r>
        <w:rPr>
          <w:rFonts w:hint="eastAsia"/>
        </w:rPr>
        <w:t>4</w:t>
      </w:r>
      <w:r>
        <w:t>科</w:t>
      </w:r>
      <w:r>
        <w:rPr>
          <w:rFonts w:hint="eastAsia"/>
        </w:rPr>
        <w:t>8</w:t>
      </w:r>
      <w:r>
        <w:t>种，爬行纲2目6科1</w:t>
      </w:r>
      <w:r>
        <w:rPr>
          <w:rFonts w:hint="eastAsia"/>
        </w:rPr>
        <w:t>3</w:t>
      </w:r>
      <w:r>
        <w:t>种，鸟纲</w:t>
      </w:r>
      <w:r>
        <w:rPr>
          <w:rFonts w:hint="eastAsia"/>
        </w:rPr>
        <w:t>9</w:t>
      </w:r>
      <w:r>
        <w:t>目</w:t>
      </w:r>
      <w:r>
        <w:rPr>
          <w:rFonts w:hint="eastAsia"/>
        </w:rPr>
        <w:t>20</w:t>
      </w:r>
      <w:r>
        <w:t>科</w:t>
      </w:r>
      <w:r>
        <w:rPr>
          <w:rFonts w:hint="eastAsia"/>
        </w:rPr>
        <w:t>46</w:t>
      </w:r>
      <w:r>
        <w:t>种，哺乳纲5目</w:t>
      </w:r>
      <w:r>
        <w:rPr>
          <w:rFonts w:hint="eastAsia"/>
        </w:rPr>
        <w:t>7</w:t>
      </w:r>
      <w:r>
        <w:t>科</w:t>
      </w:r>
      <w:r>
        <w:rPr>
          <w:rFonts w:hint="eastAsia"/>
        </w:rPr>
        <w:t>10</w:t>
      </w:r>
      <w:r>
        <w:t>种。</w:t>
      </w:r>
      <w:r>
        <w:rPr>
          <w:rFonts w:hint="eastAsia"/>
        </w:rPr>
        <w:t>本次调查中发现</w:t>
      </w:r>
      <w:r>
        <w:t>评价区内</w:t>
      </w:r>
      <w:r>
        <w:rPr>
          <w:rFonts w:hint="eastAsia"/>
          <w:kern w:val="0"/>
        </w:rPr>
        <w:t>记录</w:t>
      </w:r>
      <w:r>
        <w:rPr>
          <w:rFonts w:hint="eastAsia"/>
        </w:rPr>
        <w:t>有</w:t>
      </w:r>
      <w:r>
        <w:t>国家</w:t>
      </w:r>
      <w:r>
        <w:rPr>
          <w:rFonts w:hint="eastAsia"/>
        </w:rPr>
        <w:t>、省级</w:t>
      </w:r>
      <w:r>
        <w:t>重点保护动物和珍稀、濒危动物总计</w:t>
      </w:r>
      <w:r>
        <w:rPr>
          <w:rFonts w:hint="eastAsia"/>
        </w:rPr>
        <w:t>8</w:t>
      </w:r>
      <w:r>
        <w:t>种</w:t>
      </w:r>
      <w:r>
        <w:rPr>
          <w:rFonts w:hint="eastAsia"/>
        </w:rPr>
        <w:t>，其中</w:t>
      </w:r>
      <w:r>
        <w:t>爬行动物3种、鸟类5种</w:t>
      </w:r>
      <w:r>
        <w:rPr>
          <w:rFonts w:hint="eastAsia"/>
        </w:rPr>
        <w:t>，依次为</w:t>
      </w:r>
      <w:r>
        <w:rPr>
          <w:rFonts w:hint="eastAsia"/>
          <w:szCs w:val="24"/>
        </w:rPr>
        <w:t>绿锦蛇（</w:t>
      </w:r>
      <w:r>
        <w:rPr>
          <w:i/>
          <w:szCs w:val="24"/>
        </w:rPr>
        <w:t>Elaphe prasina</w:t>
      </w:r>
      <w:r>
        <w:rPr>
          <w:rFonts w:hint="eastAsia"/>
          <w:szCs w:val="24"/>
        </w:rPr>
        <w:t>）、灰鼠蛇（</w:t>
      </w:r>
      <w:r>
        <w:rPr>
          <w:rFonts w:hint="eastAsia"/>
          <w:i/>
          <w:szCs w:val="24"/>
        </w:rPr>
        <w:t>Ptyas korros</w:t>
      </w:r>
      <w:r>
        <w:rPr>
          <w:rFonts w:hint="eastAsia"/>
          <w:szCs w:val="24"/>
        </w:rPr>
        <w:t>）、孟加拉眼镜蛇（</w:t>
      </w:r>
      <w:r>
        <w:rPr>
          <w:i/>
        </w:rPr>
        <w:t>Naja kaouthia</w:t>
      </w:r>
      <w:r>
        <w:rPr>
          <w:rFonts w:hint="eastAsia"/>
          <w:szCs w:val="24"/>
        </w:rPr>
        <w:t>）、</w:t>
      </w:r>
      <w:r>
        <w:rPr>
          <w:rFonts w:hint="eastAsia"/>
        </w:rPr>
        <w:t>白鹇（</w:t>
      </w:r>
      <w:r>
        <w:rPr>
          <w:i/>
          <w:kern w:val="0"/>
          <w:szCs w:val="24"/>
        </w:rPr>
        <w:t>Lophura nycthemera</w:t>
      </w:r>
      <w:r>
        <w:rPr>
          <w:rFonts w:hint="eastAsia"/>
        </w:rPr>
        <w:t>）、</w:t>
      </w:r>
      <w:r>
        <w:t>普通鵟</w:t>
      </w:r>
      <w:r>
        <w:rPr>
          <w:kern w:val="0"/>
        </w:rPr>
        <w:t xml:space="preserve"> </w:t>
      </w:r>
      <w:r>
        <w:rPr>
          <w:rFonts w:hint="eastAsia"/>
          <w:kern w:val="0"/>
        </w:rPr>
        <w:t>（</w:t>
      </w:r>
      <w:r>
        <w:rPr>
          <w:i/>
          <w:kern w:val="0"/>
        </w:rPr>
        <w:t>Buteo</w:t>
      </w:r>
      <w:r>
        <w:rPr>
          <w:kern w:val="0"/>
        </w:rPr>
        <w:t xml:space="preserve"> </w:t>
      </w:r>
      <w:r>
        <w:rPr>
          <w:i/>
          <w:kern w:val="0"/>
        </w:rPr>
        <w:t>buteo</w:t>
      </w:r>
      <w:r>
        <w:rPr>
          <w:rFonts w:hint="eastAsia"/>
          <w:kern w:val="0"/>
        </w:rPr>
        <w:t>）</w:t>
      </w:r>
      <w:r>
        <w:rPr>
          <w:rFonts w:hint="eastAsia"/>
          <w:i/>
          <w:kern w:val="0"/>
        </w:rPr>
        <w:t>、</w:t>
      </w:r>
      <w:r>
        <w:t>红隼</w:t>
      </w:r>
      <w:r>
        <w:rPr>
          <w:kern w:val="0"/>
        </w:rPr>
        <w:t xml:space="preserve"> </w:t>
      </w:r>
      <w:r>
        <w:rPr>
          <w:rFonts w:hint="eastAsia"/>
          <w:kern w:val="0"/>
        </w:rPr>
        <w:t>（</w:t>
      </w:r>
      <w:r>
        <w:rPr>
          <w:i/>
          <w:kern w:val="0"/>
        </w:rPr>
        <w:t>Falco</w:t>
      </w:r>
      <w:r>
        <w:rPr>
          <w:kern w:val="0"/>
        </w:rPr>
        <w:t xml:space="preserve"> </w:t>
      </w:r>
      <w:r>
        <w:rPr>
          <w:i/>
          <w:kern w:val="0"/>
        </w:rPr>
        <w:t>tinnunculus</w:t>
      </w:r>
      <w:r>
        <w:rPr>
          <w:rFonts w:hint="eastAsia"/>
          <w:kern w:val="0"/>
        </w:rPr>
        <w:t>）</w:t>
      </w:r>
      <w:r>
        <w:rPr>
          <w:rFonts w:hint="eastAsia"/>
          <w:i/>
          <w:kern w:val="0"/>
        </w:rPr>
        <w:t>、</w:t>
      </w:r>
      <w:r>
        <w:rPr>
          <w:rFonts w:hint="eastAsia"/>
        </w:rPr>
        <w:t>褐翅鸦鹃</w:t>
      </w:r>
      <w:r>
        <w:rPr>
          <w:rFonts w:hint="eastAsia"/>
          <w:kern w:val="0"/>
        </w:rPr>
        <w:t>（</w:t>
      </w:r>
      <w:r>
        <w:rPr>
          <w:rFonts w:hint="eastAsia"/>
          <w:i/>
        </w:rPr>
        <w:t>Centropus sinensis intermedius</w:t>
      </w:r>
      <w:r>
        <w:rPr>
          <w:rFonts w:hint="eastAsia"/>
          <w:kern w:val="0"/>
        </w:rPr>
        <w:t>）</w:t>
      </w:r>
      <w:r>
        <w:rPr>
          <w:rFonts w:hint="eastAsia"/>
          <w:i/>
        </w:rPr>
        <w:t>、</w:t>
      </w:r>
      <w:r>
        <w:rPr>
          <w:rFonts w:hint="eastAsia"/>
        </w:rPr>
        <w:t>领角鸮</w:t>
      </w:r>
      <w:r>
        <w:rPr>
          <w:rFonts w:hint="eastAsia"/>
          <w:kern w:val="0"/>
        </w:rPr>
        <w:t>（</w:t>
      </w:r>
      <w:r>
        <w:rPr>
          <w:rFonts w:hint="eastAsia"/>
          <w:i/>
        </w:rPr>
        <w:t>Otus bakkamoena erythrocampe</w:t>
      </w:r>
      <w:r>
        <w:rPr>
          <w:rFonts w:hint="eastAsia"/>
          <w:kern w:val="0"/>
        </w:rPr>
        <w:t>）。</w:t>
      </w:r>
    </w:p>
    <w:p w14:paraId="27DE58B5">
      <w:pPr>
        <w:ind w:firstLine="480"/>
      </w:pPr>
      <w:r>
        <w:rPr>
          <w:rFonts w:hint="eastAsia"/>
        </w:rPr>
        <w:t>本次生态调查</w:t>
      </w:r>
      <w:r>
        <w:t>过程中，</w:t>
      </w:r>
      <w:r>
        <w:rPr>
          <w:rFonts w:hint="eastAsia"/>
        </w:rPr>
        <w:t>芒市河记录的33种鱼类</w:t>
      </w:r>
      <w:r>
        <w:t>，均不属于</w:t>
      </w:r>
      <w:r>
        <w:rPr>
          <w:rFonts w:hint="eastAsia"/>
        </w:rPr>
        <w:t>国家级和云南省级重点保护鱼类</w:t>
      </w:r>
      <w:r>
        <w:t>；</w:t>
      </w:r>
      <w:r>
        <w:rPr>
          <w:rFonts w:hint="eastAsia"/>
        </w:rPr>
        <w:t>也未发现有大型洄游性鱼类和被</w:t>
      </w:r>
      <w:r>
        <w:t>列入《中国濒危动物红皮书》的鱼类分布</w:t>
      </w:r>
      <w:r>
        <w:rPr>
          <w:rFonts w:hint="eastAsia"/>
        </w:rPr>
        <w:t>。芒市河记录的33种鱼类</w:t>
      </w:r>
      <w:r>
        <w:t>中，多数产的为粘性卵，附着在砾石上、沿岸植物的根系上或江面漂浮物上，有短距离产卵洄游习性，其生殖洄游常常为沿</w:t>
      </w:r>
      <w:r>
        <w:rPr>
          <w:rFonts w:hint="eastAsia"/>
        </w:rPr>
        <w:t>河流</w:t>
      </w:r>
      <w:r>
        <w:t>短距离向上游迁移、或溯游至有砾石底质的支流进行繁殖。未发现有长距离洄游的鱼类</w:t>
      </w:r>
      <w:r>
        <w:rPr>
          <w:rFonts w:hint="eastAsia"/>
        </w:rPr>
        <w:t>，也未发现有鱼类集中的“三场”分布。</w:t>
      </w:r>
    </w:p>
    <w:p w14:paraId="6E099FDE">
      <w:pPr>
        <w:ind w:firstLine="480"/>
      </w:pPr>
      <w:r>
        <w:rPr>
          <w:rFonts w:hint="eastAsia"/>
        </w:rPr>
        <w:t>4、环境空气</w:t>
      </w:r>
    </w:p>
    <w:p w14:paraId="3C24D622">
      <w:pPr>
        <w:ind w:firstLine="480"/>
      </w:pPr>
      <w:r>
        <w:t>工程区域环境空气基本保持自然状况，环境自净效应较高，工程区环境空气质量现状良好</w:t>
      </w:r>
      <w:r>
        <w:rPr>
          <w:rFonts w:hint="eastAsia"/>
        </w:rPr>
        <w:t>。</w:t>
      </w:r>
    </w:p>
    <w:p w14:paraId="4507C6D8">
      <w:pPr>
        <w:ind w:firstLine="480"/>
      </w:pPr>
      <w:r>
        <w:rPr>
          <w:rFonts w:hint="eastAsia"/>
        </w:rPr>
        <w:t>5、声环境</w:t>
      </w:r>
    </w:p>
    <w:p w14:paraId="393BA7E1">
      <w:pPr>
        <w:ind w:firstLine="480"/>
        <w:rPr>
          <w:spacing w:val="7"/>
        </w:rPr>
      </w:pPr>
      <w:r>
        <w:rPr>
          <w:rFonts w:hint="eastAsia"/>
        </w:rPr>
        <w:t>根据</w:t>
      </w:r>
      <w:r>
        <w:t>建设单位委托云南环绿环境检测技术有限公司于201</w:t>
      </w:r>
      <w:r>
        <w:rPr>
          <w:rFonts w:hint="eastAsia"/>
        </w:rPr>
        <w:t>6</w:t>
      </w:r>
      <w:r>
        <w:t>年</w:t>
      </w:r>
      <w:r>
        <w:rPr>
          <w:rFonts w:hint="eastAsia"/>
        </w:rPr>
        <w:t>1</w:t>
      </w:r>
      <w:r>
        <w:t>月</w:t>
      </w:r>
      <w:r>
        <w:rPr>
          <w:rFonts w:hint="eastAsia"/>
        </w:rPr>
        <w:t>29日~1月30</w:t>
      </w:r>
      <w:r>
        <w:t>日对</w:t>
      </w:r>
      <w:r>
        <w:rPr>
          <w:rFonts w:hint="eastAsia"/>
        </w:rPr>
        <w:t>厂房厂址、芒里村东北侧（靠近龙瑞高速）现状噪声</w:t>
      </w:r>
      <w:r>
        <w:t>进行</w:t>
      </w:r>
      <w:r>
        <w:rPr>
          <w:rFonts w:hint="eastAsia"/>
        </w:rPr>
        <w:t>的</w:t>
      </w:r>
      <w:r>
        <w:t>监测</w:t>
      </w:r>
      <w:r>
        <w:rPr>
          <w:rFonts w:hint="eastAsia"/>
        </w:rPr>
        <w:t>结果，</w:t>
      </w:r>
      <w:r>
        <w:rPr>
          <w:rFonts w:hint="eastAsia"/>
          <w:snapToGrid w:val="0"/>
          <w:kern w:val="0"/>
          <w:szCs w:val="20"/>
        </w:rPr>
        <w:t>团结水电站厂址处声环境质量可达到</w:t>
      </w:r>
      <w:r>
        <w:rPr>
          <w:snapToGrid w:val="0"/>
          <w:kern w:val="0"/>
          <w:szCs w:val="20"/>
        </w:rPr>
        <w:t>《声环境质量标准》（GB3096-2008）</w:t>
      </w:r>
      <w:r>
        <w:rPr>
          <w:rFonts w:hint="eastAsia"/>
          <w:snapToGrid w:val="0"/>
          <w:kern w:val="0"/>
          <w:szCs w:val="20"/>
        </w:rPr>
        <w:t>2</w:t>
      </w:r>
      <w:r>
        <w:rPr>
          <w:snapToGrid w:val="0"/>
          <w:kern w:val="0"/>
          <w:szCs w:val="20"/>
        </w:rPr>
        <w:t>类标准</w:t>
      </w:r>
      <w:r>
        <w:rPr>
          <w:rFonts w:hint="eastAsia"/>
          <w:snapToGrid w:val="0"/>
          <w:kern w:val="0"/>
          <w:szCs w:val="20"/>
        </w:rPr>
        <w:t>；芒里村东北侧声环境质量可达到</w:t>
      </w:r>
      <w:r>
        <w:rPr>
          <w:snapToGrid w:val="0"/>
          <w:kern w:val="0"/>
          <w:szCs w:val="20"/>
        </w:rPr>
        <w:t>《声环境质量标准》（GB3096-2008）</w:t>
      </w:r>
      <w:r>
        <w:rPr>
          <w:rFonts w:hint="eastAsia"/>
          <w:snapToGrid w:val="0"/>
          <w:kern w:val="0"/>
          <w:szCs w:val="20"/>
        </w:rPr>
        <w:t>4a</w:t>
      </w:r>
      <w:r>
        <w:rPr>
          <w:snapToGrid w:val="0"/>
          <w:kern w:val="0"/>
          <w:szCs w:val="20"/>
        </w:rPr>
        <w:t>类标准</w:t>
      </w:r>
      <w:r>
        <w:rPr>
          <w:rFonts w:hint="eastAsia"/>
          <w:snapToGrid w:val="0"/>
          <w:kern w:val="0"/>
          <w:szCs w:val="20"/>
        </w:rPr>
        <w:t>，区域声环境质量状况较好。</w:t>
      </w:r>
    </w:p>
    <w:p w14:paraId="124D0E0C">
      <w:pPr>
        <w:pStyle w:val="4"/>
      </w:pPr>
      <w:bookmarkStart w:id="1183" w:name="_Toc471738147"/>
      <w:bookmarkStart w:id="1184" w:name="_Toc454046678"/>
      <w:bookmarkStart w:id="1185" w:name="_Toc508642555"/>
      <w:bookmarkStart w:id="1186" w:name="_Toc436297665"/>
      <w:bookmarkStart w:id="1187" w:name="_Toc443655575"/>
      <w:r>
        <w:rPr>
          <w:rFonts w:hint="eastAsia"/>
        </w:rPr>
        <w:t>12.4主要环境影响</w:t>
      </w:r>
      <w:bookmarkEnd w:id="1183"/>
      <w:bookmarkEnd w:id="1184"/>
      <w:bookmarkEnd w:id="1185"/>
      <w:bookmarkEnd w:id="1186"/>
      <w:bookmarkEnd w:id="1187"/>
    </w:p>
    <w:p w14:paraId="32FADA6F">
      <w:pPr>
        <w:ind w:firstLine="480"/>
      </w:pPr>
      <w:r>
        <w:rPr>
          <w:rFonts w:hint="eastAsia"/>
        </w:rPr>
        <w:t>1、生态环境</w:t>
      </w:r>
    </w:p>
    <w:p w14:paraId="2B6A20E6">
      <w:pPr>
        <w:ind w:firstLine="480"/>
      </w:pPr>
      <w:r>
        <w:t>拟建工程会对当地</w:t>
      </w:r>
      <w:r>
        <w:rPr>
          <w:rFonts w:hint="eastAsia"/>
        </w:rPr>
        <w:t>的</w:t>
      </w:r>
      <w:r>
        <w:t>植被类型</w:t>
      </w:r>
      <w:r>
        <w:rPr>
          <w:rFonts w:hint="eastAsia"/>
        </w:rPr>
        <w:t>产生</w:t>
      </w:r>
      <w:r>
        <w:t>一定</w:t>
      </w:r>
      <w:r>
        <w:rPr>
          <w:rFonts w:hint="eastAsia"/>
        </w:rPr>
        <w:t>的</w:t>
      </w:r>
      <w:r>
        <w:t>影响，但所受到影响的植被类型在该区域内广泛分布，施工过程中以及施工后期严格执行保护和恢复措施后，工程建设对评价范围</w:t>
      </w:r>
      <w:r>
        <w:rPr>
          <w:rFonts w:hint="eastAsia"/>
        </w:rPr>
        <w:t>内</w:t>
      </w:r>
      <w:r>
        <w:t>植被的影响相对较小，对整个评价区内自然生态系统体系来说</w:t>
      </w:r>
      <w:r>
        <w:rPr>
          <w:rFonts w:hint="eastAsia"/>
        </w:rPr>
        <w:t xml:space="preserve"> 属于</w:t>
      </w:r>
      <w:r>
        <w:t>可承受范围。</w:t>
      </w:r>
    </w:p>
    <w:p w14:paraId="65284C5F">
      <w:pPr>
        <w:ind w:firstLine="480"/>
        <w:rPr>
          <w:kern w:val="0"/>
        </w:rPr>
      </w:pPr>
      <w:r>
        <w:rPr>
          <w:kern w:val="0"/>
        </w:rPr>
        <w:t>施工对陆生野生动物所产生的不良影响是有限的，不会导致当地物种多样性的明显降低。</w:t>
      </w:r>
    </w:p>
    <w:p w14:paraId="137B72BB">
      <w:pPr>
        <w:ind w:firstLine="480"/>
        <w:rPr>
          <w:kern w:val="0"/>
        </w:rPr>
      </w:pPr>
      <w:r>
        <w:rPr>
          <w:rFonts w:hint="eastAsia"/>
        </w:rPr>
        <w:t>工程</w:t>
      </w:r>
      <w:r>
        <w:t>建设对评价河段鱼类影响有限，</w:t>
      </w:r>
      <w:r>
        <w:rPr>
          <w:kern w:val="0"/>
        </w:rPr>
        <w:t>电站在运行后做好措施保证生态流量的下放，减水对鱼类的影响可以降到最低。</w:t>
      </w:r>
    </w:p>
    <w:p w14:paraId="40A6FAD0">
      <w:pPr>
        <w:ind w:firstLine="480"/>
      </w:pPr>
      <w:r>
        <w:rPr>
          <w:rFonts w:hint="eastAsia"/>
        </w:rPr>
        <w:t>2、</w:t>
      </w:r>
      <w:r>
        <w:t>水环境</w:t>
      </w:r>
    </w:p>
    <w:p w14:paraId="09BAC712">
      <w:pPr>
        <w:ind w:firstLine="480"/>
      </w:pPr>
      <w:r>
        <w:rPr>
          <w:rFonts w:hint="eastAsia"/>
        </w:rPr>
        <w:t>（1）地表水环境</w:t>
      </w:r>
    </w:p>
    <w:p w14:paraId="57E8C9F4">
      <w:pPr>
        <w:ind w:firstLine="480"/>
      </w:pPr>
      <w:r>
        <w:rPr>
          <w:rFonts w:hint="eastAsia"/>
        </w:rPr>
        <w:t>电</w:t>
      </w:r>
      <w:r>
        <w:t>站施工期产生</w:t>
      </w:r>
      <w:r>
        <w:rPr>
          <w:rFonts w:hint="eastAsia"/>
        </w:rPr>
        <w:t>的生产</w:t>
      </w:r>
      <w:r>
        <w:t>废水</w:t>
      </w:r>
      <w:r>
        <w:rPr>
          <w:rFonts w:hint="eastAsia"/>
        </w:rPr>
        <w:t>经沉淀后回用于生产</w:t>
      </w:r>
      <w:r>
        <w:rPr>
          <w:color w:val="FF0000"/>
        </w:rPr>
        <w:t>，泥渣干化后</w:t>
      </w:r>
      <w:r>
        <w:rPr>
          <w:rFonts w:hint="eastAsia"/>
          <w:color w:val="FF0000"/>
        </w:rPr>
        <w:t>用于河堤防护</w:t>
      </w:r>
      <w:r>
        <w:rPr>
          <w:color w:val="FF0000"/>
        </w:rPr>
        <w:t>；</w:t>
      </w:r>
      <w:r>
        <w:t>生活污水经</w:t>
      </w:r>
      <w:r>
        <w:rPr>
          <w:rFonts w:hint="eastAsia"/>
        </w:rPr>
        <w:t>隔油沉淀</w:t>
      </w:r>
      <w:r>
        <w:t>处理</w:t>
      </w:r>
      <w:r>
        <w:rPr>
          <w:rFonts w:hint="eastAsia"/>
        </w:rPr>
        <w:t>后回用于场地洒水降尘。施工废水不外排，对周围水环境影响较小。</w:t>
      </w:r>
    </w:p>
    <w:p w14:paraId="6C499D6D">
      <w:pPr>
        <w:ind w:firstLine="480"/>
        <w:rPr>
          <w:color w:val="FF0000"/>
          <w:szCs w:val="24"/>
        </w:rPr>
      </w:pPr>
      <w:r>
        <w:rPr>
          <w:rFonts w:hint="eastAsia" w:cstheme="minorBidi"/>
        </w:rPr>
        <w:t>电站运行发电不改变拦河坝上游及电站尾水口以下区域的水质和水量。电站为小型河床式开发，减水河段仅60m。</w:t>
      </w:r>
      <w:r>
        <w:rPr>
          <w:rFonts w:hint="eastAsia"/>
          <w:color w:val="FF0000"/>
        </w:rPr>
        <w:t>电站水库初期蓄水达到正常蓄水位之前，由冲砂闸下放最小生态流量5.28m</w:t>
      </w:r>
      <w:r>
        <w:rPr>
          <w:rFonts w:hint="eastAsia"/>
          <w:color w:val="FF0000"/>
          <w:vertAlign w:val="superscript"/>
        </w:rPr>
        <w:t>3</w:t>
      </w:r>
      <w:r>
        <w:rPr>
          <w:rFonts w:hint="eastAsia"/>
          <w:color w:val="FF0000"/>
        </w:rPr>
        <w:t>/s。当电站开始试机发电后，发电尾水部分经尾水渠后设置的消力池引至坝址附近排入芒市河内，补足河道正常所需生态流量15.84m</w:t>
      </w:r>
      <w:r>
        <w:rPr>
          <w:rFonts w:hint="eastAsia"/>
          <w:color w:val="FF0000"/>
          <w:vertAlign w:val="superscript"/>
        </w:rPr>
        <w:t>3</w:t>
      </w:r>
      <w:r>
        <w:rPr>
          <w:rFonts w:hint="eastAsia"/>
          <w:color w:val="FF0000"/>
        </w:rPr>
        <w:t>/s</w:t>
      </w:r>
      <w:r>
        <w:rPr>
          <w:rFonts w:hint="eastAsia" w:cstheme="minorBidi"/>
          <w:color w:val="FF0000"/>
        </w:rPr>
        <w:t>；</w:t>
      </w:r>
      <w:r>
        <w:rPr>
          <w:color w:val="FF0000"/>
        </w:rPr>
        <w:t>当天然来水流量小于规定下泄最小生态流量</w:t>
      </w:r>
      <w:r>
        <w:rPr>
          <w:rFonts w:hint="eastAsia"/>
          <w:color w:val="FF0000"/>
          <w:szCs w:val="24"/>
        </w:rPr>
        <w:t>5.28m</w:t>
      </w:r>
      <w:r>
        <w:rPr>
          <w:rFonts w:hint="eastAsia"/>
          <w:color w:val="FF0000"/>
          <w:szCs w:val="24"/>
          <w:vertAlign w:val="superscript"/>
        </w:rPr>
        <w:t>3</w:t>
      </w:r>
      <w:r>
        <w:rPr>
          <w:rFonts w:hint="eastAsia"/>
          <w:color w:val="FF0000"/>
          <w:szCs w:val="24"/>
        </w:rPr>
        <w:t>/s</w:t>
      </w:r>
      <w:r>
        <w:rPr>
          <w:color w:val="FF0000"/>
        </w:rPr>
        <w:t>时，</w:t>
      </w:r>
      <w:r>
        <w:rPr>
          <w:rFonts w:hint="eastAsia"/>
          <w:color w:val="FF0000"/>
        </w:rPr>
        <w:t>则电站不进行取水发电，将上游来水全部用于芒里大沟灌溉和下游河道需水</w:t>
      </w:r>
      <w:r>
        <w:rPr>
          <w:rFonts w:hint="eastAsia"/>
          <w:color w:val="FF0000"/>
          <w:szCs w:val="24"/>
        </w:rPr>
        <w:t>，对地表水环境影响不大。</w:t>
      </w:r>
    </w:p>
    <w:p w14:paraId="7A090575">
      <w:pPr>
        <w:ind w:firstLine="480"/>
        <w:rPr>
          <w:color w:val="FF0000"/>
          <w:szCs w:val="24"/>
        </w:rPr>
      </w:pPr>
      <w:r>
        <w:rPr>
          <w:rFonts w:hint="eastAsia"/>
          <w:color w:val="FF0000"/>
          <w:szCs w:val="24"/>
        </w:rPr>
        <w:t>（2）地下水环境</w:t>
      </w:r>
    </w:p>
    <w:p w14:paraId="6D805F31">
      <w:pPr>
        <w:ind w:firstLine="480"/>
        <w:rPr>
          <w:rFonts w:cstheme="minorBidi"/>
          <w:highlight w:val="green"/>
        </w:rPr>
      </w:pPr>
      <w:r>
        <w:rPr>
          <w:rFonts w:eastAsiaTheme="minorEastAsia" w:cstheme="minorBidi"/>
          <w:color w:val="FF0000"/>
          <w:szCs w:val="24"/>
        </w:rPr>
        <w:t>经现场调查及查阅资料，</w:t>
      </w:r>
      <w:r>
        <w:rPr>
          <w:rFonts w:hint="eastAsia"/>
          <w:color w:val="FF0000"/>
          <w:kern w:val="144"/>
          <w:szCs w:val="20"/>
        </w:rPr>
        <w:t>团结水</w:t>
      </w:r>
      <w:r>
        <w:rPr>
          <w:color w:val="FF0000"/>
          <w:kern w:val="144"/>
          <w:szCs w:val="20"/>
        </w:rPr>
        <w:t>电站</w:t>
      </w:r>
      <w:r>
        <w:rPr>
          <w:rFonts w:eastAsiaTheme="minorEastAsia" w:cstheme="minorBidi"/>
          <w:color w:val="FF0000"/>
          <w:szCs w:val="24"/>
        </w:rPr>
        <w:t>评价区没有地下暗河、落水洞、泉眼等地下水体分布，目前电站周边及下游区域生产生活用水来源为地表水，本工程</w:t>
      </w:r>
      <w:r>
        <w:rPr>
          <w:rFonts w:hint="eastAsia" w:eastAsiaTheme="minorEastAsia" w:cstheme="minorBidi"/>
          <w:color w:val="FF0000"/>
          <w:szCs w:val="24"/>
        </w:rPr>
        <w:t>的建设不会</w:t>
      </w:r>
      <w:r>
        <w:rPr>
          <w:rFonts w:eastAsiaTheme="minorEastAsia" w:cstheme="minorBidi"/>
          <w:color w:val="FF0000"/>
          <w:szCs w:val="24"/>
        </w:rPr>
        <w:t>对</w:t>
      </w:r>
      <w:r>
        <w:rPr>
          <w:rFonts w:hint="eastAsia" w:eastAsiaTheme="minorEastAsia" w:cstheme="minorBidi"/>
          <w:color w:val="FF0000"/>
          <w:szCs w:val="24"/>
        </w:rPr>
        <w:t>区域</w:t>
      </w:r>
      <w:r>
        <w:rPr>
          <w:rFonts w:eastAsiaTheme="minorEastAsia" w:cstheme="minorBidi"/>
          <w:color w:val="FF0000"/>
          <w:szCs w:val="24"/>
        </w:rPr>
        <w:t>地下水造成不利影响。</w:t>
      </w:r>
    </w:p>
    <w:p w14:paraId="4FF130C4">
      <w:pPr>
        <w:ind w:firstLine="480"/>
      </w:pPr>
      <w:r>
        <w:rPr>
          <w:rFonts w:hint="eastAsia"/>
        </w:rPr>
        <w:t>3、</w:t>
      </w:r>
      <w:r>
        <w:t>大气环境</w:t>
      </w:r>
    </w:p>
    <w:p w14:paraId="082938F2">
      <w:pPr>
        <w:ind w:firstLine="480"/>
        <w:rPr>
          <w:spacing w:val="7"/>
        </w:rPr>
      </w:pPr>
      <w:r>
        <w:rPr>
          <w:rFonts w:hint="eastAsia"/>
        </w:rPr>
        <w:t>本工程规模较小，施工废气经大气稀释扩散并</w:t>
      </w:r>
      <w:r>
        <w:t>采取</w:t>
      </w:r>
      <w:r>
        <w:rPr>
          <w:rFonts w:hint="eastAsia"/>
        </w:rPr>
        <w:t>洒水降尘</w:t>
      </w:r>
      <w:r>
        <w:t>措施后对当地环境影响</w:t>
      </w:r>
      <w:r>
        <w:rPr>
          <w:rFonts w:hint="eastAsia"/>
        </w:rPr>
        <w:t>较小</w:t>
      </w:r>
      <w:r>
        <w:t>。</w:t>
      </w:r>
    </w:p>
    <w:p w14:paraId="126C0C8F">
      <w:pPr>
        <w:ind w:firstLine="480"/>
        <w:rPr>
          <w:color w:val="FF0000"/>
        </w:rPr>
      </w:pPr>
      <w:r>
        <w:rPr>
          <w:color w:val="FF0000"/>
        </w:rPr>
        <w:t>电站建成运行后，机组的运行不会产生任何废气，对环境空气</w:t>
      </w:r>
      <w:r>
        <w:rPr>
          <w:rFonts w:hint="eastAsia"/>
          <w:color w:val="FF0000"/>
        </w:rPr>
        <w:t>无</w:t>
      </w:r>
      <w:r>
        <w:rPr>
          <w:color w:val="FF0000"/>
        </w:rPr>
        <w:t>影响。</w:t>
      </w:r>
    </w:p>
    <w:p w14:paraId="0CE7F142">
      <w:pPr>
        <w:ind w:firstLine="480"/>
      </w:pPr>
      <w:r>
        <w:rPr>
          <w:rFonts w:hint="eastAsia"/>
        </w:rPr>
        <w:t>4、</w:t>
      </w:r>
      <w:r>
        <w:t>声环境影响</w:t>
      </w:r>
    </w:p>
    <w:p w14:paraId="2324909C">
      <w:pPr>
        <w:ind w:firstLine="480"/>
      </w:pPr>
      <w:r>
        <w:t>施工期噪声对野生动物将会产生一定影响</w:t>
      </w:r>
      <w:r>
        <w:rPr>
          <w:rFonts w:hint="eastAsia"/>
        </w:rPr>
        <w:t>，</w:t>
      </w:r>
      <w:r>
        <w:t>但动物具有迁徙能力，一般会迁徙到适宜地区生存，</w:t>
      </w:r>
      <w:r>
        <w:rPr>
          <w:rFonts w:hint="eastAsia"/>
        </w:rPr>
        <w:t>项目施工结束后其影响随之消失。</w:t>
      </w:r>
    </w:p>
    <w:p w14:paraId="61160382">
      <w:pPr>
        <w:ind w:firstLine="480"/>
      </w:pPr>
      <w:r>
        <w:rPr>
          <w:rFonts w:hint="eastAsia" w:cstheme="minorBidi"/>
        </w:rPr>
        <w:t>电站运行期间，水轮机与发电机均位于封闭的厂房内，噪声经厂房隔声、绿化降噪及距离衰减后对周围环境的影响不大。</w:t>
      </w:r>
    </w:p>
    <w:p w14:paraId="75B4686D">
      <w:pPr>
        <w:ind w:firstLine="480"/>
      </w:pPr>
      <w:r>
        <w:rPr>
          <w:rFonts w:hint="eastAsia"/>
        </w:rPr>
        <w:t>5、固体废物</w:t>
      </w:r>
    </w:p>
    <w:p w14:paraId="12CF6296">
      <w:pPr>
        <w:ind w:firstLine="480"/>
        <w:rPr>
          <w:spacing w:val="7"/>
          <w:highlight w:val="green"/>
        </w:rPr>
      </w:pPr>
      <w:r>
        <w:rPr>
          <w:rFonts w:hint="eastAsia" w:ascii="宋体" w:hAnsi="宋体" w:cs="宋体"/>
          <w:color w:val="FF0000"/>
        </w:rPr>
        <w:t>施工期间</w:t>
      </w:r>
      <w:r>
        <w:rPr>
          <w:rFonts w:hint="eastAsia"/>
          <w:color w:val="FF0000"/>
          <w:szCs w:val="24"/>
        </w:rPr>
        <w:t>工程实际并无弃渣产生。</w:t>
      </w:r>
      <w:r>
        <w:rPr>
          <w:rFonts w:hint="eastAsia" w:cstheme="minorBidi"/>
          <w:color w:val="FF0000"/>
        </w:rPr>
        <w:t>因施工产生的剥离</w:t>
      </w:r>
      <w:r>
        <w:rPr>
          <w:rFonts w:cstheme="minorBidi"/>
          <w:color w:val="FF0000"/>
        </w:rPr>
        <w:t>表土</w:t>
      </w:r>
      <w:r>
        <w:rPr>
          <w:rFonts w:hint="eastAsia"/>
          <w:color w:val="FF0000"/>
        </w:rPr>
        <w:t>采取就近剥离就近堆放原则，表土</w:t>
      </w:r>
      <w:r>
        <w:rPr>
          <w:rFonts w:cstheme="minorBidi"/>
          <w:color w:val="FF0000"/>
        </w:rPr>
        <w:t>将用于施工生产生活场地绿化覆土土料</w:t>
      </w:r>
      <w:r>
        <w:rPr>
          <w:rFonts w:hint="eastAsia" w:cstheme="minorBidi"/>
          <w:color w:val="FF0000"/>
        </w:rPr>
        <w:t>，不会对周围环境造成影响。</w:t>
      </w:r>
    </w:p>
    <w:p w14:paraId="126ADD2B">
      <w:pPr>
        <w:ind w:firstLine="480"/>
        <w:rPr>
          <w:lang w:val="zh-CN"/>
        </w:rPr>
      </w:pPr>
      <w:bookmarkStart w:id="1188" w:name="_Toc436297666"/>
      <w:bookmarkStart w:id="1189" w:name="_Toc443655578"/>
      <w:bookmarkStart w:id="1190" w:name="_Toc454046679"/>
      <w:r>
        <w:rPr>
          <w:rFonts w:hint="eastAsia" w:cstheme="minorBidi"/>
        </w:rPr>
        <w:t>电站</w:t>
      </w:r>
      <w:r>
        <w:rPr>
          <w:rFonts w:hint="eastAsia"/>
          <w:lang w:val="zh-CN"/>
        </w:rPr>
        <w:t>运行期，</w:t>
      </w:r>
      <w:r>
        <w:rPr>
          <w:rFonts w:hint="eastAsia" w:cstheme="minorBidi"/>
        </w:rPr>
        <w:t>生活垃圾</w:t>
      </w:r>
      <w:r>
        <w:rPr>
          <w:rFonts w:cstheme="minorBidi"/>
        </w:rPr>
        <w:t>集中堆放，定</w:t>
      </w:r>
      <w:r>
        <w:rPr>
          <w:rFonts w:hint="eastAsia" w:cstheme="minorBidi"/>
        </w:rPr>
        <w:t>期</w:t>
      </w:r>
      <w:r>
        <w:rPr>
          <w:rFonts w:cstheme="minorBidi"/>
        </w:rPr>
        <w:t>清运，可回收垃圾分类</w:t>
      </w:r>
      <w:r>
        <w:rPr>
          <w:rFonts w:hint="eastAsia" w:cstheme="minorBidi"/>
        </w:rPr>
        <w:t>回收；</w:t>
      </w:r>
      <w:r>
        <w:rPr>
          <w:rFonts w:cstheme="minorBidi"/>
        </w:rPr>
        <w:t>不能回收</w:t>
      </w:r>
      <w:r>
        <w:rPr>
          <w:rFonts w:hint="eastAsia" w:cstheme="minorBidi"/>
        </w:rPr>
        <w:t>利用的垃圾，</w:t>
      </w:r>
      <w:r>
        <w:t>集中堆放</w:t>
      </w:r>
      <w:r>
        <w:rPr>
          <w:rFonts w:hint="eastAsia"/>
        </w:rPr>
        <w:t>后依托周边村庄垃圾收集设施进行处置</w:t>
      </w:r>
      <w:r>
        <w:rPr>
          <w:lang w:val="zh-CN"/>
        </w:rPr>
        <w:t>。</w:t>
      </w:r>
    </w:p>
    <w:p w14:paraId="794EC221">
      <w:pPr>
        <w:ind w:firstLine="480"/>
        <w:rPr>
          <w:rFonts w:cstheme="minorBidi"/>
        </w:rPr>
      </w:pPr>
      <w:r>
        <w:rPr>
          <w:rFonts w:cstheme="minorBidi"/>
        </w:rPr>
        <w:t>此外，电站运行期</w:t>
      </w:r>
      <w:r>
        <w:rPr>
          <w:rFonts w:hint="eastAsia" w:cstheme="minorBidi"/>
        </w:rPr>
        <w:t>间机械设备进行检修时会产生一定量的</w:t>
      </w:r>
      <w:r>
        <w:rPr>
          <w:rFonts w:cstheme="minorBidi"/>
        </w:rPr>
        <w:t>废机油，</w:t>
      </w:r>
      <w:r>
        <w:rPr>
          <w:rFonts w:hint="eastAsia" w:cstheme="minorBidi"/>
        </w:rPr>
        <w:t>妥善贮存</w:t>
      </w:r>
      <w:r>
        <w:rPr>
          <w:rFonts w:cstheme="minorBidi"/>
        </w:rPr>
        <w:t>后</w:t>
      </w:r>
      <w:r>
        <w:rPr>
          <w:rFonts w:hint="eastAsia" w:cstheme="minorBidi"/>
        </w:rPr>
        <w:t>委托有资质的单位</w:t>
      </w:r>
      <w:r>
        <w:rPr>
          <w:rFonts w:cstheme="minorBidi"/>
        </w:rPr>
        <w:t>进行</w:t>
      </w:r>
      <w:r>
        <w:rPr>
          <w:rFonts w:hint="eastAsia" w:cstheme="minorBidi"/>
        </w:rPr>
        <w:t>回收</w:t>
      </w:r>
      <w:r>
        <w:rPr>
          <w:rFonts w:cstheme="minorBidi"/>
        </w:rPr>
        <w:t>处置。</w:t>
      </w:r>
    </w:p>
    <w:p w14:paraId="0C408333">
      <w:pPr>
        <w:ind w:firstLine="480"/>
        <w:rPr>
          <w:rFonts w:cstheme="minorBidi"/>
        </w:rPr>
      </w:pPr>
      <w:r>
        <w:rPr>
          <w:rFonts w:hint="eastAsia" w:cstheme="minorBidi"/>
        </w:rPr>
        <w:t>项目建设过程中产生的固体废物均得到妥善处置，对周围环境影响较小。</w:t>
      </w:r>
    </w:p>
    <w:p w14:paraId="65A9CB88">
      <w:pPr>
        <w:pStyle w:val="4"/>
      </w:pPr>
      <w:bookmarkStart w:id="1191" w:name="_Toc471738148"/>
      <w:bookmarkStart w:id="1192" w:name="_Toc508642556"/>
      <w:r>
        <w:rPr>
          <w:rFonts w:hint="eastAsia"/>
        </w:rPr>
        <w:t>12.5环境保护措施</w:t>
      </w:r>
      <w:bookmarkEnd w:id="1191"/>
      <w:bookmarkEnd w:id="1192"/>
    </w:p>
    <w:p w14:paraId="1CE02BC3">
      <w:pPr>
        <w:ind w:firstLine="480"/>
        <w:rPr>
          <w:rFonts w:cstheme="minorBidi"/>
        </w:rPr>
      </w:pPr>
      <w:r>
        <w:rPr>
          <w:rFonts w:hint="eastAsia" w:cstheme="minorBidi"/>
        </w:rPr>
        <w:t>1、生态环境</w:t>
      </w:r>
    </w:p>
    <w:p w14:paraId="7744EFAB">
      <w:pPr>
        <w:ind w:firstLine="480"/>
        <w:rPr>
          <w:rFonts w:cs="宋体"/>
        </w:rPr>
      </w:pPr>
      <w:r>
        <w:t>施工期需</w:t>
      </w:r>
      <w:r>
        <w:rPr>
          <w:rFonts w:hint="eastAsia"/>
        </w:rPr>
        <w:t>对慈竹</w:t>
      </w:r>
      <w:r>
        <w:rPr>
          <w:i/>
        </w:rPr>
        <w:t>Neosinocalamus affinis</w:t>
      </w:r>
      <w:r>
        <w:rPr>
          <w:rFonts w:hint="eastAsia"/>
        </w:rPr>
        <w:t>（位于工程区西侧约30m处）和盾果草</w:t>
      </w:r>
      <w:r>
        <w:rPr>
          <w:i/>
        </w:rPr>
        <w:t>Thyrocarpus sampsonii Hance</w:t>
      </w:r>
      <w:r>
        <w:rPr>
          <w:rFonts w:hint="eastAsia"/>
        </w:rPr>
        <w:t>（位于工程区北侧125m处）进行围挡，并进行挂牌保护，</w:t>
      </w:r>
      <w:r>
        <w:t>严禁施工人员</w:t>
      </w:r>
      <w:r>
        <w:rPr>
          <w:rFonts w:hint="eastAsia"/>
        </w:rPr>
        <w:t>对其进行</w:t>
      </w:r>
      <w:r>
        <w:t>破坏。另外，</w:t>
      </w:r>
      <w:r>
        <w:rPr>
          <w:rFonts w:hint="eastAsia" w:cs="宋体"/>
        </w:rPr>
        <w:t>工程施工过程中，如发现施工区内有</w:t>
      </w:r>
      <w:r>
        <w:rPr>
          <w:rFonts w:hint="eastAsia"/>
        </w:rPr>
        <w:t>本次调查未发现的</w:t>
      </w:r>
      <w:r>
        <w:rPr>
          <w:rFonts w:hint="eastAsia" w:cs="宋体"/>
        </w:rPr>
        <w:t>国家和云南省重点保护植物，应尽量采取避让措施并进行挂牌保护。</w:t>
      </w:r>
    </w:p>
    <w:p w14:paraId="2CB66F4A">
      <w:pPr>
        <w:ind w:firstLine="480"/>
      </w:pPr>
      <w:r>
        <w:t>工程结束后</w:t>
      </w:r>
      <w:r>
        <w:rPr>
          <w:rFonts w:hint="eastAsia"/>
        </w:rPr>
        <w:t>应及时对施工迹地进行植被恢复，尽可能采用本土植物</w:t>
      </w:r>
      <w:r>
        <w:t>。</w:t>
      </w:r>
    </w:p>
    <w:p w14:paraId="4B54E335">
      <w:pPr>
        <w:ind w:firstLine="480"/>
      </w:pPr>
      <w:r>
        <w:t>加强施工单位和施工人员的宣传教育，通过环境保护法律知识普及、在施工区设置保护动物的告示牌及警告牌等措施进行宣传，严禁</w:t>
      </w:r>
      <w:r>
        <w:rPr>
          <w:rFonts w:hint="eastAsia"/>
        </w:rPr>
        <w:t>捕杀</w:t>
      </w:r>
      <w:r>
        <w:t>野生动物</w:t>
      </w:r>
      <w:r>
        <w:rPr>
          <w:rFonts w:hint="eastAsia"/>
        </w:rPr>
        <w:t>，</w:t>
      </w:r>
      <w:r>
        <w:t>树立施工人员的模范环保意识。</w:t>
      </w:r>
    </w:p>
    <w:p w14:paraId="67662B23">
      <w:pPr>
        <w:ind w:firstLine="480"/>
        <w:rPr>
          <w:color w:val="FF0000"/>
        </w:rPr>
      </w:pPr>
      <w:r>
        <w:rPr>
          <w:rFonts w:hint="eastAsia"/>
          <w:color w:val="FF0000"/>
        </w:rPr>
        <w:t>建设单位应</w:t>
      </w:r>
      <w:r>
        <w:rPr>
          <w:color w:val="FF0000"/>
        </w:rPr>
        <w:t>在</w:t>
      </w:r>
      <w:r>
        <w:rPr>
          <w:rFonts w:hint="eastAsia"/>
          <w:color w:val="FF0000"/>
        </w:rPr>
        <w:t>电站拦河坝取水口处设置隔鱼措施，防止鱼类进入厂房；</w:t>
      </w:r>
      <w:r>
        <w:rPr>
          <w:rFonts w:hint="eastAsia" w:cstheme="minorBidi"/>
          <w:color w:val="FF0000"/>
        </w:rPr>
        <w:t>考虑到坝址上下游鱼类生境的连贯性，建设单位需考虑在鱼类</w:t>
      </w:r>
      <w:r>
        <w:rPr>
          <w:color w:val="FF0000"/>
        </w:rPr>
        <w:t>短距离产卵洄游</w:t>
      </w:r>
      <w:r>
        <w:rPr>
          <w:rFonts w:hint="eastAsia"/>
          <w:color w:val="FF0000"/>
        </w:rPr>
        <w:t>时</w:t>
      </w:r>
      <w:r>
        <w:rPr>
          <w:rFonts w:hint="eastAsia" w:cstheme="minorBidi"/>
          <w:color w:val="FF0000"/>
        </w:rPr>
        <w:t>采取网捕过坝措施或在大坝设置闸门式鱼道</w:t>
      </w:r>
      <w:r>
        <w:rPr>
          <w:rFonts w:hint="eastAsia"/>
          <w:color w:val="FF0000"/>
        </w:rPr>
        <w:t>。</w:t>
      </w:r>
    </w:p>
    <w:p w14:paraId="5763C5DB">
      <w:pPr>
        <w:ind w:firstLine="480"/>
      </w:pPr>
      <w:r>
        <w:rPr>
          <w:rFonts w:hint="eastAsia"/>
        </w:rPr>
        <w:t>2、水环境</w:t>
      </w:r>
    </w:p>
    <w:p w14:paraId="761E95E2">
      <w:pPr>
        <w:ind w:firstLine="480"/>
      </w:pPr>
      <w:r>
        <w:rPr>
          <w:rFonts w:hint="eastAsia"/>
        </w:rPr>
        <w:t>施工期生产废水经沉淀处理后回用于生产，生活污水经隔油沉淀处理后回用于场地洒水降尘，不外排。</w:t>
      </w:r>
    </w:p>
    <w:p w14:paraId="28D8317E">
      <w:pPr>
        <w:ind w:firstLine="480"/>
        <w:rPr>
          <w:color w:val="FF0000"/>
          <w:szCs w:val="24"/>
        </w:rPr>
      </w:pPr>
      <w:r>
        <w:rPr>
          <w:color w:val="FF0000"/>
          <w:szCs w:val="24"/>
        </w:rPr>
        <w:t>运行期</w:t>
      </w:r>
      <w:r>
        <w:rPr>
          <w:rFonts w:hint="eastAsia"/>
          <w:color w:val="FF0000"/>
          <w:szCs w:val="24"/>
        </w:rPr>
        <w:t>间</w:t>
      </w:r>
      <w:r>
        <w:rPr>
          <w:color w:val="FF0000"/>
          <w:szCs w:val="24"/>
        </w:rPr>
        <w:t>，电站水库初期蓄水达到正常蓄水位之前，由冲砂闸下放最小生态流量5.28m</w:t>
      </w:r>
      <w:r>
        <w:rPr>
          <w:color w:val="FF0000"/>
          <w:szCs w:val="24"/>
          <w:vertAlign w:val="superscript"/>
        </w:rPr>
        <w:t>3</w:t>
      </w:r>
      <w:r>
        <w:rPr>
          <w:color w:val="FF0000"/>
          <w:szCs w:val="24"/>
        </w:rPr>
        <w:t>/s。当电站开始试机发电后，发电尾水部分经尾水渠后设置的消力池（尺寸建议为：60m×20m×5m）引至坝址附近排入芒市河内，补足河道正常所需生态流量（约为坝址多年平均流量的30%，即15.84m</w:t>
      </w:r>
      <w:r>
        <w:rPr>
          <w:color w:val="FF0000"/>
          <w:szCs w:val="24"/>
          <w:vertAlign w:val="superscript"/>
        </w:rPr>
        <w:t>3</w:t>
      </w:r>
      <w:r>
        <w:rPr>
          <w:color w:val="FF0000"/>
          <w:szCs w:val="24"/>
        </w:rPr>
        <w:t>/s）。</w:t>
      </w:r>
    </w:p>
    <w:p w14:paraId="0C486FEC">
      <w:pPr>
        <w:ind w:firstLine="480"/>
        <w:rPr>
          <w:color w:val="FF00FF"/>
          <w:szCs w:val="24"/>
        </w:rPr>
      </w:pPr>
      <w:r>
        <w:rPr>
          <w:rFonts w:hint="eastAsia"/>
          <w:color w:val="FF00FF"/>
          <w:szCs w:val="24"/>
        </w:rPr>
        <w:t>此外，环评要求建设单位在</w:t>
      </w:r>
      <w:r>
        <w:rPr>
          <w:rFonts w:hint="eastAsia"/>
          <w:color w:val="FF00FF"/>
          <w:kern w:val="0"/>
        </w:rPr>
        <w:t>拦河</w:t>
      </w:r>
      <w:r>
        <w:rPr>
          <w:color w:val="FF00FF"/>
          <w:kern w:val="0"/>
        </w:rPr>
        <w:t>坝设置生态</w:t>
      </w:r>
      <w:r>
        <w:rPr>
          <w:rFonts w:hint="eastAsia"/>
          <w:color w:val="FF00FF"/>
          <w:kern w:val="0"/>
        </w:rPr>
        <w:t>放流</w:t>
      </w:r>
      <w:r>
        <w:rPr>
          <w:color w:val="FF00FF"/>
          <w:kern w:val="0"/>
        </w:rPr>
        <w:t>管，</w:t>
      </w:r>
      <w:r>
        <w:rPr>
          <w:rFonts w:hint="eastAsia" w:cstheme="minorBidi"/>
          <w:color w:val="FF00FF"/>
        </w:rPr>
        <w:t>同时</w:t>
      </w:r>
      <w:r>
        <w:rPr>
          <w:rFonts w:hint="eastAsia"/>
          <w:color w:val="FF00FF"/>
          <w:szCs w:val="24"/>
        </w:rPr>
        <w:t>安装生态流量在线监测设备和监控系统，并与相关部门联网，实时监控坝后生态流量情况</w:t>
      </w:r>
      <w:r>
        <w:rPr>
          <w:rFonts w:hint="eastAsia"/>
          <w:color w:val="FF00FF"/>
        </w:rPr>
        <w:t>，生态下泄流量应不小于</w:t>
      </w:r>
      <w:r>
        <w:rPr>
          <w:rFonts w:hint="eastAsia"/>
          <w:color w:val="FF00FF"/>
          <w:szCs w:val="24"/>
        </w:rPr>
        <w:t>5.28m</w:t>
      </w:r>
      <w:r>
        <w:rPr>
          <w:rFonts w:hint="eastAsia"/>
          <w:color w:val="FF00FF"/>
          <w:szCs w:val="24"/>
          <w:vertAlign w:val="superscript"/>
        </w:rPr>
        <w:t>3</w:t>
      </w:r>
      <w:r>
        <w:rPr>
          <w:rFonts w:hint="eastAsia"/>
          <w:color w:val="FF00FF"/>
          <w:szCs w:val="24"/>
        </w:rPr>
        <w:t>/s。</w:t>
      </w:r>
    </w:p>
    <w:p w14:paraId="60E1C133">
      <w:pPr>
        <w:ind w:firstLine="480"/>
        <w:rPr>
          <w:color w:val="FF0000"/>
          <w:szCs w:val="24"/>
        </w:rPr>
      </w:pPr>
      <w:r>
        <w:rPr>
          <w:rFonts w:hint="eastAsia" w:cstheme="minorBidi"/>
          <w:color w:val="FF0000"/>
        </w:rPr>
        <w:t>当电站检修或停运时，坝下河段由生态放流管下放的最小流量为5.28</w:t>
      </w:r>
      <w:r>
        <w:rPr>
          <w:rFonts w:hint="eastAsia"/>
          <w:color w:val="FF0000"/>
        </w:rPr>
        <w:t>m</w:t>
      </w:r>
      <w:r>
        <w:rPr>
          <w:rFonts w:hint="eastAsia"/>
          <w:color w:val="FF0000"/>
          <w:vertAlign w:val="superscript"/>
        </w:rPr>
        <w:t>3</w:t>
      </w:r>
      <w:r>
        <w:rPr>
          <w:rFonts w:hint="eastAsia"/>
          <w:color w:val="FF0000"/>
        </w:rPr>
        <w:t>/s；</w:t>
      </w:r>
      <w:r>
        <w:rPr>
          <w:rFonts w:hint="eastAsia" w:cstheme="minorBidi"/>
          <w:color w:val="FF0000"/>
        </w:rPr>
        <w:t>电站应尽量避免在</w:t>
      </w:r>
      <w:r>
        <w:rPr>
          <w:rFonts w:hint="eastAsia" w:hAnsi="宋体"/>
          <w:color w:val="FF0000"/>
          <w:szCs w:val="24"/>
        </w:rPr>
        <w:t>3~5月份进行机组检修，如若确实无法调节，则应考虑由</w:t>
      </w:r>
      <w:r>
        <w:rPr>
          <w:rFonts w:hint="eastAsia" w:cstheme="minorBidi"/>
          <w:color w:val="FF0000"/>
        </w:rPr>
        <w:t>生态放流管</w:t>
      </w:r>
      <w:r>
        <w:rPr>
          <w:rFonts w:hint="eastAsia" w:hAnsi="宋体"/>
          <w:color w:val="FF0000"/>
          <w:szCs w:val="24"/>
        </w:rPr>
        <w:t>按不小于6.28m</w:t>
      </w:r>
      <w:r>
        <w:rPr>
          <w:rFonts w:hint="eastAsia" w:hAnsi="宋体"/>
          <w:color w:val="FF0000"/>
          <w:szCs w:val="24"/>
          <w:vertAlign w:val="superscript"/>
        </w:rPr>
        <w:t>3</w:t>
      </w:r>
      <w:r>
        <w:rPr>
          <w:rFonts w:hint="eastAsia" w:hAnsi="宋体"/>
          <w:color w:val="FF0000"/>
          <w:szCs w:val="24"/>
        </w:rPr>
        <w:t>/s的流量进行下泄，以满足下游灌溉需求和河道最小生态环境用水需求；</w:t>
      </w:r>
      <w:r>
        <w:rPr>
          <w:color w:val="FF0000"/>
        </w:rPr>
        <w:t>当天然来水流量小于规定下泄最小生态流量</w:t>
      </w:r>
      <w:r>
        <w:rPr>
          <w:rFonts w:hint="eastAsia"/>
          <w:color w:val="FF0000"/>
          <w:szCs w:val="24"/>
        </w:rPr>
        <w:t>5.28m</w:t>
      </w:r>
      <w:r>
        <w:rPr>
          <w:rFonts w:hint="eastAsia"/>
          <w:color w:val="FF0000"/>
          <w:szCs w:val="24"/>
          <w:vertAlign w:val="superscript"/>
        </w:rPr>
        <w:t>3</w:t>
      </w:r>
      <w:r>
        <w:rPr>
          <w:rFonts w:hint="eastAsia"/>
          <w:color w:val="FF0000"/>
          <w:szCs w:val="24"/>
        </w:rPr>
        <w:t>/s</w:t>
      </w:r>
      <w:r>
        <w:rPr>
          <w:color w:val="FF0000"/>
        </w:rPr>
        <w:t>时，</w:t>
      </w:r>
      <w:r>
        <w:rPr>
          <w:rFonts w:hint="eastAsia"/>
          <w:color w:val="FF0000"/>
        </w:rPr>
        <w:t>则电站不进行取水发电，将上游来水全部用于芒里大沟灌溉和下游河道需水</w:t>
      </w:r>
      <w:r>
        <w:rPr>
          <w:rFonts w:hint="eastAsia"/>
          <w:color w:val="FF0000"/>
          <w:szCs w:val="24"/>
        </w:rPr>
        <w:t>；当上游芒里电站检修时，本电站应将上游来水全部通过</w:t>
      </w:r>
      <w:r>
        <w:rPr>
          <w:rFonts w:hint="eastAsia" w:cstheme="minorBidi"/>
          <w:color w:val="FF0000"/>
        </w:rPr>
        <w:t>生态放流管</w:t>
      </w:r>
      <w:r>
        <w:rPr>
          <w:rFonts w:hint="eastAsia"/>
          <w:color w:val="FF0000"/>
          <w:szCs w:val="24"/>
        </w:rPr>
        <w:t>下放至坝址下游河道中。</w:t>
      </w:r>
    </w:p>
    <w:p w14:paraId="0A5A1FD1">
      <w:pPr>
        <w:ind w:firstLine="480"/>
      </w:pPr>
      <w:r>
        <w:rPr>
          <w:rFonts w:hint="eastAsia"/>
        </w:rPr>
        <w:t>3、大气环境</w:t>
      </w:r>
    </w:p>
    <w:p w14:paraId="2C2786A2">
      <w:pPr>
        <w:ind w:firstLine="480"/>
        <w:rPr>
          <w:szCs w:val="24"/>
        </w:rPr>
      </w:pPr>
      <w:r>
        <w:rPr>
          <w:rFonts w:hint="eastAsia" w:ascii="宋体" w:hAnsi="宋体" w:cs="宋体"/>
        </w:rPr>
        <w:t>施工期间对施工场地进行洒水降尘，</w:t>
      </w:r>
      <w:r>
        <w:rPr>
          <w:rFonts w:hint="eastAsia"/>
          <w:szCs w:val="24"/>
        </w:rPr>
        <w:t>物料运输过程中加盖篷布，严禁超载；渣土运输过程中，对散落的渣土进行及时清扫，并定期检修、保养施工机械设备。</w:t>
      </w:r>
    </w:p>
    <w:p w14:paraId="3E640783">
      <w:pPr>
        <w:ind w:firstLine="480"/>
        <w:rPr>
          <w:rFonts w:cstheme="minorBidi"/>
        </w:rPr>
      </w:pPr>
      <w:r>
        <w:rPr>
          <w:rFonts w:hint="eastAsia" w:cstheme="minorBidi"/>
        </w:rPr>
        <w:t>4、声环境</w:t>
      </w:r>
    </w:p>
    <w:p w14:paraId="46077C9E">
      <w:pPr>
        <w:ind w:firstLine="480"/>
        <w:rPr>
          <w:rFonts w:cstheme="minorBidi"/>
        </w:rPr>
      </w:pPr>
      <w:r>
        <w:rPr>
          <w:rFonts w:hint="eastAsia" w:cstheme="minorBidi"/>
        </w:rPr>
        <w:t>施工期</w:t>
      </w:r>
      <w:r>
        <w:rPr>
          <w:rFonts w:cstheme="minorBidi"/>
        </w:rPr>
        <w:t>选用低噪声设备，加强</w:t>
      </w:r>
      <w:r>
        <w:rPr>
          <w:rFonts w:hint="eastAsia" w:cstheme="minorBidi"/>
        </w:rPr>
        <w:t>施工机械</w:t>
      </w:r>
      <w:r>
        <w:rPr>
          <w:rFonts w:cstheme="minorBidi"/>
        </w:rPr>
        <w:t>的维护和保养，合理规划施工组织设计</w:t>
      </w:r>
      <w:r>
        <w:rPr>
          <w:rFonts w:hint="eastAsia" w:cstheme="minorBidi"/>
        </w:rPr>
        <w:t>。</w:t>
      </w:r>
    </w:p>
    <w:p w14:paraId="2C55D868">
      <w:pPr>
        <w:ind w:firstLine="480"/>
        <w:rPr>
          <w:rFonts w:cstheme="minorBidi"/>
        </w:rPr>
      </w:pPr>
      <w:r>
        <w:rPr>
          <w:rFonts w:cstheme="minorBidi"/>
        </w:rPr>
        <w:t>运行期加强设备的维护和保养，对于振动较大的设备进行加固，</w:t>
      </w:r>
      <w:r>
        <w:rPr>
          <w:rFonts w:hint="eastAsia" w:cstheme="minorBidi"/>
        </w:rPr>
        <w:t>以</w:t>
      </w:r>
      <w:r>
        <w:rPr>
          <w:rFonts w:cstheme="minorBidi"/>
        </w:rPr>
        <w:t>降低机械设备运行时产生的噪声。</w:t>
      </w:r>
    </w:p>
    <w:p w14:paraId="3D74C170">
      <w:pPr>
        <w:ind w:firstLine="480"/>
        <w:rPr>
          <w:rFonts w:cstheme="minorBidi"/>
        </w:rPr>
      </w:pPr>
      <w:r>
        <w:rPr>
          <w:rFonts w:hint="eastAsia" w:cstheme="minorBidi"/>
        </w:rPr>
        <w:t>5、固体废物</w:t>
      </w:r>
    </w:p>
    <w:p w14:paraId="4F153DC9">
      <w:pPr>
        <w:ind w:firstLine="480"/>
        <w:rPr>
          <w:rFonts w:ascii="宋体" w:hAnsi="宋体" w:cs="宋体"/>
          <w:color w:val="FF0000"/>
        </w:rPr>
      </w:pPr>
      <w:r>
        <w:rPr>
          <w:rFonts w:hint="eastAsia" w:ascii="宋体" w:hAnsi="宋体" w:cs="宋体"/>
          <w:color w:val="FF0000"/>
        </w:rPr>
        <w:t>施工期间产生的弃渣</w:t>
      </w:r>
      <w:r>
        <w:rPr>
          <w:rFonts w:cstheme="minorBidi"/>
          <w:color w:val="FF0000"/>
        </w:rPr>
        <w:t>要</w:t>
      </w:r>
      <w:r>
        <w:rPr>
          <w:rFonts w:hint="eastAsia" w:cstheme="minorBidi"/>
          <w:color w:val="FF0000"/>
        </w:rPr>
        <w:t>妥善堆存，尽快用于场地回填及河堤防护，禁止随意堆放及倾倒入河。</w:t>
      </w:r>
    </w:p>
    <w:p w14:paraId="58D27440">
      <w:pPr>
        <w:ind w:firstLine="480"/>
        <w:rPr>
          <w:lang w:val="zh-CN"/>
        </w:rPr>
      </w:pPr>
      <w:r>
        <w:rPr>
          <w:rFonts w:hint="eastAsia" w:cstheme="minorBidi"/>
        </w:rPr>
        <w:t>电站</w:t>
      </w:r>
      <w:r>
        <w:rPr>
          <w:rFonts w:hint="eastAsia"/>
          <w:lang w:val="zh-CN"/>
        </w:rPr>
        <w:t>运行期，</w:t>
      </w:r>
      <w:r>
        <w:rPr>
          <w:rFonts w:hint="eastAsia" w:cstheme="minorBidi"/>
        </w:rPr>
        <w:t>生活垃圾</w:t>
      </w:r>
      <w:r>
        <w:rPr>
          <w:rFonts w:cstheme="minorBidi"/>
        </w:rPr>
        <w:t>集中堆放，定</w:t>
      </w:r>
      <w:r>
        <w:rPr>
          <w:rFonts w:hint="eastAsia" w:cstheme="minorBidi"/>
        </w:rPr>
        <w:t>期</w:t>
      </w:r>
      <w:r>
        <w:rPr>
          <w:rFonts w:cstheme="minorBidi"/>
        </w:rPr>
        <w:t>清运，可回收垃圾分类</w:t>
      </w:r>
      <w:r>
        <w:rPr>
          <w:rFonts w:hint="eastAsia" w:cstheme="minorBidi"/>
        </w:rPr>
        <w:t>回收；</w:t>
      </w:r>
      <w:r>
        <w:rPr>
          <w:rFonts w:cstheme="minorBidi"/>
        </w:rPr>
        <w:t>不能回收</w:t>
      </w:r>
      <w:r>
        <w:rPr>
          <w:rFonts w:hint="eastAsia" w:cstheme="minorBidi"/>
        </w:rPr>
        <w:t>利用的垃圾，</w:t>
      </w:r>
      <w:r>
        <w:t>集中堆放</w:t>
      </w:r>
      <w:r>
        <w:rPr>
          <w:rFonts w:hint="eastAsia"/>
        </w:rPr>
        <w:t>后依托周边村庄垃圾收集设施进行处置</w:t>
      </w:r>
      <w:r>
        <w:rPr>
          <w:lang w:val="zh-CN"/>
        </w:rPr>
        <w:t>。</w:t>
      </w:r>
    </w:p>
    <w:p w14:paraId="7897C399">
      <w:pPr>
        <w:ind w:firstLine="480"/>
        <w:rPr>
          <w:rFonts w:cstheme="minorBidi"/>
        </w:rPr>
      </w:pPr>
      <w:r>
        <w:rPr>
          <w:rFonts w:cstheme="minorBidi"/>
        </w:rPr>
        <w:t>此外，电站运行期</w:t>
      </w:r>
      <w:r>
        <w:rPr>
          <w:rFonts w:hint="eastAsia" w:cstheme="minorBidi"/>
        </w:rPr>
        <w:t>间机械设备进行检修时会产生一定量的</w:t>
      </w:r>
      <w:r>
        <w:rPr>
          <w:rFonts w:cstheme="minorBidi"/>
        </w:rPr>
        <w:t>废机油</w:t>
      </w:r>
      <w:r>
        <w:rPr>
          <w:rFonts w:hint="eastAsia" w:cstheme="minorBidi"/>
        </w:rPr>
        <w:t>。</w:t>
      </w:r>
      <w:r>
        <w:rPr>
          <w:rFonts w:hint="eastAsia"/>
          <w:color w:val="FF0000"/>
        </w:rPr>
        <w:t>环评要求建设单位</w:t>
      </w:r>
      <w:r>
        <w:rPr>
          <w:color w:val="FF0000"/>
        </w:rPr>
        <w:t>在</w:t>
      </w:r>
      <w:r>
        <w:rPr>
          <w:rFonts w:hint="eastAsia" w:cstheme="minorBidi"/>
          <w:color w:val="FF0000"/>
        </w:rPr>
        <w:t>副厂房内设置</w:t>
      </w:r>
      <w:r>
        <w:rPr>
          <w:rFonts w:hint="eastAsia"/>
          <w:color w:val="FF0000"/>
        </w:rPr>
        <w:t>危废暂存室，地面需进行防渗处理，其内设置</w:t>
      </w:r>
      <w:r>
        <w:rPr>
          <w:color w:val="FF0000"/>
        </w:rPr>
        <w:t>废油收集桶</w:t>
      </w:r>
      <w:r>
        <w:rPr>
          <w:rFonts w:hint="eastAsia"/>
          <w:color w:val="FF0000"/>
        </w:rPr>
        <w:t>，并于危废暂存室门口及废油收集桶上设置明显的危险废物标志牌，电站检修产生的废机油需及时放入</w:t>
      </w:r>
      <w:r>
        <w:rPr>
          <w:color w:val="FF0000"/>
        </w:rPr>
        <w:t>废油收集桶</w:t>
      </w:r>
      <w:r>
        <w:rPr>
          <w:rFonts w:hint="eastAsia"/>
          <w:color w:val="FF0000"/>
        </w:rPr>
        <w:t>内妥善贮存，并按照《危险废物贮存污染控制标准》（GB18596-2001）对废机油进行管理，委托具有相应资质的单位进行清运、处置，做好废机油储存处置</w:t>
      </w:r>
      <w:r>
        <w:rPr>
          <w:rFonts w:hint="eastAsia"/>
          <w:color w:val="FF0000"/>
          <w:lang w:eastAsia="zh-CN"/>
        </w:rPr>
        <w:t>台账</w:t>
      </w:r>
      <w:r>
        <w:rPr>
          <w:rFonts w:hint="eastAsia"/>
          <w:color w:val="FF0000"/>
        </w:rPr>
        <w:t>，每年定期到芒市环境保护局进行备案登记</w:t>
      </w:r>
      <w:r>
        <w:rPr>
          <w:color w:val="FF0000"/>
        </w:rPr>
        <w:t>。</w:t>
      </w:r>
    </w:p>
    <w:p w14:paraId="0FB1B09C">
      <w:pPr>
        <w:ind w:firstLine="480"/>
        <w:rPr>
          <w:rFonts w:cstheme="minorBidi"/>
          <w:color w:val="FF0000"/>
        </w:rPr>
      </w:pPr>
      <w:r>
        <w:rPr>
          <w:rFonts w:hint="eastAsia" w:cstheme="minorBidi"/>
          <w:color w:val="FF0000"/>
        </w:rPr>
        <w:t>6、其它</w:t>
      </w:r>
    </w:p>
    <w:p w14:paraId="21671D8D">
      <w:pPr>
        <w:ind w:firstLine="480"/>
        <w:rPr>
          <w:rFonts w:ascii="宋体" w:hAnsi="宋体" w:cs="宋体"/>
          <w:color w:val="FF0000"/>
        </w:rPr>
      </w:pPr>
      <w:r>
        <w:rPr>
          <w:rFonts w:hint="eastAsia"/>
          <w:color w:val="FF0000"/>
        </w:rPr>
        <w:t>本次评价要求建设单位严格控制施工边界，禁止超计划占地，特别应注意拦河坝、主厂房、副厂房、升压站以及尾水渠等永久性建筑物与龙瑞高速公路和芒瑞大道的控制距离不得超过20m。</w:t>
      </w:r>
    </w:p>
    <w:p w14:paraId="69438AA3">
      <w:pPr>
        <w:pStyle w:val="4"/>
      </w:pPr>
      <w:bookmarkStart w:id="1193" w:name="_Toc471738149"/>
      <w:bookmarkStart w:id="1194" w:name="_Toc508642557"/>
      <w:r>
        <w:rPr>
          <w:rFonts w:hint="eastAsia"/>
        </w:rPr>
        <w:t>12.6公众</w:t>
      </w:r>
      <w:bookmarkEnd w:id="1188"/>
      <w:bookmarkEnd w:id="1189"/>
      <w:bookmarkEnd w:id="1190"/>
      <w:bookmarkEnd w:id="1193"/>
      <w:r>
        <w:rPr>
          <w:rFonts w:hint="eastAsia"/>
        </w:rPr>
        <w:t>意见采纳情况</w:t>
      </w:r>
      <w:bookmarkEnd w:id="1194"/>
    </w:p>
    <w:p w14:paraId="7A81E1DE">
      <w:pPr>
        <w:ind w:firstLine="480"/>
      </w:pPr>
      <w:r>
        <w:rPr>
          <w:rFonts w:hint="eastAsia"/>
        </w:rPr>
        <w:t>本次公众参与调查工作由建设单位开展，调查对象主要是芒市及遮放镇各行政主管部门以及芒里村、坝托村及团结村村民。所有的团体和个人调查对象均同意本工程的建设，无反对意见。</w:t>
      </w:r>
    </w:p>
    <w:p w14:paraId="0DF570A7">
      <w:pPr>
        <w:ind w:firstLine="480"/>
      </w:pPr>
      <w:r>
        <w:rPr>
          <w:rFonts w:hint="eastAsia"/>
        </w:rPr>
        <w:t>建设单位针对公众提出的意见（如：保护河道，严禁向河道倾倒弃渣及排放施工废水；确保河道生态下泄水量；尽量少占用林地和耕地，在施工完毕后应尽快进行恢复植被等）高度重视，并给予采纳，承诺会严格落实本次评价提出的各项环保措施，尽量减轻对周围环境的影响。</w:t>
      </w:r>
    </w:p>
    <w:p w14:paraId="25583710">
      <w:pPr>
        <w:pStyle w:val="4"/>
      </w:pPr>
      <w:bookmarkStart w:id="1195" w:name="_Toc454046680"/>
      <w:bookmarkStart w:id="1196" w:name="_Toc443655579"/>
      <w:bookmarkStart w:id="1197" w:name="_Toc508642558"/>
      <w:bookmarkStart w:id="1198" w:name="_Toc436297667"/>
      <w:bookmarkStart w:id="1199" w:name="_Toc471738150"/>
      <w:r>
        <w:rPr>
          <w:rFonts w:hint="eastAsia"/>
        </w:rPr>
        <w:t>12.7</w:t>
      </w:r>
      <w:r>
        <w:t>综合评价结论</w:t>
      </w:r>
      <w:bookmarkEnd w:id="1195"/>
      <w:bookmarkEnd w:id="1196"/>
      <w:bookmarkEnd w:id="1197"/>
      <w:bookmarkEnd w:id="1198"/>
      <w:bookmarkEnd w:id="1199"/>
    </w:p>
    <w:p w14:paraId="1EDB9956">
      <w:pPr>
        <w:ind w:firstLine="480"/>
        <w:rPr>
          <w:b/>
        </w:rPr>
      </w:pPr>
      <w:r>
        <w:rPr>
          <w:rFonts w:hint="eastAsia" w:cstheme="minorBidi"/>
        </w:rPr>
        <w:t>团结水电站为小型河床式无调节开发，电站取水发电是在优先满足芒里大沟取水的前提下进行的，发电后尾水回归芒市河，可完全用于下游的农业灌溉。</w:t>
      </w:r>
      <w:r>
        <w:rPr>
          <w:rFonts w:hint="eastAsia"/>
        </w:rPr>
        <w:t>工程建设符合国家产业政策和相关规划要求，工程建设不涉及搬迁，选址合理。</w:t>
      </w:r>
    </w:p>
    <w:p w14:paraId="5D796022">
      <w:pPr>
        <w:ind w:firstLine="480"/>
      </w:pPr>
      <w:r>
        <w:rPr>
          <w:rFonts w:hint="eastAsia"/>
        </w:rPr>
        <w:t>工程建设对环境的影响主要体现为：施工占地对植被和动植物资源的影响、工程施工和弃渣对当地生态环境的影响以及施工“三废一噪”对周围环境产生的不良影响等，且运行期电站取水发电将</w:t>
      </w:r>
      <w:r>
        <w:rPr>
          <w:rFonts w:hint="eastAsia" w:cstheme="minorBidi"/>
        </w:rPr>
        <w:t>导致坝址以下产生约60m减水河段。</w:t>
      </w:r>
      <w:r>
        <w:rPr>
          <w:rFonts w:hint="eastAsia"/>
        </w:rPr>
        <w:t>本次评价已针对各种环境影响提出了相应的环保措施，建设单位只要切实落实各项环保措施，工程建设造成的不利影响可以控制在可接受的范围内。因此，从环境保护的角度分析，本工程的建设是可行的。</w:t>
      </w:r>
    </w:p>
    <w:sectPr>
      <w:footerReference r:id="rId16" w:type="default"/>
      <w:pgSz w:w="11906" w:h="16838"/>
      <w:pgMar w:top="1440" w:right="1797" w:bottom="1440" w:left="1797"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宋体.....">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L Helvetica Light">
    <w:altName w:val="Times New Roman"/>
    <w:panose1 w:val="00000000000000000000"/>
    <w:charset w:val="4D"/>
    <w:family w:val="auto"/>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幼圆">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imesNewRoman">
    <w:altName w:val="Times New Roman"/>
    <w:panose1 w:val="00000000000000000000"/>
    <w:charset w:val="00"/>
    <w:family w:val="swiss"/>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Gungsuh">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隶书">
    <w:panose1 w:val="0201050906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78ABB">
    <w:pPr>
      <w:pStyle w:val="3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DEA42">
    <w:pPr>
      <w:pStyle w:val="3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F5C83">
    <w:pPr>
      <w:pStyle w:val="3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76190466"/>
      <w:docPartObj>
        <w:docPartGallery w:val="autotext"/>
      </w:docPartObj>
    </w:sdtPr>
    <w:sdtContent>
      <w:p w14:paraId="1C1C86BF">
        <w:pPr>
          <w:pStyle w:val="36"/>
          <w:ind w:left="84" w:leftChars="35" w:right="84" w:rightChars="35" w:firstLine="360"/>
          <w:jc w:val="center"/>
        </w:pPr>
        <w:r>
          <w:fldChar w:fldCharType="begin"/>
        </w:r>
        <w:r>
          <w:instrText xml:space="preserve">PAGE   \* MERGEFORMAT</w:instrText>
        </w:r>
        <w:r>
          <w:fldChar w:fldCharType="separate"/>
        </w:r>
        <w:r>
          <w:rPr>
            <w:lang w:val="zh-CN"/>
          </w:rPr>
          <w:t>VII</w:t>
        </w:r>
        <w:r>
          <w:fldChar w:fldCharType="end"/>
        </w:r>
      </w:p>
    </w:sdtContent>
  </w:sdt>
  <w:p w14:paraId="4D82C57B">
    <w:pPr>
      <w:pStyle w:val="36"/>
      <w:ind w:left="84" w:leftChars="35" w:right="84" w:rightChars="35"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2C813">
    <w:pPr>
      <w:pStyle w:val="36"/>
      <w:ind w:firstLine="360"/>
      <w:jc w:val="center"/>
    </w:pPr>
    <w:r>
      <w:fldChar w:fldCharType="begin"/>
    </w:r>
    <w:r>
      <w:rPr>
        <w:rStyle w:val="61"/>
      </w:rPr>
      <w:instrText xml:space="preserve"> PAGE </w:instrText>
    </w:r>
    <w:r>
      <w:fldChar w:fldCharType="separate"/>
    </w:r>
    <w:r>
      <w:rPr>
        <w:rStyle w:val="61"/>
      </w:rPr>
      <w:t>25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BCBEA">
    <w:pPr>
      <w:pStyle w:val="36"/>
      <w:ind w:firstLine="360"/>
      <w:jc w:val="center"/>
    </w:pPr>
    <w:r>
      <w:fldChar w:fldCharType="begin"/>
    </w:r>
    <w:r>
      <w:rPr>
        <w:rStyle w:val="61"/>
      </w:rPr>
      <w:instrText xml:space="preserve"> PAGE </w:instrText>
    </w:r>
    <w:r>
      <w:fldChar w:fldCharType="separate"/>
    </w:r>
    <w:r>
      <w:rPr>
        <w:rStyle w:val="61"/>
      </w:rPr>
      <w:t>31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051DF">
    <w:pPr>
      <w:pStyle w:val="36"/>
      <w:ind w:firstLine="360"/>
      <w:jc w:val="center"/>
    </w:pPr>
    <w:r>
      <w:fldChar w:fldCharType="begin"/>
    </w:r>
    <w:r>
      <w:rPr>
        <w:rStyle w:val="61"/>
      </w:rPr>
      <w:instrText xml:space="preserve"> PAGE </w:instrText>
    </w:r>
    <w:r>
      <w:fldChar w:fldCharType="separate"/>
    </w:r>
    <w:r>
      <w:rPr>
        <w:rStyle w:val="61"/>
      </w:rPr>
      <w:t>106</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D7AE5">
    <w:pPr>
      <w:pStyle w:val="36"/>
      <w:ind w:firstLine="360"/>
      <w:jc w:val="center"/>
    </w:pPr>
    <w:r>
      <w:fldChar w:fldCharType="begin"/>
    </w:r>
    <w:r>
      <w:rPr>
        <w:rStyle w:val="61"/>
      </w:rPr>
      <w:instrText xml:space="preserve"> PAGE </w:instrText>
    </w:r>
    <w:r>
      <w:fldChar w:fldCharType="separate"/>
    </w:r>
    <w:r>
      <w:rPr>
        <w:rStyle w:val="61"/>
      </w:rPr>
      <w:t>124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0B819">
    <w:pPr>
      <w:pStyle w:val="3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1D4B8">
    <w:pPr>
      <w:pStyle w:val="3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1D38D">
    <w:pPr>
      <w:pStyle w:val="3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72DAB">
    <w:pPr>
      <w:pStyle w:val="37"/>
      <w:spacing w:line="240" w:lineRule="auto"/>
      <w:ind w:firstLine="0" w:firstLineChars="0"/>
    </w:pPr>
    <w:r>
      <w:rPr>
        <w:rFonts w:hint="eastAsia" w:ascii="宋体" w:hAnsi="宋体"/>
        <w:sz w:val="21"/>
        <w:szCs w:val="21"/>
      </w:rPr>
      <w:t>云南省德宏州芒市团结水电站工程环境影响报告书</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DB9"/>
    <w:rsid w:val="00001CB2"/>
    <w:rsid w:val="0000240C"/>
    <w:rsid w:val="00002511"/>
    <w:rsid w:val="00002C87"/>
    <w:rsid w:val="000034D6"/>
    <w:rsid w:val="00004F1A"/>
    <w:rsid w:val="00005395"/>
    <w:rsid w:val="000054A6"/>
    <w:rsid w:val="00005E29"/>
    <w:rsid w:val="0000683C"/>
    <w:rsid w:val="000079BE"/>
    <w:rsid w:val="00010046"/>
    <w:rsid w:val="00010F60"/>
    <w:rsid w:val="00012110"/>
    <w:rsid w:val="00013507"/>
    <w:rsid w:val="00014077"/>
    <w:rsid w:val="000140DC"/>
    <w:rsid w:val="0001419A"/>
    <w:rsid w:val="00014A63"/>
    <w:rsid w:val="00014A72"/>
    <w:rsid w:val="00014C81"/>
    <w:rsid w:val="000157B2"/>
    <w:rsid w:val="000157B9"/>
    <w:rsid w:val="000179F5"/>
    <w:rsid w:val="000208B0"/>
    <w:rsid w:val="00020ADC"/>
    <w:rsid w:val="000218CF"/>
    <w:rsid w:val="0002255D"/>
    <w:rsid w:val="00022B6B"/>
    <w:rsid w:val="00022CCF"/>
    <w:rsid w:val="000233FA"/>
    <w:rsid w:val="00023CB2"/>
    <w:rsid w:val="000242FE"/>
    <w:rsid w:val="000245A3"/>
    <w:rsid w:val="00025006"/>
    <w:rsid w:val="000253E0"/>
    <w:rsid w:val="00026584"/>
    <w:rsid w:val="000271AD"/>
    <w:rsid w:val="00027A3F"/>
    <w:rsid w:val="00027FC3"/>
    <w:rsid w:val="00030134"/>
    <w:rsid w:val="00030531"/>
    <w:rsid w:val="000305A4"/>
    <w:rsid w:val="00031156"/>
    <w:rsid w:val="0003156E"/>
    <w:rsid w:val="00031726"/>
    <w:rsid w:val="000319C9"/>
    <w:rsid w:val="00031DAF"/>
    <w:rsid w:val="00032046"/>
    <w:rsid w:val="00032A42"/>
    <w:rsid w:val="00033B9C"/>
    <w:rsid w:val="00033E21"/>
    <w:rsid w:val="0003403A"/>
    <w:rsid w:val="0003436F"/>
    <w:rsid w:val="0003480C"/>
    <w:rsid w:val="00034AB7"/>
    <w:rsid w:val="00034E1E"/>
    <w:rsid w:val="0003578A"/>
    <w:rsid w:val="00035AAB"/>
    <w:rsid w:val="000363B4"/>
    <w:rsid w:val="00036B28"/>
    <w:rsid w:val="0003743A"/>
    <w:rsid w:val="000379B5"/>
    <w:rsid w:val="000409F2"/>
    <w:rsid w:val="0004128D"/>
    <w:rsid w:val="0004151C"/>
    <w:rsid w:val="00041C1B"/>
    <w:rsid w:val="00043052"/>
    <w:rsid w:val="000430B0"/>
    <w:rsid w:val="0004367B"/>
    <w:rsid w:val="000441F4"/>
    <w:rsid w:val="000442EE"/>
    <w:rsid w:val="000458E7"/>
    <w:rsid w:val="00045DD8"/>
    <w:rsid w:val="0004719B"/>
    <w:rsid w:val="000471B6"/>
    <w:rsid w:val="000472D2"/>
    <w:rsid w:val="0005091E"/>
    <w:rsid w:val="00050C28"/>
    <w:rsid w:val="00051AAB"/>
    <w:rsid w:val="00051AF2"/>
    <w:rsid w:val="00051C3D"/>
    <w:rsid w:val="00051EAB"/>
    <w:rsid w:val="00053D88"/>
    <w:rsid w:val="00053E52"/>
    <w:rsid w:val="00053F0E"/>
    <w:rsid w:val="00054869"/>
    <w:rsid w:val="0005509C"/>
    <w:rsid w:val="00055A09"/>
    <w:rsid w:val="00055B85"/>
    <w:rsid w:val="00055E12"/>
    <w:rsid w:val="0005652B"/>
    <w:rsid w:val="00056B54"/>
    <w:rsid w:val="00056E81"/>
    <w:rsid w:val="000574A1"/>
    <w:rsid w:val="000603B2"/>
    <w:rsid w:val="000605BD"/>
    <w:rsid w:val="00060AC7"/>
    <w:rsid w:val="00060B97"/>
    <w:rsid w:val="0006100B"/>
    <w:rsid w:val="00061249"/>
    <w:rsid w:val="0006209D"/>
    <w:rsid w:val="00062763"/>
    <w:rsid w:val="0006289D"/>
    <w:rsid w:val="00063460"/>
    <w:rsid w:val="00063997"/>
    <w:rsid w:val="00063D95"/>
    <w:rsid w:val="00064232"/>
    <w:rsid w:val="000645FE"/>
    <w:rsid w:val="00064CC0"/>
    <w:rsid w:val="00065118"/>
    <w:rsid w:val="00065B3C"/>
    <w:rsid w:val="00065FF8"/>
    <w:rsid w:val="000669FD"/>
    <w:rsid w:val="00067282"/>
    <w:rsid w:val="00071116"/>
    <w:rsid w:val="00071479"/>
    <w:rsid w:val="00072134"/>
    <w:rsid w:val="0007241D"/>
    <w:rsid w:val="00073004"/>
    <w:rsid w:val="00073088"/>
    <w:rsid w:val="00074078"/>
    <w:rsid w:val="00074549"/>
    <w:rsid w:val="000752E6"/>
    <w:rsid w:val="00075B3A"/>
    <w:rsid w:val="00075DEE"/>
    <w:rsid w:val="00076048"/>
    <w:rsid w:val="0007638F"/>
    <w:rsid w:val="000768FB"/>
    <w:rsid w:val="00076E2B"/>
    <w:rsid w:val="00077135"/>
    <w:rsid w:val="0007727A"/>
    <w:rsid w:val="00077ED5"/>
    <w:rsid w:val="000807E7"/>
    <w:rsid w:val="00080968"/>
    <w:rsid w:val="0008120F"/>
    <w:rsid w:val="0008185A"/>
    <w:rsid w:val="00081980"/>
    <w:rsid w:val="00082901"/>
    <w:rsid w:val="000829B6"/>
    <w:rsid w:val="000850E6"/>
    <w:rsid w:val="0008674C"/>
    <w:rsid w:val="000875BE"/>
    <w:rsid w:val="00087665"/>
    <w:rsid w:val="000877B0"/>
    <w:rsid w:val="0009041D"/>
    <w:rsid w:val="0009164C"/>
    <w:rsid w:val="000922D3"/>
    <w:rsid w:val="000939D3"/>
    <w:rsid w:val="00094553"/>
    <w:rsid w:val="000949B6"/>
    <w:rsid w:val="00096244"/>
    <w:rsid w:val="000966BA"/>
    <w:rsid w:val="00096CF9"/>
    <w:rsid w:val="00097D9C"/>
    <w:rsid w:val="000A12DE"/>
    <w:rsid w:val="000A14EB"/>
    <w:rsid w:val="000A1BE4"/>
    <w:rsid w:val="000A1DB9"/>
    <w:rsid w:val="000A1E76"/>
    <w:rsid w:val="000A1EFB"/>
    <w:rsid w:val="000A294E"/>
    <w:rsid w:val="000A4A3D"/>
    <w:rsid w:val="000A4F41"/>
    <w:rsid w:val="000A50C4"/>
    <w:rsid w:val="000A62F0"/>
    <w:rsid w:val="000A6704"/>
    <w:rsid w:val="000A6E72"/>
    <w:rsid w:val="000A7138"/>
    <w:rsid w:val="000A71B5"/>
    <w:rsid w:val="000A7487"/>
    <w:rsid w:val="000A7655"/>
    <w:rsid w:val="000A7829"/>
    <w:rsid w:val="000B043B"/>
    <w:rsid w:val="000B08FA"/>
    <w:rsid w:val="000B14BE"/>
    <w:rsid w:val="000B165E"/>
    <w:rsid w:val="000B1868"/>
    <w:rsid w:val="000B2215"/>
    <w:rsid w:val="000B4220"/>
    <w:rsid w:val="000B4626"/>
    <w:rsid w:val="000B4635"/>
    <w:rsid w:val="000B6282"/>
    <w:rsid w:val="000B64EA"/>
    <w:rsid w:val="000B6798"/>
    <w:rsid w:val="000B744D"/>
    <w:rsid w:val="000B7DD3"/>
    <w:rsid w:val="000C0413"/>
    <w:rsid w:val="000C0682"/>
    <w:rsid w:val="000C1CED"/>
    <w:rsid w:val="000C21C5"/>
    <w:rsid w:val="000C22D2"/>
    <w:rsid w:val="000C2977"/>
    <w:rsid w:val="000C2A85"/>
    <w:rsid w:val="000C3880"/>
    <w:rsid w:val="000C3C2B"/>
    <w:rsid w:val="000C3DAB"/>
    <w:rsid w:val="000C49C6"/>
    <w:rsid w:val="000C4A6B"/>
    <w:rsid w:val="000C54E9"/>
    <w:rsid w:val="000C5893"/>
    <w:rsid w:val="000C5DA8"/>
    <w:rsid w:val="000C60ED"/>
    <w:rsid w:val="000C6787"/>
    <w:rsid w:val="000C6EE0"/>
    <w:rsid w:val="000C73E9"/>
    <w:rsid w:val="000D064F"/>
    <w:rsid w:val="000D083B"/>
    <w:rsid w:val="000D0E6F"/>
    <w:rsid w:val="000D1EA8"/>
    <w:rsid w:val="000D2097"/>
    <w:rsid w:val="000D228A"/>
    <w:rsid w:val="000D31C3"/>
    <w:rsid w:val="000D3227"/>
    <w:rsid w:val="000D323E"/>
    <w:rsid w:val="000D38D1"/>
    <w:rsid w:val="000D3D85"/>
    <w:rsid w:val="000D41FC"/>
    <w:rsid w:val="000D4546"/>
    <w:rsid w:val="000D489B"/>
    <w:rsid w:val="000D4C4B"/>
    <w:rsid w:val="000D5567"/>
    <w:rsid w:val="000D55CA"/>
    <w:rsid w:val="000D6445"/>
    <w:rsid w:val="000D6B57"/>
    <w:rsid w:val="000D70F0"/>
    <w:rsid w:val="000D76CA"/>
    <w:rsid w:val="000D7B69"/>
    <w:rsid w:val="000E0011"/>
    <w:rsid w:val="000E0582"/>
    <w:rsid w:val="000E1BDF"/>
    <w:rsid w:val="000E29DD"/>
    <w:rsid w:val="000E2CD6"/>
    <w:rsid w:val="000E3332"/>
    <w:rsid w:val="000E3E62"/>
    <w:rsid w:val="000E4805"/>
    <w:rsid w:val="000E4E92"/>
    <w:rsid w:val="000E506C"/>
    <w:rsid w:val="000E649B"/>
    <w:rsid w:val="000E6924"/>
    <w:rsid w:val="000E6AD2"/>
    <w:rsid w:val="000E6D5C"/>
    <w:rsid w:val="000E732A"/>
    <w:rsid w:val="000F0658"/>
    <w:rsid w:val="000F1137"/>
    <w:rsid w:val="000F1346"/>
    <w:rsid w:val="000F1F85"/>
    <w:rsid w:val="000F2CCE"/>
    <w:rsid w:val="000F30ED"/>
    <w:rsid w:val="000F388F"/>
    <w:rsid w:val="000F3A55"/>
    <w:rsid w:val="000F482F"/>
    <w:rsid w:val="000F4CEE"/>
    <w:rsid w:val="000F4FAA"/>
    <w:rsid w:val="000F4FBE"/>
    <w:rsid w:val="000F5406"/>
    <w:rsid w:val="000F543A"/>
    <w:rsid w:val="000F599B"/>
    <w:rsid w:val="000F5B58"/>
    <w:rsid w:val="000F5E97"/>
    <w:rsid w:val="000F6741"/>
    <w:rsid w:val="000F7089"/>
    <w:rsid w:val="000F7610"/>
    <w:rsid w:val="001001CA"/>
    <w:rsid w:val="001006C1"/>
    <w:rsid w:val="0010089A"/>
    <w:rsid w:val="001013B5"/>
    <w:rsid w:val="001019CF"/>
    <w:rsid w:val="00101D32"/>
    <w:rsid w:val="00102014"/>
    <w:rsid w:val="0010316A"/>
    <w:rsid w:val="0010332C"/>
    <w:rsid w:val="001039EA"/>
    <w:rsid w:val="00104531"/>
    <w:rsid w:val="001051DC"/>
    <w:rsid w:val="001058ED"/>
    <w:rsid w:val="00105956"/>
    <w:rsid w:val="00105A0E"/>
    <w:rsid w:val="00105B72"/>
    <w:rsid w:val="00106304"/>
    <w:rsid w:val="00107E00"/>
    <w:rsid w:val="00107F19"/>
    <w:rsid w:val="00107F5B"/>
    <w:rsid w:val="001107C4"/>
    <w:rsid w:val="00110852"/>
    <w:rsid w:val="00110BF7"/>
    <w:rsid w:val="0011193E"/>
    <w:rsid w:val="0011210C"/>
    <w:rsid w:val="00112C9C"/>
    <w:rsid w:val="00112D2D"/>
    <w:rsid w:val="00112D6D"/>
    <w:rsid w:val="00112DBF"/>
    <w:rsid w:val="00112FF1"/>
    <w:rsid w:val="0011306B"/>
    <w:rsid w:val="00113380"/>
    <w:rsid w:val="001158D1"/>
    <w:rsid w:val="00115DB2"/>
    <w:rsid w:val="00115EF8"/>
    <w:rsid w:val="0011660C"/>
    <w:rsid w:val="001167D7"/>
    <w:rsid w:val="00116FD7"/>
    <w:rsid w:val="001179DF"/>
    <w:rsid w:val="00117A24"/>
    <w:rsid w:val="00120405"/>
    <w:rsid w:val="00120D79"/>
    <w:rsid w:val="00121BA3"/>
    <w:rsid w:val="001222E3"/>
    <w:rsid w:val="001225BF"/>
    <w:rsid w:val="00123121"/>
    <w:rsid w:val="00123832"/>
    <w:rsid w:val="00124EA1"/>
    <w:rsid w:val="001251A1"/>
    <w:rsid w:val="001251FD"/>
    <w:rsid w:val="00125A52"/>
    <w:rsid w:val="0012673D"/>
    <w:rsid w:val="00126A3B"/>
    <w:rsid w:val="00126D15"/>
    <w:rsid w:val="00127AC1"/>
    <w:rsid w:val="00127B14"/>
    <w:rsid w:val="001302CC"/>
    <w:rsid w:val="0013033E"/>
    <w:rsid w:val="00131361"/>
    <w:rsid w:val="00131EC3"/>
    <w:rsid w:val="00132611"/>
    <w:rsid w:val="00132D7F"/>
    <w:rsid w:val="00132DD4"/>
    <w:rsid w:val="00133355"/>
    <w:rsid w:val="0013446F"/>
    <w:rsid w:val="001346E7"/>
    <w:rsid w:val="00134E87"/>
    <w:rsid w:val="001356D2"/>
    <w:rsid w:val="00135EC0"/>
    <w:rsid w:val="00135F6C"/>
    <w:rsid w:val="00136A77"/>
    <w:rsid w:val="0013780E"/>
    <w:rsid w:val="00137A1B"/>
    <w:rsid w:val="00140A61"/>
    <w:rsid w:val="00140F50"/>
    <w:rsid w:val="00141E8D"/>
    <w:rsid w:val="00142066"/>
    <w:rsid w:val="00142709"/>
    <w:rsid w:val="00142A60"/>
    <w:rsid w:val="00142BE0"/>
    <w:rsid w:val="00143145"/>
    <w:rsid w:val="001446C0"/>
    <w:rsid w:val="00145951"/>
    <w:rsid w:val="001464F2"/>
    <w:rsid w:val="00146B00"/>
    <w:rsid w:val="00146CA3"/>
    <w:rsid w:val="00150599"/>
    <w:rsid w:val="0015097E"/>
    <w:rsid w:val="00150A22"/>
    <w:rsid w:val="0015149D"/>
    <w:rsid w:val="00151ADB"/>
    <w:rsid w:val="00151FAF"/>
    <w:rsid w:val="001529D6"/>
    <w:rsid w:val="00153C33"/>
    <w:rsid w:val="0015430A"/>
    <w:rsid w:val="00154767"/>
    <w:rsid w:val="001553A5"/>
    <w:rsid w:val="0015588C"/>
    <w:rsid w:val="00155A1A"/>
    <w:rsid w:val="00155B33"/>
    <w:rsid w:val="00155D04"/>
    <w:rsid w:val="0015613E"/>
    <w:rsid w:val="0015653C"/>
    <w:rsid w:val="00156C1A"/>
    <w:rsid w:val="00160119"/>
    <w:rsid w:val="0016018E"/>
    <w:rsid w:val="0016025B"/>
    <w:rsid w:val="00160960"/>
    <w:rsid w:val="00160C3A"/>
    <w:rsid w:val="0016141F"/>
    <w:rsid w:val="00161ABB"/>
    <w:rsid w:val="00161C10"/>
    <w:rsid w:val="00162D32"/>
    <w:rsid w:val="00162E25"/>
    <w:rsid w:val="00164E06"/>
    <w:rsid w:val="0016534F"/>
    <w:rsid w:val="001658E8"/>
    <w:rsid w:val="00165D61"/>
    <w:rsid w:val="00165FBC"/>
    <w:rsid w:val="001664BC"/>
    <w:rsid w:val="001667E6"/>
    <w:rsid w:val="00166A27"/>
    <w:rsid w:val="00167045"/>
    <w:rsid w:val="00167326"/>
    <w:rsid w:val="00170103"/>
    <w:rsid w:val="001707C4"/>
    <w:rsid w:val="00170C8A"/>
    <w:rsid w:val="00171A79"/>
    <w:rsid w:val="00172A2C"/>
    <w:rsid w:val="00172C49"/>
    <w:rsid w:val="00172FDF"/>
    <w:rsid w:val="00173C9C"/>
    <w:rsid w:val="0017548E"/>
    <w:rsid w:val="00176E8F"/>
    <w:rsid w:val="00176F10"/>
    <w:rsid w:val="00177236"/>
    <w:rsid w:val="00177C6D"/>
    <w:rsid w:val="00177E5C"/>
    <w:rsid w:val="00180006"/>
    <w:rsid w:val="0018025C"/>
    <w:rsid w:val="00180D76"/>
    <w:rsid w:val="00180E4A"/>
    <w:rsid w:val="00181048"/>
    <w:rsid w:val="00181D82"/>
    <w:rsid w:val="001823FC"/>
    <w:rsid w:val="00182E8A"/>
    <w:rsid w:val="0018328A"/>
    <w:rsid w:val="00183C45"/>
    <w:rsid w:val="001840E7"/>
    <w:rsid w:val="00184321"/>
    <w:rsid w:val="00184DB0"/>
    <w:rsid w:val="00185830"/>
    <w:rsid w:val="00185D62"/>
    <w:rsid w:val="00185F3D"/>
    <w:rsid w:val="00186040"/>
    <w:rsid w:val="001862A2"/>
    <w:rsid w:val="00186C43"/>
    <w:rsid w:val="0018717E"/>
    <w:rsid w:val="001873F5"/>
    <w:rsid w:val="00187403"/>
    <w:rsid w:val="00187B2B"/>
    <w:rsid w:val="00190685"/>
    <w:rsid w:val="00191144"/>
    <w:rsid w:val="0019118E"/>
    <w:rsid w:val="001915DA"/>
    <w:rsid w:val="0019194B"/>
    <w:rsid w:val="00191ABF"/>
    <w:rsid w:val="00191C93"/>
    <w:rsid w:val="00192315"/>
    <w:rsid w:val="001923EC"/>
    <w:rsid w:val="0019309C"/>
    <w:rsid w:val="00193F04"/>
    <w:rsid w:val="00194210"/>
    <w:rsid w:val="001946D1"/>
    <w:rsid w:val="00194DC5"/>
    <w:rsid w:val="00194F36"/>
    <w:rsid w:val="0019537D"/>
    <w:rsid w:val="00195941"/>
    <w:rsid w:val="00195F01"/>
    <w:rsid w:val="00195F68"/>
    <w:rsid w:val="001962EF"/>
    <w:rsid w:val="001964DE"/>
    <w:rsid w:val="00196D95"/>
    <w:rsid w:val="00197A99"/>
    <w:rsid w:val="00197DA8"/>
    <w:rsid w:val="00197DD3"/>
    <w:rsid w:val="001A04E0"/>
    <w:rsid w:val="001A1380"/>
    <w:rsid w:val="001A1713"/>
    <w:rsid w:val="001A1E39"/>
    <w:rsid w:val="001A1F52"/>
    <w:rsid w:val="001A219C"/>
    <w:rsid w:val="001A21B7"/>
    <w:rsid w:val="001A2D38"/>
    <w:rsid w:val="001A304C"/>
    <w:rsid w:val="001A336A"/>
    <w:rsid w:val="001A3E5B"/>
    <w:rsid w:val="001A41D7"/>
    <w:rsid w:val="001A4D3C"/>
    <w:rsid w:val="001A57E3"/>
    <w:rsid w:val="001A717C"/>
    <w:rsid w:val="001B0841"/>
    <w:rsid w:val="001B1502"/>
    <w:rsid w:val="001B2722"/>
    <w:rsid w:val="001B4B7B"/>
    <w:rsid w:val="001B5497"/>
    <w:rsid w:val="001B552C"/>
    <w:rsid w:val="001B5D1B"/>
    <w:rsid w:val="001B5F49"/>
    <w:rsid w:val="001B6071"/>
    <w:rsid w:val="001B747C"/>
    <w:rsid w:val="001B7984"/>
    <w:rsid w:val="001B7A87"/>
    <w:rsid w:val="001B7ACC"/>
    <w:rsid w:val="001B7D3E"/>
    <w:rsid w:val="001C06D3"/>
    <w:rsid w:val="001C06E6"/>
    <w:rsid w:val="001C0791"/>
    <w:rsid w:val="001C0F31"/>
    <w:rsid w:val="001C2265"/>
    <w:rsid w:val="001C2425"/>
    <w:rsid w:val="001C2BDA"/>
    <w:rsid w:val="001C35BF"/>
    <w:rsid w:val="001C3B0F"/>
    <w:rsid w:val="001C4164"/>
    <w:rsid w:val="001C594F"/>
    <w:rsid w:val="001C5968"/>
    <w:rsid w:val="001C655F"/>
    <w:rsid w:val="001C770F"/>
    <w:rsid w:val="001D2CD5"/>
    <w:rsid w:val="001D3043"/>
    <w:rsid w:val="001D3C9A"/>
    <w:rsid w:val="001D43F3"/>
    <w:rsid w:val="001D4F44"/>
    <w:rsid w:val="001D55E7"/>
    <w:rsid w:val="001D576C"/>
    <w:rsid w:val="001D63A1"/>
    <w:rsid w:val="001D7059"/>
    <w:rsid w:val="001D7070"/>
    <w:rsid w:val="001D7391"/>
    <w:rsid w:val="001D76B2"/>
    <w:rsid w:val="001D77A8"/>
    <w:rsid w:val="001D7804"/>
    <w:rsid w:val="001D7C62"/>
    <w:rsid w:val="001E053A"/>
    <w:rsid w:val="001E070A"/>
    <w:rsid w:val="001E108B"/>
    <w:rsid w:val="001E1AD5"/>
    <w:rsid w:val="001E20CB"/>
    <w:rsid w:val="001E2203"/>
    <w:rsid w:val="001E2454"/>
    <w:rsid w:val="001E3E36"/>
    <w:rsid w:val="001E432F"/>
    <w:rsid w:val="001E4963"/>
    <w:rsid w:val="001E4FE1"/>
    <w:rsid w:val="001E53A9"/>
    <w:rsid w:val="001E53D5"/>
    <w:rsid w:val="001E55EF"/>
    <w:rsid w:val="001E60F9"/>
    <w:rsid w:val="001E6778"/>
    <w:rsid w:val="001E69C6"/>
    <w:rsid w:val="001E728B"/>
    <w:rsid w:val="001E73EB"/>
    <w:rsid w:val="001F035C"/>
    <w:rsid w:val="001F0584"/>
    <w:rsid w:val="001F06B2"/>
    <w:rsid w:val="001F07A1"/>
    <w:rsid w:val="001F1376"/>
    <w:rsid w:val="001F2CBE"/>
    <w:rsid w:val="001F3482"/>
    <w:rsid w:val="001F39FF"/>
    <w:rsid w:val="001F41C2"/>
    <w:rsid w:val="001F5119"/>
    <w:rsid w:val="001F5D49"/>
    <w:rsid w:val="001F6908"/>
    <w:rsid w:val="001F6EFE"/>
    <w:rsid w:val="002004CF"/>
    <w:rsid w:val="002011F0"/>
    <w:rsid w:val="00201B5B"/>
    <w:rsid w:val="0020404A"/>
    <w:rsid w:val="002052C8"/>
    <w:rsid w:val="002056B1"/>
    <w:rsid w:val="00205856"/>
    <w:rsid w:val="00205C31"/>
    <w:rsid w:val="0020645D"/>
    <w:rsid w:val="002069FF"/>
    <w:rsid w:val="00206F9A"/>
    <w:rsid w:val="00207490"/>
    <w:rsid w:val="00210C92"/>
    <w:rsid w:val="00211185"/>
    <w:rsid w:val="002126E9"/>
    <w:rsid w:val="00212DDF"/>
    <w:rsid w:val="00212F2A"/>
    <w:rsid w:val="002135E0"/>
    <w:rsid w:val="002138E0"/>
    <w:rsid w:val="0021431D"/>
    <w:rsid w:val="0021472C"/>
    <w:rsid w:val="00214AD1"/>
    <w:rsid w:val="00214CBD"/>
    <w:rsid w:val="00215A98"/>
    <w:rsid w:val="00215CFA"/>
    <w:rsid w:val="00216251"/>
    <w:rsid w:val="00216426"/>
    <w:rsid w:val="0022066B"/>
    <w:rsid w:val="00221529"/>
    <w:rsid w:val="00221813"/>
    <w:rsid w:val="00221AA4"/>
    <w:rsid w:val="00221F20"/>
    <w:rsid w:val="00222090"/>
    <w:rsid w:val="0022277C"/>
    <w:rsid w:val="00222BC2"/>
    <w:rsid w:val="00222CEC"/>
    <w:rsid w:val="0022365E"/>
    <w:rsid w:val="002237DC"/>
    <w:rsid w:val="00223A7C"/>
    <w:rsid w:val="0022403B"/>
    <w:rsid w:val="00224C2E"/>
    <w:rsid w:val="002253B4"/>
    <w:rsid w:val="00225962"/>
    <w:rsid w:val="00225A1E"/>
    <w:rsid w:val="00225FB0"/>
    <w:rsid w:val="0022685F"/>
    <w:rsid w:val="00227D62"/>
    <w:rsid w:val="00230776"/>
    <w:rsid w:val="00230EAA"/>
    <w:rsid w:val="002310D9"/>
    <w:rsid w:val="00231783"/>
    <w:rsid w:val="002325BC"/>
    <w:rsid w:val="002327DB"/>
    <w:rsid w:val="00232926"/>
    <w:rsid w:val="00233127"/>
    <w:rsid w:val="00233178"/>
    <w:rsid w:val="002332B4"/>
    <w:rsid w:val="0023353B"/>
    <w:rsid w:val="002337A4"/>
    <w:rsid w:val="00234227"/>
    <w:rsid w:val="002343D7"/>
    <w:rsid w:val="002345C5"/>
    <w:rsid w:val="0023478B"/>
    <w:rsid w:val="0023719E"/>
    <w:rsid w:val="00237568"/>
    <w:rsid w:val="00237BAA"/>
    <w:rsid w:val="002407B5"/>
    <w:rsid w:val="00240860"/>
    <w:rsid w:val="002415F0"/>
    <w:rsid w:val="00241BC8"/>
    <w:rsid w:val="00243782"/>
    <w:rsid w:val="00244CCB"/>
    <w:rsid w:val="0024550A"/>
    <w:rsid w:val="002456F8"/>
    <w:rsid w:val="00245C1E"/>
    <w:rsid w:val="00246414"/>
    <w:rsid w:val="002464B2"/>
    <w:rsid w:val="00246A4F"/>
    <w:rsid w:val="00246F2B"/>
    <w:rsid w:val="00247D37"/>
    <w:rsid w:val="0025066C"/>
    <w:rsid w:val="002506D0"/>
    <w:rsid w:val="002511B8"/>
    <w:rsid w:val="00251FA8"/>
    <w:rsid w:val="00252E3A"/>
    <w:rsid w:val="002533C4"/>
    <w:rsid w:val="00254B30"/>
    <w:rsid w:val="00254E36"/>
    <w:rsid w:val="0025527C"/>
    <w:rsid w:val="00256717"/>
    <w:rsid w:val="002574A2"/>
    <w:rsid w:val="00260298"/>
    <w:rsid w:val="002607BE"/>
    <w:rsid w:val="002610BF"/>
    <w:rsid w:val="00262010"/>
    <w:rsid w:val="00262ED7"/>
    <w:rsid w:val="002637ED"/>
    <w:rsid w:val="00264678"/>
    <w:rsid w:val="002664C1"/>
    <w:rsid w:val="00266DFE"/>
    <w:rsid w:val="0026700E"/>
    <w:rsid w:val="00267B55"/>
    <w:rsid w:val="00267CB5"/>
    <w:rsid w:val="00267CDC"/>
    <w:rsid w:val="00267DCE"/>
    <w:rsid w:val="00270654"/>
    <w:rsid w:val="002707DB"/>
    <w:rsid w:val="00270D46"/>
    <w:rsid w:val="002720E3"/>
    <w:rsid w:val="00273A97"/>
    <w:rsid w:val="00273F1C"/>
    <w:rsid w:val="0027428C"/>
    <w:rsid w:val="0027489A"/>
    <w:rsid w:val="00275025"/>
    <w:rsid w:val="002759EA"/>
    <w:rsid w:val="002764E3"/>
    <w:rsid w:val="00276653"/>
    <w:rsid w:val="0027694F"/>
    <w:rsid w:val="00276DC7"/>
    <w:rsid w:val="00277D49"/>
    <w:rsid w:val="00277E2C"/>
    <w:rsid w:val="002803F4"/>
    <w:rsid w:val="002806E3"/>
    <w:rsid w:val="00281375"/>
    <w:rsid w:val="0028190F"/>
    <w:rsid w:val="00281B2B"/>
    <w:rsid w:val="002828FE"/>
    <w:rsid w:val="00282DDF"/>
    <w:rsid w:val="0028316F"/>
    <w:rsid w:val="0028667E"/>
    <w:rsid w:val="00286928"/>
    <w:rsid w:val="00286A60"/>
    <w:rsid w:val="002876CA"/>
    <w:rsid w:val="00287B55"/>
    <w:rsid w:val="00291176"/>
    <w:rsid w:val="00291B00"/>
    <w:rsid w:val="00291F97"/>
    <w:rsid w:val="00291FB3"/>
    <w:rsid w:val="00292191"/>
    <w:rsid w:val="002922E1"/>
    <w:rsid w:val="0029269E"/>
    <w:rsid w:val="00293D2C"/>
    <w:rsid w:val="00294D1F"/>
    <w:rsid w:val="00296470"/>
    <w:rsid w:val="00296543"/>
    <w:rsid w:val="00296652"/>
    <w:rsid w:val="002968AD"/>
    <w:rsid w:val="002969B8"/>
    <w:rsid w:val="00297779"/>
    <w:rsid w:val="002979D1"/>
    <w:rsid w:val="002A0694"/>
    <w:rsid w:val="002A0AD0"/>
    <w:rsid w:val="002A0E01"/>
    <w:rsid w:val="002A1B15"/>
    <w:rsid w:val="002A1F45"/>
    <w:rsid w:val="002A1F54"/>
    <w:rsid w:val="002A20EF"/>
    <w:rsid w:val="002A2137"/>
    <w:rsid w:val="002A2F72"/>
    <w:rsid w:val="002A31E2"/>
    <w:rsid w:val="002A33C8"/>
    <w:rsid w:val="002A3721"/>
    <w:rsid w:val="002A3982"/>
    <w:rsid w:val="002A3991"/>
    <w:rsid w:val="002A3ADF"/>
    <w:rsid w:val="002A3B39"/>
    <w:rsid w:val="002A3CAB"/>
    <w:rsid w:val="002A48A4"/>
    <w:rsid w:val="002A4A88"/>
    <w:rsid w:val="002A4DED"/>
    <w:rsid w:val="002A509D"/>
    <w:rsid w:val="002A5903"/>
    <w:rsid w:val="002A67ED"/>
    <w:rsid w:val="002A6A63"/>
    <w:rsid w:val="002A6E1A"/>
    <w:rsid w:val="002A72E6"/>
    <w:rsid w:val="002B044E"/>
    <w:rsid w:val="002B0C60"/>
    <w:rsid w:val="002B17D7"/>
    <w:rsid w:val="002B1D69"/>
    <w:rsid w:val="002B1E30"/>
    <w:rsid w:val="002B207B"/>
    <w:rsid w:val="002B2304"/>
    <w:rsid w:val="002B2EC8"/>
    <w:rsid w:val="002B3A98"/>
    <w:rsid w:val="002B4450"/>
    <w:rsid w:val="002B4FD8"/>
    <w:rsid w:val="002B50F3"/>
    <w:rsid w:val="002B52BC"/>
    <w:rsid w:val="002B57D9"/>
    <w:rsid w:val="002B5C24"/>
    <w:rsid w:val="002B5E17"/>
    <w:rsid w:val="002B5ED2"/>
    <w:rsid w:val="002B64A5"/>
    <w:rsid w:val="002B66F2"/>
    <w:rsid w:val="002B6F0A"/>
    <w:rsid w:val="002B6FBD"/>
    <w:rsid w:val="002B6FD7"/>
    <w:rsid w:val="002B720B"/>
    <w:rsid w:val="002B73D1"/>
    <w:rsid w:val="002B7677"/>
    <w:rsid w:val="002B78DB"/>
    <w:rsid w:val="002B7D19"/>
    <w:rsid w:val="002C00B5"/>
    <w:rsid w:val="002C00FC"/>
    <w:rsid w:val="002C0A2C"/>
    <w:rsid w:val="002C0C87"/>
    <w:rsid w:val="002C14A7"/>
    <w:rsid w:val="002C14F9"/>
    <w:rsid w:val="002C211B"/>
    <w:rsid w:val="002C2ADA"/>
    <w:rsid w:val="002C3280"/>
    <w:rsid w:val="002C335C"/>
    <w:rsid w:val="002C3539"/>
    <w:rsid w:val="002C3D7D"/>
    <w:rsid w:val="002C3F53"/>
    <w:rsid w:val="002C3F7B"/>
    <w:rsid w:val="002C46D0"/>
    <w:rsid w:val="002C484C"/>
    <w:rsid w:val="002C55A5"/>
    <w:rsid w:val="002C55C4"/>
    <w:rsid w:val="002C5A8B"/>
    <w:rsid w:val="002C62FE"/>
    <w:rsid w:val="002C6DD4"/>
    <w:rsid w:val="002C71B6"/>
    <w:rsid w:val="002C78DD"/>
    <w:rsid w:val="002D196A"/>
    <w:rsid w:val="002D221B"/>
    <w:rsid w:val="002D27C1"/>
    <w:rsid w:val="002D4B67"/>
    <w:rsid w:val="002D4F95"/>
    <w:rsid w:val="002D5EFD"/>
    <w:rsid w:val="002D5F74"/>
    <w:rsid w:val="002D6050"/>
    <w:rsid w:val="002D6AEF"/>
    <w:rsid w:val="002D6B63"/>
    <w:rsid w:val="002D6CA6"/>
    <w:rsid w:val="002D6E2B"/>
    <w:rsid w:val="002D7325"/>
    <w:rsid w:val="002D7476"/>
    <w:rsid w:val="002D7A77"/>
    <w:rsid w:val="002E0571"/>
    <w:rsid w:val="002E0B7B"/>
    <w:rsid w:val="002E0E89"/>
    <w:rsid w:val="002E1E65"/>
    <w:rsid w:val="002E21B1"/>
    <w:rsid w:val="002E262F"/>
    <w:rsid w:val="002E2903"/>
    <w:rsid w:val="002E31A0"/>
    <w:rsid w:val="002E3520"/>
    <w:rsid w:val="002E4DD6"/>
    <w:rsid w:val="002E52A3"/>
    <w:rsid w:val="002E5312"/>
    <w:rsid w:val="002E6102"/>
    <w:rsid w:val="002E7042"/>
    <w:rsid w:val="002F0B3E"/>
    <w:rsid w:val="002F1208"/>
    <w:rsid w:val="002F1C36"/>
    <w:rsid w:val="002F21AC"/>
    <w:rsid w:val="002F252E"/>
    <w:rsid w:val="002F358A"/>
    <w:rsid w:val="002F4E5B"/>
    <w:rsid w:val="002F4F1B"/>
    <w:rsid w:val="002F4FCF"/>
    <w:rsid w:val="002F52D2"/>
    <w:rsid w:val="002F57A7"/>
    <w:rsid w:val="003007A3"/>
    <w:rsid w:val="0030210A"/>
    <w:rsid w:val="00302CBB"/>
    <w:rsid w:val="00303134"/>
    <w:rsid w:val="00304850"/>
    <w:rsid w:val="00304B26"/>
    <w:rsid w:val="00304BB2"/>
    <w:rsid w:val="003054CB"/>
    <w:rsid w:val="00305978"/>
    <w:rsid w:val="00305A5F"/>
    <w:rsid w:val="00305DA3"/>
    <w:rsid w:val="00305E88"/>
    <w:rsid w:val="0030601F"/>
    <w:rsid w:val="00306318"/>
    <w:rsid w:val="0030668C"/>
    <w:rsid w:val="00306E8A"/>
    <w:rsid w:val="00307639"/>
    <w:rsid w:val="0030766C"/>
    <w:rsid w:val="00307F74"/>
    <w:rsid w:val="003103AB"/>
    <w:rsid w:val="00310783"/>
    <w:rsid w:val="00311255"/>
    <w:rsid w:val="003113BB"/>
    <w:rsid w:val="003118E6"/>
    <w:rsid w:val="00311A55"/>
    <w:rsid w:val="0031210C"/>
    <w:rsid w:val="003124B9"/>
    <w:rsid w:val="00312DD3"/>
    <w:rsid w:val="00312E49"/>
    <w:rsid w:val="003144D3"/>
    <w:rsid w:val="003149AF"/>
    <w:rsid w:val="00314CAD"/>
    <w:rsid w:val="00314D44"/>
    <w:rsid w:val="00315161"/>
    <w:rsid w:val="003153F2"/>
    <w:rsid w:val="0031587A"/>
    <w:rsid w:val="0031589E"/>
    <w:rsid w:val="0031613A"/>
    <w:rsid w:val="003164E3"/>
    <w:rsid w:val="003167E3"/>
    <w:rsid w:val="00316D84"/>
    <w:rsid w:val="00321348"/>
    <w:rsid w:val="00321A20"/>
    <w:rsid w:val="00321C04"/>
    <w:rsid w:val="00322105"/>
    <w:rsid w:val="003228EC"/>
    <w:rsid w:val="00323047"/>
    <w:rsid w:val="00323D48"/>
    <w:rsid w:val="00323E83"/>
    <w:rsid w:val="00325251"/>
    <w:rsid w:val="0032559A"/>
    <w:rsid w:val="003256DE"/>
    <w:rsid w:val="00325900"/>
    <w:rsid w:val="00326F9C"/>
    <w:rsid w:val="0032763C"/>
    <w:rsid w:val="0032785E"/>
    <w:rsid w:val="00330754"/>
    <w:rsid w:val="0033085E"/>
    <w:rsid w:val="00330D31"/>
    <w:rsid w:val="00330E1A"/>
    <w:rsid w:val="00330F71"/>
    <w:rsid w:val="00331ED1"/>
    <w:rsid w:val="00332481"/>
    <w:rsid w:val="00332B45"/>
    <w:rsid w:val="00332FB0"/>
    <w:rsid w:val="00333584"/>
    <w:rsid w:val="00333921"/>
    <w:rsid w:val="00333B5E"/>
    <w:rsid w:val="00333B93"/>
    <w:rsid w:val="00333E8C"/>
    <w:rsid w:val="00333F02"/>
    <w:rsid w:val="00335136"/>
    <w:rsid w:val="0033547A"/>
    <w:rsid w:val="0033567B"/>
    <w:rsid w:val="003357B5"/>
    <w:rsid w:val="00335B4D"/>
    <w:rsid w:val="003367A4"/>
    <w:rsid w:val="00336BB4"/>
    <w:rsid w:val="0034096A"/>
    <w:rsid w:val="00341ADD"/>
    <w:rsid w:val="00341BCE"/>
    <w:rsid w:val="003427BA"/>
    <w:rsid w:val="00343C5D"/>
    <w:rsid w:val="003446AB"/>
    <w:rsid w:val="00344A62"/>
    <w:rsid w:val="00344BC2"/>
    <w:rsid w:val="00345A63"/>
    <w:rsid w:val="00345BB0"/>
    <w:rsid w:val="0034609A"/>
    <w:rsid w:val="0034647E"/>
    <w:rsid w:val="003465F9"/>
    <w:rsid w:val="003501D9"/>
    <w:rsid w:val="00350639"/>
    <w:rsid w:val="00350C96"/>
    <w:rsid w:val="00350D42"/>
    <w:rsid w:val="00350D7A"/>
    <w:rsid w:val="00351C57"/>
    <w:rsid w:val="00351F45"/>
    <w:rsid w:val="0035253E"/>
    <w:rsid w:val="0035259E"/>
    <w:rsid w:val="003525C6"/>
    <w:rsid w:val="00352634"/>
    <w:rsid w:val="003538A4"/>
    <w:rsid w:val="00353BAC"/>
    <w:rsid w:val="00353D59"/>
    <w:rsid w:val="00353D9A"/>
    <w:rsid w:val="0035402F"/>
    <w:rsid w:val="00354238"/>
    <w:rsid w:val="00355540"/>
    <w:rsid w:val="00355E47"/>
    <w:rsid w:val="003569CA"/>
    <w:rsid w:val="00356E48"/>
    <w:rsid w:val="0035709D"/>
    <w:rsid w:val="003572B5"/>
    <w:rsid w:val="003574C7"/>
    <w:rsid w:val="00357832"/>
    <w:rsid w:val="00357F70"/>
    <w:rsid w:val="003602B9"/>
    <w:rsid w:val="003604D7"/>
    <w:rsid w:val="003604F7"/>
    <w:rsid w:val="00360577"/>
    <w:rsid w:val="00360D29"/>
    <w:rsid w:val="0036154C"/>
    <w:rsid w:val="00361589"/>
    <w:rsid w:val="003617D8"/>
    <w:rsid w:val="00361805"/>
    <w:rsid w:val="0036202F"/>
    <w:rsid w:val="0036203A"/>
    <w:rsid w:val="00362E67"/>
    <w:rsid w:val="003634F8"/>
    <w:rsid w:val="00363A2F"/>
    <w:rsid w:val="00363D93"/>
    <w:rsid w:val="0036427A"/>
    <w:rsid w:val="00364BBC"/>
    <w:rsid w:val="00364BE5"/>
    <w:rsid w:val="0036506D"/>
    <w:rsid w:val="00365694"/>
    <w:rsid w:val="00367595"/>
    <w:rsid w:val="00367AA3"/>
    <w:rsid w:val="00367C66"/>
    <w:rsid w:val="00367D6E"/>
    <w:rsid w:val="00371D12"/>
    <w:rsid w:val="00371EDC"/>
    <w:rsid w:val="00371F23"/>
    <w:rsid w:val="003721DA"/>
    <w:rsid w:val="00372409"/>
    <w:rsid w:val="00372979"/>
    <w:rsid w:val="003732DE"/>
    <w:rsid w:val="0037346F"/>
    <w:rsid w:val="00373658"/>
    <w:rsid w:val="00373A8E"/>
    <w:rsid w:val="00373D26"/>
    <w:rsid w:val="00374998"/>
    <w:rsid w:val="00374FFB"/>
    <w:rsid w:val="00375730"/>
    <w:rsid w:val="00376826"/>
    <w:rsid w:val="0037694E"/>
    <w:rsid w:val="0037699D"/>
    <w:rsid w:val="00377602"/>
    <w:rsid w:val="00377701"/>
    <w:rsid w:val="00380D4B"/>
    <w:rsid w:val="003810D2"/>
    <w:rsid w:val="003815B6"/>
    <w:rsid w:val="003815EA"/>
    <w:rsid w:val="0038248C"/>
    <w:rsid w:val="003850AA"/>
    <w:rsid w:val="00385A31"/>
    <w:rsid w:val="00385BA8"/>
    <w:rsid w:val="0038610F"/>
    <w:rsid w:val="00386857"/>
    <w:rsid w:val="003868A3"/>
    <w:rsid w:val="003869AD"/>
    <w:rsid w:val="00387191"/>
    <w:rsid w:val="00387595"/>
    <w:rsid w:val="00390150"/>
    <w:rsid w:val="00390BE2"/>
    <w:rsid w:val="00391834"/>
    <w:rsid w:val="00391C28"/>
    <w:rsid w:val="00392443"/>
    <w:rsid w:val="00392B83"/>
    <w:rsid w:val="00393026"/>
    <w:rsid w:val="003930E8"/>
    <w:rsid w:val="00393394"/>
    <w:rsid w:val="003933D9"/>
    <w:rsid w:val="00393620"/>
    <w:rsid w:val="0039376D"/>
    <w:rsid w:val="00393B9A"/>
    <w:rsid w:val="00395714"/>
    <w:rsid w:val="00396167"/>
    <w:rsid w:val="0039692B"/>
    <w:rsid w:val="003A0017"/>
    <w:rsid w:val="003A00A3"/>
    <w:rsid w:val="003A04BC"/>
    <w:rsid w:val="003A100B"/>
    <w:rsid w:val="003A15B2"/>
    <w:rsid w:val="003A1A7B"/>
    <w:rsid w:val="003A1D2C"/>
    <w:rsid w:val="003A1F42"/>
    <w:rsid w:val="003A1FBE"/>
    <w:rsid w:val="003A2EFB"/>
    <w:rsid w:val="003A33D2"/>
    <w:rsid w:val="003A3939"/>
    <w:rsid w:val="003A39BF"/>
    <w:rsid w:val="003A4545"/>
    <w:rsid w:val="003A45A9"/>
    <w:rsid w:val="003A49CB"/>
    <w:rsid w:val="003A5449"/>
    <w:rsid w:val="003A5663"/>
    <w:rsid w:val="003A588F"/>
    <w:rsid w:val="003A61B1"/>
    <w:rsid w:val="003A6250"/>
    <w:rsid w:val="003A7A78"/>
    <w:rsid w:val="003A7B31"/>
    <w:rsid w:val="003A7D47"/>
    <w:rsid w:val="003B02FF"/>
    <w:rsid w:val="003B0738"/>
    <w:rsid w:val="003B0D21"/>
    <w:rsid w:val="003B104B"/>
    <w:rsid w:val="003B15A5"/>
    <w:rsid w:val="003B25A7"/>
    <w:rsid w:val="003B2BE6"/>
    <w:rsid w:val="003B358E"/>
    <w:rsid w:val="003B383B"/>
    <w:rsid w:val="003B38E8"/>
    <w:rsid w:val="003B397B"/>
    <w:rsid w:val="003B4621"/>
    <w:rsid w:val="003B46DA"/>
    <w:rsid w:val="003B49D3"/>
    <w:rsid w:val="003B4BFD"/>
    <w:rsid w:val="003B4EA9"/>
    <w:rsid w:val="003B4F39"/>
    <w:rsid w:val="003B502F"/>
    <w:rsid w:val="003B54A7"/>
    <w:rsid w:val="003B558D"/>
    <w:rsid w:val="003B583C"/>
    <w:rsid w:val="003B5999"/>
    <w:rsid w:val="003B5DE1"/>
    <w:rsid w:val="003B60CF"/>
    <w:rsid w:val="003B67E1"/>
    <w:rsid w:val="003B6A8A"/>
    <w:rsid w:val="003B7A17"/>
    <w:rsid w:val="003B7B73"/>
    <w:rsid w:val="003B7C8F"/>
    <w:rsid w:val="003B7DDD"/>
    <w:rsid w:val="003C00D1"/>
    <w:rsid w:val="003C0458"/>
    <w:rsid w:val="003C08C2"/>
    <w:rsid w:val="003C0BA9"/>
    <w:rsid w:val="003C0C33"/>
    <w:rsid w:val="003C1CA6"/>
    <w:rsid w:val="003C2517"/>
    <w:rsid w:val="003C3795"/>
    <w:rsid w:val="003C38B8"/>
    <w:rsid w:val="003C390F"/>
    <w:rsid w:val="003C3920"/>
    <w:rsid w:val="003C3B51"/>
    <w:rsid w:val="003C3CFF"/>
    <w:rsid w:val="003C3DD2"/>
    <w:rsid w:val="003C52D4"/>
    <w:rsid w:val="003C67CB"/>
    <w:rsid w:val="003C74B4"/>
    <w:rsid w:val="003C79B9"/>
    <w:rsid w:val="003C79EC"/>
    <w:rsid w:val="003D0C22"/>
    <w:rsid w:val="003D0D79"/>
    <w:rsid w:val="003D13C3"/>
    <w:rsid w:val="003D2C86"/>
    <w:rsid w:val="003D2E98"/>
    <w:rsid w:val="003D3780"/>
    <w:rsid w:val="003D385E"/>
    <w:rsid w:val="003D4754"/>
    <w:rsid w:val="003D4CE3"/>
    <w:rsid w:val="003D53CA"/>
    <w:rsid w:val="003D5ABB"/>
    <w:rsid w:val="003D5F1D"/>
    <w:rsid w:val="003D6B7F"/>
    <w:rsid w:val="003D7375"/>
    <w:rsid w:val="003D75C3"/>
    <w:rsid w:val="003D7A17"/>
    <w:rsid w:val="003E1098"/>
    <w:rsid w:val="003E13FA"/>
    <w:rsid w:val="003E144D"/>
    <w:rsid w:val="003E1636"/>
    <w:rsid w:val="003E185C"/>
    <w:rsid w:val="003E1BC7"/>
    <w:rsid w:val="003E218E"/>
    <w:rsid w:val="003E2CAD"/>
    <w:rsid w:val="003E2D8B"/>
    <w:rsid w:val="003E2EF0"/>
    <w:rsid w:val="003E4E55"/>
    <w:rsid w:val="003E4E73"/>
    <w:rsid w:val="003E5F43"/>
    <w:rsid w:val="003E614F"/>
    <w:rsid w:val="003E6527"/>
    <w:rsid w:val="003E743F"/>
    <w:rsid w:val="003E7BC4"/>
    <w:rsid w:val="003F0089"/>
    <w:rsid w:val="003F0964"/>
    <w:rsid w:val="003F0B41"/>
    <w:rsid w:val="003F119A"/>
    <w:rsid w:val="003F311E"/>
    <w:rsid w:val="003F3A67"/>
    <w:rsid w:val="003F40EB"/>
    <w:rsid w:val="003F4199"/>
    <w:rsid w:val="003F4918"/>
    <w:rsid w:val="003F5305"/>
    <w:rsid w:val="003F541E"/>
    <w:rsid w:val="003F54AA"/>
    <w:rsid w:val="003F5D52"/>
    <w:rsid w:val="003F5D5F"/>
    <w:rsid w:val="003F5E3A"/>
    <w:rsid w:val="003F6155"/>
    <w:rsid w:val="003F6A5E"/>
    <w:rsid w:val="003F7206"/>
    <w:rsid w:val="003F7966"/>
    <w:rsid w:val="004011CF"/>
    <w:rsid w:val="004012D4"/>
    <w:rsid w:val="00403131"/>
    <w:rsid w:val="004033F1"/>
    <w:rsid w:val="00403B75"/>
    <w:rsid w:val="004049E4"/>
    <w:rsid w:val="00404DCF"/>
    <w:rsid w:val="0040539B"/>
    <w:rsid w:val="004059FA"/>
    <w:rsid w:val="004065F4"/>
    <w:rsid w:val="00406B1E"/>
    <w:rsid w:val="00407309"/>
    <w:rsid w:val="00407A69"/>
    <w:rsid w:val="0041004A"/>
    <w:rsid w:val="00410777"/>
    <w:rsid w:val="00410B34"/>
    <w:rsid w:val="00411AD6"/>
    <w:rsid w:val="00411CFB"/>
    <w:rsid w:val="0041248B"/>
    <w:rsid w:val="00412EB1"/>
    <w:rsid w:val="004131AA"/>
    <w:rsid w:val="004133D1"/>
    <w:rsid w:val="00413978"/>
    <w:rsid w:val="004140B8"/>
    <w:rsid w:val="0041498B"/>
    <w:rsid w:val="00414A5F"/>
    <w:rsid w:val="004153FD"/>
    <w:rsid w:val="0041596D"/>
    <w:rsid w:val="00415C36"/>
    <w:rsid w:val="00416400"/>
    <w:rsid w:val="00416853"/>
    <w:rsid w:val="00416895"/>
    <w:rsid w:val="00416A55"/>
    <w:rsid w:val="00417626"/>
    <w:rsid w:val="00417B63"/>
    <w:rsid w:val="00417B87"/>
    <w:rsid w:val="00417BF7"/>
    <w:rsid w:val="004206B2"/>
    <w:rsid w:val="00421419"/>
    <w:rsid w:val="00421DF1"/>
    <w:rsid w:val="00424F81"/>
    <w:rsid w:val="00426E48"/>
    <w:rsid w:val="004271FA"/>
    <w:rsid w:val="00427579"/>
    <w:rsid w:val="00427BE5"/>
    <w:rsid w:val="0043046E"/>
    <w:rsid w:val="00430BD5"/>
    <w:rsid w:val="004312DD"/>
    <w:rsid w:val="0043196C"/>
    <w:rsid w:val="004322B0"/>
    <w:rsid w:val="00432691"/>
    <w:rsid w:val="0043300B"/>
    <w:rsid w:val="004332F6"/>
    <w:rsid w:val="004338FD"/>
    <w:rsid w:val="00433DA2"/>
    <w:rsid w:val="004344B5"/>
    <w:rsid w:val="004347D3"/>
    <w:rsid w:val="00434C5B"/>
    <w:rsid w:val="00435139"/>
    <w:rsid w:val="004356B1"/>
    <w:rsid w:val="00435CE3"/>
    <w:rsid w:val="00436499"/>
    <w:rsid w:val="00436AA9"/>
    <w:rsid w:val="00436DB9"/>
    <w:rsid w:val="00437E0F"/>
    <w:rsid w:val="004405C6"/>
    <w:rsid w:val="00440F95"/>
    <w:rsid w:val="004410C6"/>
    <w:rsid w:val="004422F4"/>
    <w:rsid w:val="00443480"/>
    <w:rsid w:val="00443821"/>
    <w:rsid w:val="0044384B"/>
    <w:rsid w:val="00443B40"/>
    <w:rsid w:val="00443E69"/>
    <w:rsid w:val="00444653"/>
    <w:rsid w:val="004455BD"/>
    <w:rsid w:val="00445B65"/>
    <w:rsid w:val="00445BC7"/>
    <w:rsid w:val="00447462"/>
    <w:rsid w:val="004478BD"/>
    <w:rsid w:val="00447ABF"/>
    <w:rsid w:val="00450748"/>
    <w:rsid w:val="00450F3D"/>
    <w:rsid w:val="004515D0"/>
    <w:rsid w:val="00451E6E"/>
    <w:rsid w:val="00452223"/>
    <w:rsid w:val="00452300"/>
    <w:rsid w:val="00452493"/>
    <w:rsid w:val="0045276B"/>
    <w:rsid w:val="00452F5C"/>
    <w:rsid w:val="00453CDB"/>
    <w:rsid w:val="00453E00"/>
    <w:rsid w:val="00453EDA"/>
    <w:rsid w:val="00453F1A"/>
    <w:rsid w:val="00454A4B"/>
    <w:rsid w:val="00455281"/>
    <w:rsid w:val="004555A9"/>
    <w:rsid w:val="00455D56"/>
    <w:rsid w:val="00456A93"/>
    <w:rsid w:val="0045734C"/>
    <w:rsid w:val="00457583"/>
    <w:rsid w:val="004601E9"/>
    <w:rsid w:val="0046022F"/>
    <w:rsid w:val="00461609"/>
    <w:rsid w:val="00461CE3"/>
    <w:rsid w:val="004621DD"/>
    <w:rsid w:val="004623E9"/>
    <w:rsid w:val="00462D9E"/>
    <w:rsid w:val="0046434B"/>
    <w:rsid w:val="00464583"/>
    <w:rsid w:val="00465231"/>
    <w:rsid w:val="004657BF"/>
    <w:rsid w:val="004659C8"/>
    <w:rsid w:val="00465A5B"/>
    <w:rsid w:val="00465F75"/>
    <w:rsid w:val="00466323"/>
    <w:rsid w:val="0046771E"/>
    <w:rsid w:val="00467761"/>
    <w:rsid w:val="004701CF"/>
    <w:rsid w:val="00470EFF"/>
    <w:rsid w:val="00470F97"/>
    <w:rsid w:val="0047126E"/>
    <w:rsid w:val="004716AA"/>
    <w:rsid w:val="004717FE"/>
    <w:rsid w:val="00473089"/>
    <w:rsid w:val="00473A8D"/>
    <w:rsid w:val="00473AFB"/>
    <w:rsid w:val="00474190"/>
    <w:rsid w:val="00474462"/>
    <w:rsid w:val="004750B0"/>
    <w:rsid w:val="004757BB"/>
    <w:rsid w:val="0047582E"/>
    <w:rsid w:val="00476255"/>
    <w:rsid w:val="004779C4"/>
    <w:rsid w:val="0048030D"/>
    <w:rsid w:val="00480B0C"/>
    <w:rsid w:val="00480C25"/>
    <w:rsid w:val="004815CE"/>
    <w:rsid w:val="004816BD"/>
    <w:rsid w:val="004819EF"/>
    <w:rsid w:val="0048256D"/>
    <w:rsid w:val="00483606"/>
    <w:rsid w:val="00485A50"/>
    <w:rsid w:val="00485F86"/>
    <w:rsid w:val="004867D9"/>
    <w:rsid w:val="00486976"/>
    <w:rsid w:val="004874DA"/>
    <w:rsid w:val="0048788F"/>
    <w:rsid w:val="00487A6F"/>
    <w:rsid w:val="00487EEA"/>
    <w:rsid w:val="00490A2B"/>
    <w:rsid w:val="00490F96"/>
    <w:rsid w:val="00490FB7"/>
    <w:rsid w:val="00491122"/>
    <w:rsid w:val="00491196"/>
    <w:rsid w:val="00491766"/>
    <w:rsid w:val="0049180B"/>
    <w:rsid w:val="00491B26"/>
    <w:rsid w:val="00491E9B"/>
    <w:rsid w:val="00491ED3"/>
    <w:rsid w:val="00492CFD"/>
    <w:rsid w:val="0049309A"/>
    <w:rsid w:val="00494072"/>
    <w:rsid w:val="0049482B"/>
    <w:rsid w:val="00494FA9"/>
    <w:rsid w:val="0049550C"/>
    <w:rsid w:val="00495C9A"/>
    <w:rsid w:val="00496135"/>
    <w:rsid w:val="00497E6A"/>
    <w:rsid w:val="004A0F00"/>
    <w:rsid w:val="004A123A"/>
    <w:rsid w:val="004A15B2"/>
    <w:rsid w:val="004A287B"/>
    <w:rsid w:val="004A2D3C"/>
    <w:rsid w:val="004A33AB"/>
    <w:rsid w:val="004A3715"/>
    <w:rsid w:val="004A3A5F"/>
    <w:rsid w:val="004A3C6D"/>
    <w:rsid w:val="004A3CB0"/>
    <w:rsid w:val="004A40C9"/>
    <w:rsid w:val="004A4AA7"/>
    <w:rsid w:val="004A4C17"/>
    <w:rsid w:val="004A528E"/>
    <w:rsid w:val="004A610A"/>
    <w:rsid w:val="004A6786"/>
    <w:rsid w:val="004A6DC0"/>
    <w:rsid w:val="004A777C"/>
    <w:rsid w:val="004A7C2C"/>
    <w:rsid w:val="004B02E6"/>
    <w:rsid w:val="004B02FE"/>
    <w:rsid w:val="004B0EFD"/>
    <w:rsid w:val="004B145A"/>
    <w:rsid w:val="004B145B"/>
    <w:rsid w:val="004B1685"/>
    <w:rsid w:val="004B2690"/>
    <w:rsid w:val="004B2F5A"/>
    <w:rsid w:val="004B3119"/>
    <w:rsid w:val="004B3925"/>
    <w:rsid w:val="004B3CC7"/>
    <w:rsid w:val="004B3CD7"/>
    <w:rsid w:val="004B3F2D"/>
    <w:rsid w:val="004B4B39"/>
    <w:rsid w:val="004B51AB"/>
    <w:rsid w:val="004B5C02"/>
    <w:rsid w:val="004B5E17"/>
    <w:rsid w:val="004B66FF"/>
    <w:rsid w:val="004B6CBB"/>
    <w:rsid w:val="004B6CDC"/>
    <w:rsid w:val="004B7641"/>
    <w:rsid w:val="004C00C7"/>
    <w:rsid w:val="004C083D"/>
    <w:rsid w:val="004C0E32"/>
    <w:rsid w:val="004C10A1"/>
    <w:rsid w:val="004C1ADA"/>
    <w:rsid w:val="004C1EB4"/>
    <w:rsid w:val="004C20D3"/>
    <w:rsid w:val="004C27B7"/>
    <w:rsid w:val="004C2C5B"/>
    <w:rsid w:val="004C2FEC"/>
    <w:rsid w:val="004C32B8"/>
    <w:rsid w:val="004C32FF"/>
    <w:rsid w:val="004C33F4"/>
    <w:rsid w:val="004C3DC0"/>
    <w:rsid w:val="004C48FD"/>
    <w:rsid w:val="004C5165"/>
    <w:rsid w:val="004C5857"/>
    <w:rsid w:val="004C593B"/>
    <w:rsid w:val="004C5A82"/>
    <w:rsid w:val="004C5AE2"/>
    <w:rsid w:val="004C60F5"/>
    <w:rsid w:val="004C6549"/>
    <w:rsid w:val="004C66EF"/>
    <w:rsid w:val="004C6A81"/>
    <w:rsid w:val="004C6B3A"/>
    <w:rsid w:val="004C6C96"/>
    <w:rsid w:val="004C76AE"/>
    <w:rsid w:val="004C7EF6"/>
    <w:rsid w:val="004D0B3A"/>
    <w:rsid w:val="004D214E"/>
    <w:rsid w:val="004D255E"/>
    <w:rsid w:val="004D2889"/>
    <w:rsid w:val="004D2956"/>
    <w:rsid w:val="004D2D86"/>
    <w:rsid w:val="004D306F"/>
    <w:rsid w:val="004D350A"/>
    <w:rsid w:val="004D3582"/>
    <w:rsid w:val="004D3871"/>
    <w:rsid w:val="004D4194"/>
    <w:rsid w:val="004D4A30"/>
    <w:rsid w:val="004D592B"/>
    <w:rsid w:val="004D5BF7"/>
    <w:rsid w:val="004D5C1C"/>
    <w:rsid w:val="004D5F55"/>
    <w:rsid w:val="004D60C8"/>
    <w:rsid w:val="004D6318"/>
    <w:rsid w:val="004D67EE"/>
    <w:rsid w:val="004D74D1"/>
    <w:rsid w:val="004D7DE1"/>
    <w:rsid w:val="004E0EF9"/>
    <w:rsid w:val="004E1A2A"/>
    <w:rsid w:val="004E338F"/>
    <w:rsid w:val="004E39BA"/>
    <w:rsid w:val="004E4317"/>
    <w:rsid w:val="004E4B51"/>
    <w:rsid w:val="004E4D3F"/>
    <w:rsid w:val="004E4DA0"/>
    <w:rsid w:val="004E5AE6"/>
    <w:rsid w:val="004E60CC"/>
    <w:rsid w:val="004E672A"/>
    <w:rsid w:val="004E6AD0"/>
    <w:rsid w:val="004E6E14"/>
    <w:rsid w:val="004E710E"/>
    <w:rsid w:val="004E79CE"/>
    <w:rsid w:val="004E7A92"/>
    <w:rsid w:val="004E7B38"/>
    <w:rsid w:val="004E7DC5"/>
    <w:rsid w:val="004F02FD"/>
    <w:rsid w:val="004F1278"/>
    <w:rsid w:val="004F159B"/>
    <w:rsid w:val="004F232D"/>
    <w:rsid w:val="004F283E"/>
    <w:rsid w:val="004F2A56"/>
    <w:rsid w:val="004F2CA3"/>
    <w:rsid w:val="004F3A54"/>
    <w:rsid w:val="004F4D49"/>
    <w:rsid w:val="004F500D"/>
    <w:rsid w:val="004F59CF"/>
    <w:rsid w:val="004F5A54"/>
    <w:rsid w:val="004F61FD"/>
    <w:rsid w:val="004F67F6"/>
    <w:rsid w:val="004F68D9"/>
    <w:rsid w:val="004F6DDF"/>
    <w:rsid w:val="004F6FFD"/>
    <w:rsid w:val="004F787E"/>
    <w:rsid w:val="005000E9"/>
    <w:rsid w:val="0050084C"/>
    <w:rsid w:val="00501A98"/>
    <w:rsid w:val="005022FC"/>
    <w:rsid w:val="005023AB"/>
    <w:rsid w:val="005026F3"/>
    <w:rsid w:val="00505725"/>
    <w:rsid w:val="00505F0B"/>
    <w:rsid w:val="0050617F"/>
    <w:rsid w:val="00506410"/>
    <w:rsid w:val="005067C8"/>
    <w:rsid w:val="00506823"/>
    <w:rsid w:val="00506A3B"/>
    <w:rsid w:val="00506C2C"/>
    <w:rsid w:val="005070EE"/>
    <w:rsid w:val="00507338"/>
    <w:rsid w:val="00507AB4"/>
    <w:rsid w:val="00507BA1"/>
    <w:rsid w:val="00510296"/>
    <w:rsid w:val="00510BE5"/>
    <w:rsid w:val="00510EF6"/>
    <w:rsid w:val="005119F3"/>
    <w:rsid w:val="00511A55"/>
    <w:rsid w:val="00511DE0"/>
    <w:rsid w:val="00512952"/>
    <w:rsid w:val="00513ADF"/>
    <w:rsid w:val="005155F7"/>
    <w:rsid w:val="0051654A"/>
    <w:rsid w:val="00516588"/>
    <w:rsid w:val="00516898"/>
    <w:rsid w:val="00516CEE"/>
    <w:rsid w:val="00517199"/>
    <w:rsid w:val="0051746A"/>
    <w:rsid w:val="005178B1"/>
    <w:rsid w:val="00521B46"/>
    <w:rsid w:val="00522287"/>
    <w:rsid w:val="005227FA"/>
    <w:rsid w:val="005229C8"/>
    <w:rsid w:val="00522E41"/>
    <w:rsid w:val="005248D4"/>
    <w:rsid w:val="00525474"/>
    <w:rsid w:val="00525578"/>
    <w:rsid w:val="005255C7"/>
    <w:rsid w:val="00525700"/>
    <w:rsid w:val="00525EA9"/>
    <w:rsid w:val="00525F96"/>
    <w:rsid w:val="00527E6B"/>
    <w:rsid w:val="005302C6"/>
    <w:rsid w:val="005310C6"/>
    <w:rsid w:val="005319CF"/>
    <w:rsid w:val="00531F3C"/>
    <w:rsid w:val="0053212A"/>
    <w:rsid w:val="00532496"/>
    <w:rsid w:val="00532D95"/>
    <w:rsid w:val="00532D9C"/>
    <w:rsid w:val="00533229"/>
    <w:rsid w:val="00535862"/>
    <w:rsid w:val="00535B2C"/>
    <w:rsid w:val="00535E63"/>
    <w:rsid w:val="00536392"/>
    <w:rsid w:val="00540F16"/>
    <w:rsid w:val="00541620"/>
    <w:rsid w:val="00541ACC"/>
    <w:rsid w:val="00541E1C"/>
    <w:rsid w:val="00542816"/>
    <w:rsid w:val="005429C5"/>
    <w:rsid w:val="00543058"/>
    <w:rsid w:val="0054395F"/>
    <w:rsid w:val="00543C1C"/>
    <w:rsid w:val="005443CE"/>
    <w:rsid w:val="005459A5"/>
    <w:rsid w:val="005462DC"/>
    <w:rsid w:val="00546D39"/>
    <w:rsid w:val="005476F3"/>
    <w:rsid w:val="00547EAE"/>
    <w:rsid w:val="00550310"/>
    <w:rsid w:val="00551CEF"/>
    <w:rsid w:val="0055273A"/>
    <w:rsid w:val="00554D2A"/>
    <w:rsid w:val="0055512C"/>
    <w:rsid w:val="0055523F"/>
    <w:rsid w:val="00555D63"/>
    <w:rsid w:val="00555F18"/>
    <w:rsid w:val="00555F50"/>
    <w:rsid w:val="00556B8E"/>
    <w:rsid w:val="00556D06"/>
    <w:rsid w:val="00556EF7"/>
    <w:rsid w:val="00556F97"/>
    <w:rsid w:val="00557395"/>
    <w:rsid w:val="005575A9"/>
    <w:rsid w:val="00557984"/>
    <w:rsid w:val="005579C0"/>
    <w:rsid w:val="00557AD3"/>
    <w:rsid w:val="00557C3B"/>
    <w:rsid w:val="00557CF8"/>
    <w:rsid w:val="005616DA"/>
    <w:rsid w:val="005619E9"/>
    <w:rsid w:val="00562814"/>
    <w:rsid w:val="005628A7"/>
    <w:rsid w:val="00562E6B"/>
    <w:rsid w:val="005630CE"/>
    <w:rsid w:val="00563559"/>
    <w:rsid w:val="0056391A"/>
    <w:rsid w:val="00564352"/>
    <w:rsid w:val="005648AD"/>
    <w:rsid w:val="005654C5"/>
    <w:rsid w:val="00565D19"/>
    <w:rsid w:val="00565E18"/>
    <w:rsid w:val="005664C4"/>
    <w:rsid w:val="00566739"/>
    <w:rsid w:val="00566C58"/>
    <w:rsid w:val="005673DA"/>
    <w:rsid w:val="00567FCB"/>
    <w:rsid w:val="0057026F"/>
    <w:rsid w:val="00570369"/>
    <w:rsid w:val="00570446"/>
    <w:rsid w:val="00570576"/>
    <w:rsid w:val="00570CB9"/>
    <w:rsid w:val="00572616"/>
    <w:rsid w:val="005726D0"/>
    <w:rsid w:val="00573033"/>
    <w:rsid w:val="00573141"/>
    <w:rsid w:val="00573A1C"/>
    <w:rsid w:val="0057414E"/>
    <w:rsid w:val="0057458A"/>
    <w:rsid w:val="00574982"/>
    <w:rsid w:val="00574F22"/>
    <w:rsid w:val="005761BA"/>
    <w:rsid w:val="00576BCE"/>
    <w:rsid w:val="00576FEF"/>
    <w:rsid w:val="00577179"/>
    <w:rsid w:val="005779B5"/>
    <w:rsid w:val="00580A14"/>
    <w:rsid w:val="00580DED"/>
    <w:rsid w:val="005815F7"/>
    <w:rsid w:val="00581736"/>
    <w:rsid w:val="00581BC3"/>
    <w:rsid w:val="0058299B"/>
    <w:rsid w:val="00583005"/>
    <w:rsid w:val="00583D34"/>
    <w:rsid w:val="00583E54"/>
    <w:rsid w:val="0058436F"/>
    <w:rsid w:val="00584AB0"/>
    <w:rsid w:val="005850FE"/>
    <w:rsid w:val="00585A5A"/>
    <w:rsid w:val="00586321"/>
    <w:rsid w:val="0058668E"/>
    <w:rsid w:val="00587C42"/>
    <w:rsid w:val="0059058D"/>
    <w:rsid w:val="00590EF0"/>
    <w:rsid w:val="005915E7"/>
    <w:rsid w:val="005917AA"/>
    <w:rsid w:val="00591DC0"/>
    <w:rsid w:val="005927AD"/>
    <w:rsid w:val="005936B4"/>
    <w:rsid w:val="00593A56"/>
    <w:rsid w:val="00594291"/>
    <w:rsid w:val="0059430B"/>
    <w:rsid w:val="0059471E"/>
    <w:rsid w:val="005948C6"/>
    <w:rsid w:val="00595DB8"/>
    <w:rsid w:val="00595F77"/>
    <w:rsid w:val="005970C7"/>
    <w:rsid w:val="0059767F"/>
    <w:rsid w:val="00597C97"/>
    <w:rsid w:val="00597D06"/>
    <w:rsid w:val="005A06C6"/>
    <w:rsid w:val="005A08B7"/>
    <w:rsid w:val="005A119D"/>
    <w:rsid w:val="005A1223"/>
    <w:rsid w:val="005A14C0"/>
    <w:rsid w:val="005A216A"/>
    <w:rsid w:val="005A2628"/>
    <w:rsid w:val="005A2646"/>
    <w:rsid w:val="005A30AE"/>
    <w:rsid w:val="005A3A7F"/>
    <w:rsid w:val="005A538F"/>
    <w:rsid w:val="005A5617"/>
    <w:rsid w:val="005A5C07"/>
    <w:rsid w:val="005A6690"/>
    <w:rsid w:val="005A6855"/>
    <w:rsid w:val="005B2AD8"/>
    <w:rsid w:val="005B30F8"/>
    <w:rsid w:val="005B3446"/>
    <w:rsid w:val="005B3C0B"/>
    <w:rsid w:val="005B53D0"/>
    <w:rsid w:val="005B5DA5"/>
    <w:rsid w:val="005B5EE9"/>
    <w:rsid w:val="005B5FD0"/>
    <w:rsid w:val="005B6B47"/>
    <w:rsid w:val="005B73DA"/>
    <w:rsid w:val="005B7A39"/>
    <w:rsid w:val="005C0009"/>
    <w:rsid w:val="005C127E"/>
    <w:rsid w:val="005C19A0"/>
    <w:rsid w:val="005C1A6F"/>
    <w:rsid w:val="005C1FC0"/>
    <w:rsid w:val="005C378F"/>
    <w:rsid w:val="005C3FB1"/>
    <w:rsid w:val="005C46FF"/>
    <w:rsid w:val="005C4B3C"/>
    <w:rsid w:val="005C524A"/>
    <w:rsid w:val="005C5568"/>
    <w:rsid w:val="005C5597"/>
    <w:rsid w:val="005C6548"/>
    <w:rsid w:val="005C7789"/>
    <w:rsid w:val="005C7B2D"/>
    <w:rsid w:val="005C7B36"/>
    <w:rsid w:val="005C7ECE"/>
    <w:rsid w:val="005C7F05"/>
    <w:rsid w:val="005D0076"/>
    <w:rsid w:val="005D155D"/>
    <w:rsid w:val="005D15F0"/>
    <w:rsid w:val="005D1B4A"/>
    <w:rsid w:val="005D1EDD"/>
    <w:rsid w:val="005D28D9"/>
    <w:rsid w:val="005D3596"/>
    <w:rsid w:val="005D56EE"/>
    <w:rsid w:val="005D57A4"/>
    <w:rsid w:val="005D67C6"/>
    <w:rsid w:val="005D749B"/>
    <w:rsid w:val="005D7CA5"/>
    <w:rsid w:val="005E05E7"/>
    <w:rsid w:val="005E16A9"/>
    <w:rsid w:val="005E1D4A"/>
    <w:rsid w:val="005E1DDC"/>
    <w:rsid w:val="005E2B11"/>
    <w:rsid w:val="005E33E0"/>
    <w:rsid w:val="005E3896"/>
    <w:rsid w:val="005E3C04"/>
    <w:rsid w:val="005E48D3"/>
    <w:rsid w:val="005E4BAB"/>
    <w:rsid w:val="005E514E"/>
    <w:rsid w:val="005E5464"/>
    <w:rsid w:val="005E56CA"/>
    <w:rsid w:val="005E5751"/>
    <w:rsid w:val="005E6066"/>
    <w:rsid w:val="005E629F"/>
    <w:rsid w:val="005E6489"/>
    <w:rsid w:val="005E6A3B"/>
    <w:rsid w:val="005E6A68"/>
    <w:rsid w:val="005E6C12"/>
    <w:rsid w:val="005E6DEA"/>
    <w:rsid w:val="005E726E"/>
    <w:rsid w:val="005F0C59"/>
    <w:rsid w:val="005F1DEA"/>
    <w:rsid w:val="005F1EC7"/>
    <w:rsid w:val="005F2B27"/>
    <w:rsid w:val="005F2BC9"/>
    <w:rsid w:val="005F3130"/>
    <w:rsid w:val="005F33A4"/>
    <w:rsid w:val="005F3746"/>
    <w:rsid w:val="005F4003"/>
    <w:rsid w:val="005F49A0"/>
    <w:rsid w:val="005F4C07"/>
    <w:rsid w:val="005F51DD"/>
    <w:rsid w:val="005F5D8E"/>
    <w:rsid w:val="005F737E"/>
    <w:rsid w:val="00601265"/>
    <w:rsid w:val="006015DB"/>
    <w:rsid w:val="00601A2C"/>
    <w:rsid w:val="00601DD3"/>
    <w:rsid w:val="00602777"/>
    <w:rsid w:val="00602F6E"/>
    <w:rsid w:val="00603C12"/>
    <w:rsid w:val="0060428F"/>
    <w:rsid w:val="00604BD1"/>
    <w:rsid w:val="00604D5A"/>
    <w:rsid w:val="00605819"/>
    <w:rsid w:val="00605A39"/>
    <w:rsid w:val="006064BB"/>
    <w:rsid w:val="00606A0F"/>
    <w:rsid w:val="00606B23"/>
    <w:rsid w:val="0060756B"/>
    <w:rsid w:val="00610998"/>
    <w:rsid w:val="00610DEB"/>
    <w:rsid w:val="00611482"/>
    <w:rsid w:val="00611607"/>
    <w:rsid w:val="006123D8"/>
    <w:rsid w:val="00614132"/>
    <w:rsid w:val="006142D2"/>
    <w:rsid w:val="0061521D"/>
    <w:rsid w:val="0061552C"/>
    <w:rsid w:val="00615576"/>
    <w:rsid w:val="00615DAC"/>
    <w:rsid w:val="00615E56"/>
    <w:rsid w:val="006162C8"/>
    <w:rsid w:val="00616D05"/>
    <w:rsid w:val="0061716C"/>
    <w:rsid w:val="006178D7"/>
    <w:rsid w:val="006203CA"/>
    <w:rsid w:val="00620554"/>
    <w:rsid w:val="0062175E"/>
    <w:rsid w:val="00621EEB"/>
    <w:rsid w:val="00621FA6"/>
    <w:rsid w:val="0062373A"/>
    <w:rsid w:val="00624121"/>
    <w:rsid w:val="00625094"/>
    <w:rsid w:val="00625515"/>
    <w:rsid w:val="00625754"/>
    <w:rsid w:val="006258B6"/>
    <w:rsid w:val="00627150"/>
    <w:rsid w:val="006272A6"/>
    <w:rsid w:val="00627317"/>
    <w:rsid w:val="006275E8"/>
    <w:rsid w:val="0062766B"/>
    <w:rsid w:val="00627D40"/>
    <w:rsid w:val="00627F20"/>
    <w:rsid w:val="00631029"/>
    <w:rsid w:val="006319A1"/>
    <w:rsid w:val="00631F4C"/>
    <w:rsid w:val="00632669"/>
    <w:rsid w:val="00632C06"/>
    <w:rsid w:val="00632F09"/>
    <w:rsid w:val="006333CA"/>
    <w:rsid w:val="006336FE"/>
    <w:rsid w:val="00633CAC"/>
    <w:rsid w:val="0063435A"/>
    <w:rsid w:val="0063447A"/>
    <w:rsid w:val="006350B4"/>
    <w:rsid w:val="006351ED"/>
    <w:rsid w:val="00635B52"/>
    <w:rsid w:val="00636866"/>
    <w:rsid w:val="006369E2"/>
    <w:rsid w:val="00636C08"/>
    <w:rsid w:val="00636F1D"/>
    <w:rsid w:val="00637240"/>
    <w:rsid w:val="006372AA"/>
    <w:rsid w:val="006374D0"/>
    <w:rsid w:val="00637C15"/>
    <w:rsid w:val="006404C5"/>
    <w:rsid w:val="006418FC"/>
    <w:rsid w:val="00641D1A"/>
    <w:rsid w:val="00641D46"/>
    <w:rsid w:val="006423AC"/>
    <w:rsid w:val="006427D7"/>
    <w:rsid w:val="00642A32"/>
    <w:rsid w:val="00642E78"/>
    <w:rsid w:val="00643629"/>
    <w:rsid w:val="00643736"/>
    <w:rsid w:val="00644DE9"/>
    <w:rsid w:val="00644F74"/>
    <w:rsid w:val="006454B7"/>
    <w:rsid w:val="00645651"/>
    <w:rsid w:val="00645776"/>
    <w:rsid w:val="00645908"/>
    <w:rsid w:val="00645DEB"/>
    <w:rsid w:val="006462C6"/>
    <w:rsid w:val="0064652B"/>
    <w:rsid w:val="00646BC7"/>
    <w:rsid w:val="00646C83"/>
    <w:rsid w:val="00646F59"/>
    <w:rsid w:val="006477D7"/>
    <w:rsid w:val="00647BE5"/>
    <w:rsid w:val="0065020A"/>
    <w:rsid w:val="00650FCC"/>
    <w:rsid w:val="00651605"/>
    <w:rsid w:val="00651A48"/>
    <w:rsid w:val="00651DAB"/>
    <w:rsid w:val="0065259B"/>
    <w:rsid w:val="006539D2"/>
    <w:rsid w:val="00654058"/>
    <w:rsid w:val="0065462A"/>
    <w:rsid w:val="00655594"/>
    <w:rsid w:val="00655E59"/>
    <w:rsid w:val="00656A17"/>
    <w:rsid w:val="00656C10"/>
    <w:rsid w:val="00656FD9"/>
    <w:rsid w:val="0066097A"/>
    <w:rsid w:val="00660C3C"/>
    <w:rsid w:val="00660E37"/>
    <w:rsid w:val="0066171D"/>
    <w:rsid w:val="00661DE8"/>
    <w:rsid w:val="006622D6"/>
    <w:rsid w:val="0066274D"/>
    <w:rsid w:val="00662964"/>
    <w:rsid w:val="00662D2A"/>
    <w:rsid w:val="0066331F"/>
    <w:rsid w:val="0066385B"/>
    <w:rsid w:val="0066390A"/>
    <w:rsid w:val="00663A69"/>
    <w:rsid w:val="00663B26"/>
    <w:rsid w:val="006643BF"/>
    <w:rsid w:val="006645E4"/>
    <w:rsid w:val="006647DF"/>
    <w:rsid w:val="00664BFA"/>
    <w:rsid w:val="00664E07"/>
    <w:rsid w:val="00665D26"/>
    <w:rsid w:val="00665E63"/>
    <w:rsid w:val="00666FB8"/>
    <w:rsid w:val="006670BE"/>
    <w:rsid w:val="00670008"/>
    <w:rsid w:val="00670F28"/>
    <w:rsid w:val="0067161A"/>
    <w:rsid w:val="0067194A"/>
    <w:rsid w:val="00672289"/>
    <w:rsid w:val="006724CC"/>
    <w:rsid w:val="00672638"/>
    <w:rsid w:val="00672F92"/>
    <w:rsid w:val="00673403"/>
    <w:rsid w:val="00674120"/>
    <w:rsid w:val="00676579"/>
    <w:rsid w:val="00677C74"/>
    <w:rsid w:val="00680B58"/>
    <w:rsid w:val="00680FE1"/>
    <w:rsid w:val="006818EB"/>
    <w:rsid w:val="0068199E"/>
    <w:rsid w:val="00681FA3"/>
    <w:rsid w:val="006820C6"/>
    <w:rsid w:val="00682208"/>
    <w:rsid w:val="006825FD"/>
    <w:rsid w:val="00682895"/>
    <w:rsid w:val="00682D0B"/>
    <w:rsid w:val="006832F8"/>
    <w:rsid w:val="006842B9"/>
    <w:rsid w:val="00685002"/>
    <w:rsid w:val="00685BC7"/>
    <w:rsid w:val="00685D72"/>
    <w:rsid w:val="00686B49"/>
    <w:rsid w:val="00687135"/>
    <w:rsid w:val="00687567"/>
    <w:rsid w:val="00687AA6"/>
    <w:rsid w:val="00687D11"/>
    <w:rsid w:val="00687F5B"/>
    <w:rsid w:val="006903A7"/>
    <w:rsid w:val="006904BC"/>
    <w:rsid w:val="00691455"/>
    <w:rsid w:val="006918F9"/>
    <w:rsid w:val="0069222B"/>
    <w:rsid w:val="006924FD"/>
    <w:rsid w:val="00692BDB"/>
    <w:rsid w:val="006930ED"/>
    <w:rsid w:val="00693671"/>
    <w:rsid w:val="00693690"/>
    <w:rsid w:val="00693EB0"/>
    <w:rsid w:val="00693F54"/>
    <w:rsid w:val="006943DC"/>
    <w:rsid w:val="00694610"/>
    <w:rsid w:val="00694818"/>
    <w:rsid w:val="00694C52"/>
    <w:rsid w:val="00696D31"/>
    <w:rsid w:val="006970D4"/>
    <w:rsid w:val="006974D5"/>
    <w:rsid w:val="0069771B"/>
    <w:rsid w:val="0069778F"/>
    <w:rsid w:val="00697E49"/>
    <w:rsid w:val="006A0140"/>
    <w:rsid w:val="006A07DC"/>
    <w:rsid w:val="006A1436"/>
    <w:rsid w:val="006A2344"/>
    <w:rsid w:val="006A28BD"/>
    <w:rsid w:val="006A2DD1"/>
    <w:rsid w:val="006A3482"/>
    <w:rsid w:val="006A3FA7"/>
    <w:rsid w:val="006A4191"/>
    <w:rsid w:val="006A440D"/>
    <w:rsid w:val="006A44EC"/>
    <w:rsid w:val="006A4627"/>
    <w:rsid w:val="006A54B6"/>
    <w:rsid w:val="006A5761"/>
    <w:rsid w:val="006A644D"/>
    <w:rsid w:val="006A674C"/>
    <w:rsid w:val="006A7EB0"/>
    <w:rsid w:val="006A7F96"/>
    <w:rsid w:val="006B08B6"/>
    <w:rsid w:val="006B127E"/>
    <w:rsid w:val="006B15F9"/>
    <w:rsid w:val="006B28D9"/>
    <w:rsid w:val="006B30CE"/>
    <w:rsid w:val="006B3138"/>
    <w:rsid w:val="006B35BF"/>
    <w:rsid w:val="006B402E"/>
    <w:rsid w:val="006B4767"/>
    <w:rsid w:val="006B4828"/>
    <w:rsid w:val="006B494F"/>
    <w:rsid w:val="006B4E79"/>
    <w:rsid w:val="006B53BE"/>
    <w:rsid w:val="006B5951"/>
    <w:rsid w:val="006B5AB9"/>
    <w:rsid w:val="006B5E2C"/>
    <w:rsid w:val="006B6956"/>
    <w:rsid w:val="006B70B7"/>
    <w:rsid w:val="006B7A26"/>
    <w:rsid w:val="006C0253"/>
    <w:rsid w:val="006C040E"/>
    <w:rsid w:val="006C10F5"/>
    <w:rsid w:val="006C1CE7"/>
    <w:rsid w:val="006C2284"/>
    <w:rsid w:val="006C3975"/>
    <w:rsid w:val="006C44D6"/>
    <w:rsid w:val="006C4A4F"/>
    <w:rsid w:val="006C532B"/>
    <w:rsid w:val="006C630B"/>
    <w:rsid w:val="006C7175"/>
    <w:rsid w:val="006C78ED"/>
    <w:rsid w:val="006C7F0E"/>
    <w:rsid w:val="006D0A5D"/>
    <w:rsid w:val="006D0C91"/>
    <w:rsid w:val="006D1B87"/>
    <w:rsid w:val="006D1CB0"/>
    <w:rsid w:val="006D2337"/>
    <w:rsid w:val="006D34C0"/>
    <w:rsid w:val="006D3508"/>
    <w:rsid w:val="006D3AF8"/>
    <w:rsid w:val="006D400A"/>
    <w:rsid w:val="006D4038"/>
    <w:rsid w:val="006D42F6"/>
    <w:rsid w:val="006D45F8"/>
    <w:rsid w:val="006D4CB5"/>
    <w:rsid w:val="006D59B7"/>
    <w:rsid w:val="006D5B2E"/>
    <w:rsid w:val="006E0280"/>
    <w:rsid w:val="006E0814"/>
    <w:rsid w:val="006E0935"/>
    <w:rsid w:val="006E0D6B"/>
    <w:rsid w:val="006E1234"/>
    <w:rsid w:val="006E16DE"/>
    <w:rsid w:val="006E189E"/>
    <w:rsid w:val="006E21D4"/>
    <w:rsid w:val="006E2CE2"/>
    <w:rsid w:val="006E3991"/>
    <w:rsid w:val="006E4455"/>
    <w:rsid w:val="006E4593"/>
    <w:rsid w:val="006E5004"/>
    <w:rsid w:val="006E6158"/>
    <w:rsid w:val="006E689C"/>
    <w:rsid w:val="006E68C1"/>
    <w:rsid w:val="006E6FE0"/>
    <w:rsid w:val="006E7529"/>
    <w:rsid w:val="006F0C5F"/>
    <w:rsid w:val="006F0F03"/>
    <w:rsid w:val="006F16D0"/>
    <w:rsid w:val="006F1FA9"/>
    <w:rsid w:val="006F233C"/>
    <w:rsid w:val="006F2900"/>
    <w:rsid w:val="006F2EC1"/>
    <w:rsid w:val="006F379D"/>
    <w:rsid w:val="006F3884"/>
    <w:rsid w:val="006F3923"/>
    <w:rsid w:val="006F428A"/>
    <w:rsid w:val="006F429A"/>
    <w:rsid w:val="006F4C9A"/>
    <w:rsid w:val="006F526E"/>
    <w:rsid w:val="006F5D61"/>
    <w:rsid w:val="006F6214"/>
    <w:rsid w:val="006F7111"/>
    <w:rsid w:val="006F7813"/>
    <w:rsid w:val="006F7BB8"/>
    <w:rsid w:val="006F7CB1"/>
    <w:rsid w:val="00700836"/>
    <w:rsid w:val="00700CDE"/>
    <w:rsid w:val="00701301"/>
    <w:rsid w:val="007016FF"/>
    <w:rsid w:val="00701B8F"/>
    <w:rsid w:val="007035DF"/>
    <w:rsid w:val="00703632"/>
    <w:rsid w:val="007042D0"/>
    <w:rsid w:val="00704508"/>
    <w:rsid w:val="0070477C"/>
    <w:rsid w:val="00704A0E"/>
    <w:rsid w:val="007065AB"/>
    <w:rsid w:val="00706E59"/>
    <w:rsid w:val="007101B6"/>
    <w:rsid w:val="00710315"/>
    <w:rsid w:val="0071062B"/>
    <w:rsid w:val="00710AFC"/>
    <w:rsid w:val="00711769"/>
    <w:rsid w:val="00711DF2"/>
    <w:rsid w:val="00713508"/>
    <w:rsid w:val="00713DD9"/>
    <w:rsid w:val="00714412"/>
    <w:rsid w:val="00714A5A"/>
    <w:rsid w:val="00714BCC"/>
    <w:rsid w:val="00715686"/>
    <w:rsid w:val="00715C40"/>
    <w:rsid w:val="00715FD2"/>
    <w:rsid w:val="00716603"/>
    <w:rsid w:val="00716BC8"/>
    <w:rsid w:val="00717795"/>
    <w:rsid w:val="007179DA"/>
    <w:rsid w:val="0072029B"/>
    <w:rsid w:val="0072043E"/>
    <w:rsid w:val="00720499"/>
    <w:rsid w:val="00720542"/>
    <w:rsid w:val="00720E32"/>
    <w:rsid w:val="00720F84"/>
    <w:rsid w:val="0072124F"/>
    <w:rsid w:val="007220F8"/>
    <w:rsid w:val="0072266B"/>
    <w:rsid w:val="00722AB4"/>
    <w:rsid w:val="00722D40"/>
    <w:rsid w:val="007232A0"/>
    <w:rsid w:val="007239F3"/>
    <w:rsid w:val="00724543"/>
    <w:rsid w:val="007245C9"/>
    <w:rsid w:val="007247EE"/>
    <w:rsid w:val="007249D8"/>
    <w:rsid w:val="0072649C"/>
    <w:rsid w:val="007271D7"/>
    <w:rsid w:val="007274B8"/>
    <w:rsid w:val="00727C6E"/>
    <w:rsid w:val="00731C1A"/>
    <w:rsid w:val="00732038"/>
    <w:rsid w:val="00732A61"/>
    <w:rsid w:val="00732BD8"/>
    <w:rsid w:val="0073316B"/>
    <w:rsid w:val="00733588"/>
    <w:rsid w:val="00733829"/>
    <w:rsid w:val="00733A8E"/>
    <w:rsid w:val="00733F25"/>
    <w:rsid w:val="00733F8A"/>
    <w:rsid w:val="0073403E"/>
    <w:rsid w:val="007348B4"/>
    <w:rsid w:val="00734DA9"/>
    <w:rsid w:val="00735088"/>
    <w:rsid w:val="007351B8"/>
    <w:rsid w:val="00735273"/>
    <w:rsid w:val="007357DB"/>
    <w:rsid w:val="0073585B"/>
    <w:rsid w:val="00735A5A"/>
    <w:rsid w:val="00735C7D"/>
    <w:rsid w:val="00736D6C"/>
    <w:rsid w:val="0074019F"/>
    <w:rsid w:val="00740273"/>
    <w:rsid w:val="007406C1"/>
    <w:rsid w:val="007408C4"/>
    <w:rsid w:val="007408DE"/>
    <w:rsid w:val="00740984"/>
    <w:rsid w:val="00741298"/>
    <w:rsid w:val="00741354"/>
    <w:rsid w:val="00741AF5"/>
    <w:rsid w:val="00741EFD"/>
    <w:rsid w:val="00742294"/>
    <w:rsid w:val="0074302A"/>
    <w:rsid w:val="007435AE"/>
    <w:rsid w:val="00744232"/>
    <w:rsid w:val="00744302"/>
    <w:rsid w:val="0074443C"/>
    <w:rsid w:val="00744910"/>
    <w:rsid w:val="00744D6F"/>
    <w:rsid w:val="00744D93"/>
    <w:rsid w:val="007451CA"/>
    <w:rsid w:val="007454C2"/>
    <w:rsid w:val="00745607"/>
    <w:rsid w:val="0074620D"/>
    <w:rsid w:val="0074728A"/>
    <w:rsid w:val="0074748B"/>
    <w:rsid w:val="007478A7"/>
    <w:rsid w:val="00747BE0"/>
    <w:rsid w:val="00747FB5"/>
    <w:rsid w:val="007505A5"/>
    <w:rsid w:val="007516E1"/>
    <w:rsid w:val="007518AF"/>
    <w:rsid w:val="00752CAB"/>
    <w:rsid w:val="00754ED1"/>
    <w:rsid w:val="0075631E"/>
    <w:rsid w:val="0075691A"/>
    <w:rsid w:val="00756B73"/>
    <w:rsid w:val="00757E09"/>
    <w:rsid w:val="007601F9"/>
    <w:rsid w:val="00760824"/>
    <w:rsid w:val="00760FBF"/>
    <w:rsid w:val="0076106D"/>
    <w:rsid w:val="007615B1"/>
    <w:rsid w:val="00761C8F"/>
    <w:rsid w:val="00761EA9"/>
    <w:rsid w:val="0076202B"/>
    <w:rsid w:val="00762740"/>
    <w:rsid w:val="007634CC"/>
    <w:rsid w:val="00763752"/>
    <w:rsid w:val="00763EB6"/>
    <w:rsid w:val="007649F2"/>
    <w:rsid w:val="00765513"/>
    <w:rsid w:val="00766115"/>
    <w:rsid w:val="0076786D"/>
    <w:rsid w:val="00767944"/>
    <w:rsid w:val="00767AB2"/>
    <w:rsid w:val="00767AC2"/>
    <w:rsid w:val="00767EE5"/>
    <w:rsid w:val="00771945"/>
    <w:rsid w:val="00771D88"/>
    <w:rsid w:val="007722E3"/>
    <w:rsid w:val="00772361"/>
    <w:rsid w:val="00772E4E"/>
    <w:rsid w:val="00772EED"/>
    <w:rsid w:val="00773018"/>
    <w:rsid w:val="00773874"/>
    <w:rsid w:val="00773BAD"/>
    <w:rsid w:val="00773C24"/>
    <w:rsid w:val="00773CC0"/>
    <w:rsid w:val="00774043"/>
    <w:rsid w:val="00774A3D"/>
    <w:rsid w:val="00774C46"/>
    <w:rsid w:val="00775E28"/>
    <w:rsid w:val="007774F1"/>
    <w:rsid w:val="00777757"/>
    <w:rsid w:val="00777A12"/>
    <w:rsid w:val="00780218"/>
    <w:rsid w:val="007803BC"/>
    <w:rsid w:val="00780B26"/>
    <w:rsid w:val="00781FFD"/>
    <w:rsid w:val="00782EA5"/>
    <w:rsid w:val="00783FB7"/>
    <w:rsid w:val="007840C7"/>
    <w:rsid w:val="00784475"/>
    <w:rsid w:val="007848C4"/>
    <w:rsid w:val="00785018"/>
    <w:rsid w:val="00785A26"/>
    <w:rsid w:val="007864D9"/>
    <w:rsid w:val="007870EE"/>
    <w:rsid w:val="007875B5"/>
    <w:rsid w:val="00787A4C"/>
    <w:rsid w:val="00787DFC"/>
    <w:rsid w:val="00790204"/>
    <w:rsid w:val="007913B4"/>
    <w:rsid w:val="007924BD"/>
    <w:rsid w:val="00792B9E"/>
    <w:rsid w:val="00792E2F"/>
    <w:rsid w:val="0079364E"/>
    <w:rsid w:val="00794E96"/>
    <w:rsid w:val="00795970"/>
    <w:rsid w:val="00796083"/>
    <w:rsid w:val="007965B6"/>
    <w:rsid w:val="00796BCD"/>
    <w:rsid w:val="0079722C"/>
    <w:rsid w:val="00797FB7"/>
    <w:rsid w:val="007A01AF"/>
    <w:rsid w:val="007A13F2"/>
    <w:rsid w:val="007A14A7"/>
    <w:rsid w:val="007A1776"/>
    <w:rsid w:val="007A1F76"/>
    <w:rsid w:val="007A2395"/>
    <w:rsid w:val="007A28B9"/>
    <w:rsid w:val="007A2CFF"/>
    <w:rsid w:val="007A30C6"/>
    <w:rsid w:val="007A3A1C"/>
    <w:rsid w:val="007A48E6"/>
    <w:rsid w:val="007A4B13"/>
    <w:rsid w:val="007A60B8"/>
    <w:rsid w:val="007A6A7F"/>
    <w:rsid w:val="007A6C7E"/>
    <w:rsid w:val="007A6CA1"/>
    <w:rsid w:val="007A7448"/>
    <w:rsid w:val="007A7C82"/>
    <w:rsid w:val="007B18AB"/>
    <w:rsid w:val="007B1961"/>
    <w:rsid w:val="007B1C0B"/>
    <w:rsid w:val="007B307A"/>
    <w:rsid w:val="007B409D"/>
    <w:rsid w:val="007B48FA"/>
    <w:rsid w:val="007B4CC4"/>
    <w:rsid w:val="007B4D09"/>
    <w:rsid w:val="007B61C0"/>
    <w:rsid w:val="007B7012"/>
    <w:rsid w:val="007C07AF"/>
    <w:rsid w:val="007C1D0E"/>
    <w:rsid w:val="007C1F9D"/>
    <w:rsid w:val="007C2262"/>
    <w:rsid w:val="007C2AC8"/>
    <w:rsid w:val="007C389D"/>
    <w:rsid w:val="007C38B9"/>
    <w:rsid w:val="007C3F2D"/>
    <w:rsid w:val="007C4A61"/>
    <w:rsid w:val="007C4B68"/>
    <w:rsid w:val="007C538C"/>
    <w:rsid w:val="007C54F5"/>
    <w:rsid w:val="007C5EF6"/>
    <w:rsid w:val="007C6552"/>
    <w:rsid w:val="007C686D"/>
    <w:rsid w:val="007C6C57"/>
    <w:rsid w:val="007C7BDB"/>
    <w:rsid w:val="007D0081"/>
    <w:rsid w:val="007D0196"/>
    <w:rsid w:val="007D122F"/>
    <w:rsid w:val="007D1254"/>
    <w:rsid w:val="007D137E"/>
    <w:rsid w:val="007D1442"/>
    <w:rsid w:val="007D1587"/>
    <w:rsid w:val="007D1AA9"/>
    <w:rsid w:val="007D1F35"/>
    <w:rsid w:val="007D265F"/>
    <w:rsid w:val="007D28CA"/>
    <w:rsid w:val="007D318D"/>
    <w:rsid w:val="007D3854"/>
    <w:rsid w:val="007D4057"/>
    <w:rsid w:val="007D454D"/>
    <w:rsid w:val="007D45FA"/>
    <w:rsid w:val="007D49B9"/>
    <w:rsid w:val="007D5E09"/>
    <w:rsid w:val="007D5E57"/>
    <w:rsid w:val="007D6322"/>
    <w:rsid w:val="007D6947"/>
    <w:rsid w:val="007D6D9E"/>
    <w:rsid w:val="007D774C"/>
    <w:rsid w:val="007E0266"/>
    <w:rsid w:val="007E0AEA"/>
    <w:rsid w:val="007E0CCA"/>
    <w:rsid w:val="007E112E"/>
    <w:rsid w:val="007E1601"/>
    <w:rsid w:val="007E1F48"/>
    <w:rsid w:val="007E2B2D"/>
    <w:rsid w:val="007E2BC3"/>
    <w:rsid w:val="007E2FDB"/>
    <w:rsid w:val="007E542D"/>
    <w:rsid w:val="007E5AA0"/>
    <w:rsid w:val="007E5F61"/>
    <w:rsid w:val="007E61CD"/>
    <w:rsid w:val="007E62FD"/>
    <w:rsid w:val="007E6943"/>
    <w:rsid w:val="007E6BE6"/>
    <w:rsid w:val="007E7714"/>
    <w:rsid w:val="007E7B13"/>
    <w:rsid w:val="007F0C81"/>
    <w:rsid w:val="007F0EA9"/>
    <w:rsid w:val="007F1A56"/>
    <w:rsid w:val="007F22C5"/>
    <w:rsid w:val="007F3362"/>
    <w:rsid w:val="007F349C"/>
    <w:rsid w:val="007F34B1"/>
    <w:rsid w:val="007F37D4"/>
    <w:rsid w:val="007F4013"/>
    <w:rsid w:val="007F4039"/>
    <w:rsid w:val="007F4B79"/>
    <w:rsid w:val="007F580F"/>
    <w:rsid w:val="007F59BB"/>
    <w:rsid w:val="007F6339"/>
    <w:rsid w:val="007F665C"/>
    <w:rsid w:val="007F6C21"/>
    <w:rsid w:val="007F6F27"/>
    <w:rsid w:val="007F701B"/>
    <w:rsid w:val="007F7C86"/>
    <w:rsid w:val="007F7ED9"/>
    <w:rsid w:val="008002F3"/>
    <w:rsid w:val="00800A56"/>
    <w:rsid w:val="00800FAB"/>
    <w:rsid w:val="008013CF"/>
    <w:rsid w:val="008015FF"/>
    <w:rsid w:val="00801AB3"/>
    <w:rsid w:val="008027B6"/>
    <w:rsid w:val="0080284D"/>
    <w:rsid w:val="008035FD"/>
    <w:rsid w:val="00803A4C"/>
    <w:rsid w:val="00803C85"/>
    <w:rsid w:val="00803D86"/>
    <w:rsid w:val="00803DF8"/>
    <w:rsid w:val="008042BE"/>
    <w:rsid w:val="00804493"/>
    <w:rsid w:val="008045B3"/>
    <w:rsid w:val="00804C5D"/>
    <w:rsid w:val="00805275"/>
    <w:rsid w:val="00805498"/>
    <w:rsid w:val="008055B7"/>
    <w:rsid w:val="00805E82"/>
    <w:rsid w:val="0080635C"/>
    <w:rsid w:val="0080691A"/>
    <w:rsid w:val="00806D92"/>
    <w:rsid w:val="00807431"/>
    <w:rsid w:val="00807B94"/>
    <w:rsid w:val="00810FAF"/>
    <w:rsid w:val="008117AB"/>
    <w:rsid w:val="00812585"/>
    <w:rsid w:val="00812719"/>
    <w:rsid w:val="00813312"/>
    <w:rsid w:val="00813A11"/>
    <w:rsid w:val="00814EC1"/>
    <w:rsid w:val="008155AF"/>
    <w:rsid w:val="00815675"/>
    <w:rsid w:val="00815DB9"/>
    <w:rsid w:val="008162CA"/>
    <w:rsid w:val="0081638F"/>
    <w:rsid w:val="008167B7"/>
    <w:rsid w:val="00816872"/>
    <w:rsid w:val="0081706C"/>
    <w:rsid w:val="008174E1"/>
    <w:rsid w:val="0081766E"/>
    <w:rsid w:val="00817977"/>
    <w:rsid w:val="0082001A"/>
    <w:rsid w:val="00820529"/>
    <w:rsid w:val="008206B7"/>
    <w:rsid w:val="008207D6"/>
    <w:rsid w:val="00820E5B"/>
    <w:rsid w:val="00821191"/>
    <w:rsid w:val="00821204"/>
    <w:rsid w:val="008213C9"/>
    <w:rsid w:val="008214F2"/>
    <w:rsid w:val="00822C95"/>
    <w:rsid w:val="00822FB6"/>
    <w:rsid w:val="00823F82"/>
    <w:rsid w:val="008240B8"/>
    <w:rsid w:val="00824ECC"/>
    <w:rsid w:val="0082644D"/>
    <w:rsid w:val="00826B17"/>
    <w:rsid w:val="008272CD"/>
    <w:rsid w:val="00830274"/>
    <w:rsid w:val="008312B8"/>
    <w:rsid w:val="00831CB4"/>
    <w:rsid w:val="008320BE"/>
    <w:rsid w:val="008325F0"/>
    <w:rsid w:val="00833625"/>
    <w:rsid w:val="00833E12"/>
    <w:rsid w:val="00833F6D"/>
    <w:rsid w:val="0083464E"/>
    <w:rsid w:val="00834694"/>
    <w:rsid w:val="00834817"/>
    <w:rsid w:val="00834AA6"/>
    <w:rsid w:val="00835846"/>
    <w:rsid w:val="00836166"/>
    <w:rsid w:val="00837757"/>
    <w:rsid w:val="008403AE"/>
    <w:rsid w:val="00841504"/>
    <w:rsid w:val="00841D4B"/>
    <w:rsid w:val="00842A83"/>
    <w:rsid w:val="00842AAC"/>
    <w:rsid w:val="00842F08"/>
    <w:rsid w:val="00844A69"/>
    <w:rsid w:val="008458A1"/>
    <w:rsid w:val="00845AA8"/>
    <w:rsid w:val="008461AD"/>
    <w:rsid w:val="00846772"/>
    <w:rsid w:val="00847434"/>
    <w:rsid w:val="0084770D"/>
    <w:rsid w:val="0085017C"/>
    <w:rsid w:val="00851156"/>
    <w:rsid w:val="00851B57"/>
    <w:rsid w:val="008522F4"/>
    <w:rsid w:val="008529C2"/>
    <w:rsid w:val="00852E6D"/>
    <w:rsid w:val="0085353F"/>
    <w:rsid w:val="00854559"/>
    <w:rsid w:val="008547F3"/>
    <w:rsid w:val="008558F1"/>
    <w:rsid w:val="00855B27"/>
    <w:rsid w:val="00855B7D"/>
    <w:rsid w:val="008573BB"/>
    <w:rsid w:val="0085753F"/>
    <w:rsid w:val="0086067D"/>
    <w:rsid w:val="00860ECD"/>
    <w:rsid w:val="0086115E"/>
    <w:rsid w:val="00861988"/>
    <w:rsid w:val="00863CFD"/>
    <w:rsid w:val="00864DD9"/>
    <w:rsid w:val="00865525"/>
    <w:rsid w:val="008656AC"/>
    <w:rsid w:val="00865E96"/>
    <w:rsid w:val="00865EF0"/>
    <w:rsid w:val="00866563"/>
    <w:rsid w:val="00866630"/>
    <w:rsid w:val="00866CC3"/>
    <w:rsid w:val="00866D0B"/>
    <w:rsid w:val="00867A1B"/>
    <w:rsid w:val="00867B04"/>
    <w:rsid w:val="00867B0E"/>
    <w:rsid w:val="00870951"/>
    <w:rsid w:val="00870976"/>
    <w:rsid w:val="00870C7B"/>
    <w:rsid w:val="00871388"/>
    <w:rsid w:val="0087157A"/>
    <w:rsid w:val="008717DB"/>
    <w:rsid w:val="00871939"/>
    <w:rsid w:val="00871F97"/>
    <w:rsid w:val="00872531"/>
    <w:rsid w:val="00872643"/>
    <w:rsid w:val="00872846"/>
    <w:rsid w:val="00872AD3"/>
    <w:rsid w:val="0087326F"/>
    <w:rsid w:val="008736EB"/>
    <w:rsid w:val="00873781"/>
    <w:rsid w:val="008738C3"/>
    <w:rsid w:val="00873932"/>
    <w:rsid w:val="00873AA2"/>
    <w:rsid w:val="0087422F"/>
    <w:rsid w:val="008750CA"/>
    <w:rsid w:val="00875259"/>
    <w:rsid w:val="008752CF"/>
    <w:rsid w:val="008755C7"/>
    <w:rsid w:val="00875CFD"/>
    <w:rsid w:val="00876820"/>
    <w:rsid w:val="008770FD"/>
    <w:rsid w:val="00877356"/>
    <w:rsid w:val="008777FD"/>
    <w:rsid w:val="00880259"/>
    <w:rsid w:val="00880DDC"/>
    <w:rsid w:val="00881163"/>
    <w:rsid w:val="0088189E"/>
    <w:rsid w:val="00881C0C"/>
    <w:rsid w:val="00882347"/>
    <w:rsid w:val="00882399"/>
    <w:rsid w:val="00882D3F"/>
    <w:rsid w:val="00883257"/>
    <w:rsid w:val="008832F7"/>
    <w:rsid w:val="008839D8"/>
    <w:rsid w:val="00884AFF"/>
    <w:rsid w:val="00884CB7"/>
    <w:rsid w:val="0088575B"/>
    <w:rsid w:val="0088599C"/>
    <w:rsid w:val="0088643D"/>
    <w:rsid w:val="008870CC"/>
    <w:rsid w:val="00887362"/>
    <w:rsid w:val="008900E8"/>
    <w:rsid w:val="008903CA"/>
    <w:rsid w:val="008910D2"/>
    <w:rsid w:val="00891356"/>
    <w:rsid w:val="00891F58"/>
    <w:rsid w:val="00892521"/>
    <w:rsid w:val="008927F1"/>
    <w:rsid w:val="00892B67"/>
    <w:rsid w:val="00892F09"/>
    <w:rsid w:val="00893176"/>
    <w:rsid w:val="008935C9"/>
    <w:rsid w:val="00893BD6"/>
    <w:rsid w:val="00894074"/>
    <w:rsid w:val="008942E6"/>
    <w:rsid w:val="00894464"/>
    <w:rsid w:val="008945DE"/>
    <w:rsid w:val="00895CA8"/>
    <w:rsid w:val="008960D4"/>
    <w:rsid w:val="008960E2"/>
    <w:rsid w:val="00896534"/>
    <w:rsid w:val="00896D04"/>
    <w:rsid w:val="0089784D"/>
    <w:rsid w:val="00897EA6"/>
    <w:rsid w:val="008A1103"/>
    <w:rsid w:val="008A1F0B"/>
    <w:rsid w:val="008A2656"/>
    <w:rsid w:val="008A285B"/>
    <w:rsid w:val="008A290F"/>
    <w:rsid w:val="008A2BAB"/>
    <w:rsid w:val="008A2C03"/>
    <w:rsid w:val="008A2EEC"/>
    <w:rsid w:val="008A3066"/>
    <w:rsid w:val="008A33ED"/>
    <w:rsid w:val="008A5429"/>
    <w:rsid w:val="008A59FE"/>
    <w:rsid w:val="008A676F"/>
    <w:rsid w:val="008A6BC9"/>
    <w:rsid w:val="008B0D63"/>
    <w:rsid w:val="008B0F9B"/>
    <w:rsid w:val="008B10BB"/>
    <w:rsid w:val="008B1465"/>
    <w:rsid w:val="008B1D65"/>
    <w:rsid w:val="008B2070"/>
    <w:rsid w:val="008B2949"/>
    <w:rsid w:val="008B2B57"/>
    <w:rsid w:val="008B2C2C"/>
    <w:rsid w:val="008B2D52"/>
    <w:rsid w:val="008B2D82"/>
    <w:rsid w:val="008B369C"/>
    <w:rsid w:val="008B393F"/>
    <w:rsid w:val="008B3A44"/>
    <w:rsid w:val="008B3D08"/>
    <w:rsid w:val="008B418D"/>
    <w:rsid w:val="008B4FCF"/>
    <w:rsid w:val="008B51AF"/>
    <w:rsid w:val="008B6432"/>
    <w:rsid w:val="008B6E3E"/>
    <w:rsid w:val="008B7562"/>
    <w:rsid w:val="008B7E44"/>
    <w:rsid w:val="008C0702"/>
    <w:rsid w:val="008C0987"/>
    <w:rsid w:val="008C25D2"/>
    <w:rsid w:val="008C2C91"/>
    <w:rsid w:val="008C30FA"/>
    <w:rsid w:val="008C4047"/>
    <w:rsid w:val="008C424C"/>
    <w:rsid w:val="008C49E5"/>
    <w:rsid w:val="008C4D9F"/>
    <w:rsid w:val="008C5576"/>
    <w:rsid w:val="008C5954"/>
    <w:rsid w:val="008C6152"/>
    <w:rsid w:val="008C61C5"/>
    <w:rsid w:val="008C6B14"/>
    <w:rsid w:val="008C7B13"/>
    <w:rsid w:val="008C7BFA"/>
    <w:rsid w:val="008D067B"/>
    <w:rsid w:val="008D0DA4"/>
    <w:rsid w:val="008D17B6"/>
    <w:rsid w:val="008D18AA"/>
    <w:rsid w:val="008D1EF4"/>
    <w:rsid w:val="008D2221"/>
    <w:rsid w:val="008D2389"/>
    <w:rsid w:val="008D27BB"/>
    <w:rsid w:val="008D49C7"/>
    <w:rsid w:val="008D4BCF"/>
    <w:rsid w:val="008D4D45"/>
    <w:rsid w:val="008D6805"/>
    <w:rsid w:val="008D7548"/>
    <w:rsid w:val="008D77B1"/>
    <w:rsid w:val="008D7880"/>
    <w:rsid w:val="008D7B19"/>
    <w:rsid w:val="008D7E18"/>
    <w:rsid w:val="008E0222"/>
    <w:rsid w:val="008E0753"/>
    <w:rsid w:val="008E0D1B"/>
    <w:rsid w:val="008E0D5B"/>
    <w:rsid w:val="008E13A5"/>
    <w:rsid w:val="008E3370"/>
    <w:rsid w:val="008E344B"/>
    <w:rsid w:val="008E3A66"/>
    <w:rsid w:val="008E440A"/>
    <w:rsid w:val="008E6764"/>
    <w:rsid w:val="008E6AA6"/>
    <w:rsid w:val="008E727A"/>
    <w:rsid w:val="008E74F0"/>
    <w:rsid w:val="008E7FDD"/>
    <w:rsid w:val="008F016F"/>
    <w:rsid w:val="008F0384"/>
    <w:rsid w:val="008F0C36"/>
    <w:rsid w:val="008F0EC3"/>
    <w:rsid w:val="008F0FD1"/>
    <w:rsid w:val="008F23F4"/>
    <w:rsid w:val="008F280B"/>
    <w:rsid w:val="008F499A"/>
    <w:rsid w:val="008F534E"/>
    <w:rsid w:val="008F58B1"/>
    <w:rsid w:val="008F61BE"/>
    <w:rsid w:val="008F6490"/>
    <w:rsid w:val="008F6D8B"/>
    <w:rsid w:val="008F71BC"/>
    <w:rsid w:val="008F7AF6"/>
    <w:rsid w:val="00900397"/>
    <w:rsid w:val="00900A35"/>
    <w:rsid w:val="00900B29"/>
    <w:rsid w:val="0090182C"/>
    <w:rsid w:val="00902BA5"/>
    <w:rsid w:val="009031EF"/>
    <w:rsid w:val="0090333B"/>
    <w:rsid w:val="00903D26"/>
    <w:rsid w:val="00904041"/>
    <w:rsid w:val="0090458C"/>
    <w:rsid w:val="00904800"/>
    <w:rsid w:val="00904C05"/>
    <w:rsid w:val="00905275"/>
    <w:rsid w:val="00905903"/>
    <w:rsid w:val="00905BA2"/>
    <w:rsid w:val="00906305"/>
    <w:rsid w:val="0090652A"/>
    <w:rsid w:val="00906802"/>
    <w:rsid w:val="00907506"/>
    <w:rsid w:val="009075EB"/>
    <w:rsid w:val="00910DD6"/>
    <w:rsid w:val="009120DC"/>
    <w:rsid w:val="009125DB"/>
    <w:rsid w:val="009126C3"/>
    <w:rsid w:val="009134E6"/>
    <w:rsid w:val="0091382F"/>
    <w:rsid w:val="00914107"/>
    <w:rsid w:val="009145DD"/>
    <w:rsid w:val="00914B3E"/>
    <w:rsid w:val="00915332"/>
    <w:rsid w:val="00915A01"/>
    <w:rsid w:val="00915B05"/>
    <w:rsid w:val="00916DAB"/>
    <w:rsid w:val="00917F82"/>
    <w:rsid w:val="00920D24"/>
    <w:rsid w:val="00921475"/>
    <w:rsid w:val="0092192F"/>
    <w:rsid w:val="009227D1"/>
    <w:rsid w:val="00922D9A"/>
    <w:rsid w:val="0092347D"/>
    <w:rsid w:val="0092347F"/>
    <w:rsid w:val="009234F5"/>
    <w:rsid w:val="009235BE"/>
    <w:rsid w:val="009240B6"/>
    <w:rsid w:val="00924768"/>
    <w:rsid w:val="00924994"/>
    <w:rsid w:val="00924ACB"/>
    <w:rsid w:val="00924E38"/>
    <w:rsid w:val="00926AC8"/>
    <w:rsid w:val="00926F7F"/>
    <w:rsid w:val="00927218"/>
    <w:rsid w:val="00927B0F"/>
    <w:rsid w:val="00927C67"/>
    <w:rsid w:val="00927FB3"/>
    <w:rsid w:val="009302DC"/>
    <w:rsid w:val="00930ECB"/>
    <w:rsid w:val="00930FD9"/>
    <w:rsid w:val="00932134"/>
    <w:rsid w:val="00932B3C"/>
    <w:rsid w:val="00933772"/>
    <w:rsid w:val="009339DC"/>
    <w:rsid w:val="00934087"/>
    <w:rsid w:val="00934506"/>
    <w:rsid w:val="0093560E"/>
    <w:rsid w:val="00936EE4"/>
    <w:rsid w:val="00940211"/>
    <w:rsid w:val="0094022D"/>
    <w:rsid w:val="0094135A"/>
    <w:rsid w:val="0094153E"/>
    <w:rsid w:val="009415F9"/>
    <w:rsid w:val="00941686"/>
    <w:rsid w:val="009425E0"/>
    <w:rsid w:val="00942D9B"/>
    <w:rsid w:val="009431FA"/>
    <w:rsid w:val="00943C2F"/>
    <w:rsid w:val="00944F5D"/>
    <w:rsid w:val="00945DE1"/>
    <w:rsid w:val="0094658B"/>
    <w:rsid w:val="009465E2"/>
    <w:rsid w:val="00946946"/>
    <w:rsid w:val="00946CC7"/>
    <w:rsid w:val="009472E7"/>
    <w:rsid w:val="009476B7"/>
    <w:rsid w:val="00947B96"/>
    <w:rsid w:val="00947CA8"/>
    <w:rsid w:val="0095083F"/>
    <w:rsid w:val="00950B5B"/>
    <w:rsid w:val="00950EE3"/>
    <w:rsid w:val="009518F6"/>
    <w:rsid w:val="00952DD0"/>
    <w:rsid w:val="00953532"/>
    <w:rsid w:val="0095375C"/>
    <w:rsid w:val="009538AC"/>
    <w:rsid w:val="009553C8"/>
    <w:rsid w:val="00955F64"/>
    <w:rsid w:val="0095608F"/>
    <w:rsid w:val="009561E7"/>
    <w:rsid w:val="009562BE"/>
    <w:rsid w:val="00956362"/>
    <w:rsid w:val="00956C2B"/>
    <w:rsid w:val="009572DA"/>
    <w:rsid w:val="00957CDC"/>
    <w:rsid w:val="00957F92"/>
    <w:rsid w:val="00957FA3"/>
    <w:rsid w:val="009603B2"/>
    <w:rsid w:val="00960746"/>
    <w:rsid w:val="00961ACD"/>
    <w:rsid w:val="00962266"/>
    <w:rsid w:val="00962707"/>
    <w:rsid w:val="00964B2A"/>
    <w:rsid w:val="00965060"/>
    <w:rsid w:val="009671E8"/>
    <w:rsid w:val="00967202"/>
    <w:rsid w:val="0096760F"/>
    <w:rsid w:val="009676D8"/>
    <w:rsid w:val="00967EC6"/>
    <w:rsid w:val="00970D32"/>
    <w:rsid w:val="00971344"/>
    <w:rsid w:val="00972274"/>
    <w:rsid w:val="00972431"/>
    <w:rsid w:val="0097285C"/>
    <w:rsid w:val="00972932"/>
    <w:rsid w:val="009732F2"/>
    <w:rsid w:val="00973948"/>
    <w:rsid w:val="00973988"/>
    <w:rsid w:val="00973AE6"/>
    <w:rsid w:val="00974256"/>
    <w:rsid w:val="009758ED"/>
    <w:rsid w:val="00975CCB"/>
    <w:rsid w:val="00975F4A"/>
    <w:rsid w:val="00976061"/>
    <w:rsid w:val="009763F0"/>
    <w:rsid w:val="00976FFA"/>
    <w:rsid w:val="009771C1"/>
    <w:rsid w:val="00977A94"/>
    <w:rsid w:val="00977D1C"/>
    <w:rsid w:val="009804A5"/>
    <w:rsid w:val="00981BBF"/>
    <w:rsid w:val="00982B30"/>
    <w:rsid w:val="00982C38"/>
    <w:rsid w:val="0098321C"/>
    <w:rsid w:val="00984265"/>
    <w:rsid w:val="0098468D"/>
    <w:rsid w:val="00984956"/>
    <w:rsid w:val="009856C8"/>
    <w:rsid w:val="009858E1"/>
    <w:rsid w:val="00985A32"/>
    <w:rsid w:val="00985C03"/>
    <w:rsid w:val="00986A64"/>
    <w:rsid w:val="00986A73"/>
    <w:rsid w:val="00987214"/>
    <w:rsid w:val="0098747A"/>
    <w:rsid w:val="00990226"/>
    <w:rsid w:val="00992F47"/>
    <w:rsid w:val="0099331C"/>
    <w:rsid w:val="009933EA"/>
    <w:rsid w:val="0099373E"/>
    <w:rsid w:val="00993C46"/>
    <w:rsid w:val="0099473C"/>
    <w:rsid w:val="00994B90"/>
    <w:rsid w:val="0099501E"/>
    <w:rsid w:val="00995101"/>
    <w:rsid w:val="0099614B"/>
    <w:rsid w:val="0099622D"/>
    <w:rsid w:val="009965FC"/>
    <w:rsid w:val="0099761C"/>
    <w:rsid w:val="009A04CF"/>
    <w:rsid w:val="009A0874"/>
    <w:rsid w:val="009A1C8F"/>
    <w:rsid w:val="009A3326"/>
    <w:rsid w:val="009A33EA"/>
    <w:rsid w:val="009A35C5"/>
    <w:rsid w:val="009A3A7A"/>
    <w:rsid w:val="009A4270"/>
    <w:rsid w:val="009A468F"/>
    <w:rsid w:val="009A4697"/>
    <w:rsid w:val="009A4A1D"/>
    <w:rsid w:val="009A4BA6"/>
    <w:rsid w:val="009A559A"/>
    <w:rsid w:val="009A5851"/>
    <w:rsid w:val="009A5BDD"/>
    <w:rsid w:val="009A6498"/>
    <w:rsid w:val="009A6A31"/>
    <w:rsid w:val="009A6C70"/>
    <w:rsid w:val="009A6F97"/>
    <w:rsid w:val="009B02D8"/>
    <w:rsid w:val="009B23FF"/>
    <w:rsid w:val="009B2898"/>
    <w:rsid w:val="009B2E27"/>
    <w:rsid w:val="009B3689"/>
    <w:rsid w:val="009B3A07"/>
    <w:rsid w:val="009B3CC8"/>
    <w:rsid w:val="009B3FF5"/>
    <w:rsid w:val="009B424D"/>
    <w:rsid w:val="009B4751"/>
    <w:rsid w:val="009B47A9"/>
    <w:rsid w:val="009B4815"/>
    <w:rsid w:val="009B52C8"/>
    <w:rsid w:val="009B562F"/>
    <w:rsid w:val="009B5FFA"/>
    <w:rsid w:val="009B602C"/>
    <w:rsid w:val="009B70E9"/>
    <w:rsid w:val="009B7ED8"/>
    <w:rsid w:val="009C00D2"/>
    <w:rsid w:val="009C05A6"/>
    <w:rsid w:val="009C081C"/>
    <w:rsid w:val="009C27A4"/>
    <w:rsid w:val="009C2C5D"/>
    <w:rsid w:val="009C36C8"/>
    <w:rsid w:val="009C444C"/>
    <w:rsid w:val="009C46D6"/>
    <w:rsid w:val="009C49E4"/>
    <w:rsid w:val="009C59BB"/>
    <w:rsid w:val="009C6399"/>
    <w:rsid w:val="009C65BF"/>
    <w:rsid w:val="009C78A8"/>
    <w:rsid w:val="009D04CF"/>
    <w:rsid w:val="009D1A79"/>
    <w:rsid w:val="009D239F"/>
    <w:rsid w:val="009D244E"/>
    <w:rsid w:val="009D2572"/>
    <w:rsid w:val="009D27BA"/>
    <w:rsid w:val="009D2F89"/>
    <w:rsid w:val="009D3B59"/>
    <w:rsid w:val="009D3DC8"/>
    <w:rsid w:val="009D3DEC"/>
    <w:rsid w:val="009D41BF"/>
    <w:rsid w:val="009D420B"/>
    <w:rsid w:val="009D45AB"/>
    <w:rsid w:val="009D4E4C"/>
    <w:rsid w:val="009D5B1F"/>
    <w:rsid w:val="009D605B"/>
    <w:rsid w:val="009D6DFF"/>
    <w:rsid w:val="009D6E57"/>
    <w:rsid w:val="009D7243"/>
    <w:rsid w:val="009E0A05"/>
    <w:rsid w:val="009E0B63"/>
    <w:rsid w:val="009E1168"/>
    <w:rsid w:val="009E208D"/>
    <w:rsid w:val="009E27B8"/>
    <w:rsid w:val="009E2926"/>
    <w:rsid w:val="009E334F"/>
    <w:rsid w:val="009E374A"/>
    <w:rsid w:val="009E4700"/>
    <w:rsid w:val="009E5ADB"/>
    <w:rsid w:val="009E7402"/>
    <w:rsid w:val="009E7639"/>
    <w:rsid w:val="009E7FE6"/>
    <w:rsid w:val="009F08E7"/>
    <w:rsid w:val="009F098C"/>
    <w:rsid w:val="009F14C3"/>
    <w:rsid w:val="009F20D8"/>
    <w:rsid w:val="009F2635"/>
    <w:rsid w:val="009F2E41"/>
    <w:rsid w:val="009F3AB3"/>
    <w:rsid w:val="009F3B23"/>
    <w:rsid w:val="009F3BCD"/>
    <w:rsid w:val="009F493E"/>
    <w:rsid w:val="009F4A41"/>
    <w:rsid w:val="009F5E01"/>
    <w:rsid w:val="009F6191"/>
    <w:rsid w:val="009F6590"/>
    <w:rsid w:val="009F718A"/>
    <w:rsid w:val="009F73C0"/>
    <w:rsid w:val="009F780E"/>
    <w:rsid w:val="009F79EE"/>
    <w:rsid w:val="009F7BAF"/>
    <w:rsid w:val="00A00057"/>
    <w:rsid w:val="00A0022D"/>
    <w:rsid w:val="00A00B0D"/>
    <w:rsid w:val="00A01035"/>
    <w:rsid w:val="00A010CA"/>
    <w:rsid w:val="00A0117E"/>
    <w:rsid w:val="00A0135B"/>
    <w:rsid w:val="00A017B1"/>
    <w:rsid w:val="00A017D1"/>
    <w:rsid w:val="00A02366"/>
    <w:rsid w:val="00A027E0"/>
    <w:rsid w:val="00A0312C"/>
    <w:rsid w:val="00A035ED"/>
    <w:rsid w:val="00A040BB"/>
    <w:rsid w:val="00A04906"/>
    <w:rsid w:val="00A04950"/>
    <w:rsid w:val="00A05632"/>
    <w:rsid w:val="00A05D07"/>
    <w:rsid w:val="00A06765"/>
    <w:rsid w:val="00A06F34"/>
    <w:rsid w:val="00A077EA"/>
    <w:rsid w:val="00A07F62"/>
    <w:rsid w:val="00A10809"/>
    <w:rsid w:val="00A10A67"/>
    <w:rsid w:val="00A10AA0"/>
    <w:rsid w:val="00A1145D"/>
    <w:rsid w:val="00A118AC"/>
    <w:rsid w:val="00A11AA7"/>
    <w:rsid w:val="00A11E78"/>
    <w:rsid w:val="00A126DE"/>
    <w:rsid w:val="00A12B2C"/>
    <w:rsid w:val="00A12BE3"/>
    <w:rsid w:val="00A12C2A"/>
    <w:rsid w:val="00A12D97"/>
    <w:rsid w:val="00A1303D"/>
    <w:rsid w:val="00A14088"/>
    <w:rsid w:val="00A140DF"/>
    <w:rsid w:val="00A1446E"/>
    <w:rsid w:val="00A14A1F"/>
    <w:rsid w:val="00A14F40"/>
    <w:rsid w:val="00A152A4"/>
    <w:rsid w:val="00A16C49"/>
    <w:rsid w:val="00A16F06"/>
    <w:rsid w:val="00A16FD2"/>
    <w:rsid w:val="00A17E60"/>
    <w:rsid w:val="00A17FA6"/>
    <w:rsid w:val="00A206B2"/>
    <w:rsid w:val="00A21173"/>
    <w:rsid w:val="00A22613"/>
    <w:rsid w:val="00A2375F"/>
    <w:rsid w:val="00A237B3"/>
    <w:rsid w:val="00A23E89"/>
    <w:rsid w:val="00A2552B"/>
    <w:rsid w:val="00A25ACF"/>
    <w:rsid w:val="00A262A6"/>
    <w:rsid w:val="00A2637E"/>
    <w:rsid w:val="00A269CC"/>
    <w:rsid w:val="00A26DDA"/>
    <w:rsid w:val="00A26F40"/>
    <w:rsid w:val="00A2707B"/>
    <w:rsid w:val="00A2768C"/>
    <w:rsid w:val="00A277F5"/>
    <w:rsid w:val="00A27967"/>
    <w:rsid w:val="00A31986"/>
    <w:rsid w:val="00A321EF"/>
    <w:rsid w:val="00A32682"/>
    <w:rsid w:val="00A32A5C"/>
    <w:rsid w:val="00A32D45"/>
    <w:rsid w:val="00A33020"/>
    <w:rsid w:val="00A335A6"/>
    <w:rsid w:val="00A33EF1"/>
    <w:rsid w:val="00A3438B"/>
    <w:rsid w:val="00A3457A"/>
    <w:rsid w:val="00A34B9A"/>
    <w:rsid w:val="00A352FD"/>
    <w:rsid w:val="00A35F28"/>
    <w:rsid w:val="00A36836"/>
    <w:rsid w:val="00A3781F"/>
    <w:rsid w:val="00A37C51"/>
    <w:rsid w:val="00A40372"/>
    <w:rsid w:val="00A403E3"/>
    <w:rsid w:val="00A405A7"/>
    <w:rsid w:val="00A40DC5"/>
    <w:rsid w:val="00A4152B"/>
    <w:rsid w:val="00A41C57"/>
    <w:rsid w:val="00A41CCC"/>
    <w:rsid w:val="00A41E99"/>
    <w:rsid w:val="00A424B1"/>
    <w:rsid w:val="00A427AF"/>
    <w:rsid w:val="00A42846"/>
    <w:rsid w:val="00A42901"/>
    <w:rsid w:val="00A43475"/>
    <w:rsid w:val="00A438EF"/>
    <w:rsid w:val="00A43A7D"/>
    <w:rsid w:val="00A43B67"/>
    <w:rsid w:val="00A4475C"/>
    <w:rsid w:val="00A45245"/>
    <w:rsid w:val="00A4589D"/>
    <w:rsid w:val="00A4664F"/>
    <w:rsid w:val="00A46D08"/>
    <w:rsid w:val="00A46DE0"/>
    <w:rsid w:val="00A478CD"/>
    <w:rsid w:val="00A50087"/>
    <w:rsid w:val="00A512DF"/>
    <w:rsid w:val="00A51DB9"/>
    <w:rsid w:val="00A52180"/>
    <w:rsid w:val="00A5400B"/>
    <w:rsid w:val="00A5632F"/>
    <w:rsid w:val="00A569DE"/>
    <w:rsid w:val="00A56C44"/>
    <w:rsid w:val="00A57DD0"/>
    <w:rsid w:val="00A60228"/>
    <w:rsid w:val="00A60A80"/>
    <w:rsid w:val="00A620A4"/>
    <w:rsid w:val="00A62325"/>
    <w:rsid w:val="00A628B9"/>
    <w:rsid w:val="00A62BBE"/>
    <w:rsid w:val="00A62D16"/>
    <w:rsid w:val="00A62FBB"/>
    <w:rsid w:val="00A6395C"/>
    <w:rsid w:val="00A655C3"/>
    <w:rsid w:val="00A66538"/>
    <w:rsid w:val="00A66794"/>
    <w:rsid w:val="00A6706D"/>
    <w:rsid w:val="00A6712B"/>
    <w:rsid w:val="00A6720E"/>
    <w:rsid w:val="00A67ADB"/>
    <w:rsid w:val="00A67BE7"/>
    <w:rsid w:val="00A67DD6"/>
    <w:rsid w:val="00A7033D"/>
    <w:rsid w:val="00A70A38"/>
    <w:rsid w:val="00A71006"/>
    <w:rsid w:val="00A72129"/>
    <w:rsid w:val="00A722A1"/>
    <w:rsid w:val="00A72585"/>
    <w:rsid w:val="00A72685"/>
    <w:rsid w:val="00A72A50"/>
    <w:rsid w:val="00A7345E"/>
    <w:rsid w:val="00A741BF"/>
    <w:rsid w:val="00A7442E"/>
    <w:rsid w:val="00A747A4"/>
    <w:rsid w:val="00A748C3"/>
    <w:rsid w:val="00A758D0"/>
    <w:rsid w:val="00A75D03"/>
    <w:rsid w:val="00A75E72"/>
    <w:rsid w:val="00A7656F"/>
    <w:rsid w:val="00A7664A"/>
    <w:rsid w:val="00A76B3A"/>
    <w:rsid w:val="00A774AA"/>
    <w:rsid w:val="00A80215"/>
    <w:rsid w:val="00A80918"/>
    <w:rsid w:val="00A81485"/>
    <w:rsid w:val="00A8262D"/>
    <w:rsid w:val="00A833C0"/>
    <w:rsid w:val="00A83BD5"/>
    <w:rsid w:val="00A83EBB"/>
    <w:rsid w:val="00A8435B"/>
    <w:rsid w:val="00A84674"/>
    <w:rsid w:val="00A8482F"/>
    <w:rsid w:val="00A84B34"/>
    <w:rsid w:val="00A84B6A"/>
    <w:rsid w:val="00A851E2"/>
    <w:rsid w:val="00A85462"/>
    <w:rsid w:val="00A857C1"/>
    <w:rsid w:val="00A862D5"/>
    <w:rsid w:val="00A8667F"/>
    <w:rsid w:val="00A86DC8"/>
    <w:rsid w:val="00A872D9"/>
    <w:rsid w:val="00A8768C"/>
    <w:rsid w:val="00A906F4"/>
    <w:rsid w:val="00A90747"/>
    <w:rsid w:val="00A9091C"/>
    <w:rsid w:val="00A90EDB"/>
    <w:rsid w:val="00A91538"/>
    <w:rsid w:val="00A918FB"/>
    <w:rsid w:val="00A919A1"/>
    <w:rsid w:val="00A9266A"/>
    <w:rsid w:val="00A928BE"/>
    <w:rsid w:val="00A93907"/>
    <w:rsid w:val="00A952CA"/>
    <w:rsid w:val="00A96F61"/>
    <w:rsid w:val="00A97219"/>
    <w:rsid w:val="00A97425"/>
    <w:rsid w:val="00AA004E"/>
    <w:rsid w:val="00AA11DD"/>
    <w:rsid w:val="00AA14E4"/>
    <w:rsid w:val="00AA19D1"/>
    <w:rsid w:val="00AA1CE7"/>
    <w:rsid w:val="00AA1F5E"/>
    <w:rsid w:val="00AA2E55"/>
    <w:rsid w:val="00AA2FD3"/>
    <w:rsid w:val="00AA32CA"/>
    <w:rsid w:val="00AA382B"/>
    <w:rsid w:val="00AA3DCC"/>
    <w:rsid w:val="00AA4EB5"/>
    <w:rsid w:val="00AA5424"/>
    <w:rsid w:val="00AA5A0D"/>
    <w:rsid w:val="00AA6003"/>
    <w:rsid w:val="00AA6179"/>
    <w:rsid w:val="00AA635C"/>
    <w:rsid w:val="00AA6AF7"/>
    <w:rsid w:val="00AA7380"/>
    <w:rsid w:val="00AA755A"/>
    <w:rsid w:val="00AA7AD1"/>
    <w:rsid w:val="00AA7AF0"/>
    <w:rsid w:val="00AA7C4D"/>
    <w:rsid w:val="00AA7D51"/>
    <w:rsid w:val="00AA7DEF"/>
    <w:rsid w:val="00AA7F7A"/>
    <w:rsid w:val="00AB0353"/>
    <w:rsid w:val="00AB0E81"/>
    <w:rsid w:val="00AB1194"/>
    <w:rsid w:val="00AB1272"/>
    <w:rsid w:val="00AB1361"/>
    <w:rsid w:val="00AB1BE2"/>
    <w:rsid w:val="00AB270E"/>
    <w:rsid w:val="00AB279B"/>
    <w:rsid w:val="00AB2C3D"/>
    <w:rsid w:val="00AB30EB"/>
    <w:rsid w:val="00AB3C6C"/>
    <w:rsid w:val="00AB3EBF"/>
    <w:rsid w:val="00AB4C0E"/>
    <w:rsid w:val="00AB4EAA"/>
    <w:rsid w:val="00AB59FB"/>
    <w:rsid w:val="00AB5D16"/>
    <w:rsid w:val="00AB637A"/>
    <w:rsid w:val="00AB6BA6"/>
    <w:rsid w:val="00AB75FC"/>
    <w:rsid w:val="00AC03FA"/>
    <w:rsid w:val="00AC0584"/>
    <w:rsid w:val="00AC0780"/>
    <w:rsid w:val="00AC0AC6"/>
    <w:rsid w:val="00AC1061"/>
    <w:rsid w:val="00AC11E9"/>
    <w:rsid w:val="00AC12C6"/>
    <w:rsid w:val="00AC1C8F"/>
    <w:rsid w:val="00AC2426"/>
    <w:rsid w:val="00AC3785"/>
    <w:rsid w:val="00AC379E"/>
    <w:rsid w:val="00AC387C"/>
    <w:rsid w:val="00AC408A"/>
    <w:rsid w:val="00AC4353"/>
    <w:rsid w:val="00AC4412"/>
    <w:rsid w:val="00AC44DC"/>
    <w:rsid w:val="00AC450E"/>
    <w:rsid w:val="00AC4792"/>
    <w:rsid w:val="00AC4A08"/>
    <w:rsid w:val="00AC4E55"/>
    <w:rsid w:val="00AC530B"/>
    <w:rsid w:val="00AC534B"/>
    <w:rsid w:val="00AC5937"/>
    <w:rsid w:val="00AC5BE2"/>
    <w:rsid w:val="00AC5D42"/>
    <w:rsid w:val="00AC6673"/>
    <w:rsid w:val="00AC67C6"/>
    <w:rsid w:val="00AC6A51"/>
    <w:rsid w:val="00AC7906"/>
    <w:rsid w:val="00AC7D5A"/>
    <w:rsid w:val="00AC7F62"/>
    <w:rsid w:val="00AD034B"/>
    <w:rsid w:val="00AD0D34"/>
    <w:rsid w:val="00AD122C"/>
    <w:rsid w:val="00AD14A9"/>
    <w:rsid w:val="00AD14AA"/>
    <w:rsid w:val="00AD15A1"/>
    <w:rsid w:val="00AD2C82"/>
    <w:rsid w:val="00AD2D0F"/>
    <w:rsid w:val="00AD41AB"/>
    <w:rsid w:val="00AD43AD"/>
    <w:rsid w:val="00AD5543"/>
    <w:rsid w:val="00AD5A66"/>
    <w:rsid w:val="00AD63A4"/>
    <w:rsid w:val="00AD64C4"/>
    <w:rsid w:val="00AD7A81"/>
    <w:rsid w:val="00AE007B"/>
    <w:rsid w:val="00AE0178"/>
    <w:rsid w:val="00AE0AE2"/>
    <w:rsid w:val="00AE1112"/>
    <w:rsid w:val="00AE157B"/>
    <w:rsid w:val="00AE170E"/>
    <w:rsid w:val="00AE26F8"/>
    <w:rsid w:val="00AE2D51"/>
    <w:rsid w:val="00AE3118"/>
    <w:rsid w:val="00AE37C2"/>
    <w:rsid w:val="00AE3B21"/>
    <w:rsid w:val="00AE43A2"/>
    <w:rsid w:val="00AE43A7"/>
    <w:rsid w:val="00AE4B89"/>
    <w:rsid w:val="00AE5AE1"/>
    <w:rsid w:val="00AE6285"/>
    <w:rsid w:val="00AE67FC"/>
    <w:rsid w:val="00AE6B16"/>
    <w:rsid w:val="00AE797C"/>
    <w:rsid w:val="00AE79DD"/>
    <w:rsid w:val="00AE7A70"/>
    <w:rsid w:val="00AE7BD6"/>
    <w:rsid w:val="00AF0397"/>
    <w:rsid w:val="00AF190E"/>
    <w:rsid w:val="00AF3354"/>
    <w:rsid w:val="00AF3DED"/>
    <w:rsid w:val="00AF4152"/>
    <w:rsid w:val="00AF425C"/>
    <w:rsid w:val="00AF47C2"/>
    <w:rsid w:val="00AF4BEA"/>
    <w:rsid w:val="00AF5EE0"/>
    <w:rsid w:val="00AF60A2"/>
    <w:rsid w:val="00AF6966"/>
    <w:rsid w:val="00AF6D69"/>
    <w:rsid w:val="00AF757F"/>
    <w:rsid w:val="00AF792B"/>
    <w:rsid w:val="00AF7DA8"/>
    <w:rsid w:val="00B0026C"/>
    <w:rsid w:val="00B004A2"/>
    <w:rsid w:val="00B00884"/>
    <w:rsid w:val="00B010ED"/>
    <w:rsid w:val="00B01C60"/>
    <w:rsid w:val="00B0315B"/>
    <w:rsid w:val="00B03589"/>
    <w:rsid w:val="00B03635"/>
    <w:rsid w:val="00B037A1"/>
    <w:rsid w:val="00B03F61"/>
    <w:rsid w:val="00B04FF5"/>
    <w:rsid w:val="00B05B72"/>
    <w:rsid w:val="00B070E6"/>
    <w:rsid w:val="00B07A1A"/>
    <w:rsid w:val="00B07F2D"/>
    <w:rsid w:val="00B10506"/>
    <w:rsid w:val="00B10752"/>
    <w:rsid w:val="00B1087F"/>
    <w:rsid w:val="00B10B3C"/>
    <w:rsid w:val="00B10E1A"/>
    <w:rsid w:val="00B117C0"/>
    <w:rsid w:val="00B127B1"/>
    <w:rsid w:val="00B136BD"/>
    <w:rsid w:val="00B1405F"/>
    <w:rsid w:val="00B14099"/>
    <w:rsid w:val="00B14460"/>
    <w:rsid w:val="00B149DD"/>
    <w:rsid w:val="00B149FD"/>
    <w:rsid w:val="00B14C0C"/>
    <w:rsid w:val="00B14C55"/>
    <w:rsid w:val="00B14FD0"/>
    <w:rsid w:val="00B1562F"/>
    <w:rsid w:val="00B15835"/>
    <w:rsid w:val="00B16325"/>
    <w:rsid w:val="00B16A74"/>
    <w:rsid w:val="00B16B61"/>
    <w:rsid w:val="00B17E83"/>
    <w:rsid w:val="00B20B4F"/>
    <w:rsid w:val="00B20CC6"/>
    <w:rsid w:val="00B20FF4"/>
    <w:rsid w:val="00B21290"/>
    <w:rsid w:val="00B2193B"/>
    <w:rsid w:val="00B21E75"/>
    <w:rsid w:val="00B223AC"/>
    <w:rsid w:val="00B22B2A"/>
    <w:rsid w:val="00B237A0"/>
    <w:rsid w:val="00B246C2"/>
    <w:rsid w:val="00B24DD1"/>
    <w:rsid w:val="00B2522A"/>
    <w:rsid w:val="00B255E8"/>
    <w:rsid w:val="00B25BE0"/>
    <w:rsid w:val="00B26B95"/>
    <w:rsid w:val="00B270A1"/>
    <w:rsid w:val="00B27200"/>
    <w:rsid w:val="00B2724D"/>
    <w:rsid w:val="00B272FA"/>
    <w:rsid w:val="00B301F7"/>
    <w:rsid w:val="00B30642"/>
    <w:rsid w:val="00B30843"/>
    <w:rsid w:val="00B30FCC"/>
    <w:rsid w:val="00B315A0"/>
    <w:rsid w:val="00B31A21"/>
    <w:rsid w:val="00B32716"/>
    <w:rsid w:val="00B327DC"/>
    <w:rsid w:val="00B32EBE"/>
    <w:rsid w:val="00B3538C"/>
    <w:rsid w:val="00B35D38"/>
    <w:rsid w:val="00B361CF"/>
    <w:rsid w:val="00B36843"/>
    <w:rsid w:val="00B36A32"/>
    <w:rsid w:val="00B36D03"/>
    <w:rsid w:val="00B371A5"/>
    <w:rsid w:val="00B377B9"/>
    <w:rsid w:val="00B4015C"/>
    <w:rsid w:val="00B40D43"/>
    <w:rsid w:val="00B41198"/>
    <w:rsid w:val="00B4249A"/>
    <w:rsid w:val="00B424B7"/>
    <w:rsid w:val="00B42642"/>
    <w:rsid w:val="00B426E3"/>
    <w:rsid w:val="00B42961"/>
    <w:rsid w:val="00B42A3A"/>
    <w:rsid w:val="00B431A6"/>
    <w:rsid w:val="00B4409C"/>
    <w:rsid w:val="00B44346"/>
    <w:rsid w:val="00B443F7"/>
    <w:rsid w:val="00B44985"/>
    <w:rsid w:val="00B44B9A"/>
    <w:rsid w:val="00B44EBC"/>
    <w:rsid w:val="00B457A9"/>
    <w:rsid w:val="00B45ABA"/>
    <w:rsid w:val="00B45C13"/>
    <w:rsid w:val="00B45CEC"/>
    <w:rsid w:val="00B46624"/>
    <w:rsid w:val="00B46ACC"/>
    <w:rsid w:val="00B47250"/>
    <w:rsid w:val="00B47BB1"/>
    <w:rsid w:val="00B5057B"/>
    <w:rsid w:val="00B50A75"/>
    <w:rsid w:val="00B515D8"/>
    <w:rsid w:val="00B517B8"/>
    <w:rsid w:val="00B52498"/>
    <w:rsid w:val="00B52EBB"/>
    <w:rsid w:val="00B535C0"/>
    <w:rsid w:val="00B53820"/>
    <w:rsid w:val="00B53A86"/>
    <w:rsid w:val="00B53BB7"/>
    <w:rsid w:val="00B5466F"/>
    <w:rsid w:val="00B553FA"/>
    <w:rsid w:val="00B55933"/>
    <w:rsid w:val="00B55A59"/>
    <w:rsid w:val="00B5681F"/>
    <w:rsid w:val="00B5690A"/>
    <w:rsid w:val="00B5797F"/>
    <w:rsid w:val="00B57A74"/>
    <w:rsid w:val="00B60374"/>
    <w:rsid w:val="00B603EA"/>
    <w:rsid w:val="00B60574"/>
    <w:rsid w:val="00B60E3B"/>
    <w:rsid w:val="00B628F3"/>
    <w:rsid w:val="00B62986"/>
    <w:rsid w:val="00B646BC"/>
    <w:rsid w:val="00B64E7A"/>
    <w:rsid w:val="00B65525"/>
    <w:rsid w:val="00B66586"/>
    <w:rsid w:val="00B6771C"/>
    <w:rsid w:val="00B67A2D"/>
    <w:rsid w:val="00B67D38"/>
    <w:rsid w:val="00B67FE6"/>
    <w:rsid w:val="00B70447"/>
    <w:rsid w:val="00B704B4"/>
    <w:rsid w:val="00B7077D"/>
    <w:rsid w:val="00B707B5"/>
    <w:rsid w:val="00B708C1"/>
    <w:rsid w:val="00B7131E"/>
    <w:rsid w:val="00B7172C"/>
    <w:rsid w:val="00B721DE"/>
    <w:rsid w:val="00B72BB4"/>
    <w:rsid w:val="00B732AB"/>
    <w:rsid w:val="00B7428E"/>
    <w:rsid w:val="00B746D3"/>
    <w:rsid w:val="00B74A2B"/>
    <w:rsid w:val="00B75271"/>
    <w:rsid w:val="00B75841"/>
    <w:rsid w:val="00B75F60"/>
    <w:rsid w:val="00B76669"/>
    <w:rsid w:val="00B77077"/>
    <w:rsid w:val="00B7720D"/>
    <w:rsid w:val="00B7722B"/>
    <w:rsid w:val="00B7735B"/>
    <w:rsid w:val="00B776CE"/>
    <w:rsid w:val="00B77B68"/>
    <w:rsid w:val="00B8003F"/>
    <w:rsid w:val="00B800C7"/>
    <w:rsid w:val="00B805B4"/>
    <w:rsid w:val="00B8171A"/>
    <w:rsid w:val="00B81A67"/>
    <w:rsid w:val="00B81AF6"/>
    <w:rsid w:val="00B826BF"/>
    <w:rsid w:val="00B82F87"/>
    <w:rsid w:val="00B835B5"/>
    <w:rsid w:val="00B83E9A"/>
    <w:rsid w:val="00B845E0"/>
    <w:rsid w:val="00B8501E"/>
    <w:rsid w:val="00B85CBF"/>
    <w:rsid w:val="00B868D6"/>
    <w:rsid w:val="00B87849"/>
    <w:rsid w:val="00B87B4F"/>
    <w:rsid w:val="00B90DBA"/>
    <w:rsid w:val="00B90FE6"/>
    <w:rsid w:val="00B91054"/>
    <w:rsid w:val="00B914C8"/>
    <w:rsid w:val="00B91860"/>
    <w:rsid w:val="00B91DFE"/>
    <w:rsid w:val="00B91EDE"/>
    <w:rsid w:val="00B92C82"/>
    <w:rsid w:val="00B937B0"/>
    <w:rsid w:val="00B93FE1"/>
    <w:rsid w:val="00B9443E"/>
    <w:rsid w:val="00B94C17"/>
    <w:rsid w:val="00B954EE"/>
    <w:rsid w:val="00B95DBB"/>
    <w:rsid w:val="00B96F1B"/>
    <w:rsid w:val="00B97559"/>
    <w:rsid w:val="00B97914"/>
    <w:rsid w:val="00BA00DD"/>
    <w:rsid w:val="00BA2DD0"/>
    <w:rsid w:val="00BA3CC2"/>
    <w:rsid w:val="00BA4256"/>
    <w:rsid w:val="00BA46B9"/>
    <w:rsid w:val="00BA5DB8"/>
    <w:rsid w:val="00BA6165"/>
    <w:rsid w:val="00BA66C2"/>
    <w:rsid w:val="00BA6D24"/>
    <w:rsid w:val="00BA7402"/>
    <w:rsid w:val="00BA740C"/>
    <w:rsid w:val="00BA78BD"/>
    <w:rsid w:val="00BA79EA"/>
    <w:rsid w:val="00BA7A55"/>
    <w:rsid w:val="00BA7A60"/>
    <w:rsid w:val="00BA7FE3"/>
    <w:rsid w:val="00BB0B1B"/>
    <w:rsid w:val="00BB1088"/>
    <w:rsid w:val="00BB191C"/>
    <w:rsid w:val="00BB2D1E"/>
    <w:rsid w:val="00BB3F2D"/>
    <w:rsid w:val="00BB43F0"/>
    <w:rsid w:val="00BB45C3"/>
    <w:rsid w:val="00BB4AD7"/>
    <w:rsid w:val="00BB51A2"/>
    <w:rsid w:val="00BB5543"/>
    <w:rsid w:val="00BB5738"/>
    <w:rsid w:val="00BB5DBC"/>
    <w:rsid w:val="00BB6059"/>
    <w:rsid w:val="00BB6521"/>
    <w:rsid w:val="00BB70EC"/>
    <w:rsid w:val="00BB7618"/>
    <w:rsid w:val="00BB76E4"/>
    <w:rsid w:val="00BB7821"/>
    <w:rsid w:val="00BB7A19"/>
    <w:rsid w:val="00BB7A8B"/>
    <w:rsid w:val="00BC0711"/>
    <w:rsid w:val="00BC093C"/>
    <w:rsid w:val="00BC113E"/>
    <w:rsid w:val="00BC1A62"/>
    <w:rsid w:val="00BC1D1C"/>
    <w:rsid w:val="00BC1EDD"/>
    <w:rsid w:val="00BC25AE"/>
    <w:rsid w:val="00BC28AE"/>
    <w:rsid w:val="00BC313C"/>
    <w:rsid w:val="00BC479C"/>
    <w:rsid w:val="00BC47B3"/>
    <w:rsid w:val="00BC496E"/>
    <w:rsid w:val="00BC5172"/>
    <w:rsid w:val="00BC5419"/>
    <w:rsid w:val="00BC56D0"/>
    <w:rsid w:val="00BC56FD"/>
    <w:rsid w:val="00BD0100"/>
    <w:rsid w:val="00BD01E0"/>
    <w:rsid w:val="00BD09B9"/>
    <w:rsid w:val="00BD2307"/>
    <w:rsid w:val="00BD376D"/>
    <w:rsid w:val="00BD3857"/>
    <w:rsid w:val="00BD420B"/>
    <w:rsid w:val="00BD4A71"/>
    <w:rsid w:val="00BD4E4F"/>
    <w:rsid w:val="00BD50C4"/>
    <w:rsid w:val="00BD5666"/>
    <w:rsid w:val="00BD5CBC"/>
    <w:rsid w:val="00BD6F38"/>
    <w:rsid w:val="00BD7297"/>
    <w:rsid w:val="00BE0424"/>
    <w:rsid w:val="00BE1488"/>
    <w:rsid w:val="00BE2BE5"/>
    <w:rsid w:val="00BE2E0F"/>
    <w:rsid w:val="00BE3D6C"/>
    <w:rsid w:val="00BE4106"/>
    <w:rsid w:val="00BE4E16"/>
    <w:rsid w:val="00BE4F9A"/>
    <w:rsid w:val="00BE5CA7"/>
    <w:rsid w:val="00BE5D10"/>
    <w:rsid w:val="00BE5DED"/>
    <w:rsid w:val="00BE750D"/>
    <w:rsid w:val="00BE779B"/>
    <w:rsid w:val="00BE7AA5"/>
    <w:rsid w:val="00BF1183"/>
    <w:rsid w:val="00BF15B6"/>
    <w:rsid w:val="00BF18E3"/>
    <w:rsid w:val="00BF1D69"/>
    <w:rsid w:val="00BF1EA6"/>
    <w:rsid w:val="00BF27E3"/>
    <w:rsid w:val="00BF2E1F"/>
    <w:rsid w:val="00BF322B"/>
    <w:rsid w:val="00BF35EA"/>
    <w:rsid w:val="00BF3B59"/>
    <w:rsid w:val="00BF3D15"/>
    <w:rsid w:val="00BF4382"/>
    <w:rsid w:val="00BF4708"/>
    <w:rsid w:val="00BF5C5D"/>
    <w:rsid w:val="00BF5F8E"/>
    <w:rsid w:val="00BF6322"/>
    <w:rsid w:val="00BF6AC7"/>
    <w:rsid w:val="00BF7108"/>
    <w:rsid w:val="00BF7512"/>
    <w:rsid w:val="00BF7BB0"/>
    <w:rsid w:val="00C00BA4"/>
    <w:rsid w:val="00C01B36"/>
    <w:rsid w:val="00C026CD"/>
    <w:rsid w:val="00C029D8"/>
    <w:rsid w:val="00C03CBE"/>
    <w:rsid w:val="00C05452"/>
    <w:rsid w:val="00C05549"/>
    <w:rsid w:val="00C05BEF"/>
    <w:rsid w:val="00C065D9"/>
    <w:rsid w:val="00C0670E"/>
    <w:rsid w:val="00C06743"/>
    <w:rsid w:val="00C07D6F"/>
    <w:rsid w:val="00C1134E"/>
    <w:rsid w:val="00C11A97"/>
    <w:rsid w:val="00C11E2A"/>
    <w:rsid w:val="00C1273C"/>
    <w:rsid w:val="00C13014"/>
    <w:rsid w:val="00C13A3F"/>
    <w:rsid w:val="00C148DC"/>
    <w:rsid w:val="00C15215"/>
    <w:rsid w:val="00C15DB6"/>
    <w:rsid w:val="00C15EF1"/>
    <w:rsid w:val="00C16274"/>
    <w:rsid w:val="00C17218"/>
    <w:rsid w:val="00C172E4"/>
    <w:rsid w:val="00C17D5A"/>
    <w:rsid w:val="00C17E42"/>
    <w:rsid w:val="00C17EE7"/>
    <w:rsid w:val="00C17F8A"/>
    <w:rsid w:val="00C20171"/>
    <w:rsid w:val="00C202F0"/>
    <w:rsid w:val="00C20372"/>
    <w:rsid w:val="00C207B0"/>
    <w:rsid w:val="00C208D9"/>
    <w:rsid w:val="00C20B19"/>
    <w:rsid w:val="00C21729"/>
    <w:rsid w:val="00C22550"/>
    <w:rsid w:val="00C228C3"/>
    <w:rsid w:val="00C2296A"/>
    <w:rsid w:val="00C22ADF"/>
    <w:rsid w:val="00C22D9F"/>
    <w:rsid w:val="00C22E7A"/>
    <w:rsid w:val="00C2371C"/>
    <w:rsid w:val="00C2602B"/>
    <w:rsid w:val="00C26E41"/>
    <w:rsid w:val="00C2791C"/>
    <w:rsid w:val="00C279CD"/>
    <w:rsid w:val="00C301EA"/>
    <w:rsid w:val="00C30286"/>
    <w:rsid w:val="00C305B8"/>
    <w:rsid w:val="00C3100D"/>
    <w:rsid w:val="00C32BAE"/>
    <w:rsid w:val="00C33815"/>
    <w:rsid w:val="00C33AB3"/>
    <w:rsid w:val="00C342D0"/>
    <w:rsid w:val="00C34810"/>
    <w:rsid w:val="00C34DB4"/>
    <w:rsid w:val="00C35085"/>
    <w:rsid w:val="00C35F99"/>
    <w:rsid w:val="00C3681D"/>
    <w:rsid w:val="00C416DB"/>
    <w:rsid w:val="00C41825"/>
    <w:rsid w:val="00C41A49"/>
    <w:rsid w:val="00C42685"/>
    <w:rsid w:val="00C42C5D"/>
    <w:rsid w:val="00C433E6"/>
    <w:rsid w:val="00C433F3"/>
    <w:rsid w:val="00C43C92"/>
    <w:rsid w:val="00C44AD5"/>
    <w:rsid w:val="00C45FC1"/>
    <w:rsid w:val="00C4788B"/>
    <w:rsid w:val="00C47B48"/>
    <w:rsid w:val="00C5024C"/>
    <w:rsid w:val="00C51EA5"/>
    <w:rsid w:val="00C5273A"/>
    <w:rsid w:val="00C52749"/>
    <w:rsid w:val="00C52B98"/>
    <w:rsid w:val="00C53071"/>
    <w:rsid w:val="00C532E9"/>
    <w:rsid w:val="00C53C04"/>
    <w:rsid w:val="00C549AB"/>
    <w:rsid w:val="00C55214"/>
    <w:rsid w:val="00C552B5"/>
    <w:rsid w:val="00C557D4"/>
    <w:rsid w:val="00C55B1C"/>
    <w:rsid w:val="00C56536"/>
    <w:rsid w:val="00C56EDF"/>
    <w:rsid w:val="00C57C9B"/>
    <w:rsid w:val="00C601C2"/>
    <w:rsid w:val="00C6020C"/>
    <w:rsid w:val="00C6042F"/>
    <w:rsid w:val="00C60994"/>
    <w:rsid w:val="00C60BB5"/>
    <w:rsid w:val="00C60BDC"/>
    <w:rsid w:val="00C60D03"/>
    <w:rsid w:val="00C61389"/>
    <w:rsid w:val="00C628DB"/>
    <w:rsid w:val="00C6326E"/>
    <w:rsid w:val="00C63534"/>
    <w:rsid w:val="00C63A01"/>
    <w:rsid w:val="00C63C07"/>
    <w:rsid w:val="00C63C30"/>
    <w:rsid w:val="00C63EE9"/>
    <w:rsid w:val="00C647EB"/>
    <w:rsid w:val="00C6482D"/>
    <w:rsid w:val="00C64EDB"/>
    <w:rsid w:val="00C6546E"/>
    <w:rsid w:val="00C65562"/>
    <w:rsid w:val="00C65F78"/>
    <w:rsid w:val="00C66456"/>
    <w:rsid w:val="00C67716"/>
    <w:rsid w:val="00C67D56"/>
    <w:rsid w:val="00C7002C"/>
    <w:rsid w:val="00C70ACB"/>
    <w:rsid w:val="00C70D9B"/>
    <w:rsid w:val="00C716D2"/>
    <w:rsid w:val="00C719C3"/>
    <w:rsid w:val="00C735BD"/>
    <w:rsid w:val="00C738FE"/>
    <w:rsid w:val="00C742B5"/>
    <w:rsid w:val="00C74522"/>
    <w:rsid w:val="00C7536C"/>
    <w:rsid w:val="00C7577D"/>
    <w:rsid w:val="00C75BC4"/>
    <w:rsid w:val="00C75BCF"/>
    <w:rsid w:val="00C75C0D"/>
    <w:rsid w:val="00C76664"/>
    <w:rsid w:val="00C76C9F"/>
    <w:rsid w:val="00C76DE0"/>
    <w:rsid w:val="00C80993"/>
    <w:rsid w:val="00C80BC8"/>
    <w:rsid w:val="00C80E39"/>
    <w:rsid w:val="00C80EED"/>
    <w:rsid w:val="00C810BE"/>
    <w:rsid w:val="00C82B32"/>
    <w:rsid w:val="00C83129"/>
    <w:rsid w:val="00C836FA"/>
    <w:rsid w:val="00C837B3"/>
    <w:rsid w:val="00C8424F"/>
    <w:rsid w:val="00C843A2"/>
    <w:rsid w:val="00C844A0"/>
    <w:rsid w:val="00C847DA"/>
    <w:rsid w:val="00C8501B"/>
    <w:rsid w:val="00C850BF"/>
    <w:rsid w:val="00C85DEF"/>
    <w:rsid w:val="00C86507"/>
    <w:rsid w:val="00C865E8"/>
    <w:rsid w:val="00C86A9F"/>
    <w:rsid w:val="00C8701D"/>
    <w:rsid w:val="00C8743D"/>
    <w:rsid w:val="00C8783F"/>
    <w:rsid w:val="00C87B6A"/>
    <w:rsid w:val="00C87F64"/>
    <w:rsid w:val="00C903C8"/>
    <w:rsid w:val="00C90652"/>
    <w:rsid w:val="00C90F19"/>
    <w:rsid w:val="00C915BB"/>
    <w:rsid w:val="00C91D94"/>
    <w:rsid w:val="00C92148"/>
    <w:rsid w:val="00C921CC"/>
    <w:rsid w:val="00C92BCB"/>
    <w:rsid w:val="00C92D4F"/>
    <w:rsid w:val="00C93016"/>
    <w:rsid w:val="00C932E8"/>
    <w:rsid w:val="00C934AF"/>
    <w:rsid w:val="00C943D9"/>
    <w:rsid w:val="00C945EE"/>
    <w:rsid w:val="00C95C7B"/>
    <w:rsid w:val="00C960EC"/>
    <w:rsid w:val="00C96592"/>
    <w:rsid w:val="00C97311"/>
    <w:rsid w:val="00C97346"/>
    <w:rsid w:val="00C97476"/>
    <w:rsid w:val="00C97885"/>
    <w:rsid w:val="00C978C3"/>
    <w:rsid w:val="00C97E7B"/>
    <w:rsid w:val="00CA130C"/>
    <w:rsid w:val="00CA16BF"/>
    <w:rsid w:val="00CA24C2"/>
    <w:rsid w:val="00CA3D52"/>
    <w:rsid w:val="00CA4978"/>
    <w:rsid w:val="00CA5481"/>
    <w:rsid w:val="00CA6414"/>
    <w:rsid w:val="00CA6874"/>
    <w:rsid w:val="00CA77BD"/>
    <w:rsid w:val="00CB0AFC"/>
    <w:rsid w:val="00CB0BA6"/>
    <w:rsid w:val="00CB0CDD"/>
    <w:rsid w:val="00CB0D79"/>
    <w:rsid w:val="00CB1595"/>
    <w:rsid w:val="00CB1680"/>
    <w:rsid w:val="00CB3166"/>
    <w:rsid w:val="00CB360E"/>
    <w:rsid w:val="00CB3E71"/>
    <w:rsid w:val="00CB3E80"/>
    <w:rsid w:val="00CB530A"/>
    <w:rsid w:val="00CB5E23"/>
    <w:rsid w:val="00CB6686"/>
    <w:rsid w:val="00CB6AB9"/>
    <w:rsid w:val="00CB70AD"/>
    <w:rsid w:val="00CB73A7"/>
    <w:rsid w:val="00CB79A3"/>
    <w:rsid w:val="00CC0385"/>
    <w:rsid w:val="00CC0527"/>
    <w:rsid w:val="00CC090F"/>
    <w:rsid w:val="00CC1A6F"/>
    <w:rsid w:val="00CC1DC9"/>
    <w:rsid w:val="00CC2AB8"/>
    <w:rsid w:val="00CC3342"/>
    <w:rsid w:val="00CC34BC"/>
    <w:rsid w:val="00CC40E6"/>
    <w:rsid w:val="00CC5876"/>
    <w:rsid w:val="00CC58A9"/>
    <w:rsid w:val="00CC6367"/>
    <w:rsid w:val="00CC6661"/>
    <w:rsid w:val="00CC6E96"/>
    <w:rsid w:val="00CC6F80"/>
    <w:rsid w:val="00CC7517"/>
    <w:rsid w:val="00CC7A2F"/>
    <w:rsid w:val="00CC7DE6"/>
    <w:rsid w:val="00CD0A44"/>
    <w:rsid w:val="00CD1B06"/>
    <w:rsid w:val="00CD240B"/>
    <w:rsid w:val="00CD2761"/>
    <w:rsid w:val="00CD295A"/>
    <w:rsid w:val="00CD2B61"/>
    <w:rsid w:val="00CD3315"/>
    <w:rsid w:val="00CD33F0"/>
    <w:rsid w:val="00CD3735"/>
    <w:rsid w:val="00CD3D19"/>
    <w:rsid w:val="00CD447A"/>
    <w:rsid w:val="00CD4754"/>
    <w:rsid w:val="00CD5EEE"/>
    <w:rsid w:val="00CD5F30"/>
    <w:rsid w:val="00CD71A6"/>
    <w:rsid w:val="00CD72C5"/>
    <w:rsid w:val="00CD754A"/>
    <w:rsid w:val="00CD7963"/>
    <w:rsid w:val="00CE119D"/>
    <w:rsid w:val="00CE138A"/>
    <w:rsid w:val="00CE181A"/>
    <w:rsid w:val="00CE1F23"/>
    <w:rsid w:val="00CE251D"/>
    <w:rsid w:val="00CE29D0"/>
    <w:rsid w:val="00CE2F1B"/>
    <w:rsid w:val="00CE2F25"/>
    <w:rsid w:val="00CE2F7F"/>
    <w:rsid w:val="00CE3757"/>
    <w:rsid w:val="00CE4460"/>
    <w:rsid w:val="00CE4AED"/>
    <w:rsid w:val="00CE50BD"/>
    <w:rsid w:val="00CE55B0"/>
    <w:rsid w:val="00CE598E"/>
    <w:rsid w:val="00CE5ECD"/>
    <w:rsid w:val="00CE6249"/>
    <w:rsid w:val="00CE63DE"/>
    <w:rsid w:val="00CE6EA9"/>
    <w:rsid w:val="00CE6F24"/>
    <w:rsid w:val="00CF0867"/>
    <w:rsid w:val="00CF0977"/>
    <w:rsid w:val="00CF0E03"/>
    <w:rsid w:val="00CF34B3"/>
    <w:rsid w:val="00CF36C5"/>
    <w:rsid w:val="00CF3B65"/>
    <w:rsid w:val="00CF3D4D"/>
    <w:rsid w:val="00CF3D87"/>
    <w:rsid w:val="00CF400F"/>
    <w:rsid w:val="00CF42BC"/>
    <w:rsid w:val="00CF4738"/>
    <w:rsid w:val="00CF530D"/>
    <w:rsid w:val="00CF59D7"/>
    <w:rsid w:val="00CF66D4"/>
    <w:rsid w:val="00CF67E9"/>
    <w:rsid w:val="00CF6ACD"/>
    <w:rsid w:val="00CF7808"/>
    <w:rsid w:val="00CF7859"/>
    <w:rsid w:val="00CF7EB8"/>
    <w:rsid w:val="00D0052C"/>
    <w:rsid w:val="00D01324"/>
    <w:rsid w:val="00D013E3"/>
    <w:rsid w:val="00D01A64"/>
    <w:rsid w:val="00D01AA2"/>
    <w:rsid w:val="00D02635"/>
    <w:rsid w:val="00D02886"/>
    <w:rsid w:val="00D02D6C"/>
    <w:rsid w:val="00D03848"/>
    <w:rsid w:val="00D0441F"/>
    <w:rsid w:val="00D05AB3"/>
    <w:rsid w:val="00D073B8"/>
    <w:rsid w:val="00D074A0"/>
    <w:rsid w:val="00D07625"/>
    <w:rsid w:val="00D0791A"/>
    <w:rsid w:val="00D07C8D"/>
    <w:rsid w:val="00D07EEC"/>
    <w:rsid w:val="00D10DB4"/>
    <w:rsid w:val="00D11B9D"/>
    <w:rsid w:val="00D124C9"/>
    <w:rsid w:val="00D1255A"/>
    <w:rsid w:val="00D12B1A"/>
    <w:rsid w:val="00D1348E"/>
    <w:rsid w:val="00D1480A"/>
    <w:rsid w:val="00D1548A"/>
    <w:rsid w:val="00D159A7"/>
    <w:rsid w:val="00D15E71"/>
    <w:rsid w:val="00D16890"/>
    <w:rsid w:val="00D16DF0"/>
    <w:rsid w:val="00D1757B"/>
    <w:rsid w:val="00D17817"/>
    <w:rsid w:val="00D17BAB"/>
    <w:rsid w:val="00D20773"/>
    <w:rsid w:val="00D20C17"/>
    <w:rsid w:val="00D20EE4"/>
    <w:rsid w:val="00D21741"/>
    <w:rsid w:val="00D221DF"/>
    <w:rsid w:val="00D226E3"/>
    <w:rsid w:val="00D23089"/>
    <w:rsid w:val="00D23BB8"/>
    <w:rsid w:val="00D24404"/>
    <w:rsid w:val="00D247F7"/>
    <w:rsid w:val="00D248A1"/>
    <w:rsid w:val="00D248BA"/>
    <w:rsid w:val="00D24AA0"/>
    <w:rsid w:val="00D24D9D"/>
    <w:rsid w:val="00D261A7"/>
    <w:rsid w:val="00D2621F"/>
    <w:rsid w:val="00D2622D"/>
    <w:rsid w:val="00D26ACF"/>
    <w:rsid w:val="00D2715B"/>
    <w:rsid w:val="00D271C5"/>
    <w:rsid w:val="00D27AC4"/>
    <w:rsid w:val="00D27D87"/>
    <w:rsid w:val="00D30419"/>
    <w:rsid w:val="00D30757"/>
    <w:rsid w:val="00D30FA0"/>
    <w:rsid w:val="00D3183A"/>
    <w:rsid w:val="00D31E69"/>
    <w:rsid w:val="00D3241E"/>
    <w:rsid w:val="00D32861"/>
    <w:rsid w:val="00D32A73"/>
    <w:rsid w:val="00D331C6"/>
    <w:rsid w:val="00D337FC"/>
    <w:rsid w:val="00D3384E"/>
    <w:rsid w:val="00D347B5"/>
    <w:rsid w:val="00D35080"/>
    <w:rsid w:val="00D35DC5"/>
    <w:rsid w:val="00D36A3D"/>
    <w:rsid w:val="00D3773E"/>
    <w:rsid w:val="00D37F2B"/>
    <w:rsid w:val="00D401F0"/>
    <w:rsid w:val="00D40620"/>
    <w:rsid w:val="00D40A6B"/>
    <w:rsid w:val="00D40BED"/>
    <w:rsid w:val="00D41027"/>
    <w:rsid w:val="00D41C3B"/>
    <w:rsid w:val="00D41CB1"/>
    <w:rsid w:val="00D41E1D"/>
    <w:rsid w:val="00D42048"/>
    <w:rsid w:val="00D42E54"/>
    <w:rsid w:val="00D43156"/>
    <w:rsid w:val="00D432DB"/>
    <w:rsid w:val="00D43C18"/>
    <w:rsid w:val="00D43E39"/>
    <w:rsid w:val="00D44E9B"/>
    <w:rsid w:val="00D450F5"/>
    <w:rsid w:val="00D46033"/>
    <w:rsid w:val="00D470E8"/>
    <w:rsid w:val="00D47433"/>
    <w:rsid w:val="00D478CD"/>
    <w:rsid w:val="00D47B95"/>
    <w:rsid w:val="00D503D5"/>
    <w:rsid w:val="00D5089F"/>
    <w:rsid w:val="00D50960"/>
    <w:rsid w:val="00D50D6C"/>
    <w:rsid w:val="00D50F88"/>
    <w:rsid w:val="00D51456"/>
    <w:rsid w:val="00D5190B"/>
    <w:rsid w:val="00D51994"/>
    <w:rsid w:val="00D51BF9"/>
    <w:rsid w:val="00D5228C"/>
    <w:rsid w:val="00D52696"/>
    <w:rsid w:val="00D54120"/>
    <w:rsid w:val="00D5415A"/>
    <w:rsid w:val="00D54170"/>
    <w:rsid w:val="00D55920"/>
    <w:rsid w:val="00D55B90"/>
    <w:rsid w:val="00D5701B"/>
    <w:rsid w:val="00D57336"/>
    <w:rsid w:val="00D576C8"/>
    <w:rsid w:val="00D57AE1"/>
    <w:rsid w:val="00D57CCD"/>
    <w:rsid w:val="00D60D16"/>
    <w:rsid w:val="00D6123C"/>
    <w:rsid w:val="00D61C05"/>
    <w:rsid w:val="00D62199"/>
    <w:rsid w:val="00D627F9"/>
    <w:rsid w:val="00D63012"/>
    <w:rsid w:val="00D63192"/>
    <w:rsid w:val="00D64461"/>
    <w:rsid w:val="00D6456D"/>
    <w:rsid w:val="00D6479D"/>
    <w:rsid w:val="00D65E27"/>
    <w:rsid w:val="00D66480"/>
    <w:rsid w:val="00D6758A"/>
    <w:rsid w:val="00D7045B"/>
    <w:rsid w:val="00D71287"/>
    <w:rsid w:val="00D712BE"/>
    <w:rsid w:val="00D71347"/>
    <w:rsid w:val="00D7142D"/>
    <w:rsid w:val="00D71598"/>
    <w:rsid w:val="00D7230C"/>
    <w:rsid w:val="00D7253D"/>
    <w:rsid w:val="00D73299"/>
    <w:rsid w:val="00D73350"/>
    <w:rsid w:val="00D7364F"/>
    <w:rsid w:val="00D736CA"/>
    <w:rsid w:val="00D73836"/>
    <w:rsid w:val="00D73A39"/>
    <w:rsid w:val="00D73B10"/>
    <w:rsid w:val="00D73C41"/>
    <w:rsid w:val="00D7529F"/>
    <w:rsid w:val="00D755AD"/>
    <w:rsid w:val="00D7569B"/>
    <w:rsid w:val="00D757D0"/>
    <w:rsid w:val="00D75E35"/>
    <w:rsid w:val="00D76023"/>
    <w:rsid w:val="00D765A5"/>
    <w:rsid w:val="00D7709D"/>
    <w:rsid w:val="00D7796E"/>
    <w:rsid w:val="00D77A3B"/>
    <w:rsid w:val="00D8106E"/>
    <w:rsid w:val="00D814DB"/>
    <w:rsid w:val="00D81AB7"/>
    <w:rsid w:val="00D81CAC"/>
    <w:rsid w:val="00D825A3"/>
    <w:rsid w:val="00D833FA"/>
    <w:rsid w:val="00D8399F"/>
    <w:rsid w:val="00D83C91"/>
    <w:rsid w:val="00D85003"/>
    <w:rsid w:val="00D85809"/>
    <w:rsid w:val="00D865FF"/>
    <w:rsid w:val="00D876D7"/>
    <w:rsid w:val="00D87ACE"/>
    <w:rsid w:val="00D915F2"/>
    <w:rsid w:val="00D9193C"/>
    <w:rsid w:val="00D91A03"/>
    <w:rsid w:val="00D91B19"/>
    <w:rsid w:val="00D92CBF"/>
    <w:rsid w:val="00D94D1A"/>
    <w:rsid w:val="00D94F69"/>
    <w:rsid w:val="00D950DF"/>
    <w:rsid w:val="00D952F5"/>
    <w:rsid w:val="00D954E6"/>
    <w:rsid w:val="00D95731"/>
    <w:rsid w:val="00D963EB"/>
    <w:rsid w:val="00D96D5E"/>
    <w:rsid w:val="00D97582"/>
    <w:rsid w:val="00D97D14"/>
    <w:rsid w:val="00DA009B"/>
    <w:rsid w:val="00DA00EA"/>
    <w:rsid w:val="00DA0A53"/>
    <w:rsid w:val="00DA1CF0"/>
    <w:rsid w:val="00DA1E39"/>
    <w:rsid w:val="00DA1FE7"/>
    <w:rsid w:val="00DA3643"/>
    <w:rsid w:val="00DA5D58"/>
    <w:rsid w:val="00DA6119"/>
    <w:rsid w:val="00DA62E0"/>
    <w:rsid w:val="00DA6934"/>
    <w:rsid w:val="00DA6DC2"/>
    <w:rsid w:val="00DA744E"/>
    <w:rsid w:val="00DA7485"/>
    <w:rsid w:val="00DB0214"/>
    <w:rsid w:val="00DB0AAB"/>
    <w:rsid w:val="00DB0F9C"/>
    <w:rsid w:val="00DB11C8"/>
    <w:rsid w:val="00DB167F"/>
    <w:rsid w:val="00DB1B56"/>
    <w:rsid w:val="00DB27BC"/>
    <w:rsid w:val="00DB3308"/>
    <w:rsid w:val="00DB3715"/>
    <w:rsid w:val="00DB37D5"/>
    <w:rsid w:val="00DB46D8"/>
    <w:rsid w:val="00DB4975"/>
    <w:rsid w:val="00DB589D"/>
    <w:rsid w:val="00DB59D9"/>
    <w:rsid w:val="00DB5E3D"/>
    <w:rsid w:val="00DB5F24"/>
    <w:rsid w:val="00DB65DC"/>
    <w:rsid w:val="00DB67C3"/>
    <w:rsid w:val="00DB6C56"/>
    <w:rsid w:val="00DB79F8"/>
    <w:rsid w:val="00DB7D84"/>
    <w:rsid w:val="00DC09E2"/>
    <w:rsid w:val="00DC1D4B"/>
    <w:rsid w:val="00DC2AC4"/>
    <w:rsid w:val="00DC2D61"/>
    <w:rsid w:val="00DC4878"/>
    <w:rsid w:val="00DC48B1"/>
    <w:rsid w:val="00DC4D52"/>
    <w:rsid w:val="00DC51F2"/>
    <w:rsid w:val="00DC5450"/>
    <w:rsid w:val="00DC5C4F"/>
    <w:rsid w:val="00DC7B3B"/>
    <w:rsid w:val="00DD00E9"/>
    <w:rsid w:val="00DD06AB"/>
    <w:rsid w:val="00DD11AB"/>
    <w:rsid w:val="00DD1513"/>
    <w:rsid w:val="00DD155D"/>
    <w:rsid w:val="00DD1561"/>
    <w:rsid w:val="00DD1DA2"/>
    <w:rsid w:val="00DD1F5D"/>
    <w:rsid w:val="00DD2E0D"/>
    <w:rsid w:val="00DD3A47"/>
    <w:rsid w:val="00DD470F"/>
    <w:rsid w:val="00DD476B"/>
    <w:rsid w:val="00DD5818"/>
    <w:rsid w:val="00DD58FD"/>
    <w:rsid w:val="00DD5AA5"/>
    <w:rsid w:val="00DE0179"/>
    <w:rsid w:val="00DE100E"/>
    <w:rsid w:val="00DE1F04"/>
    <w:rsid w:val="00DE27BF"/>
    <w:rsid w:val="00DE2F92"/>
    <w:rsid w:val="00DE3032"/>
    <w:rsid w:val="00DE3F46"/>
    <w:rsid w:val="00DE5169"/>
    <w:rsid w:val="00DE5912"/>
    <w:rsid w:val="00DE5981"/>
    <w:rsid w:val="00DE5FB0"/>
    <w:rsid w:val="00DE7386"/>
    <w:rsid w:val="00DE760E"/>
    <w:rsid w:val="00DF0BC1"/>
    <w:rsid w:val="00DF12B8"/>
    <w:rsid w:val="00DF177C"/>
    <w:rsid w:val="00DF1926"/>
    <w:rsid w:val="00DF2027"/>
    <w:rsid w:val="00DF236D"/>
    <w:rsid w:val="00DF2D3E"/>
    <w:rsid w:val="00DF40CF"/>
    <w:rsid w:val="00DF4B84"/>
    <w:rsid w:val="00DF5A21"/>
    <w:rsid w:val="00DF680B"/>
    <w:rsid w:val="00DF69BF"/>
    <w:rsid w:val="00DF6DF4"/>
    <w:rsid w:val="00DF6ED1"/>
    <w:rsid w:val="00E0329A"/>
    <w:rsid w:val="00E0388F"/>
    <w:rsid w:val="00E0478C"/>
    <w:rsid w:val="00E052EE"/>
    <w:rsid w:val="00E05A2D"/>
    <w:rsid w:val="00E06826"/>
    <w:rsid w:val="00E11124"/>
    <w:rsid w:val="00E1159B"/>
    <w:rsid w:val="00E116FC"/>
    <w:rsid w:val="00E11950"/>
    <w:rsid w:val="00E11AE7"/>
    <w:rsid w:val="00E11CC9"/>
    <w:rsid w:val="00E124FC"/>
    <w:rsid w:val="00E1321B"/>
    <w:rsid w:val="00E1343F"/>
    <w:rsid w:val="00E136E9"/>
    <w:rsid w:val="00E1389A"/>
    <w:rsid w:val="00E13A83"/>
    <w:rsid w:val="00E13D1B"/>
    <w:rsid w:val="00E1430C"/>
    <w:rsid w:val="00E1457D"/>
    <w:rsid w:val="00E147C9"/>
    <w:rsid w:val="00E150DB"/>
    <w:rsid w:val="00E15777"/>
    <w:rsid w:val="00E15992"/>
    <w:rsid w:val="00E15B5F"/>
    <w:rsid w:val="00E15C39"/>
    <w:rsid w:val="00E15C3F"/>
    <w:rsid w:val="00E15CCF"/>
    <w:rsid w:val="00E163A3"/>
    <w:rsid w:val="00E179B8"/>
    <w:rsid w:val="00E17A93"/>
    <w:rsid w:val="00E20673"/>
    <w:rsid w:val="00E209A5"/>
    <w:rsid w:val="00E20B9B"/>
    <w:rsid w:val="00E2148E"/>
    <w:rsid w:val="00E21E8C"/>
    <w:rsid w:val="00E22285"/>
    <w:rsid w:val="00E227A6"/>
    <w:rsid w:val="00E22A0C"/>
    <w:rsid w:val="00E2413B"/>
    <w:rsid w:val="00E24A9F"/>
    <w:rsid w:val="00E24E8A"/>
    <w:rsid w:val="00E25686"/>
    <w:rsid w:val="00E258C0"/>
    <w:rsid w:val="00E260DC"/>
    <w:rsid w:val="00E26558"/>
    <w:rsid w:val="00E2746F"/>
    <w:rsid w:val="00E2758A"/>
    <w:rsid w:val="00E2767D"/>
    <w:rsid w:val="00E279FF"/>
    <w:rsid w:val="00E27B33"/>
    <w:rsid w:val="00E318E6"/>
    <w:rsid w:val="00E328E8"/>
    <w:rsid w:val="00E33309"/>
    <w:rsid w:val="00E33314"/>
    <w:rsid w:val="00E3334F"/>
    <w:rsid w:val="00E343A5"/>
    <w:rsid w:val="00E34FDC"/>
    <w:rsid w:val="00E352F5"/>
    <w:rsid w:val="00E3599F"/>
    <w:rsid w:val="00E361FC"/>
    <w:rsid w:val="00E365AC"/>
    <w:rsid w:val="00E372AC"/>
    <w:rsid w:val="00E37992"/>
    <w:rsid w:val="00E40603"/>
    <w:rsid w:val="00E4165C"/>
    <w:rsid w:val="00E42B87"/>
    <w:rsid w:val="00E42D54"/>
    <w:rsid w:val="00E43033"/>
    <w:rsid w:val="00E4325F"/>
    <w:rsid w:val="00E43C95"/>
    <w:rsid w:val="00E4440A"/>
    <w:rsid w:val="00E448A9"/>
    <w:rsid w:val="00E44E7A"/>
    <w:rsid w:val="00E45782"/>
    <w:rsid w:val="00E45EBD"/>
    <w:rsid w:val="00E45EEE"/>
    <w:rsid w:val="00E461E7"/>
    <w:rsid w:val="00E4667A"/>
    <w:rsid w:val="00E47052"/>
    <w:rsid w:val="00E47484"/>
    <w:rsid w:val="00E47544"/>
    <w:rsid w:val="00E508A8"/>
    <w:rsid w:val="00E508B0"/>
    <w:rsid w:val="00E50BAB"/>
    <w:rsid w:val="00E50CEE"/>
    <w:rsid w:val="00E50EC3"/>
    <w:rsid w:val="00E51EEF"/>
    <w:rsid w:val="00E52AEF"/>
    <w:rsid w:val="00E53D80"/>
    <w:rsid w:val="00E5447B"/>
    <w:rsid w:val="00E54FA9"/>
    <w:rsid w:val="00E55B4C"/>
    <w:rsid w:val="00E56588"/>
    <w:rsid w:val="00E566F5"/>
    <w:rsid w:val="00E56A11"/>
    <w:rsid w:val="00E579E8"/>
    <w:rsid w:val="00E57ADD"/>
    <w:rsid w:val="00E57BCF"/>
    <w:rsid w:val="00E57D5F"/>
    <w:rsid w:val="00E606E7"/>
    <w:rsid w:val="00E60A85"/>
    <w:rsid w:val="00E6163B"/>
    <w:rsid w:val="00E61B5A"/>
    <w:rsid w:val="00E62002"/>
    <w:rsid w:val="00E62463"/>
    <w:rsid w:val="00E62BAD"/>
    <w:rsid w:val="00E63192"/>
    <w:rsid w:val="00E63354"/>
    <w:rsid w:val="00E63A74"/>
    <w:rsid w:val="00E63CB6"/>
    <w:rsid w:val="00E6420D"/>
    <w:rsid w:val="00E642EC"/>
    <w:rsid w:val="00E645C0"/>
    <w:rsid w:val="00E64BB2"/>
    <w:rsid w:val="00E64F7D"/>
    <w:rsid w:val="00E65C2A"/>
    <w:rsid w:val="00E6615D"/>
    <w:rsid w:val="00E663E0"/>
    <w:rsid w:val="00E66753"/>
    <w:rsid w:val="00E66ECC"/>
    <w:rsid w:val="00E673DA"/>
    <w:rsid w:val="00E67B94"/>
    <w:rsid w:val="00E702D2"/>
    <w:rsid w:val="00E703C9"/>
    <w:rsid w:val="00E70A62"/>
    <w:rsid w:val="00E71615"/>
    <w:rsid w:val="00E71F8E"/>
    <w:rsid w:val="00E7231C"/>
    <w:rsid w:val="00E733CF"/>
    <w:rsid w:val="00E74541"/>
    <w:rsid w:val="00E74555"/>
    <w:rsid w:val="00E74733"/>
    <w:rsid w:val="00E74881"/>
    <w:rsid w:val="00E74A83"/>
    <w:rsid w:val="00E7562E"/>
    <w:rsid w:val="00E75924"/>
    <w:rsid w:val="00E759D8"/>
    <w:rsid w:val="00E75DCB"/>
    <w:rsid w:val="00E76CD3"/>
    <w:rsid w:val="00E77CE6"/>
    <w:rsid w:val="00E77DCE"/>
    <w:rsid w:val="00E804FB"/>
    <w:rsid w:val="00E80E31"/>
    <w:rsid w:val="00E81647"/>
    <w:rsid w:val="00E8231E"/>
    <w:rsid w:val="00E82B59"/>
    <w:rsid w:val="00E82D46"/>
    <w:rsid w:val="00E8361A"/>
    <w:rsid w:val="00E83D18"/>
    <w:rsid w:val="00E847A7"/>
    <w:rsid w:val="00E84C8D"/>
    <w:rsid w:val="00E86196"/>
    <w:rsid w:val="00E866F5"/>
    <w:rsid w:val="00E8696F"/>
    <w:rsid w:val="00E86A43"/>
    <w:rsid w:val="00E870F0"/>
    <w:rsid w:val="00E9062F"/>
    <w:rsid w:val="00E912B3"/>
    <w:rsid w:val="00E91495"/>
    <w:rsid w:val="00E91AED"/>
    <w:rsid w:val="00E91C72"/>
    <w:rsid w:val="00E91CEC"/>
    <w:rsid w:val="00E9270F"/>
    <w:rsid w:val="00E92B8C"/>
    <w:rsid w:val="00E932B4"/>
    <w:rsid w:val="00E9357C"/>
    <w:rsid w:val="00E94058"/>
    <w:rsid w:val="00E941D5"/>
    <w:rsid w:val="00E942A9"/>
    <w:rsid w:val="00E94B96"/>
    <w:rsid w:val="00E9507C"/>
    <w:rsid w:val="00E959FC"/>
    <w:rsid w:val="00E96131"/>
    <w:rsid w:val="00E96E1E"/>
    <w:rsid w:val="00E970DE"/>
    <w:rsid w:val="00E97EF1"/>
    <w:rsid w:val="00EA0296"/>
    <w:rsid w:val="00EA041D"/>
    <w:rsid w:val="00EA05AE"/>
    <w:rsid w:val="00EA0C14"/>
    <w:rsid w:val="00EA188C"/>
    <w:rsid w:val="00EA1E4F"/>
    <w:rsid w:val="00EA25B0"/>
    <w:rsid w:val="00EA2E00"/>
    <w:rsid w:val="00EA2E15"/>
    <w:rsid w:val="00EA34CD"/>
    <w:rsid w:val="00EA4152"/>
    <w:rsid w:val="00EA4174"/>
    <w:rsid w:val="00EA47C3"/>
    <w:rsid w:val="00EA48FC"/>
    <w:rsid w:val="00EA4AA4"/>
    <w:rsid w:val="00EA4BC9"/>
    <w:rsid w:val="00EA60BF"/>
    <w:rsid w:val="00EA60ED"/>
    <w:rsid w:val="00EA61B7"/>
    <w:rsid w:val="00EA673E"/>
    <w:rsid w:val="00EA70BC"/>
    <w:rsid w:val="00EA7373"/>
    <w:rsid w:val="00EB017B"/>
    <w:rsid w:val="00EB0BBC"/>
    <w:rsid w:val="00EB0E84"/>
    <w:rsid w:val="00EB0F61"/>
    <w:rsid w:val="00EB1532"/>
    <w:rsid w:val="00EB2661"/>
    <w:rsid w:val="00EB309A"/>
    <w:rsid w:val="00EB35E8"/>
    <w:rsid w:val="00EB38BB"/>
    <w:rsid w:val="00EB39CE"/>
    <w:rsid w:val="00EB4380"/>
    <w:rsid w:val="00EB4998"/>
    <w:rsid w:val="00EB4FB6"/>
    <w:rsid w:val="00EB5E83"/>
    <w:rsid w:val="00EB65C8"/>
    <w:rsid w:val="00EB6C80"/>
    <w:rsid w:val="00EB7196"/>
    <w:rsid w:val="00EB7476"/>
    <w:rsid w:val="00EB749E"/>
    <w:rsid w:val="00EB7513"/>
    <w:rsid w:val="00EB776A"/>
    <w:rsid w:val="00EC01A9"/>
    <w:rsid w:val="00EC0CA8"/>
    <w:rsid w:val="00EC170C"/>
    <w:rsid w:val="00EC1930"/>
    <w:rsid w:val="00EC2251"/>
    <w:rsid w:val="00EC236F"/>
    <w:rsid w:val="00EC2C9D"/>
    <w:rsid w:val="00EC30B0"/>
    <w:rsid w:val="00EC3D70"/>
    <w:rsid w:val="00EC3F60"/>
    <w:rsid w:val="00EC41C6"/>
    <w:rsid w:val="00EC4476"/>
    <w:rsid w:val="00EC46BD"/>
    <w:rsid w:val="00EC5125"/>
    <w:rsid w:val="00EC56A4"/>
    <w:rsid w:val="00EC5DA0"/>
    <w:rsid w:val="00EC5EF3"/>
    <w:rsid w:val="00EC5F38"/>
    <w:rsid w:val="00EC63D0"/>
    <w:rsid w:val="00EC6A1E"/>
    <w:rsid w:val="00EC6C96"/>
    <w:rsid w:val="00EC6DD4"/>
    <w:rsid w:val="00EC7315"/>
    <w:rsid w:val="00EC75EB"/>
    <w:rsid w:val="00ED0E3D"/>
    <w:rsid w:val="00ED0EA9"/>
    <w:rsid w:val="00ED0F5C"/>
    <w:rsid w:val="00ED1066"/>
    <w:rsid w:val="00ED26F5"/>
    <w:rsid w:val="00ED2E30"/>
    <w:rsid w:val="00ED2F4E"/>
    <w:rsid w:val="00ED3722"/>
    <w:rsid w:val="00ED3C16"/>
    <w:rsid w:val="00ED49B1"/>
    <w:rsid w:val="00ED4B5B"/>
    <w:rsid w:val="00ED4EEB"/>
    <w:rsid w:val="00ED5BD0"/>
    <w:rsid w:val="00ED6325"/>
    <w:rsid w:val="00ED6E6F"/>
    <w:rsid w:val="00ED7487"/>
    <w:rsid w:val="00EE05BB"/>
    <w:rsid w:val="00EE162E"/>
    <w:rsid w:val="00EE169B"/>
    <w:rsid w:val="00EE173D"/>
    <w:rsid w:val="00EE217C"/>
    <w:rsid w:val="00EE3843"/>
    <w:rsid w:val="00EE47D9"/>
    <w:rsid w:val="00EE4F39"/>
    <w:rsid w:val="00EE5A60"/>
    <w:rsid w:val="00EE68C7"/>
    <w:rsid w:val="00EF037C"/>
    <w:rsid w:val="00EF0AC2"/>
    <w:rsid w:val="00EF14F4"/>
    <w:rsid w:val="00EF1596"/>
    <w:rsid w:val="00EF2C40"/>
    <w:rsid w:val="00EF33CF"/>
    <w:rsid w:val="00EF342D"/>
    <w:rsid w:val="00EF3708"/>
    <w:rsid w:val="00EF3FB5"/>
    <w:rsid w:val="00EF3FE6"/>
    <w:rsid w:val="00EF486B"/>
    <w:rsid w:val="00EF5295"/>
    <w:rsid w:val="00EF552E"/>
    <w:rsid w:val="00EF57C2"/>
    <w:rsid w:val="00EF5882"/>
    <w:rsid w:val="00EF592C"/>
    <w:rsid w:val="00EF5F86"/>
    <w:rsid w:val="00EF6122"/>
    <w:rsid w:val="00EF67A2"/>
    <w:rsid w:val="00EF6CDC"/>
    <w:rsid w:val="00EF75A2"/>
    <w:rsid w:val="00F00368"/>
    <w:rsid w:val="00F016E4"/>
    <w:rsid w:val="00F01B5F"/>
    <w:rsid w:val="00F01F11"/>
    <w:rsid w:val="00F02865"/>
    <w:rsid w:val="00F02B1E"/>
    <w:rsid w:val="00F035E1"/>
    <w:rsid w:val="00F03987"/>
    <w:rsid w:val="00F0428B"/>
    <w:rsid w:val="00F05604"/>
    <w:rsid w:val="00F057F8"/>
    <w:rsid w:val="00F059CA"/>
    <w:rsid w:val="00F06D80"/>
    <w:rsid w:val="00F102C1"/>
    <w:rsid w:val="00F1033D"/>
    <w:rsid w:val="00F10921"/>
    <w:rsid w:val="00F10C49"/>
    <w:rsid w:val="00F10EB7"/>
    <w:rsid w:val="00F1360A"/>
    <w:rsid w:val="00F1374D"/>
    <w:rsid w:val="00F13907"/>
    <w:rsid w:val="00F140D0"/>
    <w:rsid w:val="00F147C3"/>
    <w:rsid w:val="00F14F4F"/>
    <w:rsid w:val="00F14FA1"/>
    <w:rsid w:val="00F15155"/>
    <w:rsid w:val="00F1531B"/>
    <w:rsid w:val="00F15521"/>
    <w:rsid w:val="00F159A5"/>
    <w:rsid w:val="00F16A46"/>
    <w:rsid w:val="00F16D3D"/>
    <w:rsid w:val="00F171D9"/>
    <w:rsid w:val="00F1734C"/>
    <w:rsid w:val="00F20F5C"/>
    <w:rsid w:val="00F218C6"/>
    <w:rsid w:val="00F21E46"/>
    <w:rsid w:val="00F222E7"/>
    <w:rsid w:val="00F2243B"/>
    <w:rsid w:val="00F22AEF"/>
    <w:rsid w:val="00F2343F"/>
    <w:rsid w:val="00F23A0D"/>
    <w:rsid w:val="00F23B37"/>
    <w:rsid w:val="00F24872"/>
    <w:rsid w:val="00F25282"/>
    <w:rsid w:val="00F254DE"/>
    <w:rsid w:val="00F25AF2"/>
    <w:rsid w:val="00F2610C"/>
    <w:rsid w:val="00F262B0"/>
    <w:rsid w:val="00F27570"/>
    <w:rsid w:val="00F30373"/>
    <w:rsid w:val="00F3061A"/>
    <w:rsid w:val="00F30875"/>
    <w:rsid w:val="00F30CF1"/>
    <w:rsid w:val="00F310C0"/>
    <w:rsid w:val="00F32477"/>
    <w:rsid w:val="00F326B0"/>
    <w:rsid w:val="00F3299D"/>
    <w:rsid w:val="00F343F3"/>
    <w:rsid w:val="00F34610"/>
    <w:rsid w:val="00F3481A"/>
    <w:rsid w:val="00F35398"/>
    <w:rsid w:val="00F35C95"/>
    <w:rsid w:val="00F36066"/>
    <w:rsid w:val="00F36AA8"/>
    <w:rsid w:val="00F36BAE"/>
    <w:rsid w:val="00F36F8D"/>
    <w:rsid w:val="00F3744A"/>
    <w:rsid w:val="00F377DC"/>
    <w:rsid w:val="00F379F2"/>
    <w:rsid w:val="00F40221"/>
    <w:rsid w:val="00F40314"/>
    <w:rsid w:val="00F40D77"/>
    <w:rsid w:val="00F417B7"/>
    <w:rsid w:val="00F41C1F"/>
    <w:rsid w:val="00F420B1"/>
    <w:rsid w:val="00F42B20"/>
    <w:rsid w:val="00F42DFB"/>
    <w:rsid w:val="00F435EE"/>
    <w:rsid w:val="00F43AD0"/>
    <w:rsid w:val="00F43DDC"/>
    <w:rsid w:val="00F445E3"/>
    <w:rsid w:val="00F4472F"/>
    <w:rsid w:val="00F477AC"/>
    <w:rsid w:val="00F477C6"/>
    <w:rsid w:val="00F47DB0"/>
    <w:rsid w:val="00F50622"/>
    <w:rsid w:val="00F50DF3"/>
    <w:rsid w:val="00F50E62"/>
    <w:rsid w:val="00F51FB9"/>
    <w:rsid w:val="00F52323"/>
    <w:rsid w:val="00F5266B"/>
    <w:rsid w:val="00F52679"/>
    <w:rsid w:val="00F526E6"/>
    <w:rsid w:val="00F53F71"/>
    <w:rsid w:val="00F543A5"/>
    <w:rsid w:val="00F557B4"/>
    <w:rsid w:val="00F55857"/>
    <w:rsid w:val="00F55D69"/>
    <w:rsid w:val="00F55FBD"/>
    <w:rsid w:val="00F56F21"/>
    <w:rsid w:val="00F579C0"/>
    <w:rsid w:val="00F57ACA"/>
    <w:rsid w:val="00F57B30"/>
    <w:rsid w:val="00F600B7"/>
    <w:rsid w:val="00F60317"/>
    <w:rsid w:val="00F6084C"/>
    <w:rsid w:val="00F60978"/>
    <w:rsid w:val="00F61967"/>
    <w:rsid w:val="00F61ADF"/>
    <w:rsid w:val="00F63474"/>
    <w:rsid w:val="00F63772"/>
    <w:rsid w:val="00F64268"/>
    <w:rsid w:val="00F643A5"/>
    <w:rsid w:val="00F6476C"/>
    <w:rsid w:val="00F649C6"/>
    <w:rsid w:val="00F653F5"/>
    <w:rsid w:val="00F65614"/>
    <w:rsid w:val="00F65879"/>
    <w:rsid w:val="00F65E4B"/>
    <w:rsid w:val="00F6684A"/>
    <w:rsid w:val="00F66933"/>
    <w:rsid w:val="00F66BB2"/>
    <w:rsid w:val="00F67085"/>
    <w:rsid w:val="00F704B7"/>
    <w:rsid w:val="00F711CF"/>
    <w:rsid w:val="00F713EB"/>
    <w:rsid w:val="00F7282C"/>
    <w:rsid w:val="00F72DBD"/>
    <w:rsid w:val="00F72E22"/>
    <w:rsid w:val="00F732F5"/>
    <w:rsid w:val="00F73AB5"/>
    <w:rsid w:val="00F7420E"/>
    <w:rsid w:val="00F74CE3"/>
    <w:rsid w:val="00F74D42"/>
    <w:rsid w:val="00F74E85"/>
    <w:rsid w:val="00F75314"/>
    <w:rsid w:val="00F75604"/>
    <w:rsid w:val="00F76533"/>
    <w:rsid w:val="00F76D41"/>
    <w:rsid w:val="00F80841"/>
    <w:rsid w:val="00F80891"/>
    <w:rsid w:val="00F80924"/>
    <w:rsid w:val="00F80A45"/>
    <w:rsid w:val="00F81A31"/>
    <w:rsid w:val="00F81D92"/>
    <w:rsid w:val="00F82717"/>
    <w:rsid w:val="00F82B04"/>
    <w:rsid w:val="00F82E71"/>
    <w:rsid w:val="00F8308A"/>
    <w:rsid w:val="00F83277"/>
    <w:rsid w:val="00F832FF"/>
    <w:rsid w:val="00F83EB1"/>
    <w:rsid w:val="00F8486F"/>
    <w:rsid w:val="00F84DD2"/>
    <w:rsid w:val="00F8657F"/>
    <w:rsid w:val="00F866B1"/>
    <w:rsid w:val="00F86BAB"/>
    <w:rsid w:val="00F870AC"/>
    <w:rsid w:val="00F871DC"/>
    <w:rsid w:val="00F917A5"/>
    <w:rsid w:val="00F91881"/>
    <w:rsid w:val="00F91FDC"/>
    <w:rsid w:val="00F936E4"/>
    <w:rsid w:val="00F939DA"/>
    <w:rsid w:val="00F93A40"/>
    <w:rsid w:val="00F9411C"/>
    <w:rsid w:val="00F942FA"/>
    <w:rsid w:val="00F94CB5"/>
    <w:rsid w:val="00F94D33"/>
    <w:rsid w:val="00F94DFD"/>
    <w:rsid w:val="00F9548A"/>
    <w:rsid w:val="00F954C5"/>
    <w:rsid w:val="00F9565B"/>
    <w:rsid w:val="00F96658"/>
    <w:rsid w:val="00F9681F"/>
    <w:rsid w:val="00F96C64"/>
    <w:rsid w:val="00FA02DF"/>
    <w:rsid w:val="00FA0948"/>
    <w:rsid w:val="00FA11A9"/>
    <w:rsid w:val="00FA2370"/>
    <w:rsid w:val="00FA2591"/>
    <w:rsid w:val="00FA2BE1"/>
    <w:rsid w:val="00FA4D3C"/>
    <w:rsid w:val="00FA52FB"/>
    <w:rsid w:val="00FA58AA"/>
    <w:rsid w:val="00FA5AB0"/>
    <w:rsid w:val="00FA69CB"/>
    <w:rsid w:val="00FA6F60"/>
    <w:rsid w:val="00FA70F3"/>
    <w:rsid w:val="00FA73FA"/>
    <w:rsid w:val="00FA7AAD"/>
    <w:rsid w:val="00FA7D77"/>
    <w:rsid w:val="00FB15A4"/>
    <w:rsid w:val="00FB23AC"/>
    <w:rsid w:val="00FB25C7"/>
    <w:rsid w:val="00FB34CA"/>
    <w:rsid w:val="00FB3687"/>
    <w:rsid w:val="00FB3E37"/>
    <w:rsid w:val="00FB40FF"/>
    <w:rsid w:val="00FB525E"/>
    <w:rsid w:val="00FB5B9A"/>
    <w:rsid w:val="00FB5E03"/>
    <w:rsid w:val="00FB636A"/>
    <w:rsid w:val="00FB6B1A"/>
    <w:rsid w:val="00FB7F33"/>
    <w:rsid w:val="00FC03F2"/>
    <w:rsid w:val="00FC10F2"/>
    <w:rsid w:val="00FC276B"/>
    <w:rsid w:val="00FC31F7"/>
    <w:rsid w:val="00FC3747"/>
    <w:rsid w:val="00FC3B48"/>
    <w:rsid w:val="00FC3C66"/>
    <w:rsid w:val="00FC646F"/>
    <w:rsid w:val="00FC6F2F"/>
    <w:rsid w:val="00FC6FF4"/>
    <w:rsid w:val="00FC73AF"/>
    <w:rsid w:val="00FC74C9"/>
    <w:rsid w:val="00FC7602"/>
    <w:rsid w:val="00FC7C54"/>
    <w:rsid w:val="00FC7CD2"/>
    <w:rsid w:val="00FD00B7"/>
    <w:rsid w:val="00FD01AA"/>
    <w:rsid w:val="00FD0633"/>
    <w:rsid w:val="00FD06CE"/>
    <w:rsid w:val="00FD259B"/>
    <w:rsid w:val="00FD385C"/>
    <w:rsid w:val="00FD4653"/>
    <w:rsid w:val="00FD5B25"/>
    <w:rsid w:val="00FD5E1B"/>
    <w:rsid w:val="00FD6145"/>
    <w:rsid w:val="00FD7521"/>
    <w:rsid w:val="00FD7578"/>
    <w:rsid w:val="00FD76A9"/>
    <w:rsid w:val="00FD79AB"/>
    <w:rsid w:val="00FE038B"/>
    <w:rsid w:val="00FE0724"/>
    <w:rsid w:val="00FE125A"/>
    <w:rsid w:val="00FE157C"/>
    <w:rsid w:val="00FE17BF"/>
    <w:rsid w:val="00FE2880"/>
    <w:rsid w:val="00FE2BC4"/>
    <w:rsid w:val="00FE38F0"/>
    <w:rsid w:val="00FE49E6"/>
    <w:rsid w:val="00FE52DE"/>
    <w:rsid w:val="00FE6ECE"/>
    <w:rsid w:val="00FE6F37"/>
    <w:rsid w:val="00FE74FF"/>
    <w:rsid w:val="00FE7C0B"/>
    <w:rsid w:val="00FE7F21"/>
    <w:rsid w:val="00FF0187"/>
    <w:rsid w:val="00FF04E9"/>
    <w:rsid w:val="00FF1BAD"/>
    <w:rsid w:val="00FF1CFD"/>
    <w:rsid w:val="00FF3B24"/>
    <w:rsid w:val="00FF3E49"/>
    <w:rsid w:val="00FF45C6"/>
    <w:rsid w:val="00FF4C2B"/>
    <w:rsid w:val="00FF52C8"/>
    <w:rsid w:val="00FF6751"/>
    <w:rsid w:val="00FF6A95"/>
    <w:rsid w:val="00FF6EC0"/>
    <w:rsid w:val="00FF7342"/>
    <w:rsid w:val="00FF735F"/>
    <w:rsid w:val="00FF7C39"/>
    <w:rsid w:val="00FF7CC9"/>
    <w:rsid w:val="455204C8"/>
    <w:rsid w:val="576A1B96"/>
    <w:rsid w:val="65A243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nhideWhenUsed="0" w:uiPriority="9" w:semiHidden="0" w:name="heading 1"/>
    <w:lsdException w:qFormat="1" w:uiPriority="0" w:semiHidden="0" w:name="heading 2"/>
    <w:lsdException w:uiPriority="9" w:semiHidden="0" w:name="heading 3"/>
    <w:lsdException w:uiPriority="9" w:semiHidden="0" w:name="heading 4"/>
    <w:lsdException w:unhideWhenUsed="0" w:uiPriority="0" w:semiHidden="0" w:name="heading 5"/>
    <w:lsdException w:qFormat="1"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uiPriority="0" w:semiHidden="0" w:name="footer"/>
    <w:lsdException w:uiPriority="99" w:name="index heading"/>
    <w:lsdException w:qFormat="1" w:unhideWhenUsed="0"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qFormat="1" w:unhideWhenUsed="0" w:uiPriority="0" w:semiHidden="0"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unhideWhenUsed="0" w:uiPriority="0" w:semiHidden="0"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99" w:name="Document Map"/>
    <w:lsdException w:qFormat="1"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99" w:name="Placeholder Text"/>
    <w:lsdException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69"/>
    <w:uiPriority w:val="9"/>
    <w:pPr>
      <w:keepNext/>
      <w:keepLines/>
      <w:ind w:firstLine="0" w:firstLineChars="0"/>
      <w:jc w:val="left"/>
      <w:outlineLvl w:val="0"/>
    </w:pPr>
    <w:rPr>
      <w:rFonts w:eastAsia="黑体"/>
      <w:bCs/>
      <w:kern w:val="44"/>
      <w:sz w:val="30"/>
      <w:szCs w:val="44"/>
    </w:rPr>
  </w:style>
  <w:style w:type="paragraph" w:styleId="4">
    <w:name w:val="heading 2"/>
    <w:basedOn w:val="1"/>
    <w:next w:val="1"/>
    <w:link w:val="70"/>
    <w:unhideWhenUsed/>
    <w:qFormat/>
    <w:uiPriority w:val="0"/>
    <w:pPr>
      <w:keepNext/>
      <w:keepLines/>
      <w:ind w:firstLine="0" w:firstLineChars="0"/>
      <w:outlineLvl w:val="1"/>
    </w:pPr>
    <w:rPr>
      <w:rFonts w:eastAsia="黑体" w:cstheme="majorBidi"/>
      <w:bCs/>
      <w:sz w:val="28"/>
      <w:szCs w:val="32"/>
    </w:rPr>
  </w:style>
  <w:style w:type="paragraph" w:styleId="5">
    <w:name w:val="heading 3"/>
    <w:basedOn w:val="1"/>
    <w:next w:val="1"/>
    <w:link w:val="71"/>
    <w:unhideWhenUsed/>
    <w:uiPriority w:val="9"/>
    <w:pPr>
      <w:keepNext/>
      <w:keepLines/>
      <w:ind w:firstLine="0" w:firstLineChars="0"/>
      <w:outlineLvl w:val="2"/>
    </w:pPr>
    <w:rPr>
      <w:rFonts w:eastAsia="黑体"/>
      <w:bCs/>
      <w:szCs w:val="32"/>
    </w:rPr>
  </w:style>
  <w:style w:type="paragraph" w:styleId="6">
    <w:name w:val="heading 4"/>
    <w:basedOn w:val="1"/>
    <w:next w:val="1"/>
    <w:link w:val="96"/>
    <w:unhideWhenUsed/>
    <w:uiPriority w:val="9"/>
    <w:pPr>
      <w:keepNext/>
      <w:keepLines/>
      <w:ind w:firstLine="0" w:firstLineChars="0"/>
      <w:outlineLvl w:val="3"/>
    </w:pPr>
    <w:rPr>
      <w:rFonts w:eastAsia="黑体" w:cstheme="majorBidi"/>
      <w:bCs/>
      <w:szCs w:val="28"/>
    </w:rPr>
  </w:style>
  <w:style w:type="paragraph" w:styleId="7">
    <w:name w:val="heading 5"/>
    <w:basedOn w:val="1"/>
    <w:next w:val="1"/>
    <w:link w:val="100"/>
    <w:uiPriority w:val="0"/>
    <w:pPr>
      <w:keepNext/>
      <w:keepLines/>
      <w:spacing w:before="280" w:after="290" w:line="376" w:lineRule="auto"/>
      <w:outlineLvl w:val="4"/>
    </w:pPr>
    <w:rPr>
      <w:b/>
      <w:bCs/>
      <w:sz w:val="28"/>
      <w:szCs w:val="28"/>
    </w:rPr>
  </w:style>
  <w:style w:type="paragraph" w:styleId="8">
    <w:name w:val="heading 6"/>
    <w:basedOn w:val="1"/>
    <w:next w:val="9"/>
    <w:link w:val="101"/>
    <w:qFormat/>
    <w:uiPriority w:val="0"/>
    <w:pPr>
      <w:keepNext/>
      <w:keepLines/>
      <w:tabs>
        <w:tab w:val="left" w:pos="1152"/>
        <w:tab w:val="left" w:pos="1188"/>
        <w:tab w:val="left" w:pos="6628"/>
        <w:tab w:val="left" w:pos="9388"/>
      </w:tabs>
      <w:snapToGrid w:val="0"/>
      <w:spacing w:before="240" w:after="64" w:line="320" w:lineRule="auto"/>
      <w:ind w:left="1152" w:hanging="1152"/>
      <w:outlineLvl w:val="5"/>
    </w:pPr>
    <w:rPr>
      <w:rFonts w:ascii="Arial" w:hAnsi="Arial" w:eastAsia="黑体"/>
      <w:b/>
      <w:color w:val="000000"/>
      <w:szCs w:val="24"/>
    </w:rPr>
  </w:style>
  <w:style w:type="paragraph" w:styleId="10">
    <w:name w:val="heading 7"/>
    <w:basedOn w:val="1"/>
    <w:next w:val="9"/>
    <w:link w:val="102"/>
    <w:uiPriority w:val="0"/>
    <w:pPr>
      <w:keepNext/>
      <w:keepLines/>
      <w:tabs>
        <w:tab w:val="left" w:pos="1188"/>
        <w:tab w:val="left" w:pos="1296"/>
        <w:tab w:val="left" w:pos="6628"/>
        <w:tab w:val="left" w:pos="9388"/>
      </w:tabs>
      <w:snapToGrid w:val="0"/>
      <w:spacing w:before="240" w:after="64" w:line="320" w:lineRule="auto"/>
      <w:ind w:left="1296" w:hanging="1296"/>
      <w:outlineLvl w:val="6"/>
    </w:pPr>
    <w:rPr>
      <w:b/>
      <w:color w:val="000000"/>
      <w:szCs w:val="24"/>
    </w:rPr>
  </w:style>
  <w:style w:type="paragraph" w:styleId="11">
    <w:name w:val="heading 8"/>
    <w:basedOn w:val="1"/>
    <w:next w:val="9"/>
    <w:link w:val="103"/>
    <w:uiPriority w:val="0"/>
    <w:pPr>
      <w:keepNext/>
      <w:keepLines/>
      <w:tabs>
        <w:tab w:val="left" w:pos="1188"/>
        <w:tab w:val="left" w:pos="1440"/>
        <w:tab w:val="left" w:pos="6628"/>
        <w:tab w:val="left" w:pos="9388"/>
      </w:tabs>
      <w:snapToGrid w:val="0"/>
      <w:spacing w:before="240" w:after="64" w:line="320" w:lineRule="auto"/>
      <w:ind w:left="1440" w:hanging="1440"/>
      <w:outlineLvl w:val="7"/>
    </w:pPr>
    <w:rPr>
      <w:rFonts w:ascii="Arial" w:hAnsi="Arial" w:eastAsia="黑体"/>
      <w:color w:val="000000"/>
      <w:szCs w:val="24"/>
    </w:rPr>
  </w:style>
  <w:style w:type="paragraph" w:styleId="12">
    <w:name w:val="heading 9"/>
    <w:basedOn w:val="1"/>
    <w:next w:val="9"/>
    <w:link w:val="104"/>
    <w:uiPriority w:val="0"/>
    <w:pPr>
      <w:keepNext/>
      <w:keepLines/>
      <w:tabs>
        <w:tab w:val="left" w:pos="1188"/>
        <w:tab w:val="left" w:pos="1584"/>
        <w:tab w:val="left" w:pos="6628"/>
        <w:tab w:val="left" w:pos="9388"/>
      </w:tabs>
      <w:snapToGrid w:val="0"/>
      <w:spacing w:before="240" w:after="64" w:line="320" w:lineRule="auto"/>
      <w:ind w:left="1584" w:hanging="1584"/>
      <w:outlineLvl w:val="8"/>
    </w:pPr>
    <w:rPr>
      <w:rFonts w:ascii="Arial" w:hAnsi="Arial" w:eastAsia="黑体"/>
      <w:color w:val="000000"/>
      <w:szCs w:val="24"/>
    </w:rPr>
  </w:style>
  <w:style w:type="character" w:default="1" w:styleId="59">
    <w:name w:val="Default Paragraph Font"/>
    <w:semiHidden/>
    <w:unhideWhenUsed/>
    <w:qFormat/>
    <w:uiPriority w:val="1"/>
  </w:style>
  <w:style w:type="table" w:default="1" w:styleId="56">
    <w:name w:val="Normal Table"/>
    <w:semiHidden/>
    <w:unhideWhenUsed/>
    <w:uiPriority w:val="99"/>
    <w:tblPr>
      <w:tblCellMar>
        <w:top w:w="0" w:type="dxa"/>
        <w:left w:w="108" w:type="dxa"/>
        <w:bottom w:w="0" w:type="dxa"/>
        <w:right w:w="108" w:type="dxa"/>
      </w:tblCellMar>
    </w:tblPr>
  </w:style>
  <w:style w:type="paragraph" w:styleId="2">
    <w:name w:val="macro"/>
    <w:link w:val="14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9">
    <w:name w:val="Normal Indent"/>
    <w:basedOn w:val="1"/>
    <w:link w:val="88"/>
    <w:qFormat/>
    <w:uiPriority w:val="0"/>
    <w:rPr>
      <w:szCs w:val="20"/>
    </w:rPr>
  </w:style>
  <w:style w:type="paragraph" w:styleId="13">
    <w:name w:val="List 3"/>
    <w:basedOn w:val="1"/>
    <w:uiPriority w:val="0"/>
    <w:pPr>
      <w:ind w:left="100" w:leftChars="400" w:hanging="200" w:hangingChars="200"/>
    </w:pPr>
    <w:rPr>
      <w:szCs w:val="24"/>
    </w:rPr>
  </w:style>
  <w:style w:type="paragraph" w:styleId="14">
    <w:name w:val="toc 7"/>
    <w:basedOn w:val="1"/>
    <w:next w:val="1"/>
    <w:qFormat/>
    <w:uiPriority w:val="39"/>
    <w:pPr>
      <w:ind w:left="1440"/>
      <w:jc w:val="left"/>
    </w:pPr>
    <w:rPr>
      <w:rFonts w:asciiTheme="minorHAnsi" w:hAnsiTheme="minorHAnsi"/>
      <w:sz w:val="18"/>
      <w:szCs w:val="18"/>
    </w:rPr>
  </w:style>
  <w:style w:type="paragraph" w:styleId="15">
    <w:name w:val="Note Heading"/>
    <w:basedOn w:val="1"/>
    <w:next w:val="1"/>
    <w:link w:val="264"/>
    <w:qFormat/>
    <w:uiPriority w:val="0"/>
    <w:pPr>
      <w:jc w:val="center"/>
    </w:pPr>
    <w:rPr>
      <w:szCs w:val="24"/>
      <w:lang w:val="zh-CN" w:eastAsia="zh-CN"/>
    </w:rPr>
  </w:style>
  <w:style w:type="paragraph" w:styleId="16">
    <w:name w:val="caption"/>
    <w:basedOn w:val="1"/>
    <w:next w:val="1"/>
    <w:qFormat/>
    <w:uiPriority w:val="35"/>
    <w:rPr>
      <w:rFonts w:ascii="Arial" w:hAnsi="Arial" w:eastAsia="黑体" w:cs="Arial"/>
      <w:sz w:val="20"/>
      <w:szCs w:val="20"/>
    </w:rPr>
  </w:style>
  <w:style w:type="paragraph" w:styleId="17">
    <w:name w:val="List Bullet"/>
    <w:basedOn w:val="1"/>
    <w:qFormat/>
    <w:uiPriority w:val="0"/>
    <w:pPr>
      <w:tabs>
        <w:tab w:val="left" w:pos="360"/>
      </w:tabs>
      <w:jc w:val="left"/>
    </w:pPr>
    <w:rPr>
      <w:szCs w:val="24"/>
    </w:rPr>
  </w:style>
  <w:style w:type="paragraph" w:styleId="18">
    <w:name w:val="Document Map"/>
    <w:basedOn w:val="1"/>
    <w:link w:val="108"/>
    <w:semiHidden/>
    <w:uiPriority w:val="99"/>
    <w:pPr>
      <w:shd w:val="clear" w:color="auto" w:fill="000080"/>
    </w:pPr>
    <w:rPr>
      <w:szCs w:val="24"/>
    </w:rPr>
  </w:style>
  <w:style w:type="paragraph" w:styleId="19">
    <w:name w:val="annotation text"/>
    <w:basedOn w:val="1"/>
    <w:link w:val="134"/>
    <w:qFormat/>
    <w:uiPriority w:val="0"/>
    <w:pPr>
      <w:jc w:val="left"/>
    </w:pPr>
    <w:rPr>
      <w:szCs w:val="24"/>
    </w:rPr>
  </w:style>
  <w:style w:type="paragraph" w:styleId="20">
    <w:name w:val="Salutation"/>
    <w:basedOn w:val="1"/>
    <w:next w:val="1"/>
    <w:link w:val="335"/>
    <w:qFormat/>
    <w:uiPriority w:val="0"/>
    <w:pPr>
      <w:widowControl/>
      <w:jc w:val="left"/>
    </w:pPr>
    <w:rPr>
      <w:kern w:val="0"/>
      <w:szCs w:val="20"/>
      <w:lang w:val="zh-CN" w:eastAsia="zh-CN"/>
    </w:rPr>
  </w:style>
  <w:style w:type="paragraph" w:styleId="21">
    <w:name w:val="Body Text 3"/>
    <w:basedOn w:val="1"/>
    <w:link w:val="135"/>
    <w:qFormat/>
    <w:uiPriority w:val="0"/>
    <w:pPr>
      <w:jc w:val="center"/>
    </w:pPr>
    <w:rPr>
      <w:szCs w:val="24"/>
    </w:rPr>
  </w:style>
  <w:style w:type="paragraph" w:styleId="22">
    <w:name w:val="List Bullet 3"/>
    <w:basedOn w:val="1"/>
    <w:qFormat/>
    <w:uiPriority w:val="0"/>
    <w:pPr>
      <w:tabs>
        <w:tab w:val="left" w:pos="1200"/>
      </w:tabs>
      <w:ind w:left="1200" w:leftChars="400" w:hanging="360" w:hangingChars="200"/>
    </w:pPr>
    <w:rPr>
      <w:szCs w:val="24"/>
    </w:rPr>
  </w:style>
  <w:style w:type="paragraph" w:styleId="23">
    <w:name w:val="Body Text"/>
    <w:basedOn w:val="1"/>
    <w:link w:val="76"/>
    <w:unhideWhenUsed/>
    <w:uiPriority w:val="0"/>
    <w:pPr>
      <w:spacing w:after="120"/>
    </w:pPr>
  </w:style>
  <w:style w:type="paragraph" w:styleId="24">
    <w:name w:val="Body Text Indent"/>
    <w:basedOn w:val="1"/>
    <w:link w:val="86"/>
    <w:unhideWhenUsed/>
    <w:qFormat/>
    <w:uiPriority w:val="0"/>
    <w:pPr>
      <w:spacing w:after="120"/>
      <w:ind w:left="420" w:leftChars="200"/>
    </w:pPr>
  </w:style>
  <w:style w:type="paragraph" w:styleId="25">
    <w:name w:val="List 2"/>
    <w:basedOn w:val="1"/>
    <w:qFormat/>
    <w:uiPriority w:val="0"/>
    <w:pPr>
      <w:ind w:left="100" w:leftChars="200" w:hanging="200" w:hangingChars="200"/>
    </w:pPr>
    <w:rPr>
      <w:szCs w:val="24"/>
    </w:rPr>
  </w:style>
  <w:style w:type="paragraph" w:styleId="26">
    <w:name w:val="List Continue"/>
    <w:basedOn w:val="1"/>
    <w:qFormat/>
    <w:uiPriority w:val="0"/>
    <w:pPr>
      <w:spacing w:after="120"/>
      <w:ind w:left="420" w:leftChars="200"/>
    </w:pPr>
    <w:rPr>
      <w:szCs w:val="24"/>
    </w:rPr>
  </w:style>
  <w:style w:type="paragraph" w:styleId="27">
    <w:name w:val="Block Text"/>
    <w:basedOn w:val="1"/>
    <w:qFormat/>
    <w:uiPriority w:val="0"/>
    <w:pPr>
      <w:spacing w:line="0" w:lineRule="atLeast"/>
      <w:ind w:left="113" w:right="113"/>
    </w:pPr>
    <w:rPr>
      <w:rFonts w:ascii="宋体" w:hAnsi="宋体"/>
      <w:spacing w:val="-12"/>
      <w:szCs w:val="28"/>
    </w:rPr>
  </w:style>
  <w:style w:type="paragraph" w:styleId="28">
    <w:name w:val="List Bullet 2"/>
    <w:basedOn w:val="1"/>
    <w:qFormat/>
    <w:uiPriority w:val="0"/>
    <w:pPr>
      <w:tabs>
        <w:tab w:val="left" w:pos="780"/>
      </w:tabs>
      <w:ind w:left="780" w:leftChars="200" w:hanging="360" w:hangingChars="200"/>
    </w:pPr>
    <w:rPr>
      <w:szCs w:val="24"/>
    </w:rPr>
  </w:style>
  <w:style w:type="paragraph" w:styleId="29">
    <w:name w:val="toc 5"/>
    <w:basedOn w:val="1"/>
    <w:next w:val="1"/>
    <w:qFormat/>
    <w:uiPriority w:val="39"/>
    <w:pPr>
      <w:ind w:left="960"/>
      <w:jc w:val="left"/>
    </w:pPr>
    <w:rPr>
      <w:rFonts w:asciiTheme="minorHAnsi" w:hAnsiTheme="minorHAnsi"/>
      <w:sz w:val="18"/>
      <w:szCs w:val="18"/>
    </w:rPr>
  </w:style>
  <w:style w:type="paragraph" w:styleId="30">
    <w:name w:val="toc 3"/>
    <w:basedOn w:val="1"/>
    <w:next w:val="1"/>
    <w:qFormat/>
    <w:uiPriority w:val="39"/>
    <w:pPr>
      <w:ind w:left="480"/>
      <w:jc w:val="left"/>
    </w:pPr>
    <w:rPr>
      <w:rFonts w:asciiTheme="minorHAnsi" w:hAnsiTheme="minorHAnsi"/>
      <w:i/>
      <w:iCs/>
      <w:sz w:val="20"/>
      <w:szCs w:val="20"/>
    </w:rPr>
  </w:style>
  <w:style w:type="paragraph" w:styleId="31">
    <w:name w:val="Plain Text"/>
    <w:basedOn w:val="1"/>
    <w:link w:val="111"/>
    <w:qFormat/>
    <w:uiPriority w:val="0"/>
    <w:rPr>
      <w:rFonts w:ascii="宋体" w:hAnsi="Courier New"/>
      <w:szCs w:val="21"/>
    </w:rPr>
  </w:style>
  <w:style w:type="paragraph" w:styleId="32">
    <w:name w:val="toc 8"/>
    <w:basedOn w:val="1"/>
    <w:next w:val="1"/>
    <w:qFormat/>
    <w:uiPriority w:val="39"/>
    <w:pPr>
      <w:ind w:left="1680"/>
      <w:jc w:val="left"/>
    </w:pPr>
    <w:rPr>
      <w:rFonts w:asciiTheme="minorHAnsi" w:hAnsiTheme="minorHAnsi"/>
      <w:sz w:val="18"/>
      <w:szCs w:val="18"/>
    </w:rPr>
  </w:style>
  <w:style w:type="paragraph" w:styleId="33">
    <w:name w:val="Date"/>
    <w:basedOn w:val="1"/>
    <w:next w:val="1"/>
    <w:link w:val="109"/>
    <w:qFormat/>
    <w:uiPriority w:val="99"/>
    <w:pPr>
      <w:ind w:left="100" w:leftChars="2500"/>
    </w:pPr>
    <w:rPr>
      <w:sz w:val="28"/>
      <w:szCs w:val="24"/>
    </w:rPr>
  </w:style>
  <w:style w:type="paragraph" w:styleId="34">
    <w:name w:val="Body Text Indent 2"/>
    <w:basedOn w:val="1"/>
    <w:link w:val="116"/>
    <w:qFormat/>
    <w:uiPriority w:val="0"/>
    <w:pPr>
      <w:spacing w:after="120" w:line="480" w:lineRule="auto"/>
      <w:ind w:left="420" w:leftChars="200"/>
    </w:pPr>
    <w:rPr>
      <w:szCs w:val="24"/>
    </w:rPr>
  </w:style>
  <w:style w:type="paragraph" w:styleId="35">
    <w:name w:val="Balloon Text"/>
    <w:basedOn w:val="1"/>
    <w:link w:val="136"/>
    <w:qFormat/>
    <w:uiPriority w:val="99"/>
    <w:rPr>
      <w:sz w:val="18"/>
      <w:szCs w:val="18"/>
    </w:rPr>
  </w:style>
  <w:style w:type="paragraph" w:styleId="36">
    <w:name w:val="footer"/>
    <w:basedOn w:val="1"/>
    <w:link w:val="67"/>
    <w:unhideWhenUsed/>
    <w:uiPriority w:val="0"/>
    <w:pPr>
      <w:tabs>
        <w:tab w:val="center" w:pos="4153"/>
        <w:tab w:val="right" w:pos="8306"/>
      </w:tabs>
      <w:snapToGrid w:val="0"/>
      <w:jc w:val="left"/>
    </w:pPr>
    <w:rPr>
      <w:sz w:val="18"/>
      <w:szCs w:val="18"/>
    </w:rPr>
  </w:style>
  <w:style w:type="paragraph" w:styleId="37">
    <w:name w:val="header"/>
    <w:basedOn w:val="1"/>
    <w:link w:val="66"/>
    <w:unhideWhenUsed/>
    <w:qFormat/>
    <w:uiPriority w:val="0"/>
    <w:pPr>
      <w:pBdr>
        <w:bottom w:val="single" w:color="auto" w:sz="6" w:space="1"/>
      </w:pBdr>
      <w:tabs>
        <w:tab w:val="center" w:pos="4153"/>
        <w:tab w:val="right" w:pos="8306"/>
      </w:tabs>
      <w:snapToGrid w:val="0"/>
      <w:jc w:val="center"/>
    </w:pPr>
    <w:rPr>
      <w:sz w:val="18"/>
      <w:szCs w:val="18"/>
    </w:rPr>
  </w:style>
  <w:style w:type="paragraph" w:styleId="38">
    <w:name w:val="toc 1"/>
    <w:basedOn w:val="1"/>
    <w:next w:val="1"/>
    <w:qFormat/>
    <w:uiPriority w:val="39"/>
    <w:pPr>
      <w:spacing w:before="120" w:after="120"/>
      <w:jc w:val="left"/>
    </w:pPr>
    <w:rPr>
      <w:rFonts w:asciiTheme="minorHAnsi" w:hAnsiTheme="minorHAnsi"/>
      <w:b/>
      <w:bCs/>
      <w:caps/>
      <w:sz w:val="20"/>
      <w:szCs w:val="20"/>
    </w:rPr>
  </w:style>
  <w:style w:type="paragraph" w:styleId="39">
    <w:name w:val="toc 4"/>
    <w:basedOn w:val="1"/>
    <w:next w:val="1"/>
    <w:qFormat/>
    <w:uiPriority w:val="39"/>
    <w:pPr>
      <w:ind w:left="720"/>
      <w:jc w:val="left"/>
    </w:pPr>
    <w:rPr>
      <w:rFonts w:asciiTheme="minorHAnsi" w:hAnsiTheme="minorHAnsi"/>
      <w:sz w:val="18"/>
      <w:szCs w:val="18"/>
    </w:rPr>
  </w:style>
  <w:style w:type="paragraph" w:styleId="40">
    <w:name w:val="Subtitle"/>
    <w:basedOn w:val="1"/>
    <w:link w:val="313"/>
    <w:qFormat/>
    <w:uiPriority w:val="0"/>
    <w:pPr>
      <w:spacing w:before="240" w:after="60" w:line="312" w:lineRule="auto"/>
      <w:jc w:val="center"/>
      <w:outlineLvl w:val="1"/>
    </w:pPr>
    <w:rPr>
      <w:rFonts w:ascii="Arial" w:hAnsi="Arial"/>
      <w:b/>
      <w:bCs/>
      <w:kern w:val="28"/>
      <w:sz w:val="32"/>
      <w:szCs w:val="32"/>
      <w:lang w:val="zh-CN" w:eastAsia="zh-CN"/>
    </w:rPr>
  </w:style>
  <w:style w:type="paragraph" w:styleId="41">
    <w:name w:val="List"/>
    <w:basedOn w:val="1"/>
    <w:qFormat/>
    <w:uiPriority w:val="0"/>
    <w:pPr>
      <w:ind w:left="200" w:hanging="200" w:hangingChars="200"/>
    </w:pPr>
    <w:rPr>
      <w:szCs w:val="24"/>
    </w:rPr>
  </w:style>
  <w:style w:type="paragraph" w:styleId="42">
    <w:name w:val="toc 6"/>
    <w:basedOn w:val="1"/>
    <w:next w:val="1"/>
    <w:qFormat/>
    <w:uiPriority w:val="39"/>
    <w:pPr>
      <w:ind w:left="1200"/>
      <w:jc w:val="left"/>
    </w:pPr>
    <w:rPr>
      <w:rFonts w:asciiTheme="minorHAnsi" w:hAnsiTheme="minorHAnsi"/>
      <w:sz w:val="18"/>
      <w:szCs w:val="18"/>
    </w:rPr>
  </w:style>
  <w:style w:type="paragraph" w:styleId="43">
    <w:name w:val="Body Text Indent 3"/>
    <w:basedOn w:val="1"/>
    <w:link w:val="118"/>
    <w:uiPriority w:val="0"/>
    <w:pPr>
      <w:spacing w:after="120"/>
      <w:ind w:left="420" w:leftChars="200"/>
    </w:pPr>
    <w:rPr>
      <w:sz w:val="16"/>
      <w:szCs w:val="16"/>
    </w:rPr>
  </w:style>
  <w:style w:type="paragraph" w:styleId="44">
    <w:name w:val="table of figures"/>
    <w:basedOn w:val="1"/>
    <w:next w:val="1"/>
    <w:unhideWhenUsed/>
    <w:qFormat/>
    <w:uiPriority w:val="99"/>
    <w:pPr>
      <w:adjustRightInd w:val="0"/>
      <w:snapToGrid w:val="0"/>
      <w:ind w:left="200" w:leftChars="200" w:hanging="200" w:hangingChars="200"/>
    </w:pPr>
    <w:rPr>
      <w:szCs w:val="24"/>
    </w:rPr>
  </w:style>
  <w:style w:type="paragraph" w:styleId="45">
    <w:name w:val="toc 2"/>
    <w:basedOn w:val="1"/>
    <w:next w:val="1"/>
    <w:qFormat/>
    <w:uiPriority w:val="39"/>
    <w:pPr>
      <w:ind w:left="240"/>
      <w:jc w:val="left"/>
    </w:pPr>
    <w:rPr>
      <w:rFonts w:asciiTheme="minorHAnsi" w:hAnsiTheme="minorHAnsi"/>
      <w:smallCaps/>
      <w:sz w:val="20"/>
      <w:szCs w:val="20"/>
    </w:rPr>
  </w:style>
  <w:style w:type="paragraph" w:styleId="46">
    <w:name w:val="toc 9"/>
    <w:basedOn w:val="1"/>
    <w:next w:val="1"/>
    <w:qFormat/>
    <w:uiPriority w:val="39"/>
    <w:pPr>
      <w:ind w:left="1920"/>
      <w:jc w:val="left"/>
    </w:pPr>
    <w:rPr>
      <w:rFonts w:asciiTheme="minorHAnsi" w:hAnsiTheme="minorHAnsi"/>
      <w:sz w:val="18"/>
      <w:szCs w:val="18"/>
    </w:rPr>
  </w:style>
  <w:style w:type="paragraph" w:styleId="47">
    <w:name w:val="Body Text 2"/>
    <w:basedOn w:val="1"/>
    <w:link w:val="126"/>
    <w:qFormat/>
    <w:uiPriority w:val="99"/>
    <w:pPr>
      <w:spacing w:after="120" w:line="480" w:lineRule="auto"/>
    </w:pPr>
    <w:rPr>
      <w:szCs w:val="24"/>
    </w:rPr>
  </w:style>
  <w:style w:type="paragraph" w:styleId="48">
    <w:name w:val="List Continue 2"/>
    <w:basedOn w:val="1"/>
    <w:qFormat/>
    <w:uiPriority w:val="0"/>
    <w:pPr>
      <w:spacing w:after="120"/>
      <w:ind w:left="840" w:leftChars="400"/>
    </w:pPr>
    <w:rPr>
      <w:szCs w:val="24"/>
    </w:rPr>
  </w:style>
  <w:style w:type="paragraph" w:styleId="49">
    <w:name w:val="HTML Preformatted"/>
    <w:basedOn w:val="1"/>
    <w:link w:val="35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Cs w:val="21"/>
      <w:lang w:val="zh-CN" w:eastAsia="zh-CN"/>
    </w:rPr>
  </w:style>
  <w:style w:type="paragraph" w:styleId="50">
    <w:name w:val="Normal (Web)"/>
    <w:basedOn w:val="1"/>
    <w:uiPriority w:val="0"/>
    <w:pPr>
      <w:widowControl/>
      <w:spacing w:before="100" w:beforeAutospacing="1" w:after="100" w:afterAutospacing="1"/>
      <w:jc w:val="left"/>
    </w:pPr>
    <w:rPr>
      <w:rFonts w:ascii="宋体" w:hAnsi="宋体" w:cs="宋体"/>
      <w:kern w:val="0"/>
      <w:szCs w:val="24"/>
    </w:rPr>
  </w:style>
  <w:style w:type="paragraph" w:styleId="51">
    <w:name w:val="index 1"/>
    <w:basedOn w:val="1"/>
    <w:next w:val="1"/>
    <w:qFormat/>
    <w:uiPriority w:val="0"/>
    <w:rPr>
      <w:szCs w:val="21"/>
    </w:rPr>
  </w:style>
  <w:style w:type="paragraph" w:styleId="52">
    <w:name w:val="Title"/>
    <w:basedOn w:val="1"/>
    <w:next w:val="1"/>
    <w:link w:val="68"/>
    <w:qFormat/>
    <w:uiPriority w:val="0"/>
    <w:pPr>
      <w:spacing w:before="120" w:after="120"/>
      <w:ind w:firstLine="0" w:firstLineChars="0"/>
      <w:jc w:val="center"/>
      <w:outlineLvl w:val="0"/>
    </w:pPr>
    <w:rPr>
      <w:rFonts w:cstheme="majorBidi"/>
      <w:b/>
      <w:bCs/>
      <w:sz w:val="32"/>
      <w:szCs w:val="32"/>
    </w:rPr>
  </w:style>
  <w:style w:type="paragraph" w:styleId="53">
    <w:name w:val="annotation subject"/>
    <w:basedOn w:val="19"/>
    <w:next w:val="19"/>
    <w:link w:val="191"/>
    <w:uiPriority w:val="0"/>
    <w:rPr>
      <w:b/>
      <w:bCs/>
    </w:rPr>
  </w:style>
  <w:style w:type="paragraph" w:styleId="54">
    <w:name w:val="Body Text First Indent"/>
    <w:basedOn w:val="23"/>
    <w:link w:val="120"/>
    <w:uiPriority w:val="0"/>
    <w:pPr>
      <w:ind w:firstLine="420" w:firstLineChars="100"/>
    </w:pPr>
    <w:rPr>
      <w:szCs w:val="24"/>
    </w:rPr>
  </w:style>
  <w:style w:type="paragraph" w:styleId="55">
    <w:name w:val="Body Text First Indent 2"/>
    <w:basedOn w:val="24"/>
    <w:link w:val="121"/>
    <w:uiPriority w:val="0"/>
    <w:pPr>
      <w:spacing w:line="240" w:lineRule="auto"/>
      <w:ind w:firstLine="420"/>
    </w:pPr>
    <w:rPr>
      <w:sz w:val="21"/>
      <w:szCs w:val="24"/>
    </w:rPr>
  </w:style>
  <w:style w:type="table" w:styleId="57">
    <w:name w:val="Table Grid"/>
    <w:basedOn w:val="56"/>
    <w:qFormat/>
    <w:uiPriority w:val="0"/>
    <w:pPr>
      <w:widowControl w:val="0"/>
      <w:jc w:val="both"/>
    </w:pPr>
    <w:rPr>
      <w:rFonts w:eastAsia="宋体"/>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8">
    <w:name w:val="Table Grid 1"/>
    <w:basedOn w:val="56"/>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character" w:styleId="60">
    <w:name w:val="Strong"/>
    <w:qFormat/>
    <w:uiPriority w:val="0"/>
    <w:rPr>
      <w:b/>
      <w:bCs/>
    </w:rPr>
  </w:style>
  <w:style w:type="character" w:styleId="61">
    <w:name w:val="page number"/>
    <w:basedOn w:val="59"/>
    <w:uiPriority w:val="0"/>
  </w:style>
  <w:style w:type="character" w:styleId="62">
    <w:name w:val="FollowedHyperlink"/>
    <w:qFormat/>
    <w:uiPriority w:val="99"/>
    <w:rPr>
      <w:color w:val="800080"/>
      <w:u w:val="single"/>
    </w:rPr>
  </w:style>
  <w:style w:type="character" w:styleId="63">
    <w:name w:val="Emphasis"/>
    <w:qFormat/>
    <w:uiPriority w:val="0"/>
    <w:rPr>
      <w:color w:val="CC0033"/>
    </w:rPr>
  </w:style>
  <w:style w:type="character" w:styleId="64">
    <w:name w:val="Hyperlink"/>
    <w:qFormat/>
    <w:uiPriority w:val="99"/>
    <w:rPr>
      <w:color w:val="0000FF"/>
      <w:u w:val="none"/>
    </w:rPr>
  </w:style>
  <w:style w:type="character" w:styleId="65">
    <w:name w:val="annotation reference"/>
    <w:qFormat/>
    <w:uiPriority w:val="0"/>
    <w:rPr>
      <w:sz w:val="21"/>
    </w:rPr>
  </w:style>
  <w:style w:type="character" w:customStyle="1" w:styleId="66">
    <w:name w:val="页眉 Char"/>
    <w:basedOn w:val="59"/>
    <w:link w:val="37"/>
    <w:qFormat/>
    <w:uiPriority w:val="0"/>
    <w:rPr>
      <w:sz w:val="18"/>
      <w:szCs w:val="18"/>
    </w:rPr>
  </w:style>
  <w:style w:type="character" w:customStyle="1" w:styleId="67">
    <w:name w:val="页脚 Char"/>
    <w:basedOn w:val="59"/>
    <w:link w:val="36"/>
    <w:qFormat/>
    <w:uiPriority w:val="0"/>
    <w:rPr>
      <w:sz w:val="18"/>
      <w:szCs w:val="18"/>
    </w:rPr>
  </w:style>
  <w:style w:type="character" w:customStyle="1" w:styleId="68">
    <w:name w:val="标题 Char"/>
    <w:basedOn w:val="59"/>
    <w:link w:val="52"/>
    <w:qFormat/>
    <w:uiPriority w:val="0"/>
    <w:rPr>
      <w:rFonts w:ascii="Times New Roman" w:hAnsi="Times New Roman" w:eastAsia="宋体" w:cstheme="majorBidi"/>
      <w:b/>
      <w:bCs/>
      <w:sz w:val="32"/>
      <w:szCs w:val="32"/>
    </w:rPr>
  </w:style>
  <w:style w:type="character" w:customStyle="1" w:styleId="69">
    <w:name w:val="标题 1 Char"/>
    <w:basedOn w:val="59"/>
    <w:link w:val="3"/>
    <w:uiPriority w:val="9"/>
    <w:rPr>
      <w:rFonts w:ascii="Times New Roman" w:hAnsi="Times New Roman" w:eastAsia="黑体" w:cs="Times New Roman"/>
      <w:bCs/>
      <w:kern w:val="44"/>
      <w:sz w:val="30"/>
      <w:szCs w:val="44"/>
    </w:rPr>
  </w:style>
  <w:style w:type="character" w:customStyle="1" w:styleId="70">
    <w:name w:val="标题 2 Char"/>
    <w:basedOn w:val="59"/>
    <w:link w:val="4"/>
    <w:qFormat/>
    <w:uiPriority w:val="0"/>
    <w:rPr>
      <w:rFonts w:ascii="Times New Roman" w:hAnsi="Times New Roman" w:eastAsia="黑体" w:cstheme="majorBidi"/>
      <w:bCs/>
      <w:sz w:val="28"/>
      <w:szCs w:val="32"/>
    </w:rPr>
  </w:style>
  <w:style w:type="character" w:customStyle="1" w:styleId="71">
    <w:name w:val="标题 3 Char"/>
    <w:basedOn w:val="59"/>
    <w:link w:val="5"/>
    <w:qFormat/>
    <w:uiPriority w:val="9"/>
    <w:rPr>
      <w:rFonts w:ascii="Times New Roman" w:hAnsi="Times New Roman" w:eastAsia="黑体" w:cs="Times New Roman"/>
      <w:bCs/>
      <w:sz w:val="24"/>
      <w:szCs w:val="32"/>
    </w:rPr>
  </w:style>
  <w:style w:type="paragraph" w:customStyle="1" w:styleId="72">
    <w:name w:val="报告书正文"/>
    <w:basedOn w:val="1"/>
    <w:link w:val="73"/>
    <w:qFormat/>
    <w:uiPriority w:val="0"/>
    <w:pPr>
      <w:ind w:firstLine="480"/>
    </w:pPr>
    <w:rPr>
      <w:szCs w:val="24"/>
    </w:rPr>
  </w:style>
  <w:style w:type="character" w:customStyle="1" w:styleId="73">
    <w:name w:val="报告书正文 Char"/>
    <w:link w:val="72"/>
    <w:qFormat/>
    <w:uiPriority w:val="0"/>
    <w:rPr>
      <w:rFonts w:ascii="Times New Roman" w:hAnsi="Times New Roman" w:eastAsia="宋体" w:cs="Times New Roman"/>
      <w:sz w:val="24"/>
      <w:szCs w:val="24"/>
    </w:rPr>
  </w:style>
  <w:style w:type="paragraph" w:customStyle="1" w:styleId="74">
    <w:name w:val="样式1.1.1"/>
    <w:basedOn w:val="5"/>
    <w:next w:val="23"/>
    <w:link w:val="75"/>
    <w:qFormat/>
    <w:uiPriority w:val="0"/>
    <w:pPr>
      <w:snapToGrid w:val="0"/>
      <w:spacing w:before="50" w:beforeLines="50"/>
      <w:jc w:val="left"/>
    </w:pPr>
  </w:style>
  <w:style w:type="character" w:customStyle="1" w:styleId="75">
    <w:name w:val="样式1.1.1 Char"/>
    <w:basedOn w:val="59"/>
    <w:link w:val="74"/>
    <w:qFormat/>
    <w:uiPriority w:val="0"/>
    <w:rPr>
      <w:rFonts w:ascii="Times New Roman" w:hAnsi="Times New Roman" w:eastAsia="宋体" w:cs="Times New Roman"/>
      <w:b/>
      <w:bCs/>
      <w:sz w:val="28"/>
      <w:szCs w:val="32"/>
    </w:rPr>
  </w:style>
  <w:style w:type="character" w:customStyle="1" w:styleId="76">
    <w:name w:val="正文文本 Char"/>
    <w:basedOn w:val="59"/>
    <w:link w:val="23"/>
    <w:qFormat/>
    <w:uiPriority w:val="0"/>
    <w:rPr>
      <w:rFonts w:ascii="Times New Roman" w:hAnsi="Times New Roman" w:eastAsia="宋体" w:cs="Times New Roman"/>
      <w:sz w:val="24"/>
    </w:rPr>
  </w:style>
  <w:style w:type="paragraph" w:customStyle="1" w:styleId="77">
    <w:name w:val="zyy样式 Char Char Char"/>
    <w:basedOn w:val="1"/>
    <w:qFormat/>
    <w:uiPriority w:val="0"/>
    <w:pPr>
      <w:spacing w:before="156" w:beforeLines="50" w:after="156" w:afterLines="50"/>
      <w:ind w:firstLine="536"/>
    </w:pPr>
    <w:rPr>
      <w:szCs w:val="24"/>
    </w:rPr>
  </w:style>
  <w:style w:type="character" w:customStyle="1" w:styleId="78">
    <w:name w:val="表格 Char"/>
    <w:qFormat/>
    <w:uiPriority w:val="0"/>
    <w:rPr>
      <w:rFonts w:eastAsia="宋体"/>
      <w:kern w:val="2"/>
      <w:sz w:val="21"/>
      <w:szCs w:val="21"/>
      <w:lang w:val="en-US" w:eastAsia="zh-CN" w:bidi="ar-SA"/>
    </w:rPr>
  </w:style>
  <w:style w:type="paragraph" w:customStyle="1" w:styleId="79">
    <w:name w:val="图表文字注释"/>
    <w:link w:val="81"/>
    <w:qFormat/>
    <w:uiPriority w:val="0"/>
    <w:pPr>
      <w:framePr w:hSpace="180" w:wrap="around" w:vAnchor="text" w:hAnchor="margin" w:xAlign="center" w:y="100"/>
      <w:suppressOverlap/>
      <w:jc w:val="center"/>
    </w:pPr>
    <w:rPr>
      <w:rFonts w:ascii="Times New Roman" w:hAnsi="Times New Roman" w:eastAsia="宋体" w:cs="Times New Roman"/>
      <w:kern w:val="2"/>
      <w:sz w:val="21"/>
      <w:szCs w:val="24"/>
      <w:lang w:val="en-US" w:eastAsia="zh-CN" w:bidi="ar-SA"/>
    </w:rPr>
  </w:style>
  <w:style w:type="paragraph" w:customStyle="1" w:styleId="80">
    <w:name w:val="样式表标题"/>
    <w:basedOn w:val="1"/>
    <w:qFormat/>
    <w:uiPriority w:val="0"/>
    <w:pPr>
      <w:snapToGrid w:val="0"/>
      <w:ind w:firstLine="0" w:firstLineChars="0"/>
      <w:jc w:val="center"/>
    </w:pPr>
    <w:rPr>
      <w:b/>
      <w:szCs w:val="24"/>
    </w:rPr>
  </w:style>
  <w:style w:type="character" w:customStyle="1" w:styleId="81">
    <w:name w:val="图表文字注释 Char"/>
    <w:basedOn w:val="59"/>
    <w:link w:val="79"/>
    <w:qFormat/>
    <w:uiPriority w:val="0"/>
    <w:rPr>
      <w:rFonts w:ascii="Times New Roman" w:hAnsi="Times New Roman" w:eastAsia="宋体" w:cs="Times New Roman"/>
      <w:szCs w:val="24"/>
    </w:rPr>
  </w:style>
  <w:style w:type="paragraph" w:customStyle="1" w:styleId="82">
    <w:name w:val="图表标题"/>
    <w:basedOn w:val="79"/>
    <w:next w:val="1"/>
    <w:link w:val="83"/>
    <w:qFormat/>
    <w:uiPriority w:val="0"/>
    <w:pPr>
      <w:framePr w:hSpace="0" w:wrap="auto" w:vAnchor="margin" w:hAnchor="text" w:xAlign="left" w:yAlign="inline"/>
      <w:suppressOverlap w:val="0"/>
      <w:widowControl w:val="0"/>
      <w:spacing w:line="360" w:lineRule="auto"/>
    </w:pPr>
    <w:rPr>
      <w:rFonts w:eastAsia="黑体"/>
    </w:rPr>
  </w:style>
  <w:style w:type="character" w:customStyle="1" w:styleId="83">
    <w:name w:val="图表标题 Char"/>
    <w:basedOn w:val="81"/>
    <w:link w:val="82"/>
    <w:qFormat/>
    <w:uiPriority w:val="0"/>
    <w:rPr>
      <w:rFonts w:ascii="Times New Roman" w:hAnsi="Times New Roman" w:eastAsia="黑体" w:cs="Times New Roman"/>
      <w:szCs w:val="24"/>
    </w:rPr>
  </w:style>
  <w:style w:type="paragraph" w:customStyle="1" w:styleId="84">
    <w:name w:val="图表文字"/>
    <w:basedOn w:val="1"/>
    <w:link w:val="85"/>
    <w:qFormat/>
    <w:uiPriority w:val="0"/>
    <w:pPr>
      <w:widowControl/>
      <w:spacing w:line="240" w:lineRule="auto"/>
      <w:ind w:firstLine="0" w:firstLineChars="0"/>
      <w:jc w:val="center"/>
    </w:pPr>
    <w:rPr>
      <w:rFonts w:eastAsia="仿宋"/>
      <w:sz w:val="21"/>
      <w:szCs w:val="24"/>
    </w:rPr>
  </w:style>
  <w:style w:type="character" w:customStyle="1" w:styleId="85">
    <w:name w:val="图表文字 Char"/>
    <w:basedOn w:val="59"/>
    <w:link w:val="84"/>
    <w:qFormat/>
    <w:uiPriority w:val="0"/>
    <w:rPr>
      <w:rFonts w:ascii="Times New Roman" w:hAnsi="Times New Roman" w:eastAsia="仿宋" w:cs="Times New Roman"/>
      <w:szCs w:val="24"/>
    </w:rPr>
  </w:style>
  <w:style w:type="character" w:customStyle="1" w:styleId="86">
    <w:name w:val="正文文本缩进 Char"/>
    <w:basedOn w:val="59"/>
    <w:link w:val="24"/>
    <w:qFormat/>
    <w:uiPriority w:val="0"/>
    <w:rPr>
      <w:rFonts w:ascii="Times New Roman" w:hAnsi="Times New Roman" w:eastAsia="宋体" w:cs="Times New Roman"/>
      <w:sz w:val="24"/>
    </w:rPr>
  </w:style>
  <w:style w:type="character" w:customStyle="1" w:styleId="87">
    <w:name w:val="标题 2 Char1"/>
    <w:qFormat/>
    <w:uiPriority w:val="9"/>
    <w:rPr>
      <w:rFonts w:ascii="Times New Roman" w:hAnsi="Times New Roman" w:eastAsia="宋体" w:cs="Times New Roman"/>
      <w:b/>
      <w:bCs/>
      <w:snapToGrid w:val="0"/>
      <w:kern w:val="0"/>
      <w:sz w:val="32"/>
      <w:szCs w:val="32"/>
    </w:rPr>
  </w:style>
  <w:style w:type="character" w:customStyle="1" w:styleId="88">
    <w:name w:val="正文缩进 Char1"/>
    <w:link w:val="9"/>
    <w:qFormat/>
    <w:uiPriority w:val="0"/>
    <w:rPr>
      <w:rFonts w:ascii="Times New Roman" w:hAnsi="Times New Roman" w:eastAsia="宋体" w:cs="Times New Roman"/>
      <w:sz w:val="24"/>
      <w:szCs w:val="20"/>
    </w:rPr>
  </w:style>
  <w:style w:type="paragraph" w:customStyle="1" w:styleId="89">
    <w:name w:val="报告正文"/>
    <w:basedOn w:val="1"/>
    <w:link w:val="95"/>
    <w:qFormat/>
    <w:uiPriority w:val="0"/>
    <w:pPr>
      <w:ind w:firstLine="536"/>
    </w:pPr>
    <w:rPr>
      <w:spacing w:val="14"/>
      <w:szCs w:val="20"/>
    </w:rPr>
  </w:style>
  <w:style w:type="paragraph" w:customStyle="1" w:styleId="90">
    <w:name w:val="正文1"/>
    <w:basedOn w:val="1"/>
    <w:qFormat/>
    <w:uiPriority w:val="0"/>
    <w:rPr>
      <w:snapToGrid w:val="0"/>
      <w:kern w:val="0"/>
      <w:szCs w:val="28"/>
    </w:rPr>
  </w:style>
  <w:style w:type="paragraph" w:customStyle="1" w:styleId="91">
    <w:name w:val="标题1.1.1.1"/>
    <w:basedOn w:val="6"/>
    <w:next w:val="1"/>
    <w:link w:val="92"/>
    <w:qFormat/>
    <w:uiPriority w:val="0"/>
    <w:rPr>
      <w:rFonts w:eastAsia="宋体" w:cs="Times New Roman"/>
    </w:rPr>
  </w:style>
  <w:style w:type="character" w:customStyle="1" w:styleId="92">
    <w:name w:val="标题1.1.1.1 Char"/>
    <w:basedOn w:val="59"/>
    <w:link w:val="91"/>
    <w:uiPriority w:val="0"/>
    <w:rPr>
      <w:rFonts w:ascii="Times New Roman" w:hAnsi="Times New Roman" w:eastAsia="宋体" w:cs="Times New Roman"/>
      <w:b/>
      <w:bCs/>
      <w:sz w:val="24"/>
      <w:szCs w:val="28"/>
    </w:rPr>
  </w:style>
  <w:style w:type="paragraph" w:customStyle="1" w:styleId="93">
    <w:name w:val="图表文"/>
    <w:basedOn w:val="79"/>
    <w:next w:val="1"/>
    <w:link w:val="94"/>
    <w:qFormat/>
    <w:uiPriority w:val="0"/>
    <w:pPr>
      <w:framePr w:hSpace="0" w:wrap="auto" w:vAnchor="margin" w:hAnchor="text" w:xAlign="left" w:yAlign="inline"/>
      <w:suppressOverlap w:val="0"/>
      <w:widowControl w:val="0"/>
    </w:pPr>
  </w:style>
  <w:style w:type="character" w:customStyle="1" w:styleId="94">
    <w:name w:val="图表文 Char"/>
    <w:basedOn w:val="81"/>
    <w:link w:val="93"/>
    <w:qFormat/>
    <w:uiPriority w:val="0"/>
    <w:rPr>
      <w:rFonts w:ascii="Times New Roman" w:hAnsi="Times New Roman" w:eastAsia="宋体" w:cs="Times New Roman"/>
      <w:szCs w:val="24"/>
    </w:rPr>
  </w:style>
  <w:style w:type="character" w:customStyle="1" w:styleId="95">
    <w:name w:val="报告正文 Char"/>
    <w:link w:val="89"/>
    <w:uiPriority w:val="0"/>
    <w:rPr>
      <w:rFonts w:ascii="Times New Roman" w:hAnsi="Times New Roman" w:eastAsia="宋体" w:cs="Times New Roman"/>
      <w:spacing w:val="14"/>
      <w:sz w:val="24"/>
      <w:szCs w:val="20"/>
    </w:rPr>
  </w:style>
  <w:style w:type="character" w:customStyle="1" w:styleId="96">
    <w:name w:val="标题 4 Char"/>
    <w:basedOn w:val="59"/>
    <w:link w:val="6"/>
    <w:qFormat/>
    <w:uiPriority w:val="9"/>
    <w:rPr>
      <w:rFonts w:ascii="Times New Roman" w:hAnsi="Times New Roman" w:eastAsia="黑体" w:cstheme="majorBidi"/>
      <w:bCs/>
      <w:sz w:val="24"/>
      <w:szCs w:val="28"/>
    </w:rPr>
  </w:style>
  <w:style w:type="paragraph" w:customStyle="1" w:styleId="97">
    <w:name w:val="p0"/>
    <w:basedOn w:val="1"/>
    <w:qFormat/>
    <w:uiPriority w:val="0"/>
    <w:pPr>
      <w:widowControl/>
      <w:spacing w:line="240" w:lineRule="auto"/>
      <w:ind w:firstLine="0" w:firstLineChars="0"/>
    </w:pPr>
    <w:rPr>
      <w:rFonts w:ascii="Calibri" w:hAnsi="Calibri" w:cs="宋体"/>
      <w:kern w:val="0"/>
      <w:sz w:val="21"/>
      <w:szCs w:val="21"/>
    </w:rPr>
  </w:style>
  <w:style w:type="character" w:customStyle="1" w:styleId="98">
    <w:name w:val="样式5 Char"/>
    <w:link w:val="99"/>
    <w:uiPriority w:val="0"/>
    <w:rPr>
      <w:b/>
      <w:sz w:val="32"/>
      <w:szCs w:val="32"/>
    </w:rPr>
  </w:style>
  <w:style w:type="paragraph" w:customStyle="1" w:styleId="99">
    <w:name w:val="样式5"/>
    <w:basedOn w:val="1"/>
    <w:link w:val="98"/>
    <w:qFormat/>
    <w:uiPriority w:val="0"/>
    <w:pPr>
      <w:ind w:firstLine="0" w:firstLineChars="0"/>
      <w:outlineLvl w:val="0"/>
    </w:pPr>
    <w:rPr>
      <w:rFonts w:asciiTheme="minorHAnsi" w:hAnsiTheme="minorHAnsi" w:eastAsiaTheme="minorEastAsia" w:cstheme="minorBidi"/>
      <w:b/>
      <w:sz w:val="32"/>
      <w:szCs w:val="32"/>
    </w:rPr>
  </w:style>
  <w:style w:type="character" w:customStyle="1" w:styleId="100">
    <w:name w:val="标题 5 Char"/>
    <w:basedOn w:val="59"/>
    <w:link w:val="7"/>
    <w:qFormat/>
    <w:uiPriority w:val="0"/>
    <w:rPr>
      <w:rFonts w:ascii="Times New Roman" w:hAnsi="Times New Roman" w:eastAsia="宋体" w:cs="Times New Roman"/>
      <w:b/>
      <w:bCs/>
      <w:sz w:val="28"/>
      <w:szCs w:val="28"/>
    </w:rPr>
  </w:style>
  <w:style w:type="character" w:customStyle="1" w:styleId="101">
    <w:name w:val="标题 6 Char"/>
    <w:basedOn w:val="59"/>
    <w:link w:val="8"/>
    <w:qFormat/>
    <w:uiPriority w:val="0"/>
    <w:rPr>
      <w:rFonts w:ascii="Arial" w:hAnsi="Arial" w:eastAsia="黑体" w:cs="Times New Roman"/>
      <w:b/>
      <w:color w:val="000000"/>
      <w:sz w:val="24"/>
      <w:szCs w:val="24"/>
    </w:rPr>
  </w:style>
  <w:style w:type="character" w:customStyle="1" w:styleId="102">
    <w:name w:val="标题 7 Char"/>
    <w:basedOn w:val="59"/>
    <w:link w:val="10"/>
    <w:qFormat/>
    <w:uiPriority w:val="0"/>
    <w:rPr>
      <w:rFonts w:ascii="Times New Roman" w:hAnsi="Times New Roman" w:eastAsia="宋体" w:cs="Times New Roman"/>
      <w:b/>
      <w:color w:val="000000"/>
      <w:sz w:val="24"/>
      <w:szCs w:val="24"/>
    </w:rPr>
  </w:style>
  <w:style w:type="character" w:customStyle="1" w:styleId="103">
    <w:name w:val="标题 8 Char"/>
    <w:basedOn w:val="59"/>
    <w:link w:val="11"/>
    <w:qFormat/>
    <w:uiPriority w:val="0"/>
    <w:rPr>
      <w:rFonts w:ascii="Arial" w:hAnsi="Arial" w:eastAsia="黑体" w:cs="Times New Roman"/>
      <w:color w:val="000000"/>
      <w:sz w:val="24"/>
      <w:szCs w:val="24"/>
    </w:rPr>
  </w:style>
  <w:style w:type="character" w:customStyle="1" w:styleId="104">
    <w:name w:val="标题 9 Char"/>
    <w:basedOn w:val="59"/>
    <w:link w:val="12"/>
    <w:qFormat/>
    <w:uiPriority w:val="0"/>
    <w:rPr>
      <w:rFonts w:ascii="Arial" w:hAnsi="Arial" w:eastAsia="黑体" w:cs="Times New Roman"/>
      <w:color w:val="000000"/>
      <w:sz w:val="24"/>
      <w:szCs w:val="24"/>
    </w:rPr>
  </w:style>
  <w:style w:type="character" w:customStyle="1" w:styleId="105">
    <w:name w:val="标题 3 Char1"/>
    <w:qFormat/>
    <w:uiPriority w:val="0"/>
    <w:rPr>
      <w:rFonts w:ascii="Times New Roman" w:hAnsi="Times New Roman" w:eastAsia="宋体" w:cs="Times New Roman"/>
      <w:b/>
      <w:bCs/>
      <w:sz w:val="28"/>
      <w:szCs w:val="32"/>
    </w:rPr>
  </w:style>
  <w:style w:type="character" w:customStyle="1" w:styleId="106">
    <w:name w:val="标题 4 Char2"/>
    <w:uiPriority w:val="0"/>
    <w:rPr>
      <w:rFonts w:ascii="Arial" w:hAnsi="Arial" w:eastAsia="黑体" w:cs="Times New Roman"/>
      <w:b/>
      <w:bCs/>
      <w:sz w:val="28"/>
      <w:szCs w:val="28"/>
    </w:rPr>
  </w:style>
  <w:style w:type="paragraph" w:customStyle="1" w:styleId="107">
    <w:name w:val="标题31"/>
    <w:qFormat/>
    <w:uiPriority w:val="0"/>
    <w:pPr>
      <w:spacing w:line="360" w:lineRule="auto"/>
    </w:pPr>
    <w:rPr>
      <w:rFonts w:ascii="Times New Roman" w:hAnsi="Times New Roman" w:eastAsia="宋体" w:cs="Times New Roman"/>
      <w:b/>
      <w:kern w:val="2"/>
      <w:sz w:val="24"/>
      <w:szCs w:val="24"/>
      <w:lang w:val="en-US" w:eastAsia="zh-CN" w:bidi="ar-SA"/>
    </w:rPr>
  </w:style>
  <w:style w:type="character" w:customStyle="1" w:styleId="108">
    <w:name w:val="文档结构图 Char"/>
    <w:basedOn w:val="59"/>
    <w:link w:val="18"/>
    <w:semiHidden/>
    <w:qFormat/>
    <w:uiPriority w:val="99"/>
    <w:rPr>
      <w:rFonts w:ascii="Times New Roman" w:hAnsi="Times New Roman" w:eastAsia="宋体" w:cs="Times New Roman"/>
      <w:sz w:val="24"/>
      <w:szCs w:val="24"/>
      <w:shd w:val="clear" w:color="auto" w:fill="000080"/>
    </w:rPr>
  </w:style>
  <w:style w:type="character" w:customStyle="1" w:styleId="109">
    <w:name w:val="日期 Char"/>
    <w:basedOn w:val="59"/>
    <w:link w:val="33"/>
    <w:qFormat/>
    <w:uiPriority w:val="99"/>
    <w:rPr>
      <w:rFonts w:ascii="Times New Roman" w:hAnsi="Times New Roman" w:eastAsia="宋体" w:cs="Times New Roman"/>
      <w:sz w:val="28"/>
      <w:szCs w:val="24"/>
    </w:rPr>
  </w:style>
  <w:style w:type="paragraph" w:customStyle="1" w:styleId="110">
    <w:name w:val="标题五"/>
    <w:basedOn w:val="1"/>
    <w:qFormat/>
    <w:uiPriority w:val="0"/>
    <w:pPr>
      <w:spacing w:line="500" w:lineRule="atLeast"/>
      <w:jc w:val="center"/>
    </w:pPr>
    <w:rPr>
      <w:rFonts w:ascii="宋体" w:hAnsi="宋体"/>
      <w:szCs w:val="24"/>
    </w:rPr>
  </w:style>
  <w:style w:type="character" w:customStyle="1" w:styleId="111">
    <w:name w:val="纯文本 Char"/>
    <w:basedOn w:val="59"/>
    <w:link w:val="31"/>
    <w:qFormat/>
    <w:uiPriority w:val="0"/>
    <w:rPr>
      <w:rFonts w:ascii="宋体" w:hAnsi="Courier New" w:eastAsia="宋体" w:cs="Times New Roman"/>
      <w:sz w:val="24"/>
      <w:szCs w:val="21"/>
    </w:rPr>
  </w:style>
  <w:style w:type="paragraph" w:customStyle="1" w:styleId="112">
    <w:name w:val="样式4"/>
    <w:basedOn w:val="1"/>
    <w:qFormat/>
    <w:uiPriority w:val="0"/>
    <w:pPr>
      <w:spacing w:line="360" w:lineRule="exact"/>
      <w:jc w:val="center"/>
    </w:pPr>
    <w:rPr>
      <w:szCs w:val="21"/>
    </w:rPr>
  </w:style>
  <w:style w:type="paragraph" w:customStyle="1" w:styleId="113">
    <w:name w:val="标题3"/>
    <w:basedOn w:val="5"/>
    <w:qFormat/>
    <w:uiPriority w:val="0"/>
    <w:pPr>
      <w:snapToGrid w:val="0"/>
      <w:jc w:val="left"/>
    </w:pPr>
    <w:rPr>
      <w:szCs w:val="24"/>
      <w:lang w:bidi="en-US"/>
    </w:rPr>
  </w:style>
  <w:style w:type="table" w:customStyle="1" w:styleId="114">
    <w:name w:val="网格型111"/>
    <w:basedOn w:val="56"/>
    <w:qFormat/>
    <w:uiPriority w:val="0"/>
    <w:pPr>
      <w:widowControl w:val="0"/>
      <w:jc w:val="both"/>
    </w:pPr>
    <w:rPr>
      <w:rFonts w:eastAsia="宋体"/>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5">
    <w:name w:val="表中值"/>
    <w:basedOn w:val="1"/>
    <w:qFormat/>
    <w:uiPriority w:val="0"/>
    <w:pPr>
      <w:keepLines/>
      <w:widowControl/>
      <w:spacing w:line="360" w:lineRule="exact"/>
      <w:jc w:val="center"/>
    </w:pPr>
    <w:rPr>
      <w:spacing w:val="4"/>
      <w:szCs w:val="20"/>
    </w:rPr>
  </w:style>
  <w:style w:type="character" w:customStyle="1" w:styleId="116">
    <w:name w:val="正文文本缩进 2 Char"/>
    <w:basedOn w:val="59"/>
    <w:link w:val="34"/>
    <w:qFormat/>
    <w:uiPriority w:val="0"/>
    <w:rPr>
      <w:rFonts w:ascii="Times New Roman" w:hAnsi="Times New Roman" w:eastAsia="宋体" w:cs="Times New Roman"/>
      <w:sz w:val="24"/>
      <w:szCs w:val="24"/>
    </w:rPr>
  </w:style>
  <w:style w:type="paragraph" w:customStyle="1" w:styleId="117">
    <w:name w:val="_Style 11"/>
    <w:basedOn w:val="1"/>
    <w:next w:val="23"/>
    <w:qFormat/>
    <w:uiPriority w:val="0"/>
    <w:pPr>
      <w:jc w:val="center"/>
    </w:pPr>
    <w:rPr>
      <w:szCs w:val="20"/>
    </w:rPr>
  </w:style>
  <w:style w:type="character" w:customStyle="1" w:styleId="118">
    <w:name w:val="正文文本缩进 3 Char"/>
    <w:basedOn w:val="59"/>
    <w:link w:val="43"/>
    <w:qFormat/>
    <w:uiPriority w:val="0"/>
    <w:rPr>
      <w:rFonts w:ascii="Times New Roman" w:hAnsi="Times New Roman" w:eastAsia="宋体" w:cs="Times New Roman"/>
      <w:sz w:val="16"/>
      <w:szCs w:val="16"/>
    </w:rPr>
  </w:style>
  <w:style w:type="paragraph" w:styleId="119">
    <w:name w:val="List Paragraph"/>
    <w:basedOn w:val="1"/>
    <w:qFormat/>
    <w:uiPriority w:val="34"/>
    <w:pPr>
      <w:ind w:firstLine="420"/>
    </w:pPr>
    <w:rPr>
      <w:rFonts w:ascii="Calibri" w:hAnsi="Calibri"/>
    </w:rPr>
  </w:style>
  <w:style w:type="character" w:customStyle="1" w:styleId="120">
    <w:name w:val="正文首行缩进 Char"/>
    <w:basedOn w:val="76"/>
    <w:link w:val="54"/>
    <w:qFormat/>
    <w:uiPriority w:val="0"/>
    <w:rPr>
      <w:rFonts w:ascii="Times New Roman" w:hAnsi="Times New Roman" w:eastAsia="宋体" w:cs="Times New Roman"/>
      <w:sz w:val="24"/>
      <w:szCs w:val="24"/>
    </w:rPr>
  </w:style>
  <w:style w:type="character" w:customStyle="1" w:styleId="121">
    <w:name w:val="正文首行缩进 2 Char"/>
    <w:basedOn w:val="86"/>
    <w:link w:val="55"/>
    <w:qFormat/>
    <w:uiPriority w:val="0"/>
    <w:rPr>
      <w:rFonts w:ascii="Times New Roman" w:hAnsi="Times New Roman" w:eastAsia="宋体" w:cs="Times New Roman"/>
      <w:sz w:val="24"/>
      <w:szCs w:val="24"/>
    </w:rPr>
  </w:style>
  <w:style w:type="paragraph" w:customStyle="1" w:styleId="122">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123">
    <w:name w:val="Char"/>
    <w:basedOn w:val="1"/>
    <w:next w:val="55"/>
    <w:qFormat/>
    <w:uiPriority w:val="0"/>
    <w:rPr>
      <w:szCs w:val="24"/>
    </w:rPr>
  </w:style>
  <w:style w:type="paragraph" w:customStyle="1" w:styleId="124">
    <w:name w:val="样式 一级标题 + 宋体"/>
    <w:basedOn w:val="107"/>
    <w:qFormat/>
    <w:uiPriority w:val="0"/>
    <w:rPr>
      <w:rFonts w:ascii="宋体" w:hAnsi="宋体"/>
      <w:bCs/>
    </w:rPr>
  </w:style>
  <w:style w:type="paragraph" w:customStyle="1" w:styleId="125">
    <w:name w:val="样式 标题 2标题 2XWh2l22nd levelTitre2Header 2节标题 1.1BSH-2标题 ..."/>
    <w:basedOn w:val="4"/>
    <w:qFormat/>
    <w:uiPriority w:val="0"/>
    <w:pPr>
      <w:jc w:val="left"/>
    </w:pPr>
    <w:rPr>
      <w:rFonts w:eastAsia="宋体" w:cs="Times New Roman"/>
      <w:b/>
      <w:snapToGrid w:val="0"/>
      <w:spacing w:val="8"/>
      <w:kern w:val="0"/>
      <w:sz w:val="32"/>
    </w:rPr>
  </w:style>
  <w:style w:type="character" w:customStyle="1" w:styleId="126">
    <w:name w:val="正文文本 2 Char"/>
    <w:basedOn w:val="59"/>
    <w:link w:val="47"/>
    <w:qFormat/>
    <w:uiPriority w:val="0"/>
    <w:rPr>
      <w:rFonts w:ascii="Times New Roman" w:hAnsi="Times New Roman" w:eastAsia="宋体" w:cs="Times New Roman"/>
      <w:sz w:val="24"/>
      <w:szCs w:val="24"/>
    </w:rPr>
  </w:style>
  <w:style w:type="paragraph" w:customStyle="1" w:styleId="127">
    <w:name w:val="样式 标题 3 + 宋体"/>
    <w:basedOn w:val="5"/>
    <w:link w:val="128"/>
    <w:qFormat/>
    <w:uiPriority w:val="0"/>
    <w:pPr>
      <w:snapToGrid w:val="0"/>
      <w:spacing w:before="50" w:beforeLines="50" w:after="50" w:afterLines="50"/>
      <w:ind w:firstLine="200" w:firstLineChars="200"/>
      <w:jc w:val="left"/>
    </w:pPr>
    <w:rPr>
      <w:rFonts w:ascii="宋体" w:hAnsi="宋体" w:eastAsia="宋体"/>
      <w:b/>
      <w:sz w:val="28"/>
    </w:rPr>
  </w:style>
  <w:style w:type="character" w:customStyle="1" w:styleId="128">
    <w:name w:val="样式 标题 3 + 宋体 Char"/>
    <w:link w:val="127"/>
    <w:qFormat/>
    <w:uiPriority w:val="0"/>
    <w:rPr>
      <w:rFonts w:ascii="宋体" w:hAnsi="宋体" w:eastAsia="宋体" w:cs="Times New Roman"/>
      <w:b/>
      <w:bCs/>
      <w:sz w:val="28"/>
      <w:szCs w:val="32"/>
    </w:rPr>
  </w:style>
  <w:style w:type="paragraph" w:customStyle="1" w:styleId="129">
    <w:name w:val="样式 标题 3 + 宋体 黑色"/>
    <w:basedOn w:val="5"/>
    <w:link w:val="130"/>
    <w:qFormat/>
    <w:uiPriority w:val="0"/>
    <w:pPr>
      <w:snapToGrid w:val="0"/>
      <w:spacing w:before="50" w:beforeLines="50" w:after="50" w:afterLines="50"/>
      <w:ind w:firstLine="200" w:firstLineChars="200"/>
      <w:jc w:val="left"/>
    </w:pPr>
    <w:rPr>
      <w:rFonts w:ascii="宋体" w:hAnsi="宋体" w:eastAsia="宋体"/>
      <w:b/>
      <w:color w:val="000000"/>
      <w:sz w:val="28"/>
    </w:rPr>
  </w:style>
  <w:style w:type="character" w:customStyle="1" w:styleId="130">
    <w:name w:val="样式 标题 3 + 宋体 黑色 Char"/>
    <w:link w:val="129"/>
    <w:qFormat/>
    <w:uiPriority w:val="0"/>
    <w:rPr>
      <w:rFonts w:ascii="宋体" w:hAnsi="宋体" w:eastAsia="宋体" w:cs="Times New Roman"/>
      <w:b/>
      <w:bCs/>
      <w:color w:val="000000"/>
      <w:sz w:val="28"/>
      <w:szCs w:val="32"/>
    </w:rPr>
  </w:style>
  <w:style w:type="paragraph" w:customStyle="1" w:styleId="131">
    <w:name w:val="样式1"/>
    <w:basedOn w:val="47"/>
    <w:qFormat/>
    <w:uiPriority w:val="0"/>
    <w:pPr>
      <w:spacing w:before="50" w:beforeLines="50" w:after="0" w:line="440" w:lineRule="exact"/>
      <w:ind w:left="100" w:leftChars="100"/>
    </w:pPr>
    <w:rPr>
      <w:rFonts w:ascii="宋体" w:hAnsi="宋体"/>
    </w:rPr>
  </w:style>
  <w:style w:type="paragraph" w:customStyle="1" w:styleId="132">
    <w:name w:val="样式2"/>
    <w:basedOn w:val="47"/>
    <w:link w:val="630"/>
    <w:qFormat/>
    <w:uiPriority w:val="0"/>
    <w:pPr>
      <w:spacing w:after="0" w:line="360" w:lineRule="exact"/>
      <w:jc w:val="center"/>
    </w:pPr>
    <w:rPr>
      <w:rFonts w:ascii="宋体" w:hAnsi="宋体"/>
    </w:rPr>
  </w:style>
  <w:style w:type="paragraph" w:customStyle="1" w:styleId="133">
    <w:name w:val="表格 32"/>
    <w:basedOn w:val="1"/>
    <w:qFormat/>
    <w:uiPriority w:val="0"/>
    <w:pPr>
      <w:autoSpaceDE w:val="0"/>
      <w:autoSpaceDN w:val="0"/>
      <w:adjustRightInd w:val="0"/>
      <w:jc w:val="center"/>
      <w:textAlignment w:val="baseline"/>
    </w:pPr>
    <w:rPr>
      <w:rFonts w:eastAsia="仿宋_GB2312"/>
      <w:kern w:val="0"/>
      <w:szCs w:val="20"/>
    </w:rPr>
  </w:style>
  <w:style w:type="character" w:customStyle="1" w:styleId="134">
    <w:name w:val="批注文字 Char"/>
    <w:basedOn w:val="59"/>
    <w:link w:val="19"/>
    <w:qFormat/>
    <w:uiPriority w:val="0"/>
    <w:rPr>
      <w:rFonts w:ascii="Times New Roman" w:hAnsi="Times New Roman" w:eastAsia="宋体" w:cs="Times New Roman"/>
      <w:sz w:val="24"/>
      <w:szCs w:val="24"/>
    </w:rPr>
  </w:style>
  <w:style w:type="character" w:customStyle="1" w:styleId="135">
    <w:name w:val="正文文本 3 Char"/>
    <w:basedOn w:val="59"/>
    <w:link w:val="21"/>
    <w:qFormat/>
    <w:uiPriority w:val="0"/>
    <w:rPr>
      <w:rFonts w:ascii="Times New Roman" w:hAnsi="Times New Roman" w:eastAsia="宋体" w:cs="Times New Roman"/>
      <w:sz w:val="24"/>
      <w:szCs w:val="24"/>
    </w:rPr>
  </w:style>
  <w:style w:type="character" w:customStyle="1" w:styleId="136">
    <w:name w:val="批注框文本 Char"/>
    <w:basedOn w:val="59"/>
    <w:link w:val="35"/>
    <w:qFormat/>
    <w:uiPriority w:val="99"/>
    <w:rPr>
      <w:rFonts w:ascii="Times New Roman" w:hAnsi="Times New Roman" w:eastAsia="宋体" w:cs="Times New Roman"/>
      <w:sz w:val="18"/>
      <w:szCs w:val="18"/>
    </w:rPr>
  </w:style>
  <w:style w:type="paragraph" w:customStyle="1" w:styleId="137">
    <w:name w:val="正文文本缩进 21"/>
    <w:basedOn w:val="1"/>
    <w:qFormat/>
    <w:uiPriority w:val="0"/>
    <w:pPr>
      <w:adjustRightInd w:val="0"/>
      <w:spacing w:before="240" w:line="480" w:lineRule="exact"/>
      <w:ind w:firstLine="480"/>
      <w:textAlignment w:val="baseline"/>
    </w:pPr>
    <w:rPr>
      <w:rFonts w:ascii="宋体"/>
      <w:szCs w:val="24"/>
    </w:rPr>
  </w:style>
  <w:style w:type="paragraph" w:customStyle="1" w:styleId="138">
    <w:name w:val="正文文本缩进 31"/>
    <w:basedOn w:val="1"/>
    <w:uiPriority w:val="0"/>
    <w:pPr>
      <w:adjustRightInd w:val="0"/>
      <w:spacing w:line="480" w:lineRule="exact"/>
      <w:ind w:firstLine="570"/>
      <w:textAlignment w:val="baseline"/>
    </w:pPr>
    <w:rPr>
      <w:rFonts w:hAnsi="宋体"/>
      <w:szCs w:val="24"/>
    </w:rPr>
  </w:style>
  <w:style w:type="paragraph" w:customStyle="1" w:styleId="139">
    <w:name w:val="引言"/>
    <w:basedOn w:val="1"/>
    <w:next w:val="1"/>
    <w:uiPriority w:val="0"/>
    <w:pPr>
      <w:jc w:val="center"/>
    </w:pPr>
    <w:rPr>
      <w:bCs/>
      <w:color w:val="000000"/>
      <w:szCs w:val="20"/>
    </w:rPr>
  </w:style>
  <w:style w:type="paragraph" w:customStyle="1" w:styleId="140">
    <w:name w:val="无悬挂正文5号"/>
    <w:basedOn w:val="1"/>
    <w:uiPriority w:val="0"/>
    <w:pPr>
      <w:jc w:val="center"/>
    </w:pPr>
    <w:rPr>
      <w:szCs w:val="24"/>
    </w:rPr>
  </w:style>
  <w:style w:type="paragraph" w:customStyle="1" w:styleId="141">
    <w:name w:val="标题4"/>
    <w:basedOn w:val="1"/>
    <w:qFormat/>
    <w:uiPriority w:val="0"/>
    <w:pPr>
      <w:ind w:firstLine="0" w:firstLineChars="0"/>
      <w:outlineLvl w:val="3"/>
    </w:pPr>
    <w:rPr>
      <w:rFonts w:eastAsia="黑体"/>
      <w:szCs w:val="20"/>
    </w:rPr>
  </w:style>
  <w:style w:type="character" w:customStyle="1" w:styleId="142">
    <w:name w:val="正文(首行缩进) Char"/>
    <w:link w:val="143"/>
    <w:uiPriority w:val="0"/>
    <w:rPr>
      <w:snapToGrid w:val="0"/>
      <w:sz w:val="24"/>
      <w:szCs w:val="24"/>
    </w:rPr>
  </w:style>
  <w:style w:type="paragraph" w:customStyle="1" w:styleId="143">
    <w:name w:val="正文(首行缩进)"/>
    <w:basedOn w:val="1"/>
    <w:link w:val="142"/>
    <w:uiPriority w:val="0"/>
    <w:pPr>
      <w:adjustRightInd w:val="0"/>
      <w:snapToGrid w:val="0"/>
    </w:pPr>
    <w:rPr>
      <w:rFonts w:asciiTheme="minorHAnsi" w:hAnsiTheme="minorHAnsi" w:eastAsiaTheme="minorEastAsia" w:cstheme="minorBidi"/>
      <w:snapToGrid w:val="0"/>
      <w:szCs w:val="24"/>
    </w:rPr>
  </w:style>
  <w:style w:type="paragraph" w:customStyle="1" w:styleId="144">
    <w:name w:val="表格1"/>
    <w:basedOn w:val="1"/>
    <w:link w:val="591"/>
    <w:uiPriority w:val="0"/>
    <w:pPr>
      <w:adjustRightInd w:val="0"/>
      <w:spacing w:line="20" w:lineRule="atLeast"/>
      <w:jc w:val="center"/>
      <w:textAlignment w:val="center"/>
    </w:pPr>
    <w:rPr>
      <w:rFonts w:ascii="宋体"/>
      <w:kern w:val="0"/>
      <w:szCs w:val="20"/>
    </w:rPr>
  </w:style>
  <w:style w:type="character" w:customStyle="1" w:styleId="145">
    <w:name w:val="普通文字 Char2"/>
    <w:uiPriority w:val="0"/>
    <w:rPr>
      <w:rFonts w:ascii="宋体" w:hAnsi="Courier New" w:eastAsia="宋体" w:cs="Courier New"/>
      <w:kern w:val="2"/>
      <w:sz w:val="21"/>
      <w:szCs w:val="21"/>
      <w:lang w:val="en-US" w:eastAsia="zh-CN" w:bidi="ar-SA"/>
    </w:rPr>
  </w:style>
  <w:style w:type="paragraph" w:customStyle="1" w:styleId="146">
    <w:name w:val="Char Char Char Char Char Char"/>
    <w:basedOn w:val="1"/>
    <w:next w:val="2"/>
    <w:uiPriority w:val="0"/>
    <w:rPr>
      <w:sz w:val="28"/>
      <w:szCs w:val="28"/>
    </w:rPr>
  </w:style>
  <w:style w:type="character" w:customStyle="1" w:styleId="147">
    <w:name w:val="宏文本 Char"/>
    <w:basedOn w:val="59"/>
    <w:link w:val="2"/>
    <w:uiPriority w:val="0"/>
    <w:rPr>
      <w:rFonts w:ascii="Courier New" w:hAnsi="Courier New" w:eastAsia="宋体" w:cs="Courier New"/>
      <w:sz w:val="24"/>
      <w:szCs w:val="24"/>
    </w:rPr>
  </w:style>
  <w:style w:type="character" w:customStyle="1" w:styleId="148">
    <w:name w:val="Char Char2"/>
    <w:uiPriority w:val="0"/>
    <w:rPr>
      <w:rFonts w:ascii="黑体" w:eastAsia="黑体"/>
      <w:b/>
      <w:color w:val="0000FF"/>
      <w:kern w:val="2"/>
      <w:sz w:val="24"/>
      <w:szCs w:val="24"/>
      <w:lang w:val="en-US" w:eastAsia="zh-CN" w:bidi="ar-SA"/>
    </w:rPr>
  </w:style>
  <w:style w:type="paragraph" w:customStyle="1" w:styleId="149">
    <w:name w:val="Char Char1 Char"/>
    <w:basedOn w:val="1"/>
    <w:uiPriority w:val="0"/>
    <w:pPr>
      <w:widowControl/>
      <w:spacing w:after="160" w:line="240" w:lineRule="exact"/>
      <w:jc w:val="left"/>
    </w:pPr>
    <w:rPr>
      <w:rFonts w:ascii="Verdana" w:hAnsi="Verdana" w:eastAsia="仿宋_GB2312"/>
      <w:kern w:val="0"/>
      <w:szCs w:val="20"/>
      <w:lang w:eastAsia="en-US"/>
    </w:rPr>
  </w:style>
  <w:style w:type="paragraph" w:customStyle="1" w:styleId="150">
    <w:name w:val="正文样式"/>
    <w:basedOn w:val="1"/>
    <w:uiPriority w:val="0"/>
    <w:pPr>
      <w:ind w:firstLine="420"/>
    </w:pPr>
    <w:rPr>
      <w:rFonts w:cs="宋体"/>
      <w:szCs w:val="20"/>
    </w:rPr>
  </w:style>
  <w:style w:type="character" w:customStyle="1" w:styleId="151">
    <w:name w:val="H3 Char"/>
    <w:uiPriority w:val="0"/>
    <w:rPr>
      <w:rFonts w:ascii="黑体" w:eastAsia="黑体"/>
      <w:b/>
      <w:color w:val="0000FF"/>
      <w:kern w:val="2"/>
      <w:sz w:val="24"/>
      <w:szCs w:val="24"/>
      <w:lang w:val="en-US" w:eastAsia="zh-CN" w:bidi="ar-SA"/>
    </w:rPr>
  </w:style>
  <w:style w:type="character" w:customStyle="1" w:styleId="152">
    <w:name w:val="题注 Char"/>
    <w:uiPriority w:val="0"/>
    <w:rPr>
      <w:rFonts w:ascii="Arial" w:hAnsi="Arial" w:eastAsia="黑体" w:cs="Arial"/>
      <w:color w:val="0000FF"/>
      <w:sz w:val="24"/>
      <w:lang w:val="zh-CN"/>
    </w:rPr>
  </w:style>
  <w:style w:type="character" w:customStyle="1" w:styleId="153">
    <w:name w:val="样式 蓝色1"/>
    <w:uiPriority w:val="0"/>
    <w:rPr>
      <w:rFonts w:ascii="Times New Roman" w:hAnsi="Times New Roman" w:eastAsia="宋体"/>
      <w:color w:val="0000FF"/>
    </w:rPr>
  </w:style>
  <w:style w:type="character" w:customStyle="1" w:styleId="154">
    <w:name w:val="标题表格 Char"/>
    <w:link w:val="155"/>
    <w:uiPriority w:val="0"/>
    <w:rPr>
      <w:rFonts w:ascii="Arial" w:hAnsi="Arial" w:eastAsia="黑体" w:cs="Arial"/>
      <w:bCs/>
      <w:color w:val="0000FF"/>
      <w:sz w:val="24"/>
      <w:lang w:val="zh-CN"/>
    </w:rPr>
  </w:style>
  <w:style w:type="paragraph" w:customStyle="1" w:styleId="155">
    <w:name w:val="标题表格"/>
    <w:basedOn w:val="16"/>
    <w:link w:val="154"/>
    <w:uiPriority w:val="0"/>
    <w:rPr>
      <w:bCs/>
      <w:color w:val="0000FF"/>
      <w:sz w:val="24"/>
      <w:szCs w:val="22"/>
      <w:lang w:val="zh-CN"/>
    </w:rPr>
  </w:style>
  <w:style w:type="paragraph" w:customStyle="1" w:styleId="156">
    <w:name w:val="文章正文"/>
    <w:basedOn w:val="1"/>
    <w:uiPriority w:val="0"/>
    <w:pPr>
      <w:tabs>
        <w:tab w:val="left" w:pos="540"/>
        <w:tab w:val="left" w:pos="851"/>
        <w:tab w:val="left" w:pos="994"/>
        <w:tab w:val="left" w:pos="1260"/>
        <w:tab w:val="left" w:pos="3108"/>
        <w:tab w:val="left" w:pos="3150"/>
      </w:tabs>
      <w:adjustRightInd w:val="0"/>
      <w:ind w:firstLine="560"/>
    </w:pPr>
    <w:rPr>
      <w:rFonts w:eastAsia="仿宋_GB2312"/>
      <w:snapToGrid w:val="0"/>
      <w:color w:val="000000"/>
      <w:kern w:val="32"/>
      <w:sz w:val="28"/>
      <w:szCs w:val="28"/>
    </w:rPr>
  </w:style>
  <w:style w:type="paragraph" w:customStyle="1" w:styleId="157">
    <w:name w:val="表标题1"/>
    <w:basedOn w:val="1"/>
    <w:uiPriority w:val="0"/>
    <w:pPr>
      <w:adjustRightInd w:val="0"/>
      <w:snapToGrid w:val="0"/>
      <w:spacing w:before="156" w:beforeLines="50"/>
      <w:jc w:val="center"/>
    </w:pPr>
    <w:rPr>
      <w:b/>
      <w:bCs/>
      <w:szCs w:val="24"/>
      <w:lang w:val="en-TT"/>
    </w:rPr>
  </w:style>
  <w:style w:type="paragraph" w:customStyle="1" w:styleId="158">
    <w:name w:val="文章正文 Char"/>
    <w:basedOn w:val="1"/>
    <w:uiPriority w:val="0"/>
    <w:pPr>
      <w:ind w:firstLine="560"/>
    </w:pPr>
    <w:rPr>
      <w:rFonts w:eastAsia="仿宋_GB2312"/>
      <w:snapToGrid w:val="0"/>
      <w:kern w:val="32"/>
      <w:sz w:val="28"/>
      <w:szCs w:val="28"/>
    </w:rPr>
  </w:style>
  <w:style w:type="paragraph" w:customStyle="1" w:styleId="159">
    <w:name w:val="样式 样式 样式 小四 首行缩进:  2.25 字符 + 首行缩进:  2.25 字符 + 首行缩进:  2 字符"/>
    <w:basedOn w:val="1"/>
    <w:uiPriority w:val="0"/>
    <w:pPr>
      <w:spacing w:line="440" w:lineRule="exact"/>
    </w:pPr>
    <w:rPr>
      <w:szCs w:val="20"/>
    </w:rPr>
  </w:style>
  <w:style w:type="character" w:customStyle="1" w:styleId="160">
    <w:name w:val="正文文字 Char Char"/>
    <w:uiPriority w:val="0"/>
    <w:rPr>
      <w:rFonts w:eastAsia="宋体"/>
      <w:kern w:val="2"/>
      <w:sz w:val="28"/>
      <w:szCs w:val="24"/>
      <w:lang w:val="en-US" w:eastAsia="zh-CN" w:bidi="ar-SA"/>
    </w:rPr>
  </w:style>
  <w:style w:type="paragraph" w:customStyle="1" w:styleId="161">
    <w:name w:val="表内容"/>
    <w:basedOn w:val="1"/>
    <w:link w:val="387"/>
    <w:uiPriority w:val="0"/>
    <w:pPr>
      <w:widowControl/>
      <w:tabs>
        <w:tab w:val="left" w:pos="-2400"/>
        <w:tab w:val="left" w:pos="1320"/>
        <w:tab w:val="left" w:pos="3878"/>
        <w:tab w:val="left" w:pos="6080"/>
        <w:tab w:val="left" w:pos="6580"/>
        <w:tab w:val="left" w:pos="8137"/>
      </w:tabs>
      <w:adjustRightInd w:val="0"/>
      <w:spacing w:line="288" w:lineRule="auto"/>
      <w:jc w:val="center"/>
      <w:textAlignment w:val="center"/>
    </w:pPr>
    <w:rPr>
      <w:snapToGrid w:val="0"/>
    </w:rPr>
  </w:style>
  <w:style w:type="paragraph" w:customStyle="1" w:styleId="162">
    <w:name w:val="样式 首行缩进:  2 字符2"/>
    <w:basedOn w:val="1"/>
    <w:uiPriority w:val="0"/>
    <w:pPr>
      <w:adjustRightInd w:val="0"/>
      <w:snapToGrid w:val="0"/>
      <w:ind w:firstLine="512"/>
    </w:pPr>
    <w:rPr>
      <w:rFonts w:ascii="楷体_GB2312" w:eastAsia="楷体_GB2312" w:cs="宋体"/>
      <w:snapToGrid w:val="0"/>
      <w:spacing w:val="8"/>
      <w:kern w:val="0"/>
      <w:szCs w:val="24"/>
    </w:rPr>
  </w:style>
  <w:style w:type="paragraph" w:customStyle="1" w:styleId="163">
    <w:name w:val="图框"/>
    <w:basedOn w:val="4"/>
    <w:uiPriority w:val="0"/>
    <w:pPr>
      <w:autoSpaceDE w:val="0"/>
      <w:autoSpaceDN w:val="0"/>
      <w:adjustRightInd w:val="0"/>
      <w:spacing w:before="20" w:after="20" w:line="240" w:lineRule="auto"/>
      <w:jc w:val="center"/>
    </w:pPr>
    <w:rPr>
      <w:rFonts w:ascii="Arial" w:hAnsi="Arial" w:eastAsia="宋体" w:cs="Times New Roman"/>
      <w:bCs w:val="0"/>
      <w:color w:val="000000"/>
      <w:kern w:val="0"/>
      <w:sz w:val="24"/>
      <w:szCs w:val="20"/>
    </w:rPr>
  </w:style>
  <w:style w:type="paragraph" w:customStyle="1" w:styleId="164">
    <w:name w:val="样式 标题 4 + 段前: 0.5 行 段后: 0.5 行"/>
    <w:basedOn w:val="6"/>
    <w:uiPriority w:val="0"/>
    <w:pPr>
      <w:keepLines w:val="0"/>
      <w:spacing w:line="240" w:lineRule="auto"/>
      <w:ind w:firstLine="200" w:firstLineChars="200"/>
    </w:pPr>
    <w:rPr>
      <w:rFonts w:ascii="黑体" w:hAnsi="Courier New" w:cs="Times New Roman"/>
      <w:bCs w:val="0"/>
      <w:kern w:val="44"/>
      <w:szCs w:val="20"/>
    </w:rPr>
  </w:style>
  <w:style w:type="paragraph" w:customStyle="1" w:styleId="165">
    <w:name w:val="wj样式 + 首行缩进:  2 字符"/>
    <w:basedOn w:val="1"/>
    <w:next w:val="1"/>
    <w:uiPriority w:val="0"/>
    <w:pPr>
      <w:ind w:firstLine="536"/>
    </w:pPr>
    <w:rPr>
      <w:rFonts w:cs="宋体"/>
      <w:spacing w:val="14"/>
      <w:szCs w:val="20"/>
    </w:rPr>
  </w:style>
  <w:style w:type="paragraph" w:customStyle="1" w:styleId="166">
    <w:name w:val="标题一"/>
    <w:basedOn w:val="3"/>
    <w:uiPriority w:val="0"/>
    <w:pPr>
      <w:spacing w:beforeLines="200" w:afterLines="100" w:line="440" w:lineRule="exact"/>
      <w:ind w:firstLine="200" w:firstLineChars="200"/>
      <w:jc w:val="both"/>
    </w:pPr>
    <w:rPr>
      <w:rFonts w:ascii="黑体" w:cs="宋体"/>
      <w:b/>
      <w:szCs w:val="20"/>
    </w:rPr>
  </w:style>
  <w:style w:type="paragraph" w:customStyle="1" w:styleId="167">
    <w:name w:val="Char2"/>
    <w:basedOn w:val="1"/>
    <w:uiPriority w:val="0"/>
    <w:pPr>
      <w:widowControl/>
      <w:spacing w:after="160" w:line="240" w:lineRule="exact"/>
      <w:jc w:val="left"/>
    </w:pPr>
    <w:rPr>
      <w:rFonts w:ascii="Verdana" w:hAnsi="Verdana" w:eastAsia="仿宋_GB2312"/>
      <w:kern w:val="0"/>
      <w:szCs w:val="20"/>
      <w:lang w:eastAsia="en-US"/>
    </w:rPr>
  </w:style>
  <w:style w:type="paragraph" w:customStyle="1" w:styleId="168">
    <w:name w:val="Char1 Char Char Char Char Char Char Char Char Char Char Char Char"/>
    <w:basedOn w:val="1"/>
    <w:uiPriority w:val="0"/>
    <w:rPr>
      <w:szCs w:val="20"/>
    </w:rPr>
  </w:style>
  <w:style w:type="character" w:customStyle="1" w:styleId="169">
    <w:name w:val="纯文本 Char Char1"/>
    <w:uiPriority w:val="0"/>
    <w:rPr>
      <w:rFonts w:ascii="宋体" w:hAnsi="Courier New" w:eastAsia="宋体" w:cs="Courier New"/>
      <w:kern w:val="2"/>
      <w:sz w:val="21"/>
      <w:szCs w:val="21"/>
      <w:lang w:val="en-US" w:eastAsia="zh-CN" w:bidi="ar-SA"/>
    </w:rPr>
  </w:style>
  <w:style w:type="paragraph" w:customStyle="1" w:styleId="170">
    <w:name w:val="表体"/>
    <w:basedOn w:val="1"/>
    <w:uiPriority w:val="0"/>
    <w:pPr>
      <w:overflowPunct w:val="0"/>
      <w:adjustRightInd w:val="0"/>
      <w:jc w:val="center"/>
      <w:textAlignment w:val="baseline"/>
    </w:pPr>
    <w:rPr>
      <w:bCs/>
      <w:snapToGrid w:val="0"/>
      <w:szCs w:val="20"/>
      <w:lang w:val="zh-CN"/>
    </w:rPr>
  </w:style>
  <w:style w:type="paragraph" w:customStyle="1" w:styleId="171">
    <w:name w:val="方案正文样式"/>
    <w:basedOn w:val="1"/>
    <w:link w:val="611"/>
    <w:uiPriority w:val="0"/>
    <w:pPr>
      <w:adjustRightInd w:val="0"/>
      <w:snapToGrid w:val="0"/>
      <w:ind w:firstLine="454"/>
      <w:textAlignment w:val="baseline"/>
    </w:pPr>
    <w:rPr>
      <w:snapToGrid w:val="0"/>
      <w:szCs w:val="24"/>
    </w:rPr>
  </w:style>
  <w:style w:type="paragraph" w:customStyle="1" w:styleId="172">
    <w:name w:val="Char Char Char1 Char"/>
    <w:basedOn w:val="1"/>
    <w:uiPriority w:val="0"/>
    <w:pPr>
      <w:widowControl/>
      <w:jc w:val="left"/>
    </w:pPr>
    <w:rPr>
      <w:szCs w:val="20"/>
    </w:rPr>
  </w:style>
  <w:style w:type="paragraph" w:customStyle="1" w:styleId="173">
    <w:name w:val="表头"/>
    <w:basedOn w:val="1"/>
    <w:link w:val="563"/>
    <w:uiPriority w:val="0"/>
    <w:pPr>
      <w:ind w:firstLine="2597" w:firstLineChars="1078"/>
    </w:pPr>
    <w:rPr>
      <w:rFonts w:ascii="宋体" w:hAnsi="宋体"/>
      <w:b/>
      <w:kern w:val="0"/>
      <w:szCs w:val="28"/>
    </w:rPr>
  </w:style>
  <w:style w:type="paragraph" w:customStyle="1" w:styleId="174">
    <w:name w:val="11"/>
    <w:basedOn w:val="23"/>
    <w:link w:val="175"/>
    <w:uiPriority w:val="0"/>
    <w:pPr>
      <w:autoSpaceDE w:val="0"/>
      <w:autoSpaceDN w:val="0"/>
      <w:adjustRightInd w:val="0"/>
      <w:spacing w:after="0"/>
      <w:ind w:right="29" w:rightChars="12" w:firstLine="480"/>
      <w:textAlignment w:val="baseline"/>
    </w:pPr>
    <w:rPr>
      <w:szCs w:val="24"/>
    </w:rPr>
  </w:style>
  <w:style w:type="character" w:customStyle="1" w:styleId="175">
    <w:name w:val="11 Char"/>
    <w:link w:val="174"/>
    <w:uiPriority w:val="0"/>
    <w:rPr>
      <w:rFonts w:ascii="Times New Roman" w:hAnsi="Times New Roman" w:eastAsia="宋体" w:cs="Times New Roman"/>
      <w:sz w:val="24"/>
      <w:szCs w:val="24"/>
    </w:rPr>
  </w:style>
  <w:style w:type="character" w:customStyle="1" w:styleId="176">
    <w:name w:val="表格文字 Char"/>
    <w:link w:val="177"/>
    <w:uiPriority w:val="0"/>
    <w:rPr>
      <w:rFonts w:ascii="宋体" w:hAnsi="宋体" w:eastAsia="宋体"/>
    </w:rPr>
  </w:style>
  <w:style w:type="paragraph" w:customStyle="1" w:styleId="177">
    <w:name w:val="表格文字"/>
    <w:basedOn w:val="1"/>
    <w:link w:val="176"/>
    <w:uiPriority w:val="0"/>
    <w:pPr>
      <w:adjustRightInd w:val="0"/>
    </w:pPr>
    <w:rPr>
      <w:rFonts w:ascii="宋体" w:hAnsi="宋体" w:cstheme="minorBidi"/>
      <w:sz w:val="21"/>
    </w:rPr>
  </w:style>
  <w:style w:type="paragraph" w:customStyle="1" w:styleId="178">
    <w:name w:val="表格文字2"/>
    <w:basedOn w:val="177"/>
    <w:uiPriority w:val="0"/>
    <w:pPr>
      <w:spacing w:before="60"/>
      <w:jc w:val="center"/>
      <w:textAlignment w:val="baseline"/>
    </w:pPr>
    <w:rPr>
      <w:rFonts w:hAnsi="Times New Roman"/>
      <w:kern w:val="0"/>
    </w:rPr>
  </w:style>
  <w:style w:type="paragraph" w:customStyle="1" w:styleId="179">
    <w:name w:val="xl44"/>
    <w:basedOn w:val="1"/>
    <w:uiPriority w:val="0"/>
    <w:pPr>
      <w:widowControl/>
      <w:pBdr>
        <w:left w:val="single" w:color="auto" w:sz="4" w:space="0"/>
        <w:bottom w:val="single" w:color="auto" w:sz="4" w:space="0"/>
        <w:right w:val="single" w:color="auto" w:sz="4" w:space="0"/>
      </w:pBdr>
      <w:spacing w:before="100" w:after="100"/>
      <w:jc w:val="center"/>
      <w:textAlignment w:val="center"/>
    </w:pPr>
    <w:rPr>
      <w:rFonts w:hint="eastAsia" w:ascii="宋体" w:hAnsi="宋体"/>
      <w:kern w:val="0"/>
      <w:sz w:val="28"/>
      <w:szCs w:val="20"/>
    </w:rPr>
  </w:style>
  <w:style w:type="paragraph" w:customStyle="1" w:styleId="180">
    <w:name w:val="标题1"/>
    <w:basedOn w:val="166"/>
    <w:next w:val="1"/>
    <w:qFormat/>
    <w:uiPriority w:val="0"/>
    <w:pPr>
      <w:tabs>
        <w:tab w:val="left" w:pos="0"/>
      </w:tabs>
      <w:spacing w:beforeLines="0" w:afterLines="0" w:line="360" w:lineRule="auto"/>
      <w:ind w:firstLine="0" w:firstLineChars="0"/>
    </w:pPr>
    <w:rPr>
      <w:rFonts w:ascii="Times New Roman"/>
      <w:b w:val="0"/>
    </w:rPr>
  </w:style>
  <w:style w:type="paragraph" w:customStyle="1" w:styleId="181">
    <w:name w:val="正文 20 磅"/>
    <w:basedOn w:val="1"/>
    <w:next w:val="1"/>
    <w:uiPriority w:val="0"/>
    <w:pPr>
      <w:spacing w:line="400" w:lineRule="exact"/>
      <w:ind w:firstLine="480"/>
    </w:pPr>
    <w:rPr>
      <w:rFonts w:ascii="宋体" w:hAnsi="宋体" w:cs="宋体"/>
      <w:szCs w:val="20"/>
    </w:rPr>
  </w:style>
  <w:style w:type="paragraph" w:customStyle="1" w:styleId="182">
    <w:name w:val="全部"/>
    <w:basedOn w:val="1"/>
    <w:link w:val="183"/>
    <w:uiPriority w:val="0"/>
    <w:pPr>
      <w:spacing w:beforeLines="50" w:afterLines="50"/>
      <w:ind w:firstLine="480"/>
    </w:pPr>
    <w:rPr>
      <w:rFonts w:ascii="宋体" w:hAnsi="宋体"/>
      <w:color w:val="000000"/>
      <w:szCs w:val="24"/>
    </w:rPr>
  </w:style>
  <w:style w:type="character" w:customStyle="1" w:styleId="183">
    <w:name w:val="全部 Char"/>
    <w:link w:val="182"/>
    <w:locked/>
    <w:uiPriority w:val="0"/>
    <w:rPr>
      <w:rFonts w:ascii="宋体" w:hAnsi="宋体" w:eastAsia="宋体" w:cs="Times New Roman"/>
      <w:color w:val="000000"/>
      <w:sz w:val="24"/>
      <w:szCs w:val="24"/>
    </w:rPr>
  </w:style>
  <w:style w:type="character" w:customStyle="1" w:styleId="184">
    <w:name w:val="Char Char7"/>
    <w:locked/>
    <w:uiPriority w:val="0"/>
    <w:rPr>
      <w:kern w:val="2"/>
      <w:sz w:val="18"/>
      <w:szCs w:val="18"/>
      <w:lang w:bidi="ar-SA"/>
    </w:rPr>
  </w:style>
  <w:style w:type="paragraph" w:customStyle="1" w:styleId="185">
    <w:name w:val="Rep.toc"/>
    <w:basedOn w:val="1"/>
    <w:uiPriority w:val="0"/>
    <w:pPr>
      <w:widowControl/>
      <w:tabs>
        <w:tab w:val="left" w:pos="840"/>
        <w:tab w:val="left" w:pos="1700"/>
        <w:tab w:val="left" w:pos="2540"/>
        <w:tab w:val="right" w:pos="8640"/>
      </w:tabs>
      <w:spacing w:line="300" w:lineRule="atLeast"/>
      <w:jc w:val="left"/>
    </w:pPr>
    <w:rPr>
      <w:rFonts w:ascii="L Helvetica Light" w:hAnsi="L Helvetica Light"/>
      <w:kern w:val="0"/>
      <w:sz w:val="20"/>
      <w:szCs w:val="20"/>
      <w:lang w:eastAsia="en-US"/>
    </w:rPr>
  </w:style>
  <w:style w:type="paragraph" w:customStyle="1" w:styleId="186">
    <w:name w:val="样式 两端对齐 首行缩进:  2 字符"/>
    <w:basedOn w:val="1"/>
    <w:uiPriority w:val="0"/>
    <w:pPr>
      <w:widowControl/>
      <w:ind w:firstLine="560"/>
    </w:pPr>
    <w:rPr>
      <w:rFonts w:cs="宋体"/>
      <w:kern w:val="0"/>
      <w:sz w:val="28"/>
      <w:szCs w:val="28"/>
    </w:rPr>
  </w:style>
  <w:style w:type="paragraph" w:customStyle="1" w:styleId="187">
    <w:name w:val="表标题"/>
    <w:basedOn w:val="1"/>
    <w:next w:val="1"/>
    <w:link w:val="188"/>
    <w:uiPriority w:val="0"/>
    <w:pPr>
      <w:adjustRightInd w:val="0"/>
      <w:snapToGrid w:val="0"/>
      <w:spacing w:before="50" w:beforeLines="50" w:after="20" w:afterLines="20"/>
      <w:ind w:firstLine="600" w:firstLineChars="600"/>
      <w:jc w:val="left"/>
      <w:textAlignment w:val="baseline"/>
    </w:pPr>
    <w:rPr>
      <w:rFonts w:ascii="黑体" w:hAnsi="宋体" w:eastAsia="黑体"/>
      <w:bCs/>
      <w:kern w:val="0"/>
      <w:szCs w:val="20"/>
    </w:rPr>
  </w:style>
  <w:style w:type="character" w:customStyle="1" w:styleId="188">
    <w:name w:val="表标题 Char"/>
    <w:link w:val="187"/>
    <w:uiPriority w:val="0"/>
    <w:rPr>
      <w:rFonts w:ascii="黑体" w:hAnsi="宋体" w:eastAsia="黑体" w:cs="Times New Roman"/>
      <w:bCs/>
      <w:kern w:val="0"/>
      <w:sz w:val="24"/>
      <w:szCs w:val="20"/>
    </w:rPr>
  </w:style>
  <w:style w:type="character" w:customStyle="1" w:styleId="189">
    <w:name w:val="表内文字 Char Char"/>
    <w:uiPriority w:val="0"/>
    <w:rPr>
      <w:rFonts w:ascii="宋体" w:hAnsi="Courier New" w:eastAsia="宋体"/>
      <w:kern w:val="2"/>
      <w:sz w:val="28"/>
      <w:lang w:val="en-US" w:eastAsia="zh-CN" w:bidi="ar-SA"/>
    </w:rPr>
  </w:style>
  <w:style w:type="paragraph" w:customStyle="1" w:styleId="190">
    <w:name w:val="Char3"/>
    <w:basedOn w:val="1"/>
    <w:next w:val="30"/>
    <w:link w:val="200"/>
    <w:uiPriority w:val="0"/>
    <w:rPr>
      <w:rFonts w:eastAsia="仿宋_GB2312"/>
      <w:sz w:val="32"/>
      <w:szCs w:val="32"/>
    </w:rPr>
  </w:style>
  <w:style w:type="character" w:customStyle="1" w:styleId="191">
    <w:name w:val="批注主题 Char"/>
    <w:basedOn w:val="134"/>
    <w:link w:val="53"/>
    <w:uiPriority w:val="0"/>
    <w:rPr>
      <w:rFonts w:ascii="Times New Roman" w:hAnsi="Times New Roman" w:eastAsia="宋体" w:cs="Times New Roman"/>
      <w:b/>
      <w:bCs/>
      <w:sz w:val="24"/>
      <w:szCs w:val="24"/>
    </w:rPr>
  </w:style>
  <w:style w:type="paragraph" w:customStyle="1" w:styleId="192">
    <w:name w:val="Char1"/>
    <w:basedOn w:val="1"/>
    <w:uiPriority w:val="0"/>
    <w:pPr>
      <w:widowControl/>
      <w:spacing w:after="160" w:line="240" w:lineRule="exact"/>
      <w:jc w:val="left"/>
    </w:pPr>
    <w:rPr>
      <w:rFonts w:ascii="Verdana" w:hAnsi="Verdana" w:eastAsia="仿宋_GB2312"/>
      <w:color w:val="0000FF"/>
      <w:kern w:val="0"/>
      <w:szCs w:val="20"/>
      <w:lang w:eastAsia="en-US"/>
    </w:rPr>
  </w:style>
  <w:style w:type="paragraph" w:customStyle="1" w:styleId="193">
    <w:name w:val="表格式"/>
    <w:basedOn w:val="1"/>
    <w:link w:val="194"/>
    <w:uiPriority w:val="0"/>
    <w:pPr>
      <w:autoSpaceDE w:val="0"/>
      <w:autoSpaceDN w:val="0"/>
      <w:jc w:val="center"/>
      <w:textAlignment w:val="bottom"/>
    </w:pPr>
    <w:rPr>
      <w:kern w:val="0"/>
      <w:szCs w:val="21"/>
      <w:lang w:val="zh-CN" w:eastAsia="zh-CN"/>
    </w:rPr>
  </w:style>
  <w:style w:type="character" w:customStyle="1" w:styleId="194">
    <w:name w:val="表格式 Char"/>
    <w:link w:val="193"/>
    <w:uiPriority w:val="0"/>
    <w:rPr>
      <w:rFonts w:ascii="Times New Roman" w:hAnsi="Times New Roman" w:eastAsia="宋体" w:cs="Times New Roman"/>
      <w:kern w:val="0"/>
      <w:sz w:val="24"/>
      <w:szCs w:val="21"/>
      <w:lang w:val="zh-CN" w:eastAsia="zh-CN"/>
    </w:rPr>
  </w:style>
  <w:style w:type="paragraph" w:customStyle="1" w:styleId="195">
    <w:name w:val="Char Char Char Char"/>
    <w:basedOn w:val="1"/>
    <w:semiHidden/>
    <w:uiPriority w:val="0"/>
    <w:rPr>
      <w:szCs w:val="21"/>
    </w:rPr>
  </w:style>
  <w:style w:type="paragraph" w:customStyle="1" w:styleId="196">
    <w:name w:val="样2"/>
    <w:basedOn w:val="1"/>
    <w:next w:val="1"/>
    <w:uiPriority w:val="0"/>
    <w:pPr>
      <w:adjustRightInd w:val="0"/>
      <w:jc w:val="center"/>
      <w:textAlignment w:val="baseline"/>
    </w:pPr>
    <w:rPr>
      <w:kern w:val="0"/>
      <w:szCs w:val="20"/>
    </w:rPr>
  </w:style>
  <w:style w:type="paragraph" w:customStyle="1" w:styleId="197">
    <w:name w:val="样1"/>
    <w:basedOn w:val="1"/>
    <w:link w:val="198"/>
    <w:uiPriority w:val="0"/>
    <w:pPr>
      <w:autoSpaceDE w:val="0"/>
      <w:autoSpaceDN w:val="0"/>
      <w:adjustRightInd w:val="0"/>
      <w:ind w:right="232"/>
      <w:jc w:val="center"/>
      <w:textAlignment w:val="bottom"/>
    </w:pPr>
    <w:rPr>
      <w:b/>
      <w:kern w:val="0"/>
      <w:szCs w:val="24"/>
    </w:rPr>
  </w:style>
  <w:style w:type="character" w:customStyle="1" w:styleId="198">
    <w:name w:val="样1 Char"/>
    <w:link w:val="197"/>
    <w:uiPriority w:val="0"/>
    <w:rPr>
      <w:rFonts w:ascii="Times New Roman" w:hAnsi="Times New Roman" w:eastAsia="宋体" w:cs="Times New Roman"/>
      <w:b/>
      <w:kern w:val="0"/>
      <w:sz w:val="24"/>
      <w:szCs w:val="24"/>
    </w:rPr>
  </w:style>
  <w:style w:type="paragraph" w:customStyle="1" w:styleId="199">
    <w:name w:val="Char1 Char Char Char1 Char Char Char Char Char Char Char Char Char Char Char Char"/>
    <w:basedOn w:val="1"/>
    <w:next w:val="1"/>
    <w:uiPriority w:val="0"/>
    <w:rPr>
      <w:szCs w:val="24"/>
    </w:rPr>
  </w:style>
  <w:style w:type="character" w:customStyle="1" w:styleId="200">
    <w:name w:val="Char Char3"/>
    <w:link w:val="190"/>
    <w:uiPriority w:val="0"/>
    <w:rPr>
      <w:rFonts w:ascii="Times New Roman" w:hAnsi="Times New Roman" w:eastAsia="仿宋_GB2312" w:cs="Times New Roman"/>
      <w:sz w:val="32"/>
      <w:szCs w:val="32"/>
    </w:rPr>
  </w:style>
  <w:style w:type="paragraph" w:customStyle="1" w:styleId="201">
    <w:name w:val="样式25"/>
    <w:basedOn w:val="1"/>
    <w:link w:val="202"/>
    <w:uiPriority w:val="0"/>
    <w:pPr>
      <w:tabs>
        <w:tab w:val="left" w:pos="2730"/>
        <w:tab w:val="center" w:pos="4479"/>
      </w:tabs>
      <w:suppressAutoHyphens/>
      <w:adjustRightInd w:val="0"/>
      <w:snapToGrid w:val="0"/>
      <w:ind w:left="210" w:leftChars="100" w:right="210" w:rightChars="100" w:firstLine="449" w:firstLineChars="184"/>
    </w:pPr>
    <w:rPr>
      <w:rFonts w:ascii="宋体" w:hAnsi="宋体"/>
      <w:bCs/>
      <w:snapToGrid w:val="0"/>
      <w:color w:val="0000FF"/>
      <w:spacing w:val="2"/>
      <w:kern w:val="0"/>
      <w:szCs w:val="24"/>
    </w:rPr>
  </w:style>
  <w:style w:type="character" w:customStyle="1" w:styleId="202">
    <w:name w:val="样式25 Char"/>
    <w:link w:val="201"/>
    <w:uiPriority w:val="0"/>
    <w:rPr>
      <w:rFonts w:ascii="宋体" w:hAnsi="宋体" w:eastAsia="宋体" w:cs="Times New Roman"/>
      <w:bCs/>
      <w:snapToGrid w:val="0"/>
      <w:color w:val="0000FF"/>
      <w:spacing w:val="2"/>
      <w:kern w:val="0"/>
      <w:sz w:val="24"/>
      <w:szCs w:val="24"/>
    </w:rPr>
  </w:style>
  <w:style w:type="paragraph" w:customStyle="1" w:styleId="203">
    <w:name w:val="样式 样式 样式13 + 首行缩进:  2 字符 + 首行缩进:  2 字符"/>
    <w:basedOn w:val="1"/>
    <w:link w:val="204"/>
    <w:uiPriority w:val="0"/>
    <w:pPr>
      <w:tabs>
        <w:tab w:val="left" w:pos="540"/>
        <w:tab w:val="left" w:pos="1575"/>
      </w:tabs>
      <w:ind w:firstLine="464"/>
      <w:outlineLvl w:val="4"/>
    </w:pPr>
    <w:rPr>
      <w:rFonts w:ascii="宋体" w:hAnsi="宋体" w:cs="宋体"/>
      <w:color w:val="000000"/>
      <w:spacing w:val="-4"/>
      <w:kern w:val="0"/>
      <w:szCs w:val="24"/>
    </w:rPr>
  </w:style>
  <w:style w:type="character" w:customStyle="1" w:styleId="204">
    <w:name w:val="样式 样式 样式13 + 首行缩进:  2 字符 + 首行缩进:  2 字符 Char"/>
    <w:link w:val="203"/>
    <w:uiPriority w:val="0"/>
    <w:rPr>
      <w:rFonts w:ascii="宋体" w:hAnsi="宋体" w:eastAsia="宋体" w:cs="宋体"/>
      <w:color w:val="000000"/>
      <w:spacing w:val="-4"/>
      <w:kern w:val="0"/>
      <w:sz w:val="24"/>
      <w:szCs w:val="24"/>
    </w:rPr>
  </w:style>
  <w:style w:type="paragraph" w:customStyle="1" w:styleId="205">
    <w:name w:val="Char Char Char Char Char Char1"/>
    <w:basedOn w:val="1"/>
    <w:uiPriority w:val="0"/>
    <w:rPr>
      <w:szCs w:val="24"/>
    </w:rPr>
  </w:style>
  <w:style w:type="paragraph" w:customStyle="1" w:styleId="206">
    <w:name w:val="样式 报告正文 + 首行缩进:  2 字符"/>
    <w:basedOn w:val="89"/>
    <w:uiPriority w:val="0"/>
    <w:pPr>
      <w:ind w:firstLine="480"/>
      <w:jc w:val="left"/>
    </w:pPr>
    <w:rPr>
      <w:rFonts w:hAnsi="宋体"/>
      <w:spacing w:val="0"/>
      <w:kern w:val="0"/>
    </w:rPr>
  </w:style>
  <w:style w:type="character" w:customStyle="1" w:styleId="207">
    <w:name w:val="正文文字 Char"/>
    <w:uiPriority w:val="0"/>
    <w:rPr>
      <w:rFonts w:eastAsia="宋体"/>
      <w:bCs/>
      <w:color w:val="000000"/>
      <w:kern w:val="2"/>
      <w:sz w:val="24"/>
      <w:szCs w:val="24"/>
      <w:lang w:val="en-US" w:eastAsia="zh-CN" w:bidi="ar-SA"/>
    </w:rPr>
  </w:style>
  <w:style w:type="paragraph" w:customStyle="1" w:styleId="208">
    <w:name w:val="3"/>
    <w:basedOn w:val="1"/>
    <w:uiPriority w:val="0"/>
    <w:pPr>
      <w:widowControl/>
      <w:jc w:val="left"/>
    </w:pPr>
    <w:rPr>
      <w:rFonts w:ascii="宋体" w:hAnsi="宋体" w:cs="宋体"/>
      <w:kern w:val="0"/>
      <w:szCs w:val="24"/>
    </w:rPr>
  </w:style>
  <w:style w:type="character" w:customStyle="1" w:styleId="209">
    <w:name w:val="标题 4 Char1"/>
    <w:uiPriority w:val="0"/>
    <w:rPr>
      <w:rFonts w:ascii="Arial" w:hAnsi="Arial" w:eastAsia="黑体"/>
      <w:b/>
      <w:bCs/>
      <w:kern w:val="2"/>
      <w:sz w:val="28"/>
      <w:szCs w:val="28"/>
      <w:lang w:val="en-US" w:eastAsia="zh-CN" w:bidi="ar-SA"/>
    </w:rPr>
  </w:style>
  <w:style w:type="character" w:customStyle="1" w:styleId="210">
    <w:name w:val="Footer-Even Char"/>
    <w:uiPriority w:val="0"/>
    <w:rPr>
      <w:sz w:val="18"/>
      <w:szCs w:val="18"/>
    </w:rPr>
  </w:style>
  <w:style w:type="character" w:customStyle="1" w:styleId="211">
    <w:name w:val="标题 2XW Char1"/>
    <w:uiPriority w:val="0"/>
    <w:rPr>
      <w:rFonts w:ascii="宋体" w:hAnsi="宋体" w:eastAsia="宋体" w:cs="Times New Roman"/>
      <w:b/>
      <w:bCs/>
      <w:snapToGrid w:val="0"/>
      <w:kern w:val="0"/>
      <w:sz w:val="28"/>
      <w:szCs w:val="32"/>
    </w:rPr>
  </w:style>
  <w:style w:type="character" w:customStyle="1" w:styleId="212">
    <w:name w:val="款标题1.1.1.1 Char"/>
    <w:uiPriority w:val="0"/>
    <w:rPr>
      <w:rFonts w:ascii="Arial" w:hAnsi="Arial" w:eastAsia="黑体" w:cs="Times New Roman"/>
      <w:b/>
      <w:bCs/>
      <w:sz w:val="28"/>
      <w:szCs w:val="28"/>
    </w:rPr>
  </w:style>
  <w:style w:type="paragraph" w:customStyle="1" w:styleId="213">
    <w:name w:val="一级标题"/>
    <w:uiPriority w:val="0"/>
    <w:rPr>
      <w:rFonts w:ascii="Times New Roman" w:hAnsi="Times New Roman" w:eastAsia="宋体" w:cs="Times New Roman"/>
      <w:b/>
      <w:kern w:val="2"/>
      <w:sz w:val="32"/>
      <w:szCs w:val="24"/>
      <w:lang w:val="en-US" w:eastAsia="zh-CN" w:bidi="ar-SA"/>
    </w:rPr>
  </w:style>
  <w:style w:type="character" w:customStyle="1" w:styleId="214">
    <w:name w:val="Char Char14"/>
    <w:uiPriority w:val="0"/>
    <w:rPr>
      <w:rFonts w:ascii="Times New Roman" w:hAnsi="Times New Roman" w:eastAsia="宋体" w:cs="Times New Roman"/>
      <w:szCs w:val="24"/>
    </w:rPr>
  </w:style>
  <w:style w:type="character" w:customStyle="1" w:styleId="215">
    <w:name w:val="Char Char13"/>
    <w:basedOn w:val="214"/>
    <w:uiPriority w:val="0"/>
    <w:rPr>
      <w:rFonts w:ascii="Times New Roman" w:hAnsi="Times New Roman" w:eastAsia="宋体" w:cs="Times New Roman"/>
      <w:szCs w:val="24"/>
    </w:rPr>
  </w:style>
  <w:style w:type="paragraph" w:customStyle="1" w:styleId="216">
    <w:name w:val="正文1 Char"/>
    <w:basedOn w:val="1"/>
    <w:uiPriority w:val="0"/>
    <w:pPr>
      <w:adjustRightInd w:val="0"/>
      <w:spacing w:line="280" w:lineRule="exact"/>
      <w:ind w:right="-94" w:rightChars="-45" w:firstLine="420"/>
      <w:textAlignment w:val="baseline"/>
    </w:pPr>
    <w:rPr>
      <w:rFonts w:ascii="宋体" w:hAnsi="宋体"/>
      <w:bCs/>
      <w:color w:val="000000"/>
      <w:kern w:val="0"/>
      <w:szCs w:val="21"/>
    </w:rPr>
  </w:style>
  <w:style w:type="paragraph" w:customStyle="1" w:styleId="217">
    <w:name w:val="font8"/>
    <w:basedOn w:val="1"/>
    <w:uiPriority w:val="0"/>
    <w:pPr>
      <w:widowControl/>
      <w:spacing w:before="100" w:beforeAutospacing="1" w:after="100" w:afterAutospacing="1"/>
      <w:jc w:val="left"/>
    </w:pPr>
    <w:rPr>
      <w:kern w:val="0"/>
      <w:szCs w:val="21"/>
    </w:rPr>
  </w:style>
  <w:style w:type="character" w:customStyle="1" w:styleId="218">
    <w:name w:val="样式 红色"/>
    <w:uiPriority w:val="0"/>
    <w:rPr>
      <w:color w:val="FF0000"/>
      <w:spacing w:val="8"/>
      <w:w w:val="100"/>
      <w:position w:val="0"/>
    </w:rPr>
  </w:style>
  <w:style w:type="paragraph" w:customStyle="1" w:styleId="219">
    <w:name w:val="样式7"/>
    <w:basedOn w:val="1"/>
    <w:link w:val="622"/>
    <w:uiPriority w:val="0"/>
    <w:pPr>
      <w:spacing w:before="232" w:beforeLines="50" w:after="232" w:afterLines="50"/>
    </w:pPr>
    <w:rPr>
      <w:szCs w:val="24"/>
    </w:rPr>
  </w:style>
  <w:style w:type="paragraph" w:customStyle="1" w:styleId="220">
    <w:name w:val="编制正文"/>
    <w:basedOn w:val="1"/>
    <w:uiPriority w:val="0"/>
    <w:pPr>
      <w:tabs>
        <w:tab w:val="left" w:pos="0"/>
        <w:tab w:val="left" w:pos="7012"/>
      </w:tabs>
      <w:autoSpaceDE w:val="0"/>
      <w:autoSpaceDN w:val="0"/>
      <w:adjustRightInd w:val="0"/>
      <w:spacing w:before="120" w:after="120" w:line="420" w:lineRule="exact"/>
      <w:ind w:right="210" w:rightChars="100" w:firstLine="600"/>
    </w:pPr>
    <w:rPr>
      <w:rFonts w:ascii="宋体" w:hAnsi="宋体"/>
      <w:sz w:val="30"/>
      <w:szCs w:val="20"/>
    </w:rPr>
  </w:style>
  <w:style w:type="paragraph" w:customStyle="1" w:styleId="221">
    <w:name w:val="表格小五"/>
    <w:basedOn w:val="1"/>
    <w:uiPriority w:val="0"/>
    <w:pPr>
      <w:tabs>
        <w:tab w:val="left" w:pos="1440"/>
        <w:tab w:val="left" w:pos="1680"/>
      </w:tabs>
      <w:adjustRightInd w:val="0"/>
      <w:snapToGrid w:val="0"/>
      <w:spacing w:after="120" w:line="240" w:lineRule="atLeast"/>
      <w:jc w:val="left"/>
    </w:pPr>
    <w:rPr>
      <w:rFonts w:ascii="宋体"/>
      <w:w w:val="110"/>
      <w:kern w:val="0"/>
      <w:sz w:val="18"/>
      <w:szCs w:val="20"/>
    </w:rPr>
  </w:style>
  <w:style w:type="paragraph" w:customStyle="1" w:styleId="222">
    <w:name w:val="表题"/>
    <w:basedOn w:val="1"/>
    <w:link w:val="271"/>
    <w:uiPriority w:val="0"/>
    <w:pPr>
      <w:jc w:val="center"/>
    </w:pPr>
    <w:rPr>
      <w:rFonts w:ascii="Arial" w:hAnsi="Arial" w:eastAsia="黑体"/>
      <w:b/>
      <w:szCs w:val="24"/>
    </w:rPr>
  </w:style>
  <w:style w:type="paragraph" w:customStyle="1" w:styleId="223">
    <w:name w:val="我的样式一"/>
    <w:basedOn w:val="1"/>
    <w:uiPriority w:val="0"/>
    <w:pPr>
      <w:tabs>
        <w:tab w:val="left" w:pos="900"/>
      </w:tabs>
      <w:spacing w:line="500" w:lineRule="exact"/>
      <w:ind w:left="900" w:hanging="360"/>
    </w:pPr>
    <w:rPr>
      <w:sz w:val="28"/>
      <w:szCs w:val="20"/>
    </w:rPr>
  </w:style>
  <w:style w:type="paragraph" w:customStyle="1" w:styleId="224">
    <w:name w:val="文件"/>
    <w:basedOn w:val="1"/>
    <w:uiPriority w:val="0"/>
    <w:pPr>
      <w:tabs>
        <w:tab w:val="left" w:pos="1440"/>
        <w:tab w:val="left" w:pos="1680"/>
      </w:tabs>
      <w:adjustRightInd w:val="0"/>
      <w:snapToGrid w:val="0"/>
      <w:spacing w:before="120" w:after="120"/>
    </w:pPr>
    <w:rPr>
      <w:rFonts w:ascii="黑体" w:eastAsia="黑体"/>
      <w:w w:val="110"/>
      <w:kern w:val="0"/>
      <w:szCs w:val="20"/>
    </w:rPr>
  </w:style>
  <w:style w:type="paragraph" w:customStyle="1" w:styleId="225">
    <w:name w:val="标准"/>
    <w:basedOn w:val="1"/>
    <w:uiPriority w:val="0"/>
    <w:pPr>
      <w:tabs>
        <w:tab w:val="left" w:pos="720"/>
      </w:tabs>
      <w:adjustRightInd w:val="0"/>
      <w:spacing w:line="312" w:lineRule="atLeast"/>
      <w:textAlignment w:val="baseline"/>
    </w:pPr>
    <w:rPr>
      <w:kern w:val="0"/>
      <w:szCs w:val="20"/>
    </w:rPr>
  </w:style>
  <w:style w:type="paragraph" w:customStyle="1" w:styleId="226">
    <w:name w:val="xl3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kern w:val="0"/>
      <w:sz w:val="22"/>
      <w:szCs w:val="20"/>
    </w:rPr>
  </w:style>
  <w:style w:type="paragraph" w:customStyle="1" w:styleId="227">
    <w:name w:val="font0"/>
    <w:basedOn w:val="1"/>
    <w:uiPriority w:val="0"/>
    <w:pPr>
      <w:widowControl/>
      <w:spacing w:before="100" w:beforeAutospacing="1" w:after="100" w:afterAutospacing="1"/>
      <w:jc w:val="left"/>
    </w:pPr>
    <w:rPr>
      <w:rFonts w:hint="eastAsia" w:ascii="宋体" w:hAnsi="宋体"/>
      <w:kern w:val="0"/>
      <w:szCs w:val="20"/>
    </w:rPr>
  </w:style>
  <w:style w:type="paragraph" w:customStyle="1" w:styleId="228">
    <w:name w:val="xl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2"/>
      <w:szCs w:val="20"/>
    </w:rPr>
  </w:style>
  <w:style w:type="paragraph" w:customStyle="1" w:styleId="229">
    <w:name w:val="xl2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kern w:val="0"/>
      <w:szCs w:val="20"/>
    </w:rPr>
  </w:style>
  <w:style w:type="paragraph" w:customStyle="1" w:styleId="230">
    <w:name w:val="xl22"/>
    <w:basedOn w:val="1"/>
    <w:uiPriority w:val="0"/>
    <w:pPr>
      <w:widowControl/>
      <w:spacing w:before="100" w:beforeAutospacing="1" w:after="100" w:afterAutospacing="1"/>
      <w:jc w:val="center"/>
    </w:pPr>
    <w:rPr>
      <w:b/>
      <w:kern w:val="0"/>
      <w:sz w:val="28"/>
      <w:szCs w:val="20"/>
    </w:rPr>
  </w:style>
  <w:style w:type="paragraph" w:customStyle="1" w:styleId="231">
    <w:name w:val="xl2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2"/>
      <w:szCs w:val="20"/>
    </w:rPr>
  </w:style>
  <w:style w:type="paragraph" w:customStyle="1" w:styleId="232">
    <w:name w:val="font5"/>
    <w:basedOn w:val="1"/>
    <w:uiPriority w:val="0"/>
    <w:pPr>
      <w:widowControl/>
      <w:spacing w:before="100" w:beforeAutospacing="1" w:after="100" w:afterAutospacing="1"/>
      <w:jc w:val="left"/>
    </w:pPr>
    <w:rPr>
      <w:rFonts w:hint="eastAsia" w:ascii="宋体" w:hAnsi="宋体"/>
      <w:kern w:val="0"/>
      <w:sz w:val="18"/>
      <w:szCs w:val="20"/>
    </w:rPr>
  </w:style>
  <w:style w:type="paragraph" w:customStyle="1" w:styleId="233">
    <w:name w:val="xl35"/>
    <w:basedOn w:val="1"/>
    <w:uiPriority w:val="0"/>
    <w:pPr>
      <w:widowControl/>
      <w:pBdr>
        <w:top w:val="single" w:color="auto" w:sz="4" w:space="0"/>
        <w:left w:val="single" w:color="auto" w:sz="4" w:space="0"/>
        <w:right w:val="single" w:color="auto" w:sz="4" w:space="0"/>
      </w:pBdr>
      <w:spacing w:before="100" w:beforeAutospacing="1" w:after="100" w:afterAutospacing="1"/>
      <w:jc w:val="left"/>
    </w:pPr>
    <w:rPr>
      <w:rFonts w:hint="eastAsia" w:ascii="宋体" w:hAnsi="宋体"/>
      <w:kern w:val="0"/>
      <w:sz w:val="22"/>
      <w:szCs w:val="20"/>
    </w:rPr>
  </w:style>
  <w:style w:type="paragraph" w:customStyle="1" w:styleId="234">
    <w:name w:val="xl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0"/>
    </w:rPr>
  </w:style>
  <w:style w:type="paragraph" w:customStyle="1" w:styleId="235">
    <w:name w:val="xl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Cs w:val="20"/>
    </w:rPr>
  </w:style>
  <w:style w:type="paragraph" w:customStyle="1" w:styleId="236">
    <w:name w:val="font6"/>
    <w:basedOn w:val="1"/>
    <w:uiPriority w:val="0"/>
    <w:pPr>
      <w:widowControl/>
      <w:spacing w:before="100" w:beforeAutospacing="1" w:after="100" w:afterAutospacing="1"/>
      <w:jc w:val="left"/>
    </w:pPr>
    <w:rPr>
      <w:rFonts w:hint="eastAsia" w:ascii="宋体" w:hAnsi="宋体"/>
      <w:kern w:val="0"/>
      <w:sz w:val="22"/>
      <w:szCs w:val="20"/>
    </w:rPr>
  </w:style>
  <w:style w:type="paragraph" w:customStyle="1" w:styleId="237">
    <w:name w:val="xl3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kern w:val="0"/>
      <w:sz w:val="22"/>
      <w:szCs w:val="20"/>
    </w:rPr>
  </w:style>
  <w:style w:type="paragraph" w:customStyle="1" w:styleId="238">
    <w:name w:val="xl38"/>
    <w:basedOn w:val="1"/>
    <w:uiPriority w:val="0"/>
    <w:pPr>
      <w:widowControl/>
      <w:pBdr>
        <w:bottom w:val="single" w:color="auto" w:sz="4" w:space="0"/>
      </w:pBdr>
      <w:spacing w:before="100" w:beforeAutospacing="1" w:after="100" w:afterAutospacing="1"/>
      <w:jc w:val="left"/>
    </w:pPr>
    <w:rPr>
      <w:rFonts w:hint="eastAsia" w:ascii="宋体" w:hAnsi="宋体"/>
      <w:kern w:val="0"/>
      <w:szCs w:val="20"/>
    </w:rPr>
  </w:style>
  <w:style w:type="paragraph" w:customStyle="1" w:styleId="239">
    <w:name w:val="font10"/>
    <w:basedOn w:val="1"/>
    <w:uiPriority w:val="0"/>
    <w:pPr>
      <w:widowControl/>
      <w:spacing w:before="100" w:beforeAutospacing="1" w:after="100" w:afterAutospacing="1"/>
      <w:jc w:val="left"/>
    </w:pPr>
    <w:rPr>
      <w:rFonts w:hint="eastAsia" w:ascii="宋体" w:hAnsi="宋体"/>
      <w:kern w:val="0"/>
      <w:szCs w:val="20"/>
    </w:rPr>
  </w:style>
  <w:style w:type="paragraph" w:customStyle="1" w:styleId="240">
    <w:name w:val="xl3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2"/>
      <w:szCs w:val="20"/>
    </w:rPr>
  </w:style>
  <w:style w:type="paragraph" w:customStyle="1" w:styleId="241">
    <w:name w:val="xl37"/>
    <w:basedOn w:val="1"/>
    <w:uiPriority w:val="0"/>
    <w:pPr>
      <w:widowControl/>
      <w:pBdr>
        <w:bottom w:val="single" w:color="auto" w:sz="4" w:space="0"/>
      </w:pBdr>
      <w:spacing w:before="100" w:beforeAutospacing="1" w:after="100" w:afterAutospacing="1"/>
      <w:jc w:val="left"/>
    </w:pPr>
    <w:rPr>
      <w:b/>
      <w:kern w:val="0"/>
      <w:sz w:val="28"/>
      <w:szCs w:val="20"/>
    </w:rPr>
  </w:style>
  <w:style w:type="paragraph" w:customStyle="1" w:styleId="242">
    <w:name w:val="xl2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kern w:val="0"/>
      <w:szCs w:val="20"/>
    </w:rPr>
  </w:style>
  <w:style w:type="paragraph" w:customStyle="1" w:styleId="243">
    <w:name w:val="xl36"/>
    <w:basedOn w:val="1"/>
    <w:uiPriority w:val="0"/>
    <w:pPr>
      <w:widowControl/>
      <w:pBdr>
        <w:bottom w:val="single" w:color="auto" w:sz="4" w:space="0"/>
      </w:pBdr>
      <w:spacing w:before="100" w:beforeAutospacing="1" w:after="100" w:afterAutospacing="1"/>
      <w:jc w:val="left"/>
    </w:pPr>
    <w:rPr>
      <w:rFonts w:hint="eastAsia" w:ascii="宋体" w:hAnsi="宋体"/>
      <w:kern w:val="0"/>
      <w:szCs w:val="20"/>
    </w:rPr>
  </w:style>
  <w:style w:type="paragraph" w:customStyle="1" w:styleId="244">
    <w:name w:val="xl2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kern w:val="0"/>
      <w:sz w:val="22"/>
      <w:szCs w:val="20"/>
    </w:rPr>
  </w:style>
  <w:style w:type="paragraph" w:customStyle="1" w:styleId="245">
    <w:name w:val="font9"/>
    <w:basedOn w:val="1"/>
    <w:uiPriority w:val="0"/>
    <w:pPr>
      <w:widowControl/>
      <w:spacing w:before="100" w:beforeAutospacing="1" w:after="100" w:afterAutospacing="1"/>
      <w:jc w:val="left"/>
    </w:pPr>
    <w:rPr>
      <w:kern w:val="0"/>
      <w:szCs w:val="20"/>
    </w:rPr>
  </w:style>
  <w:style w:type="paragraph" w:customStyle="1" w:styleId="246">
    <w:name w:val="font7"/>
    <w:basedOn w:val="1"/>
    <w:uiPriority w:val="0"/>
    <w:pPr>
      <w:widowControl/>
      <w:spacing w:before="100" w:beforeAutospacing="1" w:after="100" w:afterAutospacing="1"/>
      <w:jc w:val="left"/>
    </w:pPr>
    <w:rPr>
      <w:kern w:val="0"/>
      <w:sz w:val="22"/>
      <w:szCs w:val="20"/>
    </w:rPr>
  </w:style>
  <w:style w:type="paragraph" w:customStyle="1" w:styleId="247">
    <w:name w:val="xl3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hint="eastAsia" w:ascii="宋体" w:hAnsi="宋体"/>
      <w:kern w:val="0"/>
      <w:sz w:val="22"/>
      <w:szCs w:val="20"/>
    </w:rPr>
  </w:style>
  <w:style w:type="paragraph" w:customStyle="1" w:styleId="248">
    <w:name w:val="批注框文本 Char Char"/>
    <w:basedOn w:val="1"/>
    <w:uiPriority w:val="0"/>
    <w:rPr>
      <w:sz w:val="18"/>
      <w:szCs w:val="20"/>
    </w:rPr>
  </w:style>
  <w:style w:type="paragraph" w:customStyle="1" w:styleId="249">
    <w:name w:val="xl39"/>
    <w:basedOn w:val="1"/>
    <w:uiPriority w:val="0"/>
    <w:pPr>
      <w:widowControl/>
      <w:pBdr>
        <w:bottom w:val="single" w:color="auto" w:sz="4" w:space="0"/>
      </w:pBdr>
      <w:spacing w:before="100" w:beforeAutospacing="1" w:after="100" w:afterAutospacing="1"/>
      <w:jc w:val="left"/>
    </w:pPr>
    <w:rPr>
      <w:b/>
      <w:kern w:val="0"/>
      <w:sz w:val="28"/>
      <w:szCs w:val="20"/>
    </w:rPr>
  </w:style>
  <w:style w:type="paragraph" w:customStyle="1" w:styleId="250">
    <w:name w:val="xl2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0"/>
    </w:rPr>
  </w:style>
  <w:style w:type="paragraph" w:customStyle="1" w:styleId="251">
    <w:name w:val="样式3"/>
    <w:basedOn w:val="5"/>
    <w:link w:val="559"/>
    <w:uiPriority w:val="0"/>
    <w:pPr>
      <w:spacing w:before="260" w:beforeLines="50" w:after="260" w:afterLines="50" w:line="415" w:lineRule="auto"/>
      <w:ind w:firstLine="200" w:firstLineChars="200"/>
    </w:pPr>
    <w:rPr>
      <w:rFonts w:eastAsia="宋体"/>
      <w:bCs w:val="0"/>
      <w:sz w:val="21"/>
      <w:szCs w:val="20"/>
    </w:rPr>
  </w:style>
  <w:style w:type="paragraph" w:customStyle="1" w:styleId="252">
    <w:name w:val="正缩1"/>
    <w:basedOn w:val="1"/>
    <w:uiPriority w:val="0"/>
    <w:pPr>
      <w:adjustRightInd w:val="0"/>
      <w:snapToGrid w:val="0"/>
      <w:spacing w:line="500" w:lineRule="exact"/>
      <w:ind w:firstLine="567"/>
    </w:pPr>
    <w:rPr>
      <w:rFonts w:eastAsia="仿宋_GB2312"/>
      <w:color w:val="000000"/>
      <w:sz w:val="28"/>
      <w:szCs w:val="20"/>
    </w:rPr>
  </w:style>
  <w:style w:type="paragraph" w:customStyle="1" w:styleId="253">
    <w:name w:val="标题5"/>
    <w:basedOn w:val="1"/>
    <w:uiPriority w:val="0"/>
    <w:pPr>
      <w:ind w:firstLine="420"/>
    </w:pPr>
    <w:rPr>
      <w:sz w:val="28"/>
      <w:szCs w:val="24"/>
    </w:rPr>
  </w:style>
  <w:style w:type="paragraph" w:customStyle="1" w:styleId="254">
    <w:name w:val="正文+四号+首行缩进"/>
    <w:basedOn w:val="50"/>
    <w:uiPriority w:val="0"/>
    <w:pPr>
      <w:ind w:firstLine="420"/>
    </w:pPr>
    <w:rPr>
      <w:rFonts w:cs="Times New Roman"/>
      <w:sz w:val="28"/>
      <w:szCs w:val="21"/>
    </w:rPr>
  </w:style>
  <w:style w:type="paragraph" w:customStyle="1" w:styleId="255">
    <w:name w:val="正文 + 宋体"/>
    <w:basedOn w:val="1"/>
    <w:uiPriority w:val="0"/>
    <w:pPr>
      <w:tabs>
        <w:tab w:val="left" w:pos="-360"/>
      </w:tabs>
      <w:spacing w:line="600" w:lineRule="exact"/>
      <w:ind w:firstLine="560"/>
    </w:pPr>
    <w:rPr>
      <w:rFonts w:ascii="宋体" w:hAnsi="宋体"/>
      <w:sz w:val="28"/>
      <w:szCs w:val="28"/>
    </w:rPr>
  </w:style>
  <w:style w:type="paragraph" w:customStyle="1" w:styleId="256">
    <w:name w:val="正文文本 31"/>
    <w:basedOn w:val="1"/>
    <w:uiPriority w:val="0"/>
    <w:pPr>
      <w:adjustRightInd w:val="0"/>
      <w:jc w:val="center"/>
    </w:pPr>
    <w:rPr>
      <w:szCs w:val="20"/>
    </w:rPr>
  </w:style>
  <w:style w:type="paragraph" w:customStyle="1" w:styleId="257">
    <w:name w:val="正文标准样式"/>
    <w:basedOn w:val="1"/>
    <w:uiPriority w:val="0"/>
    <w:pPr>
      <w:adjustRightInd w:val="0"/>
      <w:ind w:firstLine="360" w:firstLineChars="150"/>
      <w:textAlignment w:val="baseline"/>
    </w:pPr>
    <w:rPr>
      <w:color w:val="0000FF"/>
      <w:kern w:val="0"/>
      <w:szCs w:val="20"/>
    </w:rPr>
  </w:style>
  <w:style w:type="paragraph" w:customStyle="1" w:styleId="258">
    <w:name w:val="Char Char Char Char Char Char Char1"/>
    <w:basedOn w:val="1"/>
    <w:semiHidden/>
    <w:uiPriority w:val="0"/>
    <w:pPr>
      <w:adjustRightInd w:val="0"/>
      <w:snapToGrid w:val="0"/>
      <w:jc w:val="left"/>
    </w:pPr>
    <w:rPr>
      <w:szCs w:val="24"/>
    </w:rPr>
  </w:style>
  <w:style w:type="paragraph" w:customStyle="1" w:styleId="259">
    <w:name w:val="表图"/>
    <w:basedOn w:val="1"/>
    <w:link w:val="260"/>
    <w:uiPriority w:val="0"/>
    <w:pPr>
      <w:widowControl/>
      <w:adjustRightInd w:val="0"/>
      <w:snapToGrid w:val="0"/>
      <w:spacing w:line="320" w:lineRule="atLeast"/>
      <w:jc w:val="center"/>
    </w:pPr>
    <w:rPr>
      <w:szCs w:val="24"/>
    </w:rPr>
  </w:style>
  <w:style w:type="character" w:customStyle="1" w:styleId="260">
    <w:name w:val="表图 Char"/>
    <w:link w:val="259"/>
    <w:qFormat/>
    <w:uiPriority w:val="0"/>
    <w:rPr>
      <w:rFonts w:ascii="Times New Roman" w:hAnsi="Times New Roman" w:eastAsia="宋体" w:cs="Times New Roman"/>
      <w:sz w:val="24"/>
      <w:szCs w:val="24"/>
    </w:rPr>
  </w:style>
  <w:style w:type="paragraph" w:customStyle="1" w:styleId="261">
    <w:name w:val="间距"/>
    <w:basedOn w:val="1"/>
    <w:link w:val="262"/>
    <w:uiPriority w:val="0"/>
    <w:pPr>
      <w:adjustRightInd w:val="0"/>
      <w:snapToGrid w:val="0"/>
      <w:spacing w:line="160" w:lineRule="exact"/>
      <w:jc w:val="left"/>
    </w:pPr>
    <w:rPr>
      <w:szCs w:val="24"/>
    </w:rPr>
  </w:style>
  <w:style w:type="character" w:customStyle="1" w:styleId="262">
    <w:name w:val="间距 Char"/>
    <w:link w:val="261"/>
    <w:uiPriority w:val="0"/>
    <w:rPr>
      <w:rFonts w:ascii="Times New Roman" w:hAnsi="Times New Roman" w:eastAsia="宋体" w:cs="Times New Roman"/>
      <w:sz w:val="24"/>
      <w:szCs w:val="24"/>
    </w:rPr>
  </w:style>
  <w:style w:type="paragraph" w:customStyle="1" w:styleId="263">
    <w:name w:val="注释"/>
    <w:basedOn w:val="15"/>
    <w:uiPriority w:val="0"/>
    <w:pPr>
      <w:jc w:val="left"/>
    </w:pPr>
    <w:rPr>
      <w:sz w:val="18"/>
    </w:rPr>
  </w:style>
  <w:style w:type="character" w:customStyle="1" w:styleId="264">
    <w:name w:val="注释标题 Char"/>
    <w:basedOn w:val="59"/>
    <w:link w:val="15"/>
    <w:uiPriority w:val="0"/>
    <w:rPr>
      <w:rFonts w:ascii="Times New Roman" w:hAnsi="Times New Roman" w:eastAsia="宋体" w:cs="Times New Roman"/>
      <w:sz w:val="24"/>
      <w:szCs w:val="24"/>
      <w:lang w:val="zh-CN" w:eastAsia="zh-CN"/>
    </w:rPr>
  </w:style>
  <w:style w:type="paragraph" w:customStyle="1" w:styleId="265">
    <w:name w:val="表头/图底"/>
    <w:basedOn w:val="1"/>
    <w:uiPriority w:val="0"/>
    <w:pPr>
      <w:jc w:val="center"/>
    </w:pPr>
    <w:rPr>
      <w:rFonts w:eastAsia="黑体"/>
      <w:szCs w:val="24"/>
    </w:rPr>
  </w:style>
  <w:style w:type="paragraph" w:customStyle="1" w:styleId="266">
    <w:name w:val="3级标题"/>
    <w:uiPriority w:val="0"/>
    <w:pPr>
      <w:spacing w:before="50" w:beforeLines="50" w:after="50" w:afterLines="50"/>
    </w:pPr>
    <w:rPr>
      <w:rFonts w:ascii="Times New Roman" w:hAnsi="Times New Roman" w:eastAsia="宋体" w:cs="Times New Roman"/>
      <w:b/>
      <w:kern w:val="2"/>
      <w:sz w:val="28"/>
      <w:szCs w:val="24"/>
      <w:lang w:val="en-US" w:eastAsia="zh-CN" w:bidi="ar-SA"/>
    </w:rPr>
  </w:style>
  <w:style w:type="paragraph" w:customStyle="1" w:styleId="267">
    <w:name w:val="2级标题"/>
    <w:uiPriority w:val="0"/>
    <w:pPr>
      <w:spacing w:before="50" w:beforeLines="50" w:after="50" w:afterLines="50"/>
    </w:pPr>
    <w:rPr>
      <w:rFonts w:ascii="Times New Roman" w:hAnsi="Times New Roman" w:eastAsia="宋体" w:cs="Times New Roman"/>
      <w:b/>
      <w:kern w:val="2"/>
      <w:sz w:val="32"/>
      <w:szCs w:val="24"/>
      <w:lang w:val="en-US" w:eastAsia="zh-CN" w:bidi="ar-SA"/>
    </w:rPr>
  </w:style>
  <w:style w:type="character" w:customStyle="1" w:styleId="268">
    <w:name w:val="标题 1 Char5"/>
    <w:uiPriority w:val="0"/>
    <w:rPr>
      <w:b/>
      <w:bCs/>
      <w:kern w:val="44"/>
      <w:sz w:val="36"/>
      <w:szCs w:val="44"/>
      <w:lang w:val="zh-CN" w:eastAsia="zh-CN"/>
    </w:rPr>
  </w:style>
  <w:style w:type="table" w:customStyle="1" w:styleId="269">
    <w:name w:val="网格型1"/>
    <w:basedOn w:val="56"/>
    <w:uiPriority w:val="0"/>
    <w:pPr>
      <w:widowControl w:val="0"/>
      <w:adjustRightInd w:val="0"/>
      <w:snapToGrid w:val="0"/>
      <w:spacing w:line="360" w:lineRule="auto"/>
      <w:ind w:firstLine="200" w:firstLineChars="20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0">
    <w:name w:val="说明书宋体正文"/>
    <w:basedOn w:val="1"/>
    <w:uiPriority w:val="0"/>
    <w:pPr>
      <w:topLinePunct/>
      <w:spacing w:line="560" w:lineRule="exact"/>
      <w:jc w:val="left"/>
    </w:pPr>
    <w:rPr>
      <w:sz w:val="28"/>
      <w:szCs w:val="28"/>
    </w:rPr>
  </w:style>
  <w:style w:type="character" w:customStyle="1" w:styleId="271">
    <w:name w:val="表题 Char"/>
    <w:link w:val="222"/>
    <w:uiPriority w:val="0"/>
    <w:rPr>
      <w:rFonts w:ascii="Arial" w:hAnsi="Arial" w:eastAsia="黑体" w:cs="Times New Roman"/>
      <w:b/>
      <w:sz w:val="24"/>
      <w:szCs w:val="24"/>
    </w:rPr>
  </w:style>
  <w:style w:type="paragraph" w:customStyle="1" w:styleId="272">
    <w:name w:val="图表题"/>
    <w:basedOn w:val="1"/>
    <w:next w:val="273"/>
    <w:link w:val="275"/>
    <w:uiPriority w:val="0"/>
    <w:pPr>
      <w:adjustRightInd w:val="0"/>
      <w:snapToGrid w:val="0"/>
      <w:jc w:val="center"/>
    </w:pPr>
    <w:rPr>
      <w:rFonts w:eastAsia="黑体"/>
      <w:szCs w:val="24"/>
      <w:lang w:val="zh-CN" w:eastAsia="zh-CN"/>
    </w:rPr>
  </w:style>
  <w:style w:type="paragraph" w:customStyle="1" w:styleId="273">
    <w:name w:val="图表"/>
    <w:basedOn w:val="272"/>
    <w:next w:val="1"/>
    <w:link w:val="274"/>
    <w:uiPriority w:val="0"/>
    <w:pPr>
      <w:spacing w:line="320" w:lineRule="exact"/>
    </w:pPr>
    <w:rPr>
      <w:rFonts w:eastAsia="宋体"/>
      <w:sz w:val="21"/>
    </w:rPr>
  </w:style>
  <w:style w:type="character" w:customStyle="1" w:styleId="274">
    <w:name w:val="图表 Char"/>
    <w:link w:val="273"/>
    <w:uiPriority w:val="0"/>
    <w:rPr>
      <w:rFonts w:ascii="Times New Roman" w:hAnsi="Times New Roman" w:eastAsia="宋体" w:cs="Times New Roman"/>
      <w:szCs w:val="24"/>
      <w:lang w:val="zh-CN" w:eastAsia="zh-CN"/>
    </w:rPr>
  </w:style>
  <w:style w:type="character" w:customStyle="1" w:styleId="275">
    <w:name w:val="图表题 Char"/>
    <w:link w:val="272"/>
    <w:uiPriority w:val="0"/>
    <w:rPr>
      <w:rFonts w:ascii="Times New Roman" w:hAnsi="Times New Roman" w:eastAsia="黑体" w:cs="Times New Roman"/>
      <w:sz w:val="24"/>
      <w:szCs w:val="24"/>
      <w:lang w:val="zh-CN" w:eastAsia="zh-CN"/>
    </w:rPr>
  </w:style>
  <w:style w:type="paragraph" w:customStyle="1" w:styleId="276">
    <w:name w:val="Char4"/>
    <w:basedOn w:val="1"/>
    <w:next w:val="2"/>
    <w:uiPriority w:val="0"/>
    <w:pPr>
      <w:jc w:val="left"/>
    </w:pPr>
    <w:rPr>
      <w:sz w:val="28"/>
      <w:szCs w:val="28"/>
    </w:rPr>
  </w:style>
  <w:style w:type="character" w:customStyle="1" w:styleId="277">
    <w:name w:val="title1"/>
    <w:uiPriority w:val="0"/>
    <w:rPr>
      <w:b/>
      <w:bCs/>
      <w:sz w:val="30"/>
      <w:szCs w:val="30"/>
    </w:rPr>
  </w:style>
  <w:style w:type="paragraph" w:customStyle="1" w:styleId="278">
    <w:name w:val="Char Char Char Char1"/>
    <w:basedOn w:val="1"/>
    <w:link w:val="279"/>
    <w:uiPriority w:val="0"/>
    <w:pPr>
      <w:jc w:val="left"/>
    </w:pPr>
    <w:rPr>
      <w:szCs w:val="24"/>
      <w:lang w:val="zh-CN" w:eastAsia="zh-CN"/>
    </w:rPr>
  </w:style>
  <w:style w:type="character" w:customStyle="1" w:styleId="279">
    <w:name w:val="Char Char Char Char Char"/>
    <w:link w:val="278"/>
    <w:uiPriority w:val="0"/>
    <w:rPr>
      <w:rFonts w:ascii="Times New Roman" w:hAnsi="Times New Roman" w:eastAsia="宋体" w:cs="Times New Roman"/>
      <w:sz w:val="24"/>
      <w:szCs w:val="24"/>
      <w:lang w:val="zh-CN" w:eastAsia="zh-CN"/>
    </w:rPr>
  </w:style>
  <w:style w:type="paragraph" w:customStyle="1" w:styleId="280">
    <w:name w:val="说明书正文"/>
    <w:basedOn w:val="1"/>
    <w:uiPriority w:val="0"/>
    <w:pPr>
      <w:spacing w:line="560" w:lineRule="exact"/>
      <w:jc w:val="left"/>
    </w:pPr>
    <w:rPr>
      <w:rFonts w:ascii="Arial Unicode MS" w:hAnsi="Arial Unicode MS" w:eastAsia="幼圆" w:cs="宋体"/>
      <w:szCs w:val="28"/>
    </w:rPr>
  </w:style>
  <w:style w:type="paragraph" w:customStyle="1" w:styleId="281">
    <w:name w:val="设计院说明书正文"/>
    <w:basedOn w:val="1"/>
    <w:uiPriority w:val="0"/>
    <w:pPr>
      <w:spacing w:line="560" w:lineRule="exact"/>
      <w:jc w:val="left"/>
    </w:pPr>
    <w:rPr>
      <w:rFonts w:ascii="Arial Unicode MS" w:hAnsi="Arial Unicode MS" w:eastAsia="幼圆" w:cs="宋体"/>
      <w:szCs w:val="28"/>
    </w:rPr>
  </w:style>
  <w:style w:type="character" w:customStyle="1" w:styleId="282">
    <w:name w:val="search_content1"/>
    <w:uiPriority w:val="0"/>
    <w:rPr>
      <w:sz w:val="18"/>
      <w:szCs w:val="18"/>
    </w:rPr>
  </w:style>
  <w:style w:type="paragraph" w:customStyle="1" w:styleId="283">
    <w:name w:val="样式 标题 1 + 小二"/>
    <w:basedOn w:val="3"/>
    <w:uiPriority w:val="0"/>
    <w:pPr>
      <w:spacing w:before="240" w:after="120"/>
      <w:ind w:firstLine="200" w:firstLineChars="200"/>
    </w:pPr>
    <w:rPr>
      <w:rFonts w:ascii="宋体" w:hAnsi="宋体" w:eastAsia="宋体" w:cs="宋体"/>
      <w:b/>
      <w:sz w:val="36"/>
      <w:lang w:val="zh-CN" w:eastAsia="zh-CN"/>
    </w:rPr>
  </w:style>
  <w:style w:type="paragraph" w:customStyle="1" w:styleId="284">
    <w:name w:val="样式 标题 2 + 段前: 1 行 段后: 1 行"/>
    <w:basedOn w:val="4"/>
    <w:uiPriority w:val="0"/>
    <w:pPr>
      <w:adjustRightInd w:val="0"/>
      <w:snapToGrid w:val="0"/>
      <w:spacing w:before="312" w:beforeLines="100" w:after="312" w:afterLines="50"/>
      <w:jc w:val="left"/>
    </w:pPr>
    <w:rPr>
      <w:rFonts w:eastAsia="宋体" w:cs="宋体"/>
      <w:b/>
      <w:kern w:val="44"/>
      <w:sz w:val="32"/>
      <w:szCs w:val="20"/>
      <w:lang w:val="zh-CN" w:eastAsia="zh-CN"/>
    </w:rPr>
  </w:style>
  <w:style w:type="paragraph" w:customStyle="1" w:styleId="285">
    <w:name w:val="样式 标题 2 + 四号 段前: 1 行 段后: 1 行"/>
    <w:basedOn w:val="4"/>
    <w:uiPriority w:val="0"/>
    <w:pPr>
      <w:adjustRightInd w:val="0"/>
      <w:snapToGrid w:val="0"/>
      <w:spacing w:before="312" w:beforeLines="100" w:after="312" w:afterLines="50"/>
      <w:jc w:val="left"/>
    </w:pPr>
    <w:rPr>
      <w:rFonts w:eastAsia="宋体" w:cs="宋体"/>
      <w:b/>
      <w:kern w:val="44"/>
      <w:sz w:val="24"/>
      <w:szCs w:val="20"/>
      <w:lang w:val="zh-CN" w:eastAsia="zh-CN"/>
    </w:rPr>
  </w:style>
  <w:style w:type="paragraph" w:customStyle="1" w:styleId="286">
    <w:name w:val="Char1 Char Char Char Char Char Char"/>
    <w:basedOn w:val="1"/>
    <w:semiHidden/>
    <w:uiPriority w:val="0"/>
    <w:pPr>
      <w:jc w:val="left"/>
    </w:pPr>
    <w:rPr>
      <w:szCs w:val="24"/>
    </w:rPr>
  </w:style>
  <w:style w:type="paragraph" w:customStyle="1" w:styleId="287">
    <w:name w:val="Char Char Char Char Char Char Char Char Char Char"/>
    <w:basedOn w:val="1"/>
    <w:uiPriority w:val="0"/>
    <w:pPr>
      <w:spacing w:line="240" w:lineRule="exact"/>
      <w:jc w:val="left"/>
    </w:pPr>
    <w:rPr>
      <w:rFonts w:ascii="宋体" w:hAnsi="宋体" w:cs="宋体"/>
      <w:szCs w:val="24"/>
    </w:rPr>
  </w:style>
  <w:style w:type="character" w:customStyle="1" w:styleId="288">
    <w:name w:val="正文文本 Char2"/>
    <w:uiPriority w:val="0"/>
    <w:rPr>
      <w:kern w:val="2"/>
      <w:sz w:val="21"/>
      <w:szCs w:val="24"/>
      <w:lang w:val="zh-CN" w:eastAsia="zh-CN"/>
    </w:rPr>
  </w:style>
  <w:style w:type="table" w:customStyle="1" w:styleId="289">
    <w:name w:val="专业网格1"/>
    <w:basedOn w:val="56"/>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0">
    <w:name w:val="正文文本缩进 Char1"/>
    <w:uiPriority w:val="0"/>
    <w:rPr>
      <w:rFonts w:eastAsia="宋体"/>
      <w:kern w:val="2"/>
      <w:sz w:val="24"/>
      <w:szCs w:val="24"/>
      <w:lang w:val="en-US" w:eastAsia="zh-CN" w:bidi="ar-SA"/>
    </w:rPr>
  </w:style>
  <w:style w:type="paragraph" w:customStyle="1" w:styleId="291">
    <w:name w:val="Char11"/>
    <w:basedOn w:val="1"/>
    <w:uiPriority w:val="0"/>
    <w:pPr>
      <w:jc w:val="left"/>
    </w:pPr>
    <w:rPr>
      <w:szCs w:val="20"/>
    </w:rPr>
  </w:style>
  <w:style w:type="paragraph" w:customStyle="1" w:styleId="292">
    <w:name w:val="紧缩表格文字"/>
    <w:basedOn w:val="1"/>
    <w:link w:val="293"/>
    <w:uiPriority w:val="0"/>
    <w:pPr>
      <w:adjustRightInd w:val="0"/>
      <w:snapToGrid w:val="0"/>
      <w:jc w:val="center"/>
    </w:pPr>
    <w:rPr>
      <w:spacing w:val="-20"/>
      <w:kern w:val="0"/>
      <w:szCs w:val="21"/>
      <w:lang w:val="zh-CN" w:eastAsia="zh-CN"/>
    </w:rPr>
  </w:style>
  <w:style w:type="character" w:customStyle="1" w:styleId="293">
    <w:name w:val="紧缩表格文字 Char"/>
    <w:link w:val="292"/>
    <w:uiPriority w:val="0"/>
    <w:rPr>
      <w:rFonts w:ascii="Times New Roman" w:hAnsi="Times New Roman" w:eastAsia="宋体" w:cs="Times New Roman"/>
      <w:spacing w:val="-20"/>
      <w:kern w:val="0"/>
      <w:sz w:val="24"/>
      <w:szCs w:val="21"/>
      <w:lang w:val="zh-CN" w:eastAsia="zh-CN"/>
    </w:rPr>
  </w:style>
  <w:style w:type="paragraph" w:customStyle="1" w:styleId="294">
    <w:name w:val="样式 特别紧缩表格文字2 +"/>
    <w:basedOn w:val="1"/>
    <w:uiPriority w:val="0"/>
    <w:pPr>
      <w:adjustRightInd w:val="0"/>
      <w:jc w:val="center"/>
    </w:pPr>
    <w:rPr>
      <w:rFonts w:ascii="宋体" w:hAnsi="宋体"/>
      <w:sz w:val="18"/>
      <w:szCs w:val="18"/>
    </w:rPr>
  </w:style>
  <w:style w:type="paragraph" w:customStyle="1" w:styleId="295">
    <w:name w:val="特别紧缩表格文字2"/>
    <w:basedOn w:val="292"/>
    <w:uiPriority w:val="0"/>
    <w:pPr>
      <w:snapToGrid/>
    </w:pPr>
    <w:rPr>
      <w:spacing w:val="-28"/>
      <w:sz w:val="18"/>
    </w:rPr>
  </w:style>
  <w:style w:type="paragraph" w:customStyle="1" w:styleId="296">
    <w:name w:val="xl40"/>
    <w:basedOn w:val="1"/>
    <w:uiPriority w:val="0"/>
    <w:pPr>
      <w:widowControl/>
      <w:pBdr>
        <w:bottom w:val="single" w:color="auto" w:sz="8" w:space="0"/>
      </w:pBdr>
      <w:spacing w:before="100" w:beforeAutospacing="1" w:after="100" w:afterAutospacing="1"/>
      <w:jc w:val="center"/>
      <w:textAlignment w:val="center"/>
    </w:pPr>
    <w:rPr>
      <w:rFonts w:hint="eastAsia" w:ascii="楷体_GB2312" w:hAnsi="宋体" w:eastAsia="楷体_GB2312"/>
      <w:kern w:val="0"/>
      <w:szCs w:val="24"/>
    </w:rPr>
  </w:style>
  <w:style w:type="character" w:customStyle="1" w:styleId="297">
    <w:name w:val="f241"/>
    <w:uiPriority w:val="0"/>
    <w:rPr>
      <w:sz w:val="36"/>
      <w:szCs w:val="36"/>
    </w:rPr>
  </w:style>
  <w:style w:type="character" w:customStyle="1" w:styleId="298">
    <w:name w:val="表头 Char"/>
    <w:uiPriority w:val="0"/>
    <w:rPr>
      <w:rFonts w:ascii="黑体" w:hAnsi="宋体" w:eastAsia="黑体"/>
      <w:kern w:val="2"/>
      <w:sz w:val="21"/>
      <w:lang w:val="en-US" w:eastAsia="zh-CN" w:bidi="ar-SA"/>
    </w:rPr>
  </w:style>
  <w:style w:type="paragraph" w:customStyle="1" w:styleId="299">
    <w:name w:val="Plain Text1"/>
    <w:basedOn w:val="1"/>
    <w:uiPriority w:val="0"/>
    <w:pPr>
      <w:adjustRightInd w:val="0"/>
      <w:jc w:val="left"/>
      <w:textAlignment w:val="baseline"/>
    </w:pPr>
    <w:rPr>
      <w:rFonts w:ascii="宋体" w:hAnsi="Courier New"/>
      <w:szCs w:val="20"/>
    </w:rPr>
  </w:style>
  <w:style w:type="paragraph" w:customStyle="1" w:styleId="300">
    <w:name w:val="表题1"/>
    <w:basedOn w:val="1"/>
    <w:uiPriority w:val="0"/>
    <w:pPr>
      <w:spacing w:before="50" w:beforeLines="50"/>
      <w:jc w:val="center"/>
    </w:pPr>
    <w:rPr>
      <w:b/>
      <w:szCs w:val="24"/>
    </w:rPr>
  </w:style>
  <w:style w:type="paragraph" w:customStyle="1" w:styleId="301">
    <w:name w:val="正文（首行缩进两字）m"/>
    <w:basedOn w:val="9"/>
    <w:link w:val="302"/>
    <w:uiPriority w:val="0"/>
    <w:pPr>
      <w:tabs>
        <w:tab w:val="left" w:pos="1848"/>
        <w:tab w:val="left" w:pos="6061"/>
        <w:tab w:val="left" w:pos="8665"/>
      </w:tabs>
      <w:adjustRightInd w:val="0"/>
      <w:snapToGrid w:val="0"/>
      <w:spacing w:beforeLines="50" w:line="460" w:lineRule="exact"/>
      <w:ind w:firstLine="480"/>
      <w:jc w:val="left"/>
    </w:pPr>
    <w:rPr>
      <w:color w:val="339966"/>
      <w:lang w:val="zh-CN" w:eastAsia="zh-CN"/>
    </w:rPr>
  </w:style>
  <w:style w:type="character" w:customStyle="1" w:styleId="302">
    <w:name w:val="正文（首行缩进两字）m Char"/>
    <w:link w:val="301"/>
    <w:uiPriority w:val="0"/>
    <w:rPr>
      <w:rFonts w:ascii="Times New Roman" w:hAnsi="Times New Roman" w:eastAsia="宋体" w:cs="Times New Roman"/>
      <w:color w:val="339966"/>
      <w:sz w:val="24"/>
      <w:szCs w:val="20"/>
      <w:lang w:val="zh-CN" w:eastAsia="zh-CN"/>
    </w:rPr>
  </w:style>
  <w:style w:type="paragraph" w:customStyle="1" w:styleId="303">
    <w:name w:val="样式 表格 + 首行缩进:  0.74 厘米"/>
    <w:basedOn w:val="1"/>
    <w:uiPriority w:val="0"/>
    <w:pPr>
      <w:jc w:val="center"/>
    </w:pPr>
    <w:rPr>
      <w:szCs w:val="20"/>
    </w:rPr>
  </w:style>
  <w:style w:type="paragraph" w:customStyle="1" w:styleId="304">
    <w:name w:val="Char Char Char Char Char Char2 Char"/>
    <w:basedOn w:val="1"/>
    <w:uiPriority w:val="0"/>
    <w:pPr>
      <w:widowControl/>
      <w:spacing w:after="160" w:line="240" w:lineRule="exact"/>
      <w:jc w:val="left"/>
    </w:pPr>
    <w:rPr>
      <w:szCs w:val="20"/>
    </w:rPr>
  </w:style>
  <w:style w:type="paragraph" w:customStyle="1" w:styleId="305">
    <w:name w:val="项目号1)"/>
    <w:basedOn w:val="1"/>
    <w:uiPriority w:val="0"/>
    <w:pPr>
      <w:tabs>
        <w:tab w:val="left" w:pos="360"/>
        <w:tab w:val="left" w:pos="1050"/>
      </w:tabs>
      <w:spacing w:line="288" w:lineRule="auto"/>
      <w:ind w:left="1050" w:hanging="450"/>
      <w:jc w:val="left"/>
    </w:pPr>
    <w:rPr>
      <w:kern w:val="0"/>
      <w:sz w:val="28"/>
      <w:szCs w:val="20"/>
    </w:rPr>
  </w:style>
  <w:style w:type="paragraph" w:customStyle="1" w:styleId="306">
    <w:name w:val="项目号a)"/>
    <w:basedOn w:val="1"/>
    <w:uiPriority w:val="0"/>
    <w:pPr>
      <w:tabs>
        <w:tab w:val="left" w:pos="360"/>
      </w:tabs>
      <w:spacing w:line="288" w:lineRule="auto"/>
      <w:ind w:left="340" w:hanging="340"/>
      <w:jc w:val="left"/>
    </w:pPr>
    <w:rPr>
      <w:kern w:val="0"/>
      <w:sz w:val="28"/>
      <w:szCs w:val="20"/>
    </w:rPr>
  </w:style>
  <w:style w:type="paragraph" w:customStyle="1" w:styleId="307">
    <w:name w:val="文本块1"/>
    <w:basedOn w:val="1"/>
    <w:uiPriority w:val="0"/>
    <w:pPr>
      <w:tabs>
        <w:tab w:val="left" w:pos="2160"/>
      </w:tabs>
      <w:adjustRightInd w:val="0"/>
      <w:spacing w:line="27" w:lineRule="atLeast"/>
      <w:ind w:left="2160" w:right="119" w:hanging="2160"/>
      <w:jc w:val="left"/>
      <w:textAlignment w:val="baseline"/>
    </w:pPr>
    <w:rPr>
      <w:rFonts w:ascii="宋体"/>
      <w:spacing w:val="25"/>
      <w:kern w:val="0"/>
      <w:szCs w:val="20"/>
    </w:rPr>
  </w:style>
  <w:style w:type="paragraph" w:customStyle="1" w:styleId="308">
    <w:name w:val="正文文本 21"/>
    <w:basedOn w:val="1"/>
    <w:uiPriority w:val="0"/>
    <w:pPr>
      <w:adjustRightInd w:val="0"/>
      <w:spacing w:line="480" w:lineRule="exact"/>
      <w:ind w:firstLine="570"/>
      <w:jc w:val="left"/>
      <w:textAlignment w:val="baseline"/>
    </w:pPr>
    <w:rPr>
      <w:sz w:val="28"/>
      <w:szCs w:val="20"/>
    </w:rPr>
  </w:style>
  <w:style w:type="paragraph" w:customStyle="1" w:styleId="309">
    <w:name w:val="文档结构图1"/>
    <w:basedOn w:val="1"/>
    <w:uiPriority w:val="0"/>
    <w:pPr>
      <w:shd w:val="clear" w:color="auto" w:fill="000080"/>
      <w:adjustRightInd w:val="0"/>
      <w:jc w:val="left"/>
      <w:textAlignment w:val="baseline"/>
    </w:pPr>
    <w:rPr>
      <w:szCs w:val="20"/>
    </w:rPr>
  </w:style>
  <w:style w:type="paragraph" w:customStyle="1" w:styleId="310">
    <w:name w:val="正文居中"/>
    <w:basedOn w:val="1"/>
    <w:uiPriority w:val="0"/>
    <w:pPr>
      <w:tabs>
        <w:tab w:val="left" w:pos="2160"/>
      </w:tabs>
      <w:spacing w:line="288" w:lineRule="auto"/>
      <w:jc w:val="center"/>
    </w:pPr>
    <w:rPr>
      <w:kern w:val="0"/>
      <w:sz w:val="28"/>
      <w:szCs w:val="20"/>
    </w:rPr>
  </w:style>
  <w:style w:type="paragraph" w:customStyle="1" w:styleId="311">
    <w:name w:val="表中"/>
    <w:uiPriority w:val="0"/>
    <w:pPr>
      <w:spacing w:line="240" w:lineRule="exact"/>
      <w:jc w:val="center"/>
    </w:pPr>
    <w:rPr>
      <w:rFonts w:ascii="宋体" w:hAnsi="宋体" w:eastAsia="宋体" w:cs="Times New Roman"/>
      <w:color w:val="000000"/>
      <w:kern w:val="0"/>
      <w:sz w:val="18"/>
      <w:szCs w:val="20"/>
      <w:lang w:val="en-US" w:eastAsia="zh-CN" w:bidi="ar-SA"/>
    </w:rPr>
  </w:style>
  <w:style w:type="paragraph" w:customStyle="1" w:styleId="312">
    <w:name w:val="表格内容"/>
    <w:basedOn w:val="1"/>
    <w:link w:val="640"/>
    <w:uiPriority w:val="0"/>
    <w:pPr>
      <w:spacing w:line="280" w:lineRule="exact"/>
      <w:ind w:firstLine="6"/>
      <w:jc w:val="center"/>
    </w:pPr>
    <w:rPr>
      <w:rFonts w:ascii="宋体" w:hAnsi="宋体" w:cs="Arial Unicode MS"/>
      <w:sz w:val="18"/>
      <w:szCs w:val="24"/>
    </w:rPr>
  </w:style>
  <w:style w:type="character" w:customStyle="1" w:styleId="313">
    <w:name w:val="副标题 Char"/>
    <w:basedOn w:val="59"/>
    <w:link w:val="40"/>
    <w:uiPriority w:val="0"/>
    <w:rPr>
      <w:rFonts w:ascii="Arial" w:hAnsi="Arial" w:eastAsia="宋体" w:cs="Times New Roman"/>
      <w:b/>
      <w:bCs/>
      <w:kern w:val="28"/>
      <w:sz w:val="32"/>
      <w:szCs w:val="32"/>
      <w:lang w:val="zh-CN" w:eastAsia="zh-CN"/>
    </w:rPr>
  </w:style>
  <w:style w:type="paragraph" w:customStyle="1" w:styleId="314">
    <w:name w:val="Char Char Char Char Char Char2 Char1"/>
    <w:basedOn w:val="1"/>
    <w:uiPriority w:val="0"/>
    <w:pPr>
      <w:widowControl/>
      <w:spacing w:after="160" w:line="240" w:lineRule="exact"/>
      <w:jc w:val="left"/>
    </w:pPr>
    <w:rPr>
      <w:szCs w:val="20"/>
    </w:rPr>
  </w:style>
  <w:style w:type="paragraph" w:customStyle="1" w:styleId="315">
    <w:name w:val="默认段落字体 Para Char"/>
    <w:basedOn w:val="1"/>
    <w:uiPriority w:val="0"/>
    <w:pPr>
      <w:jc w:val="left"/>
    </w:pPr>
    <w:rPr>
      <w:szCs w:val="20"/>
    </w:rPr>
  </w:style>
  <w:style w:type="character" w:customStyle="1" w:styleId="316">
    <w:name w:val="级别正文目录 Char"/>
    <w:link w:val="317"/>
    <w:uiPriority w:val="0"/>
    <w:rPr>
      <w:sz w:val="24"/>
    </w:rPr>
  </w:style>
  <w:style w:type="paragraph" w:customStyle="1" w:styleId="317">
    <w:name w:val="级别正文目录"/>
    <w:basedOn w:val="1"/>
    <w:link w:val="316"/>
    <w:uiPriority w:val="0"/>
    <w:pPr>
      <w:ind w:firstLine="480"/>
      <w:jc w:val="left"/>
    </w:pPr>
    <w:rPr>
      <w:rFonts w:asciiTheme="minorHAnsi" w:hAnsiTheme="minorHAnsi" w:eastAsiaTheme="minorEastAsia" w:cstheme="minorBidi"/>
    </w:rPr>
  </w:style>
  <w:style w:type="character" w:customStyle="1" w:styleId="318">
    <w:name w:val="content"/>
    <w:qFormat/>
    <w:uiPriority w:val="0"/>
  </w:style>
  <w:style w:type="paragraph" w:customStyle="1" w:styleId="319">
    <w:name w:val="正文11"/>
    <w:basedOn w:val="1"/>
    <w:uiPriority w:val="0"/>
    <w:pPr>
      <w:adjustRightInd w:val="0"/>
      <w:spacing w:before="120" w:after="120"/>
      <w:ind w:firstLine="539"/>
      <w:jc w:val="left"/>
    </w:pPr>
    <w:rPr>
      <w:rFonts w:hint="eastAsia" w:ascii="宋体" w:hAnsi="宋体"/>
      <w:kern w:val="0"/>
      <w:sz w:val="28"/>
      <w:szCs w:val="24"/>
    </w:rPr>
  </w:style>
  <w:style w:type="character" w:customStyle="1" w:styleId="320">
    <w:name w:val="Char Char22"/>
    <w:uiPriority w:val="0"/>
    <w:rPr>
      <w:rFonts w:eastAsia="宋体"/>
      <w:kern w:val="2"/>
      <w:sz w:val="21"/>
      <w:szCs w:val="21"/>
      <w:lang w:val="en-US" w:eastAsia="zh-CN" w:bidi="ar-SA"/>
    </w:rPr>
  </w:style>
  <w:style w:type="paragraph" w:customStyle="1" w:styleId="321">
    <w:name w:val="样式 标题 3  Times New Roman"/>
    <w:basedOn w:val="1"/>
    <w:uiPriority w:val="0"/>
    <w:pPr>
      <w:keepNext/>
      <w:keepLines/>
      <w:tabs>
        <w:tab w:val="left" w:pos="1740"/>
      </w:tabs>
      <w:spacing w:before="120" w:after="120"/>
      <w:ind w:left="170" w:hanging="420"/>
      <w:jc w:val="left"/>
      <w:outlineLvl w:val="2"/>
    </w:pPr>
    <w:rPr>
      <w:rFonts w:eastAsia="黑体" w:cs="黑体"/>
      <w:b/>
      <w:bCs/>
      <w:szCs w:val="20"/>
    </w:rPr>
  </w:style>
  <w:style w:type="paragraph" w:customStyle="1" w:styleId="322">
    <w:name w:val="样式 标题 2标题2b2节标题 1.1节标题 1.1标题 2节标题H2例如：1.1 内容Number 2 + 黑色"/>
    <w:basedOn w:val="4"/>
    <w:uiPriority w:val="0"/>
    <w:pPr>
      <w:spacing w:before="140" w:after="140"/>
      <w:ind w:left="6615"/>
      <w:jc w:val="left"/>
    </w:pPr>
    <w:rPr>
      <w:rFonts w:eastAsia="宋体" w:cs="Times New Roman"/>
      <w:b/>
      <w:color w:val="000000"/>
      <w:sz w:val="32"/>
      <w:szCs w:val="28"/>
      <w:lang w:val="zh-CN" w:eastAsia="zh-CN"/>
    </w:rPr>
  </w:style>
  <w:style w:type="character" w:customStyle="1" w:styleId="323">
    <w:name w:val="f141"/>
    <w:uiPriority w:val="0"/>
    <w:rPr>
      <w:sz w:val="21"/>
      <w:szCs w:val="21"/>
    </w:rPr>
  </w:style>
  <w:style w:type="paragraph" w:customStyle="1" w:styleId="324">
    <w:name w:val="段落中正文文本"/>
    <w:basedOn w:val="8"/>
    <w:uiPriority w:val="0"/>
    <w:pPr>
      <w:tabs>
        <w:tab w:val="clear" w:pos="1152"/>
        <w:tab w:val="clear" w:pos="1188"/>
        <w:tab w:val="clear" w:pos="6628"/>
        <w:tab w:val="clear" w:pos="9388"/>
      </w:tabs>
      <w:snapToGrid/>
      <w:spacing w:before="312" w:after="156"/>
      <w:ind w:left="0" w:firstLine="0"/>
      <w:jc w:val="left"/>
    </w:pPr>
    <w:rPr>
      <w:rFonts w:eastAsia="宋体"/>
      <w:b w:val="0"/>
      <w:bCs/>
      <w:color w:val="auto"/>
      <w:lang w:val="zh-CN" w:eastAsia="zh-CN"/>
    </w:rPr>
  </w:style>
  <w:style w:type="paragraph" w:customStyle="1" w:styleId="325">
    <w:name w:val="表格正文"/>
    <w:basedOn w:val="9"/>
    <w:link w:val="569"/>
    <w:uiPriority w:val="0"/>
    <w:pPr>
      <w:autoSpaceDE w:val="0"/>
      <w:autoSpaceDN w:val="0"/>
      <w:adjustRightInd w:val="0"/>
      <w:spacing w:before="40" w:beforeLines="50" w:after="40"/>
      <w:jc w:val="center"/>
      <w:textAlignment w:val="bottom"/>
    </w:pPr>
    <w:rPr>
      <w:rFonts w:ascii="楷体_GB2312" w:eastAsia="楷体_GB2312"/>
      <w:bCs/>
      <w:kern w:val="28"/>
      <w:lang w:val="zh-CN" w:eastAsia="zh-CN"/>
    </w:rPr>
  </w:style>
  <w:style w:type="paragraph" w:customStyle="1" w:styleId="326">
    <w:name w:val="表项"/>
    <w:basedOn w:val="1"/>
    <w:uiPriority w:val="0"/>
    <w:pPr>
      <w:adjustRightInd w:val="0"/>
      <w:spacing w:before="60" w:after="60" w:line="288" w:lineRule="auto"/>
      <w:jc w:val="center"/>
      <w:textAlignment w:val="baseline"/>
    </w:pPr>
    <w:rPr>
      <w:rFonts w:eastAsia="楷体"/>
      <w:kern w:val="44"/>
      <w:sz w:val="18"/>
      <w:szCs w:val="28"/>
      <w:lang w:val="en-GB"/>
    </w:rPr>
  </w:style>
  <w:style w:type="paragraph" w:customStyle="1" w:styleId="327">
    <w:name w:val="zg1"/>
    <w:basedOn w:val="1"/>
    <w:uiPriority w:val="0"/>
    <w:pPr>
      <w:ind w:firstLine="425"/>
      <w:jc w:val="left"/>
    </w:pPr>
    <w:rPr>
      <w:szCs w:val="24"/>
    </w:rPr>
  </w:style>
  <w:style w:type="paragraph" w:customStyle="1" w:styleId="328">
    <w:name w:val="表格标题"/>
    <w:basedOn w:val="1"/>
    <w:link w:val="570"/>
    <w:uiPriority w:val="0"/>
    <w:pPr>
      <w:keepNext/>
      <w:spacing w:before="40" w:after="40" w:line="276" w:lineRule="auto"/>
      <w:jc w:val="center"/>
    </w:pPr>
    <w:rPr>
      <w:szCs w:val="24"/>
    </w:rPr>
  </w:style>
  <w:style w:type="paragraph" w:customStyle="1" w:styleId="329">
    <w:name w:val="图形对象"/>
    <w:basedOn w:val="1"/>
    <w:uiPriority w:val="0"/>
    <w:pPr>
      <w:spacing w:line="240" w:lineRule="atLeast"/>
      <w:jc w:val="center"/>
    </w:pPr>
    <w:rPr>
      <w:sz w:val="18"/>
      <w:szCs w:val="20"/>
    </w:rPr>
  </w:style>
  <w:style w:type="paragraph" w:customStyle="1" w:styleId="330">
    <w:name w:val="环保"/>
    <w:basedOn w:val="43"/>
    <w:uiPriority w:val="0"/>
    <w:pPr>
      <w:adjustRightInd w:val="0"/>
      <w:snapToGrid w:val="0"/>
      <w:spacing w:before="60" w:after="60" w:line="600" w:lineRule="exact"/>
      <w:ind w:left="0" w:leftChars="0"/>
      <w:jc w:val="left"/>
    </w:pPr>
    <w:rPr>
      <w:rFonts w:ascii="宋体" w:hAnsi="宋体"/>
      <w:kern w:val="21"/>
      <w:sz w:val="21"/>
      <w:szCs w:val="20"/>
      <w:lang w:val="zh-CN" w:eastAsia="zh-CN"/>
    </w:rPr>
  </w:style>
  <w:style w:type="paragraph" w:customStyle="1" w:styleId="331">
    <w:name w:val="小节标题"/>
    <w:basedOn w:val="1"/>
    <w:next w:val="1"/>
    <w:uiPriority w:val="0"/>
    <w:pPr>
      <w:widowControl/>
      <w:spacing w:before="175" w:after="102" w:line="782" w:lineRule="atLeast"/>
      <w:jc w:val="left"/>
    </w:pPr>
    <w:rPr>
      <w:rFonts w:eastAsia="黑体"/>
      <w:color w:val="000000"/>
      <w:kern w:val="0"/>
      <w:szCs w:val="20"/>
      <w:u w:color="000000"/>
    </w:rPr>
  </w:style>
  <w:style w:type="paragraph" w:customStyle="1" w:styleId="332">
    <w:name w:val="环评表样式"/>
    <w:basedOn w:val="1"/>
    <w:uiPriority w:val="0"/>
    <w:pPr>
      <w:spacing w:line="440" w:lineRule="exact"/>
      <w:jc w:val="left"/>
    </w:pPr>
    <w:rPr>
      <w:rFonts w:eastAsia="黑体"/>
      <w:b/>
      <w:bCs/>
      <w:sz w:val="32"/>
      <w:szCs w:val="20"/>
    </w:rPr>
  </w:style>
  <w:style w:type="paragraph" w:customStyle="1" w:styleId="333">
    <w:name w:val="环评表格样式"/>
    <w:basedOn w:val="1"/>
    <w:uiPriority w:val="0"/>
    <w:pPr>
      <w:spacing w:line="680" w:lineRule="atLeast"/>
      <w:ind w:firstLine="573"/>
      <w:jc w:val="left"/>
    </w:pPr>
    <w:rPr>
      <w:sz w:val="28"/>
      <w:szCs w:val="20"/>
    </w:rPr>
  </w:style>
  <w:style w:type="paragraph" w:customStyle="1" w:styleId="334">
    <w:name w:val="样式 标题 3标题 3XW3h33rd levelH3l3CTHeading3Sectionlevel_3..."/>
    <w:basedOn w:val="5"/>
    <w:uiPriority w:val="0"/>
    <w:pPr>
      <w:tabs>
        <w:tab w:val="left" w:pos="215"/>
      </w:tabs>
      <w:spacing w:before="120" w:beforeLines="50" w:after="120" w:afterLines="50"/>
      <w:ind w:firstLine="200" w:firstLineChars="200"/>
      <w:jc w:val="left"/>
    </w:pPr>
    <w:rPr>
      <w:rFonts w:eastAsia="宋体" w:cs="宋体"/>
      <w:b/>
      <w:color w:val="0000FF"/>
      <w:kern w:val="0"/>
      <w:sz w:val="28"/>
      <w:szCs w:val="20"/>
    </w:rPr>
  </w:style>
  <w:style w:type="character" w:customStyle="1" w:styleId="335">
    <w:name w:val="称呼 Char"/>
    <w:basedOn w:val="59"/>
    <w:link w:val="20"/>
    <w:uiPriority w:val="0"/>
    <w:rPr>
      <w:rFonts w:ascii="Times New Roman" w:hAnsi="Times New Roman" w:eastAsia="宋体" w:cs="Times New Roman"/>
      <w:kern w:val="0"/>
      <w:sz w:val="24"/>
      <w:szCs w:val="20"/>
      <w:lang w:val="zh-CN" w:eastAsia="zh-CN"/>
    </w:rPr>
  </w:style>
  <w:style w:type="paragraph" w:customStyle="1" w:styleId="336">
    <w:name w:val="小四表文左齐"/>
    <w:basedOn w:val="1"/>
    <w:uiPriority w:val="0"/>
    <w:pPr>
      <w:jc w:val="center"/>
    </w:pPr>
    <w:rPr>
      <w:rFonts w:ascii="宋体" w:hAnsi="宋体"/>
      <w:sz w:val="18"/>
      <w:szCs w:val="24"/>
    </w:rPr>
  </w:style>
  <w:style w:type="paragraph" w:customStyle="1" w:styleId="337">
    <w:name w:val="标注1"/>
    <w:basedOn w:val="301"/>
    <w:uiPriority w:val="0"/>
    <w:pPr>
      <w:tabs>
        <w:tab w:val="left" w:pos="905"/>
      </w:tabs>
      <w:adjustRightInd/>
      <w:spacing w:beforeLines="0" w:line="360" w:lineRule="auto"/>
      <w:ind w:firstLine="360" w:firstLineChars="150"/>
    </w:pPr>
    <w:rPr>
      <w:bCs/>
      <w:color w:val="auto"/>
    </w:rPr>
  </w:style>
  <w:style w:type="character" w:customStyle="1" w:styleId="338">
    <w:name w:val="标题 1 Char2"/>
    <w:uiPriority w:val="0"/>
    <w:rPr>
      <w:rFonts w:eastAsia="宋体"/>
      <w:b/>
      <w:bCs/>
      <w:kern w:val="44"/>
      <w:sz w:val="32"/>
      <w:szCs w:val="44"/>
      <w:lang w:val="en-US" w:eastAsia="zh-CN" w:bidi="ar-SA"/>
    </w:rPr>
  </w:style>
  <w:style w:type="paragraph" w:customStyle="1" w:styleId="339">
    <w:name w:val="标题正1"/>
    <w:basedOn w:val="1"/>
    <w:uiPriority w:val="0"/>
    <w:pPr>
      <w:jc w:val="left"/>
      <w:outlineLvl w:val="0"/>
    </w:pPr>
    <w:rPr>
      <w:rFonts w:ascii="宋体" w:hAnsi="宋体"/>
      <w:b/>
      <w:color w:val="000000"/>
      <w:sz w:val="30"/>
      <w:szCs w:val="30"/>
    </w:rPr>
  </w:style>
  <w:style w:type="character" w:customStyle="1" w:styleId="340">
    <w:name w:val="wen1"/>
    <w:uiPriority w:val="0"/>
  </w:style>
  <w:style w:type="paragraph" w:customStyle="1" w:styleId="341">
    <w:name w:val="样式 标题 1 + 宋体 四号 左 段前: 0 磅 段后: 0 磅 行距: 单倍行距"/>
    <w:basedOn w:val="3"/>
    <w:uiPriority w:val="0"/>
    <w:pPr>
      <w:spacing w:line="240" w:lineRule="auto"/>
      <w:ind w:firstLine="551" w:firstLineChars="196"/>
    </w:pPr>
    <w:rPr>
      <w:rFonts w:ascii="宋体" w:hAnsi="宋体" w:eastAsia="宋体" w:cs="宋体"/>
      <w:b/>
      <w:kern w:val="2"/>
      <w:sz w:val="36"/>
      <w:szCs w:val="20"/>
      <w:lang w:val="zh-CN" w:eastAsia="zh-CN"/>
    </w:rPr>
  </w:style>
  <w:style w:type="character" w:customStyle="1" w:styleId="342">
    <w:name w:val="标题 1 Char1"/>
    <w:uiPriority w:val="0"/>
    <w:rPr>
      <w:rFonts w:eastAsia="宋体"/>
      <w:b/>
      <w:bCs/>
      <w:kern w:val="44"/>
      <w:sz w:val="32"/>
      <w:szCs w:val="44"/>
      <w:lang w:val="en-US" w:eastAsia="zh-CN" w:bidi="ar-SA"/>
    </w:rPr>
  </w:style>
  <w:style w:type="character" w:customStyle="1" w:styleId="343">
    <w:name w:val="p15"/>
    <w:uiPriority w:val="0"/>
  </w:style>
  <w:style w:type="paragraph" w:customStyle="1" w:styleId="344">
    <w:name w:val="表内式样"/>
    <w:uiPriority w:val="0"/>
    <w:pPr>
      <w:widowControl w:val="0"/>
      <w:adjustRightInd w:val="0"/>
      <w:jc w:val="center"/>
      <w:textAlignment w:val="baseline"/>
    </w:pPr>
    <w:rPr>
      <w:rFonts w:ascii="宋体" w:hAnsi="宋体" w:eastAsia="宋体" w:cs="Times New Roman"/>
      <w:kern w:val="2"/>
      <w:sz w:val="21"/>
      <w:szCs w:val="20"/>
      <w:lang w:val="en-US" w:eastAsia="zh-CN" w:bidi="ar-SA"/>
    </w:rPr>
  </w:style>
  <w:style w:type="paragraph" w:customStyle="1" w:styleId="345">
    <w:name w:val="默认段落字体 Para Char Char Char Char"/>
    <w:basedOn w:val="1"/>
    <w:uiPriority w:val="0"/>
    <w:pPr>
      <w:jc w:val="left"/>
    </w:pPr>
    <w:rPr>
      <w:szCs w:val="24"/>
    </w:rPr>
  </w:style>
  <w:style w:type="paragraph" w:customStyle="1" w:styleId="346">
    <w:name w:val="册除格式 Char Char"/>
    <w:uiPriority w:val="0"/>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347">
    <w:name w:val="报告书"/>
    <w:basedOn w:val="1"/>
    <w:uiPriority w:val="0"/>
    <w:pPr>
      <w:autoSpaceDE w:val="0"/>
      <w:autoSpaceDN w:val="0"/>
      <w:adjustRightInd w:val="0"/>
      <w:ind w:firstLine="505"/>
      <w:jc w:val="left"/>
      <w:textAlignment w:val="bottom"/>
    </w:pPr>
    <w:rPr>
      <w:kern w:val="0"/>
      <w:szCs w:val="20"/>
    </w:rPr>
  </w:style>
  <w:style w:type="paragraph" w:customStyle="1" w:styleId="348">
    <w:name w:val="报告"/>
    <w:basedOn w:val="1"/>
    <w:uiPriority w:val="0"/>
    <w:pPr>
      <w:adjustRightInd w:val="0"/>
      <w:ind w:firstLine="505"/>
      <w:jc w:val="left"/>
      <w:textAlignment w:val="center"/>
    </w:pPr>
    <w:rPr>
      <w:rFonts w:ascii="TimesNewRoman" w:hAnsi="TimesNewRoman"/>
      <w:kern w:val="0"/>
      <w:szCs w:val="20"/>
    </w:rPr>
  </w:style>
  <w:style w:type="character" w:customStyle="1" w:styleId="349">
    <w:name w:val="报告 Char"/>
    <w:uiPriority w:val="0"/>
    <w:rPr>
      <w:rFonts w:ascii="TimesNewRoman" w:hAnsi="TimesNewRoman" w:eastAsia="宋体"/>
      <w:sz w:val="24"/>
      <w:lang w:val="en-US" w:eastAsia="zh-CN" w:bidi="ar-SA"/>
    </w:rPr>
  </w:style>
  <w:style w:type="character" w:customStyle="1" w:styleId="350">
    <w:name w:val="样式 样式 样式 样式 首行缩进:  2 字符 + 首行缩进:  2 字符7 + 首行缩进:  2 字符 + Char Char Char Char Char Char Char"/>
    <w:uiPriority w:val="0"/>
    <w:rPr>
      <w:rFonts w:eastAsia="宋体" w:cs="宋体"/>
      <w:color w:val="000000"/>
      <w:kern w:val="2"/>
      <w:sz w:val="28"/>
      <w:szCs w:val="24"/>
      <w:u w:color="000000"/>
      <w:lang w:val="en-US" w:eastAsia="zh-CN" w:bidi="ar-SA"/>
    </w:rPr>
  </w:style>
  <w:style w:type="paragraph" w:customStyle="1" w:styleId="351">
    <w:name w:val="样式 标题 2标题 2XW节Chapter + Times New Roman 红色 段前: 0 磅 段后: 0 磅..."/>
    <w:basedOn w:val="4"/>
    <w:uiPriority w:val="0"/>
    <w:pPr>
      <w:jc w:val="left"/>
    </w:pPr>
    <w:rPr>
      <w:rFonts w:eastAsia="宋体" w:cs="宋体"/>
      <w:b/>
      <w:color w:val="FF0000"/>
      <w:sz w:val="32"/>
      <w:szCs w:val="20"/>
      <w:lang w:val="zh-CN" w:eastAsia="zh-CN"/>
    </w:rPr>
  </w:style>
  <w:style w:type="paragraph" w:customStyle="1" w:styleId="352">
    <w:name w:val="表"/>
    <w:basedOn w:val="1"/>
    <w:uiPriority w:val="0"/>
    <w:pPr>
      <w:spacing w:line="340" w:lineRule="exact"/>
      <w:jc w:val="center"/>
    </w:pPr>
    <w:rPr>
      <w:rFonts w:ascii="宋体" w:hAnsi="宋体"/>
      <w:szCs w:val="20"/>
    </w:rPr>
  </w:style>
  <w:style w:type="paragraph" w:customStyle="1" w:styleId="353">
    <w:name w:val="报告表格"/>
    <w:basedOn w:val="1"/>
    <w:next w:val="1"/>
    <w:uiPriority w:val="0"/>
    <w:pPr>
      <w:autoSpaceDE w:val="0"/>
      <w:autoSpaceDN w:val="0"/>
      <w:adjustRightInd w:val="0"/>
      <w:spacing w:line="318" w:lineRule="atLeast"/>
      <w:jc w:val="center"/>
      <w:textAlignment w:val="bottom"/>
    </w:pPr>
    <w:rPr>
      <w:kern w:val="0"/>
      <w:szCs w:val="20"/>
    </w:rPr>
  </w:style>
  <w:style w:type="character" w:customStyle="1" w:styleId="354">
    <w:name w:val="HTML 预设格式 Char"/>
    <w:basedOn w:val="59"/>
    <w:link w:val="49"/>
    <w:uiPriority w:val="0"/>
    <w:rPr>
      <w:rFonts w:ascii="宋体" w:hAnsi="宋体" w:eastAsia="宋体" w:cs="Times New Roman"/>
      <w:color w:val="000000"/>
      <w:kern w:val="0"/>
      <w:sz w:val="24"/>
      <w:szCs w:val="21"/>
      <w:lang w:val="zh-CN" w:eastAsia="zh-CN"/>
    </w:rPr>
  </w:style>
  <w:style w:type="character" w:customStyle="1" w:styleId="355">
    <w:name w:val="正文文本缩进 Char2"/>
    <w:uiPriority w:val="0"/>
    <w:rPr>
      <w:kern w:val="2"/>
      <w:sz w:val="24"/>
      <w:szCs w:val="24"/>
      <w:lang w:val="zh-CN" w:eastAsia="zh-CN"/>
    </w:rPr>
  </w:style>
  <w:style w:type="character" w:customStyle="1" w:styleId="356">
    <w:name w:val="样式5 Char3"/>
    <w:uiPriority w:val="0"/>
    <w:rPr>
      <w:rFonts w:ascii="宋体" w:hAnsi="Times New Roman" w:eastAsia="宋体" w:cs="Times New Roman"/>
      <w:b/>
      <w:bCs/>
      <w:color w:val="000000"/>
      <w:sz w:val="28"/>
      <w:szCs w:val="32"/>
      <w:lang w:val="zh-CN" w:eastAsia="zh-CN"/>
    </w:rPr>
  </w:style>
  <w:style w:type="character" w:customStyle="1" w:styleId="357">
    <w:name w:val="样式 正文1 + 首行缩进:  2 字符 Char3"/>
    <w:link w:val="358"/>
    <w:uiPriority w:val="0"/>
    <w:rPr>
      <w:rFonts w:ascii="宋体"/>
      <w:sz w:val="24"/>
    </w:rPr>
  </w:style>
  <w:style w:type="paragraph" w:customStyle="1" w:styleId="358">
    <w:name w:val="样式 正文1 + 首行缩进:  2 字符"/>
    <w:basedOn w:val="1"/>
    <w:link w:val="357"/>
    <w:uiPriority w:val="0"/>
    <w:pPr>
      <w:jc w:val="left"/>
    </w:pPr>
    <w:rPr>
      <w:rFonts w:ascii="宋体" w:hAnsiTheme="minorHAnsi" w:eastAsiaTheme="minorEastAsia" w:cstheme="minorBidi"/>
    </w:rPr>
  </w:style>
  <w:style w:type="paragraph" w:customStyle="1" w:styleId="359">
    <w:name w:val="Char Char Char1 Char Char Char Char Char Char Char Char Char Char"/>
    <w:basedOn w:val="1"/>
    <w:uiPriority w:val="0"/>
    <w:pPr>
      <w:jc w:val="left"/>
    </w:pPr>
    <w:rPr>
      <w:szCs w:val="24"/>
    </w:rPr>
  </w:style>
  <w:style w:type="paragraph" w:customStyle="1" w:styleId="360">
    <w:name w:val="0"/>
    <w:basedOn w:val="1"/>
    <w:uiPriority w:val="0"/>
    <w:pPr>
      <w:widowControl/>
      <w:spacing w:before="100" w:beforeAutospacing="1" w:after="100" w:afterAutospacing="1"/>
      <w:jc w:val="left"/>
    </w:pPr>
    <w:rPr>
      <w:rFonts w:ascii="宋体" w:hAnsi="宋体" w:cs="宋体"/>
      <w:kern w:val="0"/>
      <w:szCs w:val="24"/>
    </w:rPr>
  </w:style>
  <w:style w:type="character" w:customStyle="1" w:styleId="361">
    <w:name w:val="标题 1 Char3"/>
    <w:uiPriority w:val="0"/>
    <w:rPr>
      <w:rFonts w:eastAsia="宋体"/>
      <w:b/>
      <w:bCs/>
      <w:kern w:val="44"/>
      <w:sz w:val="32"/>
      <w:szCs w:val="44"/>
      <w:lang w:val="en-US" w:eastAsia="zh-CN" w:bidi="ar-SA"/>
    </w:rPr>
  </w:style>
  <w:style w:type="paragraph" w:customStyle="1" w:styleId="362">
    <w:name w:val="表样式1"/>
    <w:basedOn w:val="1"/>
    <w:uiPriority w:val="0"/>
    <w:pPr>
      <w:spacing w:line="380" w:lineRule="exact"/>
      <w:ind w:right="-275" w:rightChars="-131"/>
      <w:jc w:val="left"/>
    </w:pPr>
    <w:rPr>
      <w:rFonts w:ascii="宋体" w:hAnsi="宋体"/>
      <w:szCs w:val="21"/>
    </w:rPr>
  </w:style>
  <w:style w:type="paragraph" w:customStyle="1" w:styleId="363">
    <w:name w:val="报告表正文"/>
    <w:basedOn w:val="1"/>
    <w:uiPriority w:val="0"/>
    <w:pPr>
      <w:adjustRightInd w:val="0"/>
      <w:spacing w:line="300" w:lineRule="auto"/>
      <w:ind w:left="113" w:right="113"/>
      <w:jc w:val="left"/>
      <w:textAlignment w:val="baseline"/>
    </w:pPr>
    <w:rPr>
      <w:kern w:val="0"/>
      <w:szCs w:val="20"/>
    </w:rPr>
  </w:style>
  <w:style w:type="character" w:customStyle="1" w:styleId="364">
    <w:name w:val="style461"/>
    <w:uiPriority w:val="0"/>
  </w:style>
  <w:style w:type="paragraph" w:customStyle="1" w:styleId="365">
    <w:name w:val="正文(首行缩进)宋旭峰"/>
    <w:basedOn w:val="9"/>
    <w:link w:val="366"/>
    <w:uiPriority w:val="0"/>
    <w:pPr>
      <w:spacing w:before="120" w:beforeLines="50" w:after="120" w:afterLines="50"/>
      <w:ind w:firstLine="480"/>
      <w:contextualSpacing/>
      <w:jc w:val="left"/>
    </w:pPr>
    <w:rPr>
      <w:bCs/>
      <w:snapToGrid w:val="0"/>
      <w:kern w:val="0"/>
      <w:szCs w:val="24"/>
      <w:lang w:val="zh-CN" w:eastAsia="zh-CN"/>
    </w:rPr>
  </w:style>
  <w:style w:type="character" w:customStyle="1" w:styleId="366">
    <w:name w:val="正文(首行缩进)宋旭峰 Char Char"/>
    <w:link w:val="365"/>
    <w:uiPriority w:val="0"/>
    <w:rPr>
      <w:rFonts w:ascii="Times New Roman" w:hAnsi="Times New Roman" w:eastAsia="宋体" w:cs="Times New Roman"/>
      <w:bCs/>
      <w:snapToGrid w:val="0"/>
      <w:kern w:val="0"/>
      <w:sz w:val="24"/>
      <w:szCs w:val="24"/>
      <w:lang w:val="zh-CN" w:eastAsia="zh-CN"/>
    </w:rPr>
  </w:style>
  <w:style w:type="paragraph" w:customStyle="1" w:styleId="367">
    <w:name w:val="样式6"/>
    <w:basedOn w:val="6"/>
    <w:link w:val="643"/>
    <w:uiPriority w:val="0"/>
    <w:pPr>
      <w:spacing w:before="240" w:beforeLines="50" w:after="120" w:afterLines="50" w:line="240" w:lineRule="auto"/>
      <w:ind w:firstLine="200" w:firstLineChars="200"/>
      <w:jc w:val="left"/>
    </w:pPr>
    <w:rPr>
      <w:rFonts w:ascii="宋体" w:hAnsi="宋体" w:eastAsia="宋体" w:cs="Times New Roman"/>
      <w:b/>
      <w:color w:val="000000"/>
      <w:lang w:val="zh-CN" w:eastAsia="zh-CN"/>
    </w:rPr>
  </w:style>
  <w:style w:type="paragraph" w:customStyle="1" w:styleId="368">
    <w:name w:val="二级无标题条"/>
    <w:basedOn w:val="1"/>
    <w:uiPriority w:val="0"/>
    <w:pPr>
      <w:jc w:val="left"/>
    </w:pPr>
    <w:rPr>
      <w:szCs w:val="24"/>
    </w:rPr>
  </w:style>
  <w:style w:type="paragraph" w:customStyle="1" w:styleId="369">
    <w:name w:val="xl45"/>
    <w:basedOn w:val="1"/>
    <w:uiPriority w:val="0"/>
    <w:pPr>
      <w:widowControl/>
      <w:spacing w:before="100" w:beforeAutospacing="1" w:after="100" w:afterAutospacing="1"/>
      <w:jc w:val="center"/>
      <w:textAlignment w:val="center"/>
    </w:pPr>
    <w:rPr>
      <w:rFonts w:ascii="宋体" w:hAnsi="宋体"/>
      <w:kern w:val="0"/>
      <w:szCs w:val="24"/>
    </w:rPr>
  </w:style>
  <w:style w:type="paragraph" w:customStyle="1" w:styleId="370">
    <w:name w:val="zxz5"/>
    <w:next w:val="1"/>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371">
    <w:name w:val="表头1"/>
    <w:basedOn w:val="1"/>
    <w:next w:val="1"/>
    <w:link w:val="372"/>
    <w:uiPriority w:val="0"/>
    <w:pPr>
      <w:tabs>
        <w:tab w:val="left" w:pos="605"/>
      </w:tabs>
      <w:adjustRightInd w:val="0"/>
      <w:snapToGrid w:val="0"/>
      <w:jc w:val="center"/>
    </w:pPr>
    <w:rPr>
      <w:rFonts w:eastAsia="黑体"/>
      <w:kern w:val="0"/>
      <w:szCs w:val="28"/>
      <w:lang w:val="zh-CN" w:eastAsia="zh-CN"/>
    </w:rPr>
  </w:style>
  <w:style w:type="character" w:customStyle="1" w:styleId="372">
    <w:name w:val="表头1 Char"/>
    <w:link w:val="371"/>
    <w:uiPriority w:val="0"/>
    <w:rPr>
      <w:rFonts w:ascii="Times New Roman" w:hAnsi="Times New Roman" w:eastAsia="黑体" w:cs="Times New Roman"/>
      <w:kern w:val="0"/>
      <w:sz w:val="24"/>
      <w:szCs w:val="28"/>
      <w:lang w:val="zh-CN" w:eastAsia="zh-CN"/>
    </w:rPr>
  </w:style>
  <w:style w:type="paragraph" w:customStyle="1" w:styleId="373">
    <w:name w:val="style55"/>
    <w:basedOn w:val="1"/>
    <w:uiPriority w:val="0"/>
    <w:pPr>
      <w:widowControl/>
      <w:spacing w:before="100" w:beforeAutospacing="1" w:after="100" w:afterAutospacing="1"/>
      <w:jc w:val="left"/>
    </w:pPr>
    <w:rPr>
      <w:rFonts w:ascii="仿宋_GB2312" w:hAnsi="宋体" w:eastAsia="仿宋_GB2312" w:cs="宋体"/>
      <w:kern w:val="0"/>
      <w:sz w:val="32"/>
      <w:szCs w:val="32"/>
    </w:rPr>
  </w:style>
  <w:style w:type="paragraph" w:customStyle="1" w:styleId="374">
    <w:name w:val="标题二"/>
    <w:basedOn w:val="3"/>
    <w:uiPriority w:val="0"/>
    <w:pPr>
      <w:ind w:firstLine="200" w:firstLineChars="200"/>
    </w:pPr>
    <w:rPr>
      <w:rFonts w:ascii="宋体" w:hAnsi="宋体" w:eastAsia="宋体"/>
      <w:b/>
      <w:sz w:val="28"/>
      <w:lang w:val="zh-CN" w:eastAsia="zh-CN"/>
    </w:rPr>
  </w:style>
  <w:style w:type="paragraph" w:customStyle="1" w:styleId="375">
    <w:name w:val="标题三"/>
    <w:basedOn w:val="5"/>
    <w:uiPriority w:val="0"/>
    <w:pPr>
      <w:spacing w:before="50" w:beforeLines="50" w:after="50" w:afterLines="50"/>
      <w:ind w:firstLine="200" w:firstLineChars="200"/>
      <w:jc w:val="left"/>
    </w:pPr>
    <w:rPr>
      <w:rFonts w:ascii="宋体" w:hAnsi="宋体" w:eastAsia="宋体"/>
      <w:b/>
      <w:sz w:val="28"/>
      <w:szCs w:val="24"/>
    </w:rPr>
  </w:style>
  <w:style w:type="character" w:customStyle="1" w:styleId="376">
    <w:name w:val="正文＋首行缩进2字符 Char"/>
    <w:link w:val="377"/>
    <w:uiPriority w:val="0"/>
    <w:rPr>
      <w:spacing w:val="14"/>
      <w:sz w:val="24"/>
    </w:rPr>
  </w:style>
  <w:style w:type="paragraph" w:customStyle="1" w:styleId="377">
    <w:name w:val="正文＋首行缩进2字符"/>
    <w:basedOn w:val="1"/>
    <w:link w:val="376"/>
    <w:uiPriority w:val="0"/>
    <w:pPr>
      <w:jc w:val="left"/>
    </w:pPr>
    <w:rPr>
      <w:rFonts w:asciiTheme="minorHAnsi" w:hAnsiTheme="minorHAnsi" w:eastAsiaTheme="minorEastAsia" w:cstheme="minorBidi"/>
      <w:spacing w:val="14"/>
    </w:rPr>
  </w:style>
  <w:style w:type="character" w:customStyle="1" w:styleId="378">
    <w:name w:val="正文1 Char3"/>
    <w:uiPriority w:val="0"/>
    <w:rPr>
      <w:rFonts w:ascii="宋体" w:eastAsia="宋体"/>
      <w:kern w:val="2"/>
      <w:sz w:val="28"/>
      <w:lang w:val="en-US" w:eastAsia="zh-CN"/>
    </w:rPr>
  </w:style>
  <w:style w:type="character" w:customStyle="1" w:styleId="379">
    <w:name w:val="样式 样式5 + 首行缩进:  2 字符 Char"/>
    <w:link w:val="380"/>
    <w:uiPriority w:val="0"/>
    <w:rPr>
      <w:rFonts w:ascii="宋体" w:hAnsi="宋体"/>
      <w:sz w:val="24"/>
    </w:rPr>
  </w:style>
  <w:style w:type="paragraph" w:customStyle="1" w:styleId="380">
    <w:name w:val="样式 样式5 + 首行缩进:  2 字符"/>
    <w:basedOn w:val="99"/>
    <w:link w:val="379"/>
    <w:uiPriority w:val="0"/>
    <w:pPr>
      <w:spacing w:beforeLines="50" w:afterLines="50"/>
      <w:ind w:firstLine="480" w:firstLineChars="200"/>
      <w:jc w:val="left"/>
      <w:outlineLvl w:val="9"/>
    </w:pPr>
    <w:rPr>
      <w:rFonts w:ascii="宋体" w:hAnsi="宋体"/>
      <w:b w:val="0"/>
      <w:sz w:val="24"/>
      <w:szCs w:val="22"/>
    </w:rPr>
  </w:style>
  <w:style w:type="character" w:customStyle="1" w:styleId="381">
    <w:name w:val="样式 黑色"/>
    <w:uiPriority w:val="0"/>
    <w:rPr>
      <w:rFonts w:eastAsia="宋体"/>
      <w:color w:val="auto"/>
      <w:sz w:val="28"/>
    </w:rPr>
  </w:style>
  <w:style w:type="character" w:customStyle="1" w:styleId="382">
    <w:name w:val="级别4目录 Char"/>
    <w:link w:val="383"/>
    <w:uiPriority w:val="0"/>
    <w:rPr>
      <w:sz w:val="24"/>
    </w:rPr>
  </w:style>
  <w:style w:type="paragraph" w:customStyle="1" w:styleId="383">
    <w:name w:val="级别4目录"/>
    <w:basedOn w:val="1"/>
    <w:link w:val="382"/>
    <w:uiPriority w:val="0"/>
    <w:pPr>
      <w:jc w:val="left"/>
      <w:outlineLvl w:val="3"/>
    </w:pPr>
    <w:rPr>
      <w:rFonts w:asciiTheme="minorHAnsi" w:hAnsiTheme="minorHAnsi" w:eastAsiaTheme="minorEastAsia" w:cstheme="minorBidi"/>
    </w:rPr>
  </w:style>
  <w:style w:type="character" w:customStyle="1" w:styleId="384">
    <w:name w:val="样式4 Char"/>
    <w:uiPriority w:val="0"/>
    <w:rPr>
      <w:rFonts w:ascii="宋体" w:eastAsia="宋体"/>
      <w:kern w:val="2"/>
      <w:sz w:val="24"/>
      <w:lang w:val="en-US" w:eastAsia="zh-CN"/>
    </w:rPr>
  </w:style>
  <w:style w:type="character" w:customStyle="1" w:styleId="385">
    <w:name w:val="样式 正文缩进文本正文缩进 Char Char正文缩进 Char Char Char Char Char Char正文缩... Char"/>
    <w:link w:val="386"/>
    <w:uiPriority w:val="0"/>
    <w:rPr>
      <w:spacing w:val="15"/>
      <w:sz w:val="24"/>
    </w:rPr>
  </w:style>
  <w:style w:type="paragraph" w:customStyle="1" w:styleId="386">
    <w:name w:val="样式 正文缩进文本正文缩进 Char Char正文缩进 Char Char Char Char Char Char正文缩..."/>
    <w:basedOn w:val="9"/>
    <w:link w:val="385"/>
    <w:uiPriority w:val="0"/>
    <w:pPr>
      <w:jc w:val="left"/>
    </w:pPr>
    <w:rPr>
      <w:rFonts w:asciiTheme="minorHAnsi" w:hAnsiTheme="minorHAnsi" w:eastAsiaTheme="minorEastAsia" w:cstheme="minorBidi"/>
      <w:spacing w:val="15"/>
      <w:szCs w:val="22"/>
    </w:rPr>
  </w:style>
  <w:style w:type="character" w:customStyle="1" w:styleId="387">
    <w:name w:val="表内容 Char"/>
    <w:link w:val="161"/>
    <w:uiPriority w:val="0"/>
    <w:rPr>
      <w:rFonts w:ascii="Times New Roman" w:hAnsi="Times New Roman" w:eastAsia="宋体" w:cs="Times New Roman"/>
      <w:snapToGrid w:val="0"/>
      <w:sz w:val="24"/>
    </w:rPr>
  </w:style>
  <w:style w:type="character" w:customStyle="1" w:styleId="388">
    <w:name w:val="样式 样式 正文1 + 首行缩进:  2 字符 + 首行缩进:  2 字符1 Char"/>
    <w:link w:val="389"/>
    <w:uiPriority w:val="0"/>
  </w:style>
  <w:style w:type="paragraph" w:customStyle="1" w:styleId="389">
    <w:name w:val="样式 样式 正文1 + 首行缩进:  2 字符 + 首行缩进:  2 字符1"/>
    <w:basedOn w:val="358"/>
    <w:link w:val="388"/>
    <w:uiPriority w:val="0"/>
    <w:pPr>
      <w:ind w:firstLine="480"/>
    </w:pPr>
    <w:rPr>
      <w:rFonts w:asciiTheme="minorHAnsi"/>
      <w:sz w:val="21"/>
    </w:rPr>
  </w:style>
  <w:style w:type="character" w:customStyle="1" w:styleId="390">
    <w:name w:val="样式 段前: 0 磅 段后: 0 磅 Char"/>
    <w:link w:val="391"/>
    <w:uiPriority w:val="0"/>
    <w:rPr>
      <w:rFonts w:ascii="Calibri" w:hAnsi="Calibri"/>
      <w:spacing w:val="14"/>
      <w:sz w:val="24"/>
    </w:rPr>
  </w:style>
  <w:style w:type="paragraph" w:customStyle="1" w:styleId="391">
    <w:name w:val="样式 段前: 0 磅 段后: 0 磅"/>
    <w:basedOn w:val="1"/>
    <w:link w:val="390"/>
    <w:uiPriority w:val="0"/>
    <w:pPr>
      <w:adjustRightInd w:val="0"/>
      <w:snapToGrid w:val="0"/>
      <w:ind w:firstLine="567"/>
      <w:jc w:val="left"/>
    </w:pPr>
    <w:rPr>
      <w:rFonts w:ascii="Calibri" w:hAnsi="Calibri" w:eastAsiaTheme="minorEastAsia" w:cstheme="minorBidi"/>
      <w:spacing w:val="14"/>
    </w:rPr>
  </w:style>
  <w:style w:type="character" w:customStyle="1" w:styleId="392">
    <w:name w:val="正文缩进 Char Char Char Char Char"/>
    <w:uiPriority w:val="0"/>
    <w:rPr>
      <w:rFonts w:eastAsia="宋体"/>
      <w:kern w:val="2"/>
      <w:sz w:val="24"/>
      <w:lang w:val="en-US" w:eastAsia="zh-CN"/>
    </w:rPr>
  </w:style>
  <w:style w:type="character" w:customStyle="1" w:styleId="393">
    <w:name w:val="样式 样式 正文1 + 首行缩进:  2 字符 + 首行缩进:  2 字符 Char"/>
    <w:link w:val="394"/>
    <w:uiPriority w:val="0"/>
  </w:style>
  <w:style w:type="paragraph" w:customStyle="1" w:styleId="394">
    <w:name w:val="样式 样式 正文1 + 首行缩进:  2 字符 + 首行缩进:  2 字符"/>
    <w:basedOn w:val="358"/>
    <w:link w:val="393"/>
    <w:uiPriority w:val="0"/>
    <w:pPr>
      <w:ind w:firstLine="480"/>
    </w:pPr>
    <w:rPr>
      <w:rFonts w:asciiTheme="minorHAnsi"/>
      <w:sz w:val="21"/>
    </w:rPr>
  </w:style>
  <w:style w:type="character" w:customStyle="1" w:styleId="395">
    <w:name w:val="样式 正文1 + 首行缩进:  2 字符 Char"/>
    <w:uiPriority w:val="0"/>
    <w:rPr>
      <w:rFonts w:ascii="宋体" w:eastAsia="宋体"/>
      <w:kern w:val="2"/>
      <w:sz w:val="24"/>
      <w:lang w:val="en-US" w:eastAsia="zh-CN"/>
    </w:rPr>
  </w:style>
  <w:style w:type="character" w:customStyle="1" w:styleId="396">
    <w:name w:val="ht091"/>
    <w:uiPriority w:val="0"/>
    <w:rPr>
      <w:rFonts w:hint="eastAsia" w:ascii="宋体" w:hAnsi="宋体" w:eastAsia="宋体"/>
      <w:sz w:val="18"/>
    </w:rPr>
  </w:style>
  <w:style w:type="character" w:customStyle="1" w:styleId="397">
    <w:name w:val="李晓燕正文样式 Char"/>
    <w:link w:val="398"/>
    <w:uiPriority w:val="0"/>
    <w:rPr>
      <w:rFonts w:ascii="黑体" w:hAnsi="黑体"/>
      <w:sz w:val="24"/>
    </w:rPr>
  </w:style>
  <w:style w:type="paragraph" w:customStyle="1" w:styleId="398">
    <w:name w:val="李晓燕正文样式"/>
    <w:basedOn w:val="23"/>
    <w:link w:val="397"/>
    <w:uiPriority w:val="0"/>
    <w:pPr>
      <w:adjustRightInd w:val="0"/>
      <w:spacing w:after="0" w:line="400" w:lineRule="atLeast"/>
      <w:jc w:val="left"/>
      <w:textAlignment w:val="baseline"/>
    </w:pPr>
    <w:rPr>
      <w:rFonts w:ascii="黑体" w:hAnsi="黑体" w:eastAsiaTheme="minorEastAsia" w:cstheme="minorBidi"/>
    </w:rPr>
  </w:style>
  <w:style w:type="character" w:customStyle="1" w:styleId="399">
    <w:name w:val="正文# Char"/>
    <w:link w:val="400"/>
    <w:uiPriority w:val="0"/>
    <w:rPr>
      <w:sz w:val="24"/>
    </w:rPr>
  </w:style>
  <w:style w:type="paragraph" w:customStyle="1" w:styleId="400">
    <w:name w:val="正文#"/>
    <w:basedOn w:val="1"/>
    <w:link w:val="399"/>
    <w:uiPriority w:val="0"/>
    <w:pPr>
      <w:ind w:firstLine="480"/>
      <w:jc w:val="left"/>
    </w:pPr>
    <w:rPr>
      <w:rFonts w:asciiTheme="minorHAnsi" w:hAnsiTheme="minorHAnsi" w:eastAsiaTheme="minorEastAsia" w:cstheme="minorBidi"/>
    </w:rPr>
  </w:style>
  <w:style w:type="character" w:customStyle="1" w:styleId="401">
    <w:name w:val="样式 宋体 四号"/>
    <w:uiPriority w:val="0"/>
    <w:rPr>
      <w:rFonts w:ascii="Times New Roman" w:hAnsi="Times New Roman"/>
      <w:sz w:val="28"/>
    </w:rPr>
  </w:style>
  <w:style w:type="character" w:customStyle="1" w:styleId="402">
    <w:name w:val="1正文 Char"/>
    <w:link w:val="403"/>
    <w:uiPriority w:val="0"/>
    <w:rPr>
      <w:rFonts w:eastAsia="楷体_GB2312"/>
      <w:sz w:val="30"/>
    </w:rPr>
  </w:style>
  <w:style w:type="paragraph" w:customStyle="1" w:styleId="403">
    <w:name w:val="1正文"/>
    <w:basedOn w:val="1"/>
    <w:link w:val="402"/>
    <w:uiPriority w:val="0"/>
    <w:pPr>
      <w:spacing w:line="500" w:lineRule="exact"/>
      <w:ind w:firstLine="588" w:firstLineChars="196"/>
      <w:jc w:val="left"/>
    </w:pPr>
    <w:rPr>
      <w:rFonts w:eastAsia="楷体_GB2312" w:asciiTheme="minorHAnsi" w:hAnsiTheme="minorHAnsi" w:cstheme="minorBidi"/>
      <w:sz w:val="30"/>
    </w:rPr>
  </w:style>
  <w:style w:type="character" w:customStyle="1" w:styleId="404">
    <w:name w:val="样式 正文首行缩进2 + 首行缩进:  0.95 厘米 Char"/>
    <w:link w:val="405"/>
    <w:uiPriority w:val="0"/>
    <w:rPr>
      <w:color w:val="000000"/>
      <w:spacing w:val="14"/>
      <w:sz w:val="24"/>
    </w:rPr>
  </w:style>
  <w:style w:type="paragraph" w:customStyle="1" w:styleId="405">
    <w:name w:val="样式 正文首行缩进2 + 首行缩进:  0.95 厘米"/>
    <w:basedOn w:val="1"/>
    <w:link w:val="404"/>
    <w:uiPriority w:val="0"/>
    <w:pPr>
      <w:adjustRightInd w:val="0"/>
      <w:snapToGrid w:val="0"/>
      <w:ind w:firstLine="536"/>
      <w:jc w:val="left"/>
    </w:pPr>
    <w:rPr>
      <w:rFonts w:asciiTheme="minorHAnsi" w:hAnsiTheme="minorHAnsi" w:eastAsiaTheme="minorEastAsia" w:cstheme="minorBidi"/>
      <w:color w:val="000000"/>
      <w:spacing w:val="14"/>
    </w:rPr>
  </w:style>
  <w:style w:type="character" w:customStyle="1" w:styleId="406">
    <w:name w:val="标题3 Char"/>
    <w:uiPriority w:val="0"/>
    <w:rPr>
      <w:rFonts w:ascii="黑体" w:eastAsia="黑体"/>
      <w:kern w:val="2"/>
      <w:sz w:val="24"/>
      <w:lang w:val="en-US" w:eastAsia="zh-CN"/>
    </w:rPr>
  </w:style>
  <w:style w:type="character" w:customStyle="1" w:styleId="407">
    <w:name w:val="xyb自建表格名称 Char Char"/>
    <w:link w:val="408"/>
    <w:uiPriority w:val="0"/>
    <w:rPr>
      <w:rFonts w:ascii="宋体" w:hAnsi="宋体"/>
      <w:sz w:val="24"/>
    </w:rPr>
  </w:style>
  <w:style w:type="paragraph" w:customStyle="1" w:styleId="408">
    <w:name w:val="xyb自建表格名称 Char"/>
    <w:basedOn w:val="1"/>
    <w:link w:val="407"/>
    <w:uiPriority w:val="0"/>
    <w:pPr>
      <w:jc w:val="center"/>
    </w:pPr>
    <w:rPr>
      <w:rFonts w:ascii="宋体" w:hAnsi="宋体" w:eastAsiaTheme="minorEastAsia" w:cstheme="minorBidi"/>
    </w:rPr>
  </w:style>
  <w:style w:type="character" w:customStyle="1" w:styleId="409">
    <w:name w:val="样式 报告正文 + 字符缩放: 110% Char"/>
    <w:link w:val="410"/>
    <w:uiPriority w:val="0"/>
    <w:rPr>
      <w:sz w:val="24"/>
    </w:rPr>
  </w:style>
  <w:style w:type="paragraph" w:customStyle="1" w:styleId="410">
    <w:name w:val="样式 报告正文 + 字符缩放: 110%"/>
    <w:basedOn w:val="1"/>
    <w:link w:val="409"/>
    <w:uiPriority w:val="0"/>
    <w:pPr>
      <w:ind w:firstLine="536"/>
      <w:jc w:val="left"/>
    </w:pPr>
    <w:rPr>
      <w:rFonts w:asciiTheme="minorHAnsi" w:hAnsiTheme="minorHAnsi" w:eastAsiaTheme="minorEastAsia" w:cstheme="minorBidi"/>
    </w:rPr>
  </w:style>
  <w:style w:type="character" w:customStyle="1" w:styleId="411">
    <w:name w:val="正文* Char"/>
    <w:link w:val="412"/>
    <w:uiPriority w:val="0"/>
  </w:style>
  <w:style w:type="paragraph" w:customStyle="1" w:styleId="412">
    <w:name w:val="正文*"/>
    <w:basedOn w:val="403"/>
    <w:link w:val="411"/>
    <w:uiPriority w:val="0"/>
    <w:rPr>
      <w:rFonts w:eastAsiaTheme="minorEastAsia"/>
      <w:sz w:val="21"/>
    </w:rPr>
  </w:style>
  <w:style w:type="paragraph" w:customStyle="1" w:styleId="413">
    <w:name w:val="正文样式1"/>
    <w:basedOn w:val="1"/>
    <w:uiPriority w:val="0"/>
    <w:pPr>
      <w:adjustRightInd w:val="0"/>
      <w:snapToGrid w:val="0"/>
      <w:ind w:firstLine="482"/>
      <w:jc w:val="left"/>
      <w:textAlignment w:val="baseline"/>
    </w:pPr>
    <w:rPr>
      <w:snapToGrid w:val="0"/>
      <w:spacing w:val="10"/>
      <w:kern w:val="0"/>
      <w:szCs w:val="20"/>
    </w:rPr>
  </w:style>
  <w:style w:type="paragraph" w:customStyle="1" w:styleId="414">
    <w:name w:val="正文A1"/>
    <w:basedOn w:val="1"/>
    <w:uiPriority w:val="0"/>
    <w:pPr>
      <w:adjustRightInd w:val="0"/>
      <w:ind w:firstLine="482"/>
      <w:jc w:val="left"/>
      <w:textAlignment w:val="baseline"/>
    </w:pPr>
    <w:rPr>
      <w:kern w:val="0"/>
      <w:szCs w:val="20"/>
    </w:rPr>
  </w:style>
  <w:style w:type="paragraph" w:customStyle="1" w:styleId="415">
    <w:name w:val="表格(左对齐五号)"/>
    <w:basedOn w:val="1"/>
    <w:next w:val="1"/>
    <w:uiPriority w:val="0"/>
    <w:pPr>
      <w:spacing w:line="240" w:lineRule="atLeast"/>
      <w:ind w:left="-42"/>
      <w:jc w:val="left"/>
    </w:pPr>
    <w:rPr>
      <w:szCs w:val="20"/>
    </w:rPr>
  </w:style>
  <w:style w:type="paragraph" w:customStyle="1" w:styleId="416">
    <w:name w:val="扉页标题4"/>
    <w:basedOn w:val="1"/>
    <w:next w:val="1"/>
    <w:uiPriority w:val="0"/>
    <w:pPr>
      <w:adjustRightInd w:val="0"/>
      <w:snapToGrid w:val="0"/>
      <w:ind w:left="-42"/>
      <w:jc w:val="center"/>
    </w:pPr>
    <w:rPr>
      <w:b/>
      <w:sz w:val="48"/>
      <w:szCs w:val="20"/>
    </w:rPr>
  </w:style>
  <w:style w:type="paragraph" w:customStyle="1" w:styleId="417">
    <w:name w:val="xl66"/>
    <w:basedOn w:val="1"/>
    <w:uiPriority w:val="0"/>
    <w:pPr>
      <w:widowControl/>
      <w:spacing w:before="100" w:beforeAutospacing="1" w:after="100" w:afterAutospacing="1"/>
      <w:jc w:val="center"/>
      <w:textAlignment w:val="bottom"/>
    </w:pPr>
    <w:rPr>
      <w:color w:val="000000"/>
      <w:kern w:val="0"/>
      <w:sz w:val="20"/>
      <w:szCs w:val="20"/>
    </w:rPr>
  </w:style>
  <w:style w:type="paragraph" w:customStyle="1" w:styleId="418">
    <w:name w:val="xl4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0"/>
    </w:rPr>
  </w:style>
  <w:style w:type="paragraph" w:customStyle="1" w:styleId="419">
    <w:name w:val="表格体"/>
    <w:basedOn w:val="1"/>
    <w:uiPriority w:val="0"/>
    <w:pPr>
      <w:adjustRightInd w:val="0"/>
      <w:snapToGrid w:val="0"/>
      <w:jc w:val="center"/>
    </w:pPr>
    <w:rPr>
      <w:szCs w:val="20"/>
    </w:rPr>
  </w:style>
  <w:style w:type="paragraph" w:customStyle="1" w:styleId="420">
    <w:name w:val="表格标题(小四)"/>
    <w:basedOn w:val="1"/>
    <w:next w:val="1"/>
    <w:uiPriority w:val="0"/>
    <w:pPr>
      <w:ind w:left="-42"/>
      <w:jc w:val="center"/>
    </w:pPr>
    <w:rPr>
      <w:szCs w:val="20"/>
      <w:u w:val="double"/>
    </w:rPr>
  </w:style>
  <w:style w:type="paragraph" w:customStyle="1" w:styleId="421">
    <w:name w:val="xl6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color w:val="000000"/>
      <w:kern w:val="0"/>
      <w:sz w:val="18"/>
      <w:szCs w:val="20"/>
    </w:rPr>
  </w:style>
  <w:style w:type="paragraph" w:customStyle="1" w:styleId="422">
    <w:name w:val="级别表格里目录"/>
    <w:basedOn w:val="423"/>
    <w:uiPriority w:val="0"/>
    <w:pPr>
      <w:spacing w:before="0" w:beforeLines="0" w:after="0" w:afterLines="0"/>
      <w:jc w:val="both"/>
    </w:pPr>
    <w:rPr>
      <w:color w:val="000000"/>
    </w:rPr>
  </w:style>
  <w:style w:type="paragraph" w:customStyle="1" w:styleId="423">
    <w:name w:val="级别表格头目录"/>
    <w:basedOn w:val="383"/>
    <w:uiPriority w:val="0"/>
    <w:pPr>
      <w:spacing w:before="156" w:beforeLines="50" w:after="156" w:afterLines="50" w:line="240" w:lineRule="auto"/>
      <w:jc w:val="center"/>
      <w:outlineLvl w:val="9"/>
    </w:pPr>
  </w:style>
  <w:style w:type="paragraph" w:customStyle="1" w:styleId="424">
    <w:name w:val="样式 标题 3 + 小三 非加粗 黑色"/>
    <w:basedOn w:val="5"/>
    <w:uiPriority w:val="0"/>
    <w:pPr>
      <w:widowControl/>
      <w:spacing w:before="120" w:beforeLines="50" w:after="120" w:afterLines="50" w:line="240" w:lineRule="auto"/>
      <w:ind w:firstLine="200" w:firstLineChars="200"/>
      <w:jc w:val="left"/>
    </w:pPr>
    <w:rPr>
      <w:bCs w:val="0"/>
      <w:color w:val="000000"/>
      <w:kern w:val="0"/>
      <w:sz w:val="30"/>
      <w:szCs w:val="20"/>
    </w:rPr>
  </w:style>
  <w:style w:type="paragraph" w:customStyle="1" w:styleId="425">
    <w:name w:val="目录3"/>
    <w:basedOn w:val="1"/>
    <w:uiPriority w:val="0"/>
    <w:pPr>
      <w:widowControl/>
      <w:tabs>
        <w:tab w:val="left" w:leader="dot" w:pos="7370"/>
      </w:tabs>
      <w:spacing w:line="317" w:lineRule="atLeast"/>
      <w:ind w:firstLine="419"/>
      <w:jc w:val="left"/>
      <w:textAlignment w:val="baseline"/>
    </w:pPr>
    <w:rPr>
      <w:color w:val="000000"/>
      <w:kern w:val="0"/>
      <w:szCs w:val="20"/>
      <w:u w:color="000000"/>
    </w:rPr>
  </w:style>
  <w:style w:type="paragraph" w:customStyle="1" w:styleId="426">
    <w:name w:val="xl42"/>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olor w:val="FF0000"/>
      <w:kern w:val="0"/>
      <w:sz w:val="22"/>
      <w:szCs w:val="20"/>
    </w:rPr>
  </w:style>
  <w:style w:type="paragraph" w:customStyle="1" w:styleId="427">
    <w:name w:val="A4页面"/>
    <w:basedOn w:val="1"/>
    <w:uiPriority w:val="0"/>
    <w:pPr>
      <w:spacing w:line="560" w:lineRule="exact"/>
      <w:ind w:firstLine="640"/>
      <w:jc w:val="left"/>
    </w:pPr>
    <w:rPr>
      <w:rFonts w:eastAsia="仿宋_GB2312"/>
      <w:sz w:val="32"/>
      <w:szCs w:val="20"/>
    </w:rPr>
  </w:style>
  <w:style w:type="paragraph" w:customStyle="1" w:styleId="428">
    <w:name w:val="表格(左对齐小四)"/>
    <w:basedOn w:val="1"/>
    <w:next w:val="1"/>
    <w:uiPriority w:val="0"/>
    <w:pPr>
      <w:widowControl/>
      <w:adjustRightInd w:val="0"/>
      <w:snapToGrid w:val="0"/>
      <w:spacing w:line="240" w:lineRule="atLeast"/>
      <w:ind w:left="-42"/>
      <w:jc w:val="left"/>
    </w:pPr>
    <w:rPr>
      <w:kern w:val="0"/>
      <w:szCs w:val="20"/>
    </w:rPr>
  </w:style>
  <w:style w:type="paragraph" w:customStyle="1" w:styleId="429">
    <w:name w:val="xl52"/>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olor w:val="FF00FF"/>
      <w:kern w:val="0"/>
      <w:sz w:val="20"/>
      <w:szCs w:val="20"/>
    </w:rPr>
  </w:style>
  <w:style w:type="paragraph" w:customStyle="1" w:styleId="430">
    <w:name w:val="xl5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20"/>
    </w:rPr>
  </w:style>
  <w:style w:type="paragraph" w:customStyle="1" w:styleId="431">
    <w:name w:val="xl5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18"/>
      <w:szCs w:val="20"/>
    </w:rPr>
  </w:style>
  <w:style w:type="paragraph" w:customStyle="1" w:styleId="432">
    <w:name w:val="xl64"/>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olor w:val="000000"/>
      <w:kern w:val="0"/>
      <w:szCs w:val="20"/>
    </w:rPr>
  </w:style>
  <w:style w:type="paragraph" w:customStyle="1" w:styleId="433">
    <w:name w:val="标格标题"/>
    <w:basedOn w:val="177"/>
    <w:next w:val="177"/>
    <w:uiPriority w:val="0"/>
    <w:pPr>
      <w:adjustRightInd/>
      <w:jc w:val="center"/>
    </w:pPr>
    <w:rPr>
      <w:rFonts w:ascii="Times New Roman" w:hAnsi="Times New Roman"/>
      <w:b/>
    </w:rPr>
  </w:style>
  <w:style w:type="paragraph" w:customStyle="1" w:styleId="434">
    <w:name w:val="简单回函地址"/>
    <w:basedOn w:val="1"/>
    <w:uiPriority w:val="0"/>
    <w:pPr>
      <w:jc w:val="left"/>
    </w:pPr>
    <w:rPr>
      <w:rFonts w:ascii="宋体" w:hAnsi="宋体"/>
      <w:szCs w:val="20"/>
    </w:rPr>
  </w:style>
  <w:style w:type="paragraph" w:customStyle="1" w:styleId="435">
    <w:name w:val="样式-图"/>
    <w:basedOn w:val="1"/>
    <w:uiPriority w:val="0"/>
    <w:pPr>
      <w:adjustRightInd w:val="0"/>
      <w:snapToGrid w:val="0"/>
      <w:jc w:val="center"/>
    </w:pPr>
    <w:rPr>
      <w:rFonts w:ascii="宋体" w:hAnsi="宋体"/>
      <w:spacing w:val="14"/>
      <w:kern w:val="28"/>
      <w:szCs w:val="20"/>
    </w:rPr>
  </w:style>
  <w:style w:type="paragraph" w:customStyle="1" w:styleId="436">
    <w:name w:val="xl59"/>
    <w:basedOn w:val="1"/>
    <w:uiPriority w:val="0"/>
    <w:pPr>
      <w:widowControl/>
      <w:spacing w:before="100" w:beforeAutospacing="1" w:after="100" w:afterAutospacing="1"/>
      <w:jc w:val="left"/>
    </w:pPr>
    <w:rPr>
      <w:rFonts w:ascii="宋体" w:hAnsi="宋体"/>
      <w:b/>
      <w:color w:val="000000"/>
      <w:kern w:val="0"/>
      <w:sz w:val="18"/>
      <w:szCs w:val="20"/>
    </w:rPr>
  </w:style>
  <w:style w:type="paragraph" w:customStyle="1" w:styleId="437">
    <w:name w:val="16"/>
    <w:basedOn w:val="1"/>
    <w:uiPriority w:val="0"/>
    <w:pPr>
      <w:widowControl/>
      <w:snapToGrid w:val="0"/>
      <w:spacing w:before="100" w:beforeAutospacing="1" w:after="100" w:afterAutospacing="1"/>
      <w:jc w:val="left"/>
    </w:pPr>
    <w:rPr>
      <w:b/>
      <w:kern w:val="0"/>
      <w:szCs w:val="20"/>
    </w:rPr>
  </w:style>
  <w:style w:type="paragraph" w:customStyle="1" w:styleId="438">
    <w:name w:val="样式 小四 段前: 7.8 磅 段后: 7.8 磅 行距: 1.5 倍行距"/>
    <w:basedOn w:val="1"/>
    <w:link w:val="567"/>
    <w:uiPriority w:val="0"/>
    <w:pPr>
      <w:spacing w:before="156" w:after="156"/>
      <w:ind w:firstLine="536"/>
      <w:jc w:val="left"/>
    </w:pPr>
    <w:rPr>
      <w:color w:val="FF0000"/>
      <w:spacing w:val="15"/>
      <w:szCs w:val="20"/>
    </w:rPr>
  </w:style>
  <w:style w:type="paragraph" w:customStyle="1" w:styleId="439">
    <w:name w:val="xl43"/>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olor w:val="FF0000"/>
      <w:kern w:val="0"/>
      <w:sz w:val="22"/>
      <w:szCs w:val="20"/>
    </w:rPr>
  </w:style>
  <w:style w:type="paragraph" w:customStyle="1" w:styleId="440">
    <w:name w:val="xl5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olor w:val="000000"/>
      <w:kern w:val="0"/>
      <w:sz w:val="18"/>
      <w:szCs w:val="20"/>
    </w:rPr>
  </w:style>
  <w:style w:type="paragraph" w:customStyle="1" w:styleId="441">
    <w:name w:val="样式 标题 4 + Times New Roman 黑色"/>
    <w:basedOn w:val="6"/>
    <w:uiPriority w:val="0"/>
    <w:pPr>
      <w:widowControl/>
      <w:spacing w:beforeLines="50" w:afterLines="50" w:line="240" w:lineRule="auto"/>
      <w:ind w:firstLine="200" w:firstLineChars="200"/>
      <w:jc w:val="left"/>
    </w:pPr>
    <w:rPr>
      <w:rFonts w:eastAsia="宋体" w:cs="Times New Roman"/>
      <w:bCs w:val="0"/>
      <w:color w:val="000000"/>
      <w:kern w:val="0"/>
      <w:szCs w:val="20"/>
      <w:lang w:val="zh-CN" w:eastAsia="zh-CN"/>
    </w:rPr>
  </w:style>
  <w:style w:type="paragraph" w:customStyle="1" w:styleId="442">
    <w:name w:val="级别2目录"/>
    <w:basedOn w:val="1"/>
    <w:uiPriority w:val="0"/>
    <w:pPr>
      <w:spacing w:before="156" w:beforeLines="50" w:after="156" w:afterLines="50"/>
      <w:jc w:val="left"/>
      <w:outlineLvl w:val="1"/>
    </w:pPr>
    <w:rPr>
      <w:b/>
      <w:sz w:val="28"/>
      <w:szCs w:val="20"/>
    </w:rPr>
  </w:style>
  <w:style w:type="paragraph" w:customStyle="1" w:styleId="443">
    <w:name w:val="标题a2"/>
    <w:basedOn w:val="4"/>
    <w:uiPriority w:val="0"/>
    <w:pPr>
      <w:adjustRightInd w:val="0"/>
      <w:snapToGrid w:val="0"/>
      <w:spacing w:before="156" w:after="156"/>
      <w:jc w:val="left"/>
    </w:pPr>
    <w:rPr>
      <w:rFonts w:eastAsia="宋体" w:cs="Times New Roman"/>
      <w:b/>
      <w:bCs w:val="0"/>
      <w:sz w:val="24"/>
      <w:szCs w:val="20"/>
      <w:lang w:val="zh-CN" w:eastAsia="zh-CN"/>
    </w:rPr>
  </w:style>
  <w:style w:type="paragraph" w:customStyle="1" w:styleId="444">
    <w:name w:val="样式 样式 小四 段前: 7.8 磅 段后: 7.8 磅 行距: 1.5 倍行距 + 首行缩进:  2 字符"/>
    <w:basedOn w:val="1"/>
    <w:uiPriority w:val="0"/>
    <w:pPr>
      <w:ind w:firstLine="480"/>
      <w:jc w:val="left"/>
    </w:pPr>
    <w:rPr>
      <w:color w:val="000000"/>
      <w:kern w:val="0"/>
      <w:szCs w:val="20"/>
    </w:rPr>
  </w:style>
  <w:style w:type="paragraph" w:customStyle="1" w:styleId="445">
    <w:name w:val="XCHG论文正文"/>
    <w:basedOn w:val="1"/>
    <w:uiPriority w:val="0"/>
    <w:pPr>
      <w:spacing w:line="300" w:lineRule="auto"/>
      <w:ind w:firstLine="480"/>
      <w:jc w:val="left"/>
    </w:pPr>
    <w:rPr>
      <w:color w:val="000000"/>
      <w:szCs w:val="20"/>
    </w:rPr>
  </w:style>
  <w:style w:type="paragraph" w:customStyle="1" w:styleId="446">
    <w:name w:val="xl4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0"/>
    </w:rPr>
  </w:style>
  <w:style w:type="paragraph" w:customStyle="1" w:styleId="447">
    <w:name w:val="Char Char Char Char Char Char Char Char Char Char Char Char Char Char Char Char Char Char Char Char Char Char Char Char Char Char Char Char Char Char Char Char Char Char Char Char Char Char Char Char Char Char Char Char Char Char"/>
    <w:basedOn w:val="1"/>
    <w:next w:val="1"/>
    <w:uiPriority w:val="0"/>
    <w:pPr>
      <w:pBdr>
        <w:right w:val="single" w:color="auto" w:sz="12" w:space="4"/>
      </w:pBdr>
      <w:jc w:val="left"/>
    </w:pPr>
    <w:rPr>
      <w:rFonts w:ascii="宋体" w:hAnsi="宋体"/>
      <w:szCs w:val="20"/>
    </w:rPr>
  </w:style>
  <w:style w:type="paragraph" w:customStyle="1" w:styleId="448">
    <w:name w:val="表格(居中小四)"/>
    <w:basedOn w:val="1"/>
    <w:next w:val="1"/>
    <w:uiPriority w:val="0"/>
    <w:pPr>
      <w:adjustRightInd w:val="0"/>
      <w:snapToGrid w:val="0"/>
      <w:spacing w:line="280" w:lineRule="exact"/>
      <w:ind w:left="-42"/>
      <w:jc w:val="center"/>
    </w:pPr>
    <w:rPr>
      <w:szCs w:val="20"/>
    </w:rPr>
  </w:style>
  <w:style w:type="paragraph" w:customStyle="1" w:styleId="449">
    <w:name w:val="表目录"/>
    <w:basedOn w:val="1"/>
    <w:uiPriority w:val="0"/>
    <w:pPr>
      <w:jc w:val="left"/>
    </w:pPr>
    <w:rPr>
      <w:rFonts w:eastAsia="黑体"/>
      <w:sz w:val="28"/>
      <w:szCs w:val="20"/>
    </w:rPr>
  </w:style>
  <w:style w:type="paragraph" w:customStyle="1" w:styleId="450">
    <w:name w:val="样式 标题 2 + Times New Roman 黑色"/>
    <w:basedOn w:val="4"/>
    <w:uiPriority w:val="0"/>
    <w:pPr>
      <w:widowControl/>
      <w:spacing w:before="240" w:after="240" w:line="240" w:lineRule="auto"/>
      <w:ind w:left="324"/>
      <w:jc w:val="left"/>
    </w:pPr>
    <w:rPr>
      <w:rFonts w:eastAsia="宋体" w:cs="Times New Roman"/>
      <w:bCs w:val="0"/>
      <w:color w:val="000000"/>
      <w:kern w:val="0"/>
      <w:sz w:val="32"/>
      <w:szCs w:val="20"/>
      <w:lang w:val="zh-CN" w:eastAsia="zh-CN"/>
    </w:rPr>
  </w:style>
  <w:style w:type="paragraph" w:customStyle="1" w:styleId="451">
    <w:name w:val="18"/>
    <w:basedOn w:val="1"/>
    <w:uiPriority w:val="0"/>
    <w:pPr>
      <w:widowControl/>
      <w:snapToGrid w:val="0"/>
      <w:spacing w:before="100" w:beforeAutospacing="1" w:after="100" w:afterAutospacing="1"/>
      <w:jc w:val="left"/>
    </w:pPr>
    <w:rPr>
      <w:rFonts w:ascii="宋体" w:hAnsi="宋体"/>
      <w:kern w:val="0"/>
      <w:szCs w:val="20"/>
    </w:rPr>
  </w:style>
  <w:style w:type="paragraph" w:customStyle="1" w:styleId="452">
    <w:name w:val="15"/>
    <w:basedOn w:val="1"/>
    <w:uiPriority w:val="0"/>
    <w:pPr>
      <w:widowControl/>
      <w:snapToGrid w:val="0"/>
      <w:spacing w:before="100" w:beforeAutospacing="1" w:after="100" w:afterAutospacing="1"/>
      <w:jc w:val="left"/>
    </w:pPr>
    <w:rPr>
      <w:kern w:val="0"/>
      <w:sz w:val="20"/>
      <w:szCs w:val="20"/>
    </w:rPr>
  </w:style>
  <w:style w:type="paragraph" w:customStyle="1" w:styleId="453">
    <w:name w:val="级别3目录"/>
    <w:basedOn w:val="1"/>
    <w:uiPriority w:val="0"/>
    <w:pPr>
      <w:jc w:val="left"/>
      <w:outlineLvl w:val="2"/>
    </w:pPr>
    <w:rPr>
      <w:b/>
      <w:szCs w:val="20"/>
    </w:rPr>
  </w:style>
  <w:style w:type="paragraph" w:customStyle="1" w:styleId="454">
    <w:name w:val="表格标题(四号)"/>
    <w:basedOn w:val="1"/>
    <w:next w:val="1"/>
    <w:uiPriority w:val="0"/>
    <w:pPr>
      <w:ind w:left="-42"/>
      <w:jc w:val="center"/>
    </w:pPr>
    <w:rPr>
      <w:sz w:val="28"/>
      <w:szCs w:val="20"/>
      <w:u w:val="double"/>
    </w:rPr>
  </w:style>
  <w:style w:type="paragraph" w:customStyle="1" w:styleId="455">
    <w:name w:val="xl63"/>
    <w:basedOn w:val="1"/>
    <w:uiPriority w:val="0"/>
    <w:pPr>
      <w:widowControl/>
      <w:spacing w:before="100" w:after="100"/>
      <w:jc w:val="center"/>
      <w:textAlignment w:val="center"/>
    </w:pPr>
    <w:rPr>
      <w:rFonts w:hint="eastAsia" w:ascii="黑体" w:hAnsi="宋体" w:eastAsia="黑体"/>
      <w:kern w:val="0"/>
      <w:szCs w:val="20"/>
    </w:rPr>
  </w:style>
  <w:style w:type="paragraph" w:customStyle="1" w:styleId="456">
    <w:name w:val="xl51"/>
    <w:basedOn w:val="1"/>
    <w:uiPriority w:val="0"/>
    <w:pPr>
      <w:widowControl/>
      <w:pBdr>
        <w:top w:val="single" w:color="auto" w:sz="4" w:space="0"/>
      </w:pBdr>
      <w:spacing w:before="100" w:beforeAutospacing="1" w:after="100" w:afterAutospacing="1"/>
      <w:jc w:val="left"/>
    </w:pPr>
    <w:rPr>
      <w:rFonts w:ascii="宋体" w:hAnsi="宋体"/>
      <w:kern w:val="0"/>
      <w:sz w:val="18"/>
      <w:szCs w:val="20"/>
    </w:rPr>
  </w:style>
  <w:style w:type="paragraph" w:customStyle="1" w:styleId="457">
    <w:name w:val="图表头"/>
    <w:basedOn w:val="1"/>
    <w:uiPriority w:val="0"/>
    <w:pPr>
      <w:adjustRightInd w:val="0"/>
      <w:snapToGrid w:val="0"/>
      <w:spacing w:before="156" w:beforeLines="50" w:after="156" w:afterLines="50"/>
      <w:jc w:val="center"/>
      <w:textAlignment w:val="baseline"/>
    </w:pPr>
    <w:rPr>
      <w:rFonts w:ascii="黑体" w:eastAsia="黑体"/>
      <w:color w:val="0000FF"/>
      <w:kern w:val="0"/>
      <w:szCs w:val="20"/>
    </w:rPr>
  </w:style>
  <w:style w:type="paragraph" w:customStyle="1" w:styleId="458">
    <w:name w:val="title4"/>
    <w:basedOn w:val="1"/>
    <w:uiPriority w:val="0"/>
    <w:pPr>
      <w:spacing w:before="156" w:beforeLines="50" w:line="480" w:lineRule="atLeast"/>
      <w:jc w:val="left"/>
    </w:pPr>
    <w:rPr>
      <w:b/>
      <w:sz w:val="28"/>
      <w:szCs w:val="20"/>
    </w:rPr>
  </w:style>
  <w:style w:type="paragraph" w:customStyle="1" w:styleId="459">
    <w:name w:val="Char Char1 Char Char Char Char Char Char Char Char Char Char Char Char Char Char Char Char Char Char Char Char Char Char Char Char Char Char Char Char"/>
    <w:basedOn w:val="1"/>
    <w:uiPriority w:val="0"/>
    <w:pPr>
      <w:jc w:val="left"/>
    </w:pPr>
    <w:rPr>
      <w:szCs w:val="20"/>
    </w:rPr>
  </w:style>
  <w:style w:type="paragraph" w:customStyle="1" w:styleId="460">
    <w:name w:val="正文001"/>
    <w:basedOn w:val="1"/>
    <w:link w:val="461"/>
    <w:uiPriority w:val="0"/>
    <w:pPr>
      <w:spacing w:before="60" w:line="420" w:lineRule="exact"/>
      <w:ind w:firstLine="482"/>
      <w:jc w:val="left"/>
    </w:pPr>
    <w:rPr>
      <w:szCs w:val="20"/>
      <w:lang w:val="zh-CN" w:eastAsia="zh-CN"/>
    </w:rPr>
  </w:style>
  <w:style w:type="character" w:customStyle="1" w:styleId="461">
    <w:name w:val="正文001 Char"/>
    <w:link w:val="460"/>
    <w:uiPriority w:val="0"/>
    <w:rPr>
      <w:rFonts w:ascii="Times New Roman" w:hAnsi="Times New Roman" w:eastAsia="宋体" w:cs="Times New Roman"/>
      <w:sz w:val="24"/>
      <w:szCs w:val="20"/>
      <w:lang w:val="zh-CN" w:eastAsia="zh-CN"/>
    </w:rPr>
  </w:style>
  <w:style w:type="paragraph" w:customStyle="1" w:styleId="462">
    <w:name w:val="xl5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20"/>
    </w:rPr>
  </w:style>
  <w:style w:type="paragraph" w:customStyle="1" w:styleId="463">
    <w:name w:val="xl41"/>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olor w:val="FF0000"/>
      <w:kern w:val="0"/>
      <w:sz w:val="22"/>
      <w:szCs w:val="20"/>
    </w:rPr>
  </w:style>
  <w:style w:type="paragraph" w:customStyle="1" w:styleId="464">
    <w:name w:val="xl46"/>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olor w:val="FF0000"/>
      <w:kern w:val="0"/>
      <w:sz w:val="22"/>
      <w:szCs w:val="20"/>
    </w:rPr>
  </w:style>
  <w:style w:type="paragraph" w:customStyle="1" w:styleId="465">
    <w:name w:val="Char Char Char Char Char Char Char Char Char1 Char Char Char Char"/>
    <w:basedOn w:val="1"/>
    <w:uiPriority w:val="0"/>
    <w:pPr>
      <w:jc w:val="left"/>
    </w:pPr>
    <w:rPr>
      <w:rFonts w:ascii="宋体" w:hAnsi="宋体"/>
      <w:szCs w:val="20"/>
    </w:rPr>
  </w:style>
  <w:style w:type="paragraph" w:customStyle="1" w:styleId="466">
    <w:name w:val="样式 样式 宋体 四号 左 行距: 固定值 25 磅 + 首行缩进:  2 字符"/>
    <w:basedOn w:val="1"/>
    <w:uiPriority w:val="0"/>
    <w:pPr>
      <w:adjustRightInd w:val="0"/>
      <w:snapToGrid w:val="0"/>
      <w:spacing w:after="120" w:line="500" w:lineRule="exact"/>
      <w:ind w:firstLine="560"/>
      <w:jc w:val="left"/>
    </w:pPr>
    <w:rPr>
      <w:rFonts w:ascii="宋体" w:hAnsi="宋体"/>
      <w:snapToGrid w:val="0"/>
      <w:kern w:val="0"/>
      <w:sz w:val="28"/>
      <w:szCs w:val="20"/>
    </w:rPr>
  </w:style>
  <w:style w:type="paragraph" w:customStyle="1" w:styleId="467">
    <w:name w:val="xl5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20"/>
    </w:rPr>
  </w:style>
  <w:style w:type="paragraph" w:customStyle="1" w:styleId="468">
    <w:name w:val="xl65"/>
    <w:basedOn w:val="1"/>
    <w:uiPriority w:val="0"/>
    <w:pPr>
      <w:widowControl/>
      <w:pBdr>
        <w:left w:val="single" w:color="auto" w:sz="4" w:space="0"/>
      </w:pBdr>
      <w:spacing w:before="100" w:beforeAutospacing="1" w:after="100" w:afterAutospacing="1"/>
      <w:jc w:val="left"/>
    </w:pPr>
    <w:rPr>
      <w:rFonts w:ascii="Arial Unicode MS" w:hAnsi="Arial Unicode MS" w:eastAsia="Arial Unicode MS"/>
      <w:kern w:val="0"/>
      <w:szCs w:val="20"/>
    </w:rPr>
  </w:style>
  <w:style w:type="paragraph" w:customStyle="1" w:styleId="469">
    <w:name w:val="font1"/>
    <w:basedOn w:val="1"/>
    <w:uiPriority w:val="0"/>
    <w:pPr>
      <w:widowControl/>
      <w:spacing w:before="100" w:beforeAutospacing="1" w:after="100" w:afterAutospacing="1"/>
      <w:jc w:val="left"/>
    </w:pPr>
    <w:rPr>
      <w:rFonts w:hint="eastAsia" w:ascii="宋体" w:hAnsi="宋体"/>
      <w:kern w:val="0"/>
      <w:szCs w:val="20"/>
    </w:rPr>
  </w:style>
  <w:style w:type="paragraph" w:customStyle="1" w:styleId="470">
    <w:name w:val="样式经"/>
    <w:basedOn w:val="1"/>
    <w:uiPriority w:val="0"/>
    <w:pPr>
      <w:adjustRightInd w:val="0"/>
      <w:snapToGrid w:val="0"/>
      <w:ind w:firstLine="536"/>
      <w:jc w:val="center"/>
    </w:pPr>
    <w:rPr>
      <w:rFonts w:ascii="宋体" w:hAnsi="宋体"/>
      <w:spacing w:val="14"/>
      <w:kern w:val="28"/>
      <w:szCs w:val="20"/>
    </w:rPr>
  </w:style>
  <w:style w:type="paragraph" w:customStyle="1" w:styleId="471">
    <w:name w:val="xl5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18"/>
      <w:szCs w:val="20"/>
    </w:rPr>
  </w:style>
  <w:style w:type="paragraph" w:customStyle="1" w:styleId="472">
    <w:name w:val="xl49"/>
    <w:basedOn w:val="1"/>
    <w:uiPriority w:val="0"/>
    <w:pPr>
      <w:widowControl/>
      <w:pBdr>
        <w:top w:val="single" w:color="auto" w:sz="4" w:space="0"/>
      </w:pBdr>
      <w:spacing w:before="100" w:beforeAutospacing="1" w:after="100" w:afterAutospacing="1"/>
      <w:jc w:val="left"/>
    </w:pPr>
    <w:rPr>
      <w:rFonts w:ascii="宋体" w:hAnsi="宋体"/>
      <w:kern w:val="0"/>
      <w:sz w:val="22"/>
      <w:szCs w:val="20"/>
    </w:rPr>
  </w:style>
  <w:style w:type="paragraph" w:customStyle="1" w:styleId="473">
    <w:name w:val="样式 样式 样式 正文1 + 首行缩进:  2 字符 + (符号) 宋体 首行缩进:  2 字符 + 首行缩进:  2 字符"/>
    <w:basedOn w:val="1"/>
    <w:uiPriority w:val="0"/>
    <w:pPr>
      <w:ind w:firstLine="480"/>
      <w:jc w:val="left"/>
    </w:pPr>
    <w:rPr>
      <w:rFonts w:ascii="宋体" w:hAnsi="宋体"/>
      <w:snapToGrid w:val="0"/>
      <w:szCs w:val="20"/>
    </w:rPr>
  </w:style>
  <w:style w:type="paragraph" w:customStyle="1" w:styleId="474">
    <w:name w:val="样式 宋体 四号 两端对齐 首行缩进:  2 字符1"/>
    <w:basedOn w:val="1"/>
    <w:uiPriority w:val="0"/>
    <w:pPr>
      <w:widowControl/>
      <w:ind w:firstLine="650"/>
      <w:jc w:val="left"/>
    </w:pPr>
    <w:rPr>
      <w:kern w:val="0"/>
      <w:sz w:val="28"/>
      <w:szCs w:val="20"/>
    </w:rPr>
  </w:style>
  <w:style w:type="paragraph" w:customStyle="1" w:styleId="475">
    <w:name w:val="Char Char Char"/>
    <w:basedOn w:val="1"/>
    <w:qFormat/>
    <w:uiPriority w:val="0"/>
    <w:pPr>
      <w:jc w:val="left"/>
    </w:pPr>
    <w:rPr>
      <w:szCs w:val="20"/>
    </w:rPr>
  </w:style>
  <w:style w:type="paragraph" w:customStyle="1" w:styleId="476">
    <w:name w:val="Char Char Char2 Char Char Char Char"/>
    <w:basedOn w:val="1"/>
    <w:uiPriority w:val="0"/>
    <w:pPr>
      <w:ind w:firstLine="536"/>
      <w:jc w:val="left"/>
    </w:pPr>
    <w:rPr>
      <w:spacing w:val="14"/>
      <w:szCs w:val="20"/>
    </w:rPr>
  </w:style>
  <w:style w:type="paragraph" w:customStyle="1" w:styleId="477">
    <w:name w:val="xl53"/>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color w:val="000000"/>
      <w:kern w:val="0"/>
      <w:sz w:val="18"/>
      <w:szCs w:val="20"/>
    </w:rPr>
  </w:style>
  <w:style w:type="paragraph" w:customStyle="1" w:styleId="478">
    <w:name w:val="表样"/>
    <w:basedOn w:val="1"/>
    <w:uiPriority w:val="0"/>
    <w:pPr>
      <w:adjustRightInd w:val="0"/>
      <w:snapToGrid w:val="0"/>
      <w:jc w:val="center"/>
      <w:textAlignment w:val="baseline"/>
    </w:pPr>
    <w:rPr>
      <w:kern w:val="0"/>
      <w:szCs w:val="20"/>
    </w:rPr>
  </w:style>
  <w:style w:type="character" w:customStyle="1" w:styleId="479">
    <w:name w:val="正文文本（使用1） Char"/>
    <w:link w:val="480"/>
    <w:uiPriority w:val="0"/>
    <w:rPr>
      <w:rFonts w:ascii="宋体"/>
      <w:color w:val="0000FF"/>
      <w:sz w:val="24"/>
    </w:rPr>
  </w:style>
  <w:style w:type="paragraph" w:customStyle="1" w:styleId="480">
    <w:name w:val="正文文本（使用1）"/>
    <w:basedOn w:val="1"/>
    <w:link w:val="479"/>
    <w:uiPriority w:val="0"/>
    <w:pPr>
      <w:adjustRightInd w:val="0"/>
      <w:snapToGrid w:val="0"/>
      <w:ind w:firstLine="480"/>
      <w:jc w:val="left"/>
    </w:pPr>
    <w:rPr>
      <w:rFonts w:ascii="宋体" w:hAnsiTheme="minorHAnsi" w:eastAsiaTheme="minorEastAsia" w:cstheme="minorBidi"/>
      <w:color w:val="0000FF"/>
    </w:rPr>
  </w:style>
  <w:style w:type="paragraph" w:customStyle="1" w:styleId="481">
    <w:name w:val="fwh"/>
    <w:basedOn w:val="1"/>
    <w:uiPriority w:val="0"/>
    <w:pPr>
      <w:adjustRightInd w:val="0"/>
      <w:snapToGrid w:val="0"/>
      <w:ind w:firstLine="561" w:firstLineChars="187"/>
      <w:jc w:val="left"/>
    </w:pPr>
    <w:rPr>
      <w:rFonts w:ascii="仿宋_GB2312" w:eastAsia="仿宋_GB2312"/>
      <w:color w:val="000000"/>
      <w:sz w:val="30"/>
      <w:szCs w:val="30"/>
    </w:rPr>
  </w:style>
  <w:style w:type="paragraph" w:customStyle="1" w:styleId="482">
    <w:name w:val="初正文"/>
    <w:uiPriority w:val="0"/>
    <w:pPr>
      <w:widowControl w:val="0"/>
      <w:spacing w:line="360" w:lineRule="auto"/>
      <w:jc w:val="both"/>
    </w:pPr>
    <w:rPr>
      <w:rFonts w:ascii="Times New Roman" w:hAnsi="Times New Roman" w:eastAsia="宋体" w:cs="Times New Roman"/>
      <w:color w:val="000000"/>
      <w:kern w:val="28"/>
      <w:sz w:val="28"/>
      <w:szCs w:val="20"/>
      <w:lang w:val="en-US" w:eastAsia="zh-CN" w:bidi="ar-SA"/>
    </w:rPr>
  </w:style>
  <w:style w:type="paragraph" w:customStyle="1" w:styleId="483">
    <w:name w:val="正文01"/>
    <w:basedOn w:val="1"/>
    <w:uiPriority w:val="0"/>
    <w:pPr>
      <w:spacing w:before="60" w:line="460" w:lineRule="exact"/>
      <w:jc w:val="left"/>
    </w:pPr>
    <w:rPr>
      <w:szCs w:val="20"/>
    </w:rPr>
  </w:style>
  <w:style w:type="character" w:customStyle="1" w:styleId="484">
    <w:name w:val="Subtle Emphasis"/>
    <w:uiPriority w:val="0"/>
    <w:rPr>
      <w:i/>
      <w:iCs/>
      <w:color w:val="808080"/>
    </w:rPr>
  </w:style>
  <w:style w:type="paragraph" w:customStyle="1" w:styleId="485">
    <w:name w:val="表、图名"/>
    <w:basedOn w:val="1"/>
    <w:link w:val="486"/>
    <w:semiHidden/>
    <w:uiPriority w:val="0"/>
    <w:pPr>
      <w:adjustRightInd w:val="0"/>
      <w:snapToGrid w:val="0"/>
      <w:jc w:val="center"/>
    </w:pPr>
    <w:rPr>
      <w:rFonts w:eastAsia="黑体"/>
      <w:kern w:val="0"/>
      <w:szCs w:val="21"/>
      <w:lang w:val="zh-CN" w:eastAsia="zh-CN"/>
    </w:rPr>
  </w:style>
  <w:style w:type="character" w:customStyle="1" w:styleId="486">
    <w:name w:val="表、图名 Char"/>
    <w:link w:val="485"/>
    <w:semiHidden/>
    <w:uiPriority w:val="0"/>
    <w:rPr>
      <w:rFonts w:ascii="Times New Roman" w:hAnsi="Times New Roman" w:eastAsia="黑体" w:cs="Times New Roman"/>
      <w:kern w:val="0"/>
      <w:sz w:val="24"/>
      <w:szCs w:val="21"/>
      <w:lang w:val="zh-CN" w:eastAsia="zh-CN"/>
    </w:rPr>
  </w:style>
  <w:style w:type="paragraph" w:customStyle="1" w:styleId="487">
    <w:name w:val="正文2 Char Char Char"/>
    <w:basedOn w:val="1"/>
    <w:uiPriority w:val="0"/>
    <w:pPr>
      <w:widowControl/>
      <w:spacing w:before="100" w:beforeAutospacing="1" w:after="100" w:afterAutospacing="1"/>
      <w:jc w:val="left"/>
    </w:pPr>
    <w:rPr>
      <w:kern w:val="0"/>
      <w:szCs w:val="21"/>
    </w:rPr>
  </w:style>
  <w:style w:type="paragraph" w:customStyle="1" w:styleId="488">
    <w:name w:val="TOC Heading"/>
    <w:basedOn w:val="3"/>
    <w:next w:val="1"/>
    <w:uiPriority w:val="39"/>
    <w:pPr>
      <w:widowControl/>
      <w:spacing w:before="480" w:line="276" w:lineRule="auto"/>
      <w:ind w:firstLine="200" w:firstLineChars="200"/>
      <w:outlineLvl w:val="9"/>
    </w:pPr>
    <w:rPr>
      <w:rFonts w:ascii="Cambria" w:hAnsi="Cambria" w:eastAsia="宋体"/>
      <w:b/>
      <w:color w:val="365F91"/>
      <w:kern w:val="0"/>
      <w:sz w:val="28"/>
      <w:szCs w:val="28"/>
      <w:lang w:val="zh-CN" w:eastAsia="zh-CN"/>
    </w:rPr>
  </w:style>
  <w:style w:type="character" w:customStyle="1" w:styleId="489">
    <w:name w:val="keyword1"/>
    <w:uiPriority w:val="0"/>
    <w:rPr>
      <w:color w:val="FF0000"/>
    </w:rPr>
  </w:style>
  <w:style w:type="character" w:customStyle="1" w:styleId="490">
    <w:name w:val="表头 Char1"/>
    <w:uiPriority w:val="0"/>
    <w:rPr>
      <w:b/>
      <w:kern w:val="2"/>
      <w:sz w:val="24"/>
    </w:rPr>
  </w:style>
  <w:style w:type="paragraph" w:customStyle="1" w:styleId="491">
    <w:name w:val="流程图"/>
    <w:basedOn w:val="1"/>
    <w:uiPriority w:val="0"/>
    <w:pPr>
      <w:tabs>
        <w:tab w:val="left" w:pos="0"/>
      </w:tabs>
      <w:autoSpaceDE w:val="0"/>
      <w:autoSpaceDN w:val="0"/>
      <w:adjustRightInd w:val="0"/>
      <w:spacing w:line="240" w:lineRule="atLeast"/>
      <w:jc w:val="center"/>
      <w:textAlignment w:val="bottom"/>
    </w:pPr>
    <w:rPr>
      <w:rFonts w:ascii="宋体"/>
      <w:szCs w:val="20"/>
    </w:rPr>
  </w:style>
  <w:style w:type="character" w:customStyle="1" w:styleId="492">
    <w:name w:val="a1"/>
    <w:uiPriority w:val="0"/>
    <w:rPr>
      <w:color w:val="333333"/>
      <w:sz w:val="16"/>
      <w:szCs w:val="16"/>
    </w:rPr>
  </w:style>
  <w:style w:type="paragraph" w:customStyle="1" w:styleId="493">
    <w:name w:val="正文文本缩进 311"/>
    <w:basedOn w:val="1"/>
    <w:uiPriority w:val="0"/>
    <w:pPr>
      <w:adjustRightInd w:val="0"/>
      <w:spacing w:line="480" w:lineRule="exact"/>
      <w:ind w:firstLine="570"/>
      <w:jc w:val="left"/>
      <w:textAlignment w:val="baseline"/>
    </w:pPr>
    <w:rPr>
      <w:rFonts w:hAnsi="宋体"/>
      <w:szCs w:val="20"/>
    </w:rPr>
  </w:style>
  <w:style w:type="character" w:customStyle="1" w:styleId="494">
    <w:name w:val="apple-style-span"/>
    <w:uiPriority w:val="0"/>
  </w:style>
  <w:style w:type="paragraph" w:customStyle="1" w:styleId="495">
    <w:name w:val="样式 段落中正文文本 + 右侧:  2 字符1"/>
    <w:basedOn w:val="1"/>
    <w:uiPriority w:val="0"/>
    <w:pPr>
      <w:jc w:val="left"/>
    </w:pPr>
    <w:rPr>
      <w:rFonts w:ascii="Calibri" w:hAnsi="Calibri"/>
    </w:rPr>
  </w:style>
  <w:style w:type="paragraph" w:customStyle="1" w:styleId="496">
    <w:name w:val="样式 样式 样式 首行缩进:  2 字符3 + 首行缩进:  2 字符 + 小四 蓝色 首行缩进:  2 字符"/>
    <w:basedOn w:val="1"/>
    <w:uiPriority w:val="0"/>
    <w:pPr>
      <w:tabs>
        <w:tab w:val="left" w:pos="6936"/>
      </w:tabs>
      <w:ind w:firstLine="536"/>
      <w:jc w:val="left"/>
    </w:pPr>
    <w:rPr>
      <w:snapToGrid w:val="0"/>
      <w:spacing w:val="14"/>
      <w:kern w:val="0"/>
      <w:szCs w:val="20"/>
    </w:rPr>
  </w:style>
  <w:style w:type="paragraph" w:customStyle="1" w:styleId="497">
    <w:name w:val="正文文字３"/>
    <w:basedOn w:val="1"/>
    <w:semiHidden/>
    <w:uiPriority w:val="0"/>
    <w:pPr>
      <w:widowControl/>
      <w:jc w:val="left"/>
    </w:pPr>
    <w:rPr>
      <w:rFonts w:ascii="宋体" w:hAnsi="宋体"/>
      <w:szCs w:val="24"/>
    </w:rPr>
  </w:style>
  <w:style w:type="paragraph" w:customStyle="1" w:styleId="498">
    <w:name w:val="Char Char Char Char Char Char1 Char1 Char Char Char Char Char Char1"/>
    <w:basedOn w:val="1"/>
    <w:semiHidden/>
    <w:uiPriority w:val="0"/>
    <w:pPr>
      <w:ind w:left="510"/>
      <w:jc w:val="left"/>
    </w:pPr>
    <w:rPr>
      <w:szCs w:val="21"/>
    </w:rPr>
  </w:style>
  <w:style w:type="character" w:customStyle="1" w:styleId="499">
    <w:name w:val="级别4目录 Char Char"/>
    <w:uiPriority w:val="0"/>
    <w:rPr>
      <w:kern w:val="2"/>
      <w:sz w:val="24"/>
    </w:rPr>
  </w:style>
  <w:style w:type="character" w:customStyle="1" w:styleId="500">
    <w:name w:val="间距 Char Char"/>
    <w:uiPriority w:val="0"/>
    <w:rPr>
      <w:rFonts w:eastAsia="宋体"/>
      <w:kern w:val="2"/>
      <w:sz w:val="24"/>
      <w:szCs w:val="24"/>
      <w:lang w:val="en-US" w:eastAsia="zh-CN" w:bidi="ar-SA"/>
    </w:rPr>
  </w:style>
  <w:style w:type="character" w:customStyle="1" w:styleId="501">
    <w:name w:val="样式 报告正文 + 字符缩放: 110% Char Char"/>
    <w:uiPriority w:val="0"/>
    <w:rPr>
      <w:kern w:val="2"/>
      <w:sz w:val="24"/>
    </w:rPr>
  </w:style>
  <w:style w:type="character" w:customStyle="1" w:styleId="502">
    <w:name w:val="正文＋首行缩进2字符 Char Char"/>
    <w:uiPriority w:val="0"/>
    <w:rPr>
      <w:spacing w:val="14"/>
      <w:kern w:val="2"/>
      <w:sz w:val="24"/>
    </w:rPr>
  </w:style>
  <w:style w:type="character" w:customStyle="1" w:styleId="503">
    <w:name w:val="正文（首行缩进两字）m Char Char"/>
    <w:uiPriority w:val="0"/>
    <w:rPr>
      <w:color w:val="339966"/>
      <w:kern w:val="2"/>
      <w:sz w:val="24"/>
    </w:rPr>
  </w:style>
  <w:style w:type="character" w:customStyle="1" w:styleId="504">
    <w:name w:val="样式 样式 正文1 + 首行缩进:  2 字符 + 首行缩进:  2 字符1 Char Char"/>
    <w:uiPriority w:val="0"/>
  </w:style>
  <w:style w:type="character" w:customStyle="1" w:styleId="505">
    <w:name w:val="表头1 Char Char"/>
    <w:uiPriority w:val="0"/>
    <w:rPr>
      <w:rFonts w:eastAsia="黑体"/>
      <w:sz w:val="21"/>
      <w:szCs w:val="28"/>
      <w:lang w:val="en-US" w:eastAsia="zh-CN"/>
    </w:rPr>
  </w:style>
  <w:style w:type="character" w:customStyle="1" w:styleId="506">
    <w:name w:val="正文001 Char Char"/>
    <w:uiPriority w:val="0"/>
    <w:rPr>
      <w:kern w:val="2"/>
      <w:sz w:val="24"/>
    </w:rPr>
  </w:style>
  <w:style w:type="character" w:customStyle="1" w:styleId="507">
    <w:name w:val="1正文 Char Char"/>
    <w:uiPriority w:val="0"/>
    <w:rPr>
      <w:rFonts w:eastAsia="楷体_GB2312"/>
      <w:kern w:val="2"/>
      <w:sz w:val="30"/>
    </w:rPr>
  </w:style>
  <w:style w:type="character" w:customStyle="1" w:styleId="508">
    <w:name w:val="紧缩表格文字 Char Char"/>
    <w:uiPriority w:val="0"/>
    <w:rPr>
      <w:spacing w:val="-20"/>
      <w:sz w:val="21"/>
      <w:szCs w:val="21"/>
    </w:rPr>
  </w:style>
  <w:style w:type="character" w:customStyle="1" w:styleId="509">
    <w:name w:val="Char Char Char Char Char Char Char Char Char Char Char Char"/>
    <w:uiPriority w:val="0"/>
  </w:style>
  <w:style w:type="character" w:customStyle="1" w:styleId="510">
    <w:name w:val="样式 样式5 + 首行缩进:  2 字符 Char Char"/>
    <w:uiPriority w:val="0"/>
    <w:rPr>
      <w:rFonts w:ascii="宋体" w:hAnsi="宋体"/>
      <w:kern w:val="2"/>
      <w:sz w:val="24"/>
    </w:rPr>
  </w:style>
  <w:style w:type="character" w:customStyle="1" w:styleId="511">
    <w:name w:val="表题 Char Char"/>
    <w:uiPriority w:val="0"/>
    <w:rPr>
      <w:rFonts w:eastAsia="黑体"/>
      <w:kern w:val="2"/>
      <w:sz w:val="24"/>
      <w:szCs w:val="24"/>
    </w:rPr>
  </w:style>
  <w:style w:type="character" w:customStyle="1" w:styleId="512">
    <w:name w:val="表图 Char Char"/>
    <w:uiPriority w:val="0"/>
    <w:rPr>
      <w:rFonts w:eastAsia="宋体"/>
      <w:kern w:val="2"/>
      <w:sz w:val="21"/>
      <w:szCs w:val="24"/>
      <w:lang w:val="en-US" w:eastAsia="zh-CN" w:bidi="ar-SA"/>
    </w:rPr>
  </w:style>
  <w:style w:type="character" w:customStyle="1" w:styleId="513">
    <w:name w:val="表格 Char Char"/>
    <w:uiPriority w:val="0"/>
    <w:rPr>
      <w:rFonts w:eastAsia="宋体"/>
      <w:sz w:val="21"/>
      <w:lang w:val="en-US" w:eastAsia="zh-CN" w:bidi="ar-SA"/>
    </w:rPr>
  </w:style>
  <w:style w:type="character" w:customStyle="1" w:styleId="514">
    <w:name w:val="李晓燕正文样式 Char Char"/>
    <w:uiPriority w:val="0"/>
    <w:rPr>
      <w:rFonts w:ascii="黑体" w:hAnsi="黑体"/>
      <w:sz w:val="24"/>
    </w:rPr>
  </w:style>
  <w:style w:type="character" w:customStyle="1" w:styleId="515">
    <w:name w:val="图表 Char Char"/>
    <w:uiPriority w:val="0"/>
    <w:rPr>
      <w:kern w:val="2"/>
      <w:sz w:val="21"/>
      <w:szCs w:val="24"/>
    </w:rPr>
  </w:style>
  <w:style w:type="character" w:customStyle="1" w:styleId="516">
    <w:name w:val="图表题 Char Char"/>
    <w:uiPriority w:val="0"/>
    <w:rPr>
      <w:rFonts w:eastAsia="黑体"/>
      <w:kern w:val="2"/>
      <w:sz w:val="24"/>
      <w:szCs w:val="24"/>
    </w:rPr>
  </w:style>
  <w:style w:type="character" w:customStyle="1" w:styleId="517">
    <w:name w:val="Char Char Char Char Char Char Char Char Char Char Char"/>
    <w:uiPriority w:val="0"/>
    <w:rPr>
      <w:kern w:val="2"/>
      <w:sz w:val="21"/>
      <w:szCs w:val="24"/>
    </w:rPr>
  </w:style>
  <w:style w:type="character" w:customStyle="1" w:styleId="518">
    <w:name w:val="表、图名 Char Char"/>
    <w:uiPriority w:val="0"/>
    <w:rPr>
      <w:rFonts w:eastAsia="黑体"/>
      <w:sz w:val="21"/>
      <w:szCs w:val="21"/>
      <w:lang w:val="en-US" w:eastAsia="zh-CN"/>
    </w:rPr>
  </w:style>
  <w:style w:type="character" w:customStyle="1" w:styleId="519">
    <w:name w:val="正文(首行缩进) Char Char"/>
    <w:uiPriority w:val="0"/>
    <w:rPr>
      <w:rFonts w:ascii="宋体" w:hAnsi="宋体"/>
      <w:kern w:val="2"/>
      <w:sz w:val="24"/>
      <w:szCs w:val="24"/>
    </w:rPr>
  </w:style>
  <w:style w:type="character" w:customStyle="1" w:styleId="520">
    <w:name w:val="级别正文目录 Char Char"/>
    <w:uiPriority w:val="0"/>
    <w:rPr>
      <w:kern w:val="2"/>
      <w:sz w:val="24"/>
    </w:rPr>
  </w:style>
  <w:style w:type="character" w:customStyle="1" w:styleId="521">
    <w:name w:val="报告 Char Char"/>
    <w:uiPriority w:val="0"/>
    <w:rPr>
      <w:rFonts w:ascii="TimesNewRoman" w:hAnsi="TimesNewRoman" w:eastAsia="宋体"/>
      <w:sz w:val="24"/>
      <w:lang w:val="en-US" w:eastAsia="zh-CN" w:bidi="ar-SA"/>
    </w:rPr>
  </w:style>
  <w:style w:type="character" w:customStyle="1" w:styleId="522">
    <w:name w:val="报告书正文 Char Char"/>
    <w:uiPriority w:val="0"/>
    <w:rPr>
      <w:kern w:val="2"/>
      <w:sz w:val="24"/>
      <w:szCs w:val="24"/>
    </w:rPr>
  </w:style>
  <w:style w:type="character" w:customStyle="1" w:styleId="523">
    <w:name w:val="表内容 Char Char"/>
    <w:uiPriority w:val="0"/>
    <w:rPr>
      <w:spacing w:val="14"/>
      <w:kern w:val="2"/>
      <w:sz w:val="21"/>
    </w:rPr>
  </w:style>
  <w:style w:type="character" w:customStyle="1" w:styleId="524">
    <w:name w:val="样式4 Char Char"/>
    <w:uiPriority w:val="0"/>
    <w:rPr>
      <w:rFonts w:ascii="宋体" w:eastAsia="宋体"/>
      <w:kern w:val="2"/>
      <w:sz w:val="24"/>
      <w:lang w:val="en-US" w:eastAsia="zh-CN"/>
    </w:rPr>
  </w:style>
  <w:style w:type="character" w:customStyle="1" w:styleId="525">
    <w:name w:val="样式 正文缩进文本正文缩进 Char Char正文缩进 Char Char Char Char Char Char正文缩... Char Char"/>
    <w:uiPriority w:val="0"/>
    <w:rPr>
      <w:spacing w:val="15"/>
      <w:kern w:val="2"/>
      <w:sz w:val="24"/>
    </w:rPr>
  </w:style>
  <w:style w:type="character" w:customStyle="1" w:styleId="526">
    <w:name w:val="表标题 Char Char"/>
    <w:uiPriority w:val="0"/>
    <w:rPr>
      <w:rFonts w:ascii="黑体" w:hAnsi="宋体" w:eastAsia="黑体"/>
      <w:sz w:val="24"/>
      <w:lang w:val="en-US" w:eastAsia="zh-CN"/>
    </w:rPr>
  </w:style>
  <w:style w:type="character" w:customStyle="1" w:styleId="527">
    <w:name w:val="样式 段前: 0 磅 段后: 0 磅 Char Char"/>
    <w:uiPriority w:val="0"/>
    <w:rPr>
      <w:rFonts w:ascii="Calibri" w:hAnsi="Calibri"/>
      <w:spacing w:val="14"/>
      <w:kern w:val="2"/>
      <w:sz w:val="24"/>
    </w:rPr>
  </w:style>
  <w:style w:type="character" w:customStyle="1" w:styleId="528">
    <w:name w:val="样式 样式 正文1 + 首行缩进:  2 字符 + 首行缩进:  2 字符 Char Char"/>
    <w:uiPriority w:val="0"/>
  </w:style>
  <w:style w:type="character" w:customStyle="1" w:styleId="529">
    <w:name w:val="样式 正文1 + 首行缩进:  2 字符 Char Char"/>
    <w:uiPriority w:val="0"/>
    <w:rPr>
      <w:rFonts w:ascii="宋体" w:eastAsia="宋体"/>
      <w:kern w:val="2"/>
      <w:sz w:val="24"/>
      <w:lang w:val="en-US" w:eastAsia="zh-CN"/>
    </w:rPr>
  </w:style>
  <w:style w:type="character" w:customStyle="1" w:styleId="530">
    <w:name w:val="正文# Char Char"/>
    <w:qFormat/>
    <w:uiPriority w:val="0"/>
    <w:rPr>
      <w:kern w:val="2"/>
      <w:sz w:val="24"/>
    </w:rPr>
  </w:style>
  <w:style w:type="character" w:customStyle="1" w:styleId="531">
    <w:name w:val="样式 正文首行缩进2 + 首行缩进:  0.95 厘米 Char Char"/>
    <w:uiPriority w:val="0"/>
    <w:rPr>
      <w:color w:val="000000"/>
      <w:spacing w:val="14"/>
      <w:kern w:val="2"/>
      <w:sz w:val="24"/>
    </w:rPr>
  </w:style>
  <w:style w:type="character" w:customStyle="1" w:styleId="532">
    <w:name w:val="xyb自建表格名称 Char Char Char"/>
    <w:uiPriority w:val="0"/>
    <w:rPr>
      <w:rFonts w:ascii="宋体" w:hAnsi="宋体"/>
      <w:kern w:val="2"/>
      <w:sz w:val="24"/>
    </w:rPr>
  </w:style>
  <w:style w:type="character" w:customStyle="1" w:styleId="533">
    <w:name w:val="正文* Char Char"/>
    <w:uiPriority w:val="0"/>
  </w:style>
  <w:style w:type="character" w:customStyle="1" w:styleId="534">
    <w:name w:val="正文文本（使用1） Char Char"/>
    <w:uiPriority w:val="0"/>
    <w:rPr>
      <w:rFonts w:ascii="宋体"/>
      <w:color w:val="0000FF"/>
      <w:kern w:val="2"/>
      <w:sz w:val="24"/>
    </w:rPr>
  </w:style>
  <w:style w:type="character" w:customStyle="1" w:styleId="535">
    <w:name w:val="样1 Char Char"/>
    <w:uiPriority w:val="0"/>
    <w:rPr>
      <w:b/>
      <w:sz w:val="24"/>
      <w:szCs w:val="24"/>
    </w:rPr>
  </w:style>
  <w:style w:type="character" w:customStyle="1" w:styleId="536">
    <w:name w:val="表格文字 Char Char"/>
    <w:uiPriority w:val="0"/>
    <w:rPr>
      <w:rFonts w:eastAsia="宋体"/>
      <w:snapToGrid w:val="0"/>
      <w:kern w:val="21"/>
      <w:sz w:val="28"/>
      <w:lang w:val="en-US" w:eastAsia="zh-CN" w:bidi="ar-SA"/>
    </w:rPr>
  </w:style>
  <w:style w:type="paragraph" w:customStyle="1" w:styleId="537">
    <w:name w:val="table"/>
    <w:basedOn w:val="1"/>
    <w:next w:val="1"/>
    <w:uiPriority w:val="0"/>
    <w:pPr>
      <w:adjustRightInd w:val="0"/>
      <w:snapToGrid w:val="0"/>
      <w:jc w:val="center"/>
    </w:pPr>
    <w:rPr>
      <w:color w:val="000000"/>
      <w:szCs w:val="28"/>
    </w:rPr>
  </w:style>
  <w:style w:type="paragraph" w:customStyle="1" w:styleId="538">
    <w:name w:val="样式 (中文) 仿宋_GB2312 小四 行距: 1.5 倍行距"/>
    <w:basedOn w:val="1"/>
    <w:next w:val="1"/>
    <w:link w:val="539"/>
    <w:uiPriority w:val="0"/>
    <w:pPr>
      <w:ind w:firstLine="480"/>
    </w:pPr>
    <w:rPr>
      <w:rFonts w:eastAsia="仿宋_GB2312" w:cs="宋体"/>
      <w:kern w:val="0"/>
      <w:szCs w:val="24"/>
    </w:rPr>
  </w:style>
  <w:style w:type="character" w:customStyle="1" w:styleId="539">
    <w:name w:val="样式 (中文) 仿宋_GB2312 小四 行距: 1.5 倍行距 Char"/>
    <w:link w:val="538"/>
    <w:uiPriority w:val="0"/>
    <w:rPr>
      <w:rFonts w:ascii="Times New Roman" w:hAnsi="Times New Roman" w:eastAsia="仿宋_GB2312" w:cs="宋体"/>
      <w:kern w:val="0"/>
      <w:sz w:val="24"/>
      <w:szCs w:val="24"/>
    </w:rPr>
  </w:style>
  <w:style w:type="character" w:customStyle="1" w:styleId="540">
    <w:name w:val="图题 Char Char"/>
    <w:link w:val="541"/>
    <w:uiPriority w:val="0"/>
    <w:rPr>
      <w:rFonts w:ascii="Arial" w:hAnsi="Arial"/>
      <w:b/>
      <w:sz w:val="24"/>
      <w:szCs w:val="24"/>
    </w:rPr>
  </w:style>
  <w:style w:type="paragraph" w:customStyle="1" w:styleId="541">
    <w:name w:val="图题"/>
    <w:basedOn w:val="1"/>
    <w:link w:val="540"/>
    <w:uiPriority w:val="0"/>
    <w:pPr>
      <w:spacing w:after="156" w:afterLines="50"/>
      <w:jc w:val="center"/>
    </w:pPr>
    <w:rPr>
      <w:rFonts w:ascii="Arial" w:hAnsi="Arial" w:eastAsiaTheme="minorEastAsia" w:cstheme="minorBidi"/>
      <w:b/>
      <w:szCs w:val="24"/>
    </w:rPr>
  </w:style>
  <w:style w:type="character" w:customStyle="1" w:styleId="542">
    <w:name w:val="框图文字 Char Char"/>
    <w:link w:val="543"/>
    <w:uiPriority w:val="0"/>
    <w:rPr>
      <w:spacing w:val="-20"/>
    </w:rPr>
  </w:style>
  <w:style w:type="paragraph" w:customStyle="1" w:styleId="543">
    <w:name w:val="框图文字"/>
    <w:basedOn w:val="1"/>
    <w:link w:val="542"/>
    <w:uiPriority w:val="0"/>
    <w:pPr>
      <w:snapToGrid w:val="0"/>
      <w:spacing w:line="160" w:lineRule="atLeast"/>
      <w:jc w:val="center"/>
    </w:pPr>
    <w:rPr>
      <w:rFonts w:asciiTheme="minorHAnsi" w:hAnsiTheme="minorHAnsi" w:eastAsiaTheme="minorEastAsia" w:cstheme="minorBidi"/>
      <w:spacing w:val="-20"/>
      <w:sz w:val="21"/>
    </w:rPr>
  </w:style>
  <w:style w:type="table" w:customStyle="1" w:styleId="544">
    <w:name w:val="专业网格2"/>
    <w:basedOn w:val="56"/>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5">
    <w:name w:val="专业网格3"/>
    <w:basedOn w:val="56"/>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46">
    <w:name w:val="章节1"/>
    <w:basedOn w:val="3"/>
    <w:next w:val="1"/>
    <w:link w:val="548"/>
    <w:uiPriority w:val="0"/>
    <w:pPr>
      <w:adjustRightInd w:val="0"/>
      <w:snapToGrid w:val="0"/>
      <w:spacing w:line="240" w:lineRule="auto"/>
    </w:pPr>
    <w:rPr>
      <w:rFonts w:eastAsia="宋体"/>
      <w:b/>
      <w:sz w:val="32"/>
    </w:rPr>
  </w:style>
  <w:style w:type="table" w:customStyle="1" w:styleId="547">
    <w:name w:val="网格型2"/>
    <w:basedOn w:val="56"/>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48">
    <w:name w:val="章节1 Char"/>
    <w:link w:val="546"/>
    <w:uiPriority w:val="0"/>
    <w:rPr>
      <w:rFonts w:ascii="Times New Roman" w:hAnsi="Times New Roman" w:eastAsia="宋体" w:cs="Times New Roman"/>
      <w:b/>
      <w:bCs/>
      <w:kern w:val="44"/>
      <w:sz w:val="32"/>
      <w:szCs w:val="44"/>
    </w:rPr>
  </w:style>
  <w:style w:type="paragraph" w:customStyle="1" w:styleId="549">
    <w:name w:val="样式"/>
    <w:basedOn w:val="3"/>
    <w:next w:val="1"/>
    <w:link w:val="551"/>
    <w:uiPriority w:val="0"/>
    <w:pPr>
      <w:adjustRightInd w:val="0"/>
      <w:snapToGrid w:val="0"/>
    </w:pPr>
    <w:rPr>
      <w:rFonts w:eastAsia="宋体"/>
      <w:b/>
      <w:sz w:val="36"/>
    </w:rPr>
  </w:style>
  <w:style w:type="paragraph" w:customStyle="1" w:styleId="550">
    <w:name w:val="1.1.1.1"/>
    <w:basedOn w:val="6"/>
    <w:next w:val="23"/>
    <w:link w:val="552"/>
    <w:uiPriority w:val="0"/>
    <w:pPr>
      <w:spacing w:before="60" w:after="60"/>
    </w:pPr>
    <w:rPr>
      <w:rFonts w:eastAsia="宋体" w:cs="Times New Roman"/>
      <w:b/>
    </w:rPr>
  </w:style>
  <w:style w:type="character" w:customStyle="1" w:styleId="551">
    <w:name w:val="样式 Char"/>
    <w:basedOn w:val="69"/>
    <w:link w:val="549"/>
    <w:uiPriority w:val="0"/>
    <w:rPr>
      <w:rFonts w:ascii="Times New Roman" w:hAnsi="Times New Roman" w:eastAsia="宋体" w:cs="Times New Roman"/>
      <w:b/>
      <w:kern w:val="44"/>
      <w:sz w:val="36"/>
      <w:szCs w:val="44"/>
    </w:rPr>
  </w:style>
  <w:style w:type="character" w:customStyle="1" w:styleId="552">
    <w:name w:val="1.1.1.1 Char"/>
    <w:link w:val="550"/>
    <w:uiPriority w:val="0"/>
    <w:rPr>
      <w:rFonts w:ascii="Times New Roman" w:hAnsi="Times New Roman" w:eastAsia="宋体" w:cs="Times New Roman"/>
      <w:b/>
      <w:bCs/>
      <w:sz w:val="24"/>
      <w:szCs w:val="28"/>
    </w:rPr>
  </w:style>
  <w:style w:type="character" w:customStyle="1" w:styleId="553">
    <w:name w:val="正文文本 + Gungsuh"/>
    <w:uiPriority w:val="0"/>
    <w:rPr>
      <w:rFonts w:ascii="Gungsuh" w:hAnsi="Gungsuh" w:eastAsia="Gungsuh" w:cs="Gungsuh"/>
      <w:spacing w:val="5"/>
      <w:sz w:val="22"/>
      <w:szCs w:val="22"/>
      <w:shd w:val="clear" w:color="auto" w:fill="FFFFFF"/>
      <w:lang w:val="en-US" w:eastAsia="zh-CN" w:bidi="ar-SA"/>
    </w:rPr>
  </w:style>
  <w:style w:type="table" w:customStyle="1" w:styleId="554">
    <w:name w:val="专业网格4"/>
    <w:basedOn w:val="56"/>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5">
    <w:name w:val="网格型3"/>
    <w:basedOn w:val="56"/>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56">
    <w:name w:val="Char1 Char Char Char1 Char Char Char Char Char Char Char Char Char Char Char Char3"/>
    <w:basedOn w:val="1"/>
    <w:next w:val="1"/>
    <w:uiPriority w:val="0"/>
    <w:pPr>
      <w:spacing w:line="240" w:lineRule="auto"/>
      <w:ind w:firstLine="0" w:firstLineChars="0"/>
    </w:pPr>
    <w:rPr>
      <w:sz w:val="21"/>
      <w:szCs w:val="20"/>
    </w:rPr>
  </w:style>
  <w:style w:type="character" w:customStyle="1" w:styleId="557">
    <w:name w:val="Char Char21"/>
    <w:basedOn w:val="59"/>
    <w:uiPriority w:val="0"/>
    <w:rPr>
      <w:rFonts w:eastAsia="宋体"/>
      <w:kern w:val="2"/>
      <w:sz w:val="21"/>
      <w:szCs w:val="21"/>
      <w:lang w:val="en-US" w:eastAsia="zh-CN" w:bidi="ar-SA"/>
    </w:rPr>
  </w:style>
  <w:style w:type="paragraph" w:customStyle="1" w:styleId="558">
    <w:name w:val="Char1 Char Char Char1 Char Char Char Char Char Char Char Char Char Char Char Char2"/>
    <w:basedOn w:val="1"/>
    <w:next w:val="1"/>
    <w:uiPriority w:val="0"/>
    <w:pPr>
      <w:spacing w:line="240" w:lineRule="auto"/>
      <w:ind w:firstLine="0" w:firstLineChars="0"/>
    </w:pPr>
    <w:rPr>
      <w:sz w:val="21"/>
      <w:szCs w:val="20"/>
    </w:rPr>
  </w:style>
  <w:style w:type="character" w:customStyle="1" w:styleId="559">
    <w:name w:val="样式3 Char"/>
    <w:basedOn w:val="59"/>
    <w:link w:val="251"/>
    <w:uiPriority w:val="0"/>
    <w:rPr>
      <w:rFonts w:ascii="Times New Roman" w:hAnsi="Times New Roman" w:eastAsia="宋体" w:cs="Times New Roman"/>
      <w:szCs w:val="20"/>
    </w:rPr>
  </w:style>
  <w:style w:type="character" w:customStyle="1" w:styleId="560">
    <w:name w:val="报告书正文 Char2"/>
    <w:basedOn w:val="59"/>
    <w:uiPriority w:val="0"/>
    <w:rPr>
      <w:rFonts w:ascii="Times New Roman" w:hAnsi="Times New Roman" w:eastAsia="宋体" w:cs="Times New Roman"/>
      <w:sz w:val="24"/>
      <w:szCs w:val="20"/>
    </w:rPr>
  </w:style>
  <w:style w:type="table" w:customStyle="1" w:styleId="561">
    <w:name w:val="网格型4"/>
    <w:basedOn w:val="56"/>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62">
    <w:name w:val="Char1 Char Char Char1 Char Char Char Char Char Char Char Char Char Char Char Char1"/>
    <w:basedOn w:val="1"/>
    <w:next w:val="1"/>
    <w:uiPriority w:val="0"/>
    <w:pPr>
      <w:spacing w:line="240" w:lineRule="auto"/>
      <w:ind w:firstLine="0" w:firstLineChars="0"/>
    </w:pPr>
    <w:rPr>
      <w:sz w:val="21"/>
      <w:szCs w:val="20"/>
    </w:rPr>
  </w:style>
  <w:style w:type="character" w:customStyle="1" w:styleId="563">
    <w:name w:val="表头 Char2"/>
    <w:link w:val="173"/>
    <w:uiPriority w:val="0"/>
    <w:rPr>
      <w:rFonts w:ascii="宋体" w:hAnsi="宋体" w:eastAsia="宋体" w:cs="Times New Roman"/>
      <w:b/>
      <w:kern w:val="0"/>
      <w:sz w:val="24"/>
      <w:szCs w:val="28"/>
    </w:rPr>
  </w:style>
  <w:style w:type="paragraph" w:customStyle="1" w:styleId="564">
    <w:name w:val="Char Char Char Char Char Char Char Char Char Char Char Char Char Char Char Char Char Char Char Char Char Char"/>
    <w:basedOn w:val="1"/>
    <w:uiPriority w:val="0"/>
    <w:rPr>
      <w:rFonts w:ascii="宋体" w:hAnsi="宋体" w:cs="宋体"/>
      <w:szCs w:val="20"/>
    </w:rPr>
  </w:style>
  <w:style w:type="paragraph" w:customStyle="1" w:styleId="565">
    <w:name w:val="Char1 Char Char Char1 Char Char Char Char Char Char Char Char Char Char Char Char7"/>
    <w:basedOn w:val="1"/>
    <w:next w:val="1"/>
    <w:uiPriority w:val="0"/>
    <w:pPr>
      <w:spacing w:line="240" w:lineRule="auto"/>
      <w:ind w:firstLine="0" w:firstLineChars="0"/>
    </w:pPr>
    <w:rPr>
      <w:sz w:val="21"/>
      <w:szCs w:val="20"/>
    </w:rPr>
  </w:style>
  <w:style w:type="paragraph" w:styleId="566">
    <w:name w:val="No Spacing"/>
    <w:basedOn w:val="173"/>
    <w:uiPriority w:val="1"/>
    <w:pPr>
      <w:adjustRightInd w:val="0"/>
      <w:snapToGrid w:val="0"/>
      <w:spacing w:line="240" w:lineRule="auto"/>
      <w:ind w:firstLine="0" w:firstLineChars="0"/>
      <w:jc w:val="center"/>
    </w:pPr>
    <w:rPr>
      <w:rFonts w:ascii="Times New Roman" w:hAnsi="Times New Roman"/>
      <w:b w:val="0"/>
      <w:snapToGrid w:val="0"/>
      <w:sz w:val="18"/>
      <w:szCs w:val="24"/>
    </w:rPr>
  </w:style>
  <w:style w:type="character" w:customStyle="1" w:styleId="567">
    <w:name w:val="样式 小四 段前: 7.8 磅 段后: 7.8 磅 行距: 1.5 倍行距 Char"/>
    <w:basedOn w:val="59"/>
    <w:link w:val="438"/>
    <w:uiPriority w:val="0"/>
    <w:rPr>
      <w:rFonts w:ascii="Times New Roman" w:hAnsi="Times New Roman" w:eastAsia="宋体" w:cs="Times New Roman"/>
      <w:color w:val="FF0000"/>
      <w:spacing w:val="15"/>
      <w:sz w:val="24"/>
      <w:szCs w:val="20"/>
    </w:rPr>
  </w:style>
  <w:style w:type="character" w:customStyle="1" w:styleId="568">
    <w:name w:val="样式 Arial1"/>
    <w:basedOn w:val="59"/>
    <w:semiHidden/>
    <w:uiPriority w:val="0"/>
    <w:rPr>
      <w:rFonts w:ascii="Arial" w:hAnsi="Arial" w:eastAsia="宋体" w:cs="宋体"/>
      <w:kern w:val="2"/>
      <w:sz w:val="24"/>
      <w:szCs w:val="24"/>
      <w:lang w:val="en-US" w:eastAsia="zh-CN" w:bidi="ar-SA"/>
    </w:rPr>
  </w:style>
  <w:style w:type="character" w:customStyle="1" w:styleId="569">
    <w:name w:val="表格正文 Char"/>
    <w:basedOn w:val="59"/>
    <w:link w:val="325"/>
    <w:uiPriority w:val="0"/>
    <w:rPr>
      <w:rFonts w:ascii="楷体_GB2312" w:hAnsi="Times New Roman" w:eastAsia="楷体_GB2312" w:cs="Times New Roman"/>
      <w:bCs/>
      <w:kern w:val="28"/>
      <w:sz w:val="24"/>
      <w:szCs w:val="20"/>
      <w:lang w:val="zh-CN" w:eastAsia="zh-CN"/>
    </w:rPr>
  </w:style>
  <w:style w:type="character" w:customStyle="1" w:styleId="570">
    <w:name w:val="表格标题 Char"/>
    <w:basedOn w:val="59"/>
    <w:link w:val="328"/>
    <w:uiPriority w:val="0"/>
    <w:rPr>
      <w:rFonts w:ascii="Times New Roman" w:hAnsi="Times New Roman" w:eastAsia="宋体" w:cs="Times New Roman"/>
      <w:sz w:val="24"/>
      <w:szCs w:val="24"/>
    </w:rPr>
  </w:style>
  <w:style w:type="paragraph" w:customStyle="1" w:styleId="571">
    <w:name w:val="Char1 Char Char Char1 Char Char Char Char Char Char Char Char Char Char Char Char6"/>
    <w:basedOn w:val="1"/>
    <w:next w:val="1"/>
    <w:uiPriority w:val="0"/>
    <w:pPr>
      <w:spacing w:line="240" w:lineRule="auto"/>
      <w:ind w:firstLine="0" w:firstLineChars="0"/>
    </w:pPr>
    <w:rPr>
      <w:sz w:val="21"/>
      <w:szCs w:val="20"/>
    </w:rPr>
  </w:style>
  <w:style w:type="character" w:customStyle="1" w:styleId="572">
    <w:name w:val="标题 Char1"/>
    <w:basedOn w:val="59"/>
    <w:uiPriority w:val="10"/>
    <w:rPr>
      <w:rFonts w:eastAsia="宋体" w:asciiTheme="majorHAnsi" w:hAnsiTheme="majorHAnsi" w:cstheme="majorBidi"/>
      <w:b/>
      <w:bCs/>
      <w:sz w:val="32"/>
      <w:szCs w:val="32"/>
    </w:rPr>
  </w:style>
  <w:style w:type="character" w:customStyle="1" w:styleId="573">
    <w:name w:val="正文文本缩进 2 Char1"/>
    <w:basedOn w:val="59"/>
    <w:semiHidden/>
    <w:uiPriority w:val="99"/>
    <w:rPr>
      <w:rFonts w:ascii="Times New Roman" w:hAnsi="Times New Roman" w:eastAsia="宋体" w:cs="Times New Roman"/>
      <w:szCs w:val="24"/>
    </w:rPr>
  </w:style>
  <w:style w:type="character" w:customStyle="1" w:styleId="574">
    <w:name w:val="Book Title"/>
    <w:basedOn w:val="59"/>
    <w:uiPriority w:val="0"/>
    <w:rPr>
      <w:b/>
      <w:bCs/>
      <w:smallCaps/>
      <w:spacing w:val="5"/>
    </w:rPr>
  </w:style>
  <w:style w:type="paragraph" w:customStyle="1" w:styleId="575">
    <w:name w:val="Char2 Char Char Char Char Char Char Char Char Char Char Char Char"/>
    <w:basedOn w:val="1"/>
    <w:uiPriority w:val="0"/>
    <w:pPr>
      <w:ind w:left="-449" w:leftChars="-187" w:firstLine="880"/>
    </w:pPr>
    <w:rPr>
      <w:szCs w:val="24"/>
    </w:rPr>
  </w:style>
  <w:style w:type="character" w:customStyle="1" w:styleId="576">
    <w:name w:val="apple-converted-space"/>
    <w:basedOn w:val="59"/>
    <w:uiPriority w:val="0"/>
  </w:style>
  <w:style w:type="character" w:customStyle="1" w:styleId="577">
    <w:name w:val="表名[858D7CFB-ED40-4347-BF05-701D383B685F]"/>
    <w:link w:val="578"/>
    <w:uiPriority w:val="0"/>
    <w:rPr>
      <w:rFonts w:ascii="Arial" w:hAnsi="Arial" w:eastAsia="黑体"/>
      <w:sz w:val="24"/>
    </w:rPr>
  </w:style>
  <w:style w:type="paragraph" w:customStyle="1" w:styleId="578">
    <w:name w:val="表名"/>
    <w:basedOn w:val="1"/>
    <w:link w:val="577"/>
    <w:uiPriority w:val="0"/>
    <w:pPr>
      <w:autoSpaceDE w:val="0"/>
      <w:autoSpaceDN w:val="0"/>
      <w:adjustRightInd w:val="0"/>
      <w:spacing w:before="163"/>
      <w:ind w:left="720" w:right="200" w:rightChars="200"/>
      <w:jc w:val="center"/>
    </w:pPr>
    <w:rPr>
      <w:rFonts w:ascii="Arial" w:hAnsi="Arial" w:eastAsia="黑体" w:cstheme="minorBidi"/>
    </w:rPr>
  </w:style>
  <w:style w:type="character" w:customStyle="1" w:styleId="579">
    <w:name w:val="纯文本 Char1"/>
    <w:basedOn w:val="59"/>
    <w:uiPriority w:val="0"/>
    <w:rPr>
      <w:rFonts w:ascii="宋体" w:hAnsi="Courier New" w:eastAsia="宋体" w:cs="Courier New"/>
      <w:szCs w:val="21"/>
    </w:rPr>
  </w:style>
  <w:style w:type="paragraph" w:customStyle="1" w:styleId="580">
    <w:name w:val="_Style 10"/>
    <w:basedOn w:val="1"/>
    <w:uiPriority w:val="0"/>
    <w:rPr>
      <w:szCs w:val="24"/>
    </w:rPr>
  </w:style>
  <w:style w:type="paragraph" w:customStyle="1" w:styleId="581">
    <w:name w:val="Char Char Char Char Char Char Char Char Char Char Char Char Char Char Char Char Char Char Char Char Char Char Char Char Char Char Char Char Char Char2 Char Char Char1 Char Char Char Char Char Char Char"/>
    <w:basedOn w:val="1"/>
    <w:uiPriority w:val="0"/>
    <w:pPr>
      <w:spacing w:line="240" w:lineRule="auto"/>
      <w:ind w:firstLine="0" w:firstLineChars="0"/>
    </w:pPr>
    <w:rPr>
      <w:sz w:val="21"/>
      <w:szCs w:val="24"/>
    </w:rPr>
  </w:style>
  <w:style w:type="paragraph" w:customStyle="1" w:styleId="582">
    <w:name w:val="表格2"/>
    <w:basedOn w:val="325"/>
    <w:link w:val="583"/>
    <w:uiPriority w:val="0"/>
    <w:pPr>
      <w:widowControl/>
      <w:autoSpaceDE/>
      <w:autoSpaceDN/>
      <w:adjustRightInd/>
      <w:spacing w:before="0" w:beforeLines="0" w:after="0" w:line="240" w:lineRule="auto"/>
      <w:ind w:firstLine="0" w:firstLineChars="0"/>
      <w:textAlignment w:val="auto"/>
    </w:pPr>
    <w:rPr>
      <w:rFonts w:ascii="Times New Roman" w:eastAsia="宋体"/>
      <w:bCs w:val="0"/>
      <w:kern w:val="0"/>
      <w:szCs w:val="24"/>
    </w:rPr>
  </w:style>
  <w:style w:type="character" w:customStyle="1" w:styleId="583">
    <w:name w:val="表格2 Char"/>
    <w:basedOn w:val="569"/>
    <w:link w:val="582"/>
    <w:uiPriority w:val="0"/>
    <w:rPr>
      <w:rFonts w:ascii="Times New Roman" w:hAnsi="Times New Roman" w:eastAsia="宋体" w:cs="Times New Roman"/>
      <w:bCs w:val="0"/>
      <w:kern w:val="0"/>
      <w:sz w:val="24"/>
      <w:szCs w:val="24"/>
      <w:lang w:val="zh-CN" w:eastAsia="zh-CN"/>
    </w:rPr>
  </w:style>
  <w:style w:type="paragraph" w:styleId="584">
    <w:name w:val="Quote"/>
    <w:basedOn w:val="1"/>
    <w:next w:val="1"/>
    <w:link w:val="585"/>
    <w:uiPriority w:val="29"/>
    <w:rPr>
      <w:rFonts w:cstheme="minorBidi"/>
      <w:i/>
      <w:iCs/>
      <w:color w:val="000000" w:themeColor="text1"/>
      <w14:textFill>
        <w14:solidFill>
          <w14:schemeClr w14:val="tx1"/>
        </w14:solidFill>
      </w14:textFill>
    </w:rPr>
  </w:style>
  <w:style w:type="character" w:customStyle="1" w:styleId="585">
    <w:name w:val="引用 Char"/>
    <w:basedOn w:val="59"/>
    <w:link w:val="584"/>
    <w:uiPriority w:val="29"/>
    <w:rPr>
      <w:rFonts w:ascii="Times New Roman" w:hAnsi="Times New Roman" w:eastAsia="宋体"/>
      <w:i/>
      <w:iCs/>
      <w:color w:val="000000" w:themeColor="text1"/>
      <w:sz w:val="24"/>
      <w14:textFill>
        <w14:solidFill>
          <w14:schemeClr w14:val="tx1"/>
        </w14:solidFill>
      </w14:textFill>
    </w:rPr>
  </w:style>
  <w:style w:type="table" w:customStyle="1" w:styleId="586">
    <w:name w:val="网格型5"/>
    <w:basedOn w:val="56"/>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87">
    <w:name w:val="表格后正文"/>
    <w:link w:val="588"/>
    <w:uiPriority w:val="0"/>
    <w:pPr>
      <w:spacing w:beforeLines="50"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588">
    <w:name w:val="表格后正文 Char"/>
    <w:basedOn w:val="59"/>
    <w:link w:val="587"/>
    <w:uiPriority w:val="0"/>
    <w:rPr>
      <w:rFonts w:ascii="Times New Roman" w:hAnsi="Times New Roman" w:eastAsia="宋体" w:cs="Times New Roman"/>
      <w:sz w:val="24"/>
      <w:szCs w:val="24"/>
    </w:rPr>
  </w:style>
  <w:style w:type="paragraph" w:customStyle="1" w:styleId="589">
    <w:name w:val="正文缩进2"/>
    <w:link w:val="590"/>
    <w:uiPriority w:val="0"/>
    <w:pPr>
      <w:spacing w:beforeLines="50" w:line="360" w:lineRule="auto"/>
      <w:ind w:firstLine="480"/>
    </w:pPr>
    <w:rPr>
      <w:rFonts w:ascii="Times New Roman" w:hAnsi="Times New Roman" w:eastAsia="幼圆" w:cs="Times New Roman"/>
      <w:kern w:val="0"/>
      <w:sz w:val="24"/>
      <w:szCs w:val="20"/>
      <w:lang w:val="en-US" w:eastAsia="zh-CN" w:bidi="ar-SA"/>
    </w:rPr>
  </w:style>
  <w:style w:type="character" w:customStyle="1" w:styleId="590">
    <w:name w:val="正文缩进2 Char"/>
    <w:basedOn w:val="59"/>
    <w:link w:val="589"/>
    <w:uiPriority w:val="0"/>
    <w:rPr>
      <w:rFonts w:ascii="Times New Roman" w:hAnsi="Times New Roman" w:eastAsia="幼圆" w:cs="Times New Roman"/>
      <w:kern w:val="0"/>
      <w:sz w:val="24"/>
      <w:szCs w:val="20"/>
    </w:rPr>
  </w:style>
  <w:style w:type="character" w:customStyle="1" w:styleId="591">
    <w:name w:val="表格1 Char"/>
    <w:basedOn w:val="59"/>
    <w:link w:val="144"/>
    <w:uiPriority w:val="0"/>
    <w:rPr>
      <w:rFonts w:ascii="宋体" w:hAnsi="Times New Roman" w:eastAsia="宋体" w:cs="Times New Roman"/>
      <w:kern w:val="0"/>
      <w:sz w:val="24"/>
      <w:szCs w:val="20"/>
    </w:rPr>
  </w:style>
  <w:style w:type="paragraph" w:customStyle="1" w:styleId="592">
    <w:name w:val="默认段落字体 Para Char Char Char Char Char Char Char Char Char Char"/>
    <w:basedOn w:val="1"/>
    <w:uiPriority w:val="0"/>
    <w:pPr>
      <w:spacing w:line="240" w:lineRule="auto"/>
      <w:ind w:firstLine="0" w:firstLineChars="0"/>
    </w:pPr>
    <w:rPr>
      <w:sz w:val="21"/>
      <w:szCs w:val="24"/>
    </w:rPr>
  </w:style>
  <w:style w:type="character" w:customStyle="1" w:styleId="593">
    <w:name w:val="表格 Char1"/>
    <w:basedOn w:val="59"/>
    <w:uiPriority w:val="0"/>
    <w:rPr>
      <w:sz w:val="24"/>
      <w:szCs w:val="24"/>
    </w:rPr>
  </w:style>
  <w:style w:type="paragraph" w:customStyle="1" w:styleId="594">
    <w:name w:val="表格备注"/>
    <w:basedOn w:val="1"/>
    <w:uiPriority w:val="0"/>
    <w:pPr>
      <w:spacing w:line="240" w:lineRule="auto"/>
    </w:pPr>
    <w:rPr>
      <w:b/>
      <w:sz w:val="21"/>
      <w:szCs w:val="24"/>
    </w:rPr>
  </w:style>
  <w:style w:type="character" w:customStyle="1" w:styleId="595">
    <w:name w:val="表文 Char1"/>
    <w:basedOn w:val="59"/>
    <w:link w:val="596"/>
    <w:uiPriority w:val="0"/>
    <w:rPr>
      <w:szCs w:val="21"/>
    </w:rPr>
  </w:style>
  <w:style w:type="paragraph" w:customStyle="1" w:styleId="596">
    <w:name w:val="表文"/>
    <w:basedOn w:val="1"/>
    <w:link w:val="595"/>
    <w:uiPriority w:val="0"/>
    <w:pPr>
      <w:spacing w:line="240" w:lineRule="auto"/>
      <w:ind w:firstLine="0" w:firstLineChars="0"/>
      <w:jc w:val="center"/>
    </w:pPr>
    <w:rPr>
      <w:rFonts w:asciiTheme="minorHAnsi" w:hAnsiTheme="minorHAnsi" w:eastAsiaTheme="minorEastAsia" w:cstheme="minorBidi"/>
      <w:sz w:val="21"/>
      <w:szCs w:val="21"/>
    </w:rPr>
  </w:style>
  <w:style w:type="character" w:customStyle="1" w:styleId="597">
    <w:name w:val="文档结构图 Char1"/>
    <w:basedOn w:val="59"/>
    <w:semiHidden/>
    <w:uiPriority w:val="0"/>
    <w:rPr>
      <w:kern w:val="2"/>
      <w:sz w:val="24"/>
      <w:szCs w:val="24"/>
      <w:shd w:val="clear" w:color="auto" w:fill="000080"/>
    </w:rPr>
  </w:style>
  <w:style w:type="character" w:customStyle="1" w:styleId="598">
    <w:name w:val="标题 5 Char1"/>
    <w:basedOn w:val="59"/>
    <w:semiHidden/>
    <w:uiPriority w:val="0"/>
    <w:rPr>
      <w:b/>
      <w:bCs/>
      <w:kern w:val="2"/>
      <w:sz w:val="28"/>
      <w:szCs w:val="28"/>
    </w:rPr>
  </w:style>
  <w:style w:type="character" w:customStyle="1" w:styleId="599">
    <w:name w:val="标题 6 Char1"/>
    <w:basedOn w:val="59"/>
    <w:semiHidden/>
    <w:uiPriority w:val="0"/>
    <w:rPr>
      <w:rFonts w:ascii="Cambria" w:hAnsi="Cambria" w:eastAsia="宋体" w:cs="Times New Roman"/>
      <w:b/>
      <w:bCs/>
      <w:kern w:val="2"/>
      <w:sz w:val="24"/>
      <w:szCs w:val="24"/>
    </w:rPr>
  </w:style>
  <w:style w:type="character" w:customStyle="1" w:styleId="600">
    <w:name w:val="标题 7 Char1"/>
    <w:basedOn w:val="59"/>
    <w:semiHidden/>
    <w:uiPriority w:val="0"/>
    <w:rPr>
      <w:b/>
      <w:bCs/>
      <w:kern w:val="2"/>
      <w:sz w:val="24"/>
      <w:szCs w:val="24"/>
    </w:rPr>
  </w:style>
  <w:style w:type="character" w:customStyle="1" w:styleId="601">
    <w:name w:val="标题 8 Char1"/>
    <w:basedOn w:val="59"/>
    <w:semiHidden/>
    <w:uiPriority w:val="0"/>
    <w:rPr>
      <w:rFonts w:ascii="Cambria" w:hAnsi="Cambria" w:eastAsia="宋体" w:cs="Times New Roman"/>
      <w:kern w:val="2"/>
      <w:sz w:val="24"/>
      <w:szCs w:val="24"/>
    </w:rPr>
  </w:style>
  <w:style w:type="character" w:customStyle="1" w:styleId="602">
    <w:name w:val="标题 9 Char1"/>
    <w:basedOn w:val="59"/>
    <w:semiHidden/>
    <w:uiPriority w:val="0"/>
    <w:rPr>
      <w:rFonts w:ascii="Cambria" w:hAnsi="Cambria" w:eastAsia="宋体" w:cs="Times New Roman"/>
      <w:kern w:val="2"/>
      <w:sz w:val="21"/>
      <w:szCs w:val="21"/>
    </w:rPr>
  </w:style>
  <w:style w:type="paragraph" w:customStyle="1" w:styleId="603">
    <w:name w:val="wj样式"/>
    <w:basedOn w:val="1"/>
    <w:next w:val="1"/>
    <w:link w:val="604"/>
    <w:uiPriority w:val="0"/>
    <w:pPr>
      <w:spacing w:line="240" w:lineRule="auto"/>
      <w:jc w:val="left"/>
    </w:pPr>
    <w:rPr>
      <w:spacing w:val="14"/>
      <w:szCs w:val="24"/>
      <w:lang w:val="zh-CN" w:eastAsia="zh-CN"/>
    </w:rPr>
  </w:style>
  <w:style w:type="character" w:customStyle="1" w:styleId="604">
    <w:name w:val="wj样式 Char"/>
    <w:link w:val="603"/>
    <w:uiPriority w:val="0"/>
    <w:rPr>
      <w:rFonts w:ascii="Times New Roman" w:hAnsi="Times New Roman" w:eastAsia="宋体" w:cs="Times New Roman"/>
      <w:spacing w:val="14"/>
      <w:sz w:val="24"/>
      <w:szCs w:val="24"/>
      <w:lang w:val="zh-CN" w:eastAsia="zh-CN"/>
    </w:rPr>
  </w:style>
  <w:style w:type="paragraph" w:customStyle="1" w:styleId="605">
    <w:name w:val="图片"/>
    <w:basedOn w:val="1"/>
    <w:uiPriority w:val="0"/>
    <w:pPr>
      <w:adjustRightInd w:val="0"/>
      <w:snapToGrid w:val="0"/>
      <w:spacing w:beforeLines="25" w:afterLines="25"/>
      <w:ind w:firstLine="0" w:firstLineChars="0"/>
      <w:jc w:val="center"/>
    </w:pPr>
    <w:rPr>
      <w:rFonts w:eastAsia="黑体"/>
      <w:b/>
      <w:szCs w:val="24"/>
    </w:rPr>
  </w:style>
  <w:style w:type="paragraph" w:customStyle="1" w:styleId="606">
    <w:name w:val="图"/>
    <w:basedOn w:val="16"/>
    <w:uiPriority w:val="0"/>
    <w:pPr>
      <w:adjustRightInd w:val="0"/>
      <w:snapToGrid w:val="0"/>
      <w:spacing w:afterLines="25" w:line="240" w:lineRule="auto"/>
      <w:ind w:firstLine="0" w:firstLineChars="0"/>
      <w:jc w:val="center"/>
    </w:pPr>
    <w:rPr>
      <w:rFonts w:ascii="Times New Roman" w:hAnsi="Times New Roman" w:cstheme="majorBidi"/>
      <w:b/>
      <w:sz w:val="21"/>
    </w:rPr>
  </w:style>
  <w:style w:type="table" w:customStyle="1" w:styleId="607">
    <w:name w:val="网格型6"/>
    <w:basedOn w:val="56"/>
    <w:uiPriority w:val="59"/>
    <w:rPr>
      <w:rFonts w:ascii="Times New Roman" w:hAnsi="Times New Roman" w:eastAsia="宋体" w:cs="Times New Roman"/>
      <w:spacing w:val="14"/>
      <w:kern w:val="18"/>
      <w:sz w:val="24"/>
      <w:szCs w:val="24"/>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608">
    <w:name w:val="样式 首行缩进:  2 字符 Char"/>
    <w:link w:val="609"/>
    <w:uiPriority w:val="0"/>
    <w:rPr>
      <w:rFonts w:cs="宋体"/>
      <w:spacing w:val="14"/>
      <w:sz w:val="28"/>
      <w:szCs w:val="28"/>
    </w:rPr>
  </w:style>
  <w:style w:type="paragraph" w:customStyle="1" w:styleId="609">
    <w:name w:val="样式 首行缩进:  2 字符"/>
    <w:basedOn w:val="1"/>
    <w:link w:val="608"/>
    <w:uiPriority w:val="0"/>
    <w:pPr>
      <w:ind w:firstLine="560"/>
      <w:jc w:val="left"/>
    </w:pPr>
    <w:rPr>
      <w:rFonts w:cs="宋体" w:asciiTheme="minorHAnsi" w:hAnsiTheme="minorHAnsi" w:eastAsiaTheme="minorEastAsia"/>
      <w:spacing w:val="14"/>
      <w:sz w:val="28"/>
      <w:szCs w:val="28"/>
    </w:rPr>
  </w:style>
  <w:style w:type="character" w:customStyle="1" w:styleId="610">
    <w:name w:val="Subtle Reference"/>
    <w:uiPriority w:val="31"/>
    <w:rPr>
      <w:smallCaps/>
      <w:color w:val="C0504D"/>
      <w:u w:val="single"/>
    </w:rPr>
  </w:style>
  <w:style w:type="character" w:customStyle="1" w:styleId="611">
    <w:name w:val="方案正文样式 Char"/>
    <w:link w:val="171"/>
    <w:uiPriority w:val="0"/>
    <w:rPr>
      <w:rFonts w:ascii="Times New Roman" w:hAnsi="Times New Roman" w:eastAsia="宋体" w:cs="Times New Roman"/>
      <w:snapToGrid w:val="0"/>
      <w:sz w:val="24"/>
      <w:szCs w:val="24"/>
    </w:rPr>
  </w:style>
  <w:style w:type="paragraph" w:customStyle="1" w:styleId="612">
    <w:name w:val="gyy正文文字"/>
    <w:basedOn w:val="1"/>
    <w:uiPriority w:val="99"/>
    <w:pPr>
      <w:ind w:firstLine="471" w:firstLineChars="0"/>
      <w:jc w:val="left"/>
    </w:pPr>
    <w:rPr>
      <w:rFonts w:cs="宋体"/>
      <w:color w:val="000000"/>
      <w:spacing w:val="14"/>
    </w:rPr>
  </w:style>
  <w:style w:type="paragraph" w:customStyle="1" w:styleId="613">
    <w:name w:val="SB正文"/>
    <w:basedOn w:val="1"/>
    <w:link w:val="614"/>
    <w:uiPriority w:val="0"/>
    <w:pPr>
      <w:spacing w:before="62" w:after="62"/>
      <w:ind w:firstLine="480"/>
      <w:jc w:val="left"/>
    </w:pPr>
    <w:rPr>
      <w:szCs w:val="20"/>
      <w:lang w:val="zh-CN" w:eastAsia="zh-CN"/>
    </w:rPr>
  </w:style>
  <w:style w:type="character" w:customStyle="1" w:styleId="614">
    <w:name w:val="SB正文 Char"/>
    <w:link w:val="613"/>
    <w:uiPriority w:val="0"/>
    <w:rPr>
      <w:rFonts w:ascii="Times New Roman" w:hAnsi="Times New Roman" w:eastAsia="宋体" w:cs="Times New Roman"/>
      <w:sz w:val="24"/>
      <w:szCs w:val="20"/>
      <w:lang w:val="zh-CN" w:eastAsia="zh-CN"/>
    </w:rPr>
  </w:style>
  <w:style w:type="paragraph" w:customStyle="1" w:styleId="615">
    <w:name w:val="SB正文.一行"/>
    <w:basedOn w:val="613"/>
    <w:uiPriority w:val="99"/>
    <w:pPr>
      <w:spacing w:before="0" w:after="0"/>
    </w:pPr>
  </w:style>
  <w:style w:type="paragraph" w:customStyle="1" w:styleId="616">
    <w:name w:val="表格标题（使用1）"/>
    <w:basedOn w:val="1"/>
    <w:link w:val="617"/>
    <w:qFormat/>
    <w:uiPriority w:val="0"/>
    <w:pPr>
      <w:adjustRightInd w:val="0"/>
      <w:snapToGrid w:val="0"/>
      <w:spacing w:line="240" w:lineRule="auto"/>
      <w:ind w:firstLine="0" w:firstLineChars="0"/>
      <w:jc w:val="center"/>
      <w:textAlignment w:val="baseline"/>
    </w:pPr>
    <w:rPr>
      <w:rFonts w:ascii="黑体" w:hAnsi="宋体" w:eastAsia="黑体"/>
      <w:b/>
      <w:kern w:val="0"/>
      <w:szCs w:val="24"/>
    </w:rPr>
  </w:style>
  <w:style w:type="character" w:customStyle="1" w:styleId="617">
    <w:name w:val="表格标题（使用1） Char"/>
    <w:link w:val="616"/>
    <w:uiPriority w:val="0"/>
    <w:rPr>
      <w:rFonts w:ascii="黑体" w:hAnsi="宋体" w:eastAsia="黑体" w:cs="Times New Roman"/>
      <w:b/>
      <w:kern w:val="0"/>
      <w:sz w:val="24"/>
      <w:szCs w:val="24"/>
    </w:rPr>
  </w:style>
  <w:style w:type="paragraph" w:customStyle="1" w:styleId="618">
    <w:name w:val="04"/>
    <w:uiPriority w:val="0"/>
    <w:pPr>
      <w:spacing w:line="360" w:lineRule="auto"/>
    </w:pPr>
    <w:rPr>
      <w:rFonts w:ascii="Times New Roman" w:hAnsi="Times New Roman" w:eastAsia="宋体" w:cs="Times New Roman"/>
      <w:bCs/>
      <w:kern w:val="44"/>
      <w:sz w:val="28"/>
      <w:szCs w:val="28"/>
      <w:lang w:val="en-US" w:eastAsia="zh-CN" w:bidi="ar-SA"/>
    </w:rPr>
  </w:style>
  <w:style w:type="character" w:customStyle="1" w:styleId="619">
    <w:name w:val="首行缩进两字 Char"/>
    <w:basedOn w:val="59"/>
    <w:uiPriority w:val="0"/>
    <w:rPr>
      <w:rFonts w:eastAsia="宋体"/>
      <w:kern w:val="2"/>
      <w:sz w:val="24"/>
      <w:szCs w:val="24"/>
      <w:lang w:val="en-US" w:eastAsia="zh-CN" w:bidi="ar-SA"/>
    </w:rPr>
  </w:style>
  <w:style w:type="paragraph" w:customStyle="1" w:styleId="620">
    <w:name w:val="样式 段前: 0.5 行 段后: 0.5 行"/>
    <w:basedOn w:val="1"/>
    <w:semiHidden/>
    <w:uiPriority w:val="0"/>
    <w:pPr>
      <w:adjustRightInd w:val="0"/>
      <w:snapToGrid w:val="0"/>
      <w:spacing w:beforeLines="50" w:line="312" w:lineRule="auto"/>
    </w:pPr>
    <w:rPr>
      <w:rFonts w:cs="宋体"/>
      <w:kern w:val="0"/>
      <w:szCs w:val="20"/>
    </w:rPr>
  </w:style>
  <w:style w:type="paragraph" w:customStyle="1" w:styleId="621">
    <w:name w:val="表格居中"/>
    <w:basedOn w:val="1"/>
    <w:uiPriority w:val="0"/>
    <w:pPr>
      <w:overflowPunct w:val="0"/>
    </w:pPr>
    <w:rPr>
      <w:rFonts w:ascii="宋体" w:hAnsi="宋体"/>
      <w:kern w:val="0"/>
      <w:sz w:val="18"/>
      <w:szCs w:val="18"/>
    </w:rPr>
  </w:style>
  <w:style w:type="character" w:customStyle="1" w:styleId="622">
    <w:name w:val="样式7 Char"/>
    <w:basedOn w:val="59"/>
    <w:link w:val="219"/>
    <w:uiPriority w:val="0"/>
    <w:rPr>
      <w:rFonts w:ascii="Times New Roman" w:hAnsi="Times New Roman" w:eastAsia="宋体" w:cs="Times New Roman"/>
      <w:sz w:val="24"/>
      <w:szCs w:val="24"/>
    </w:rPr>
  </w:style>
  <w:style w:type="paragraph" w:customStyle="1" w:styleId="623">
    <w:name w:val="Char1 Char Char Char1 Char Char Char Char Char Char Char Char Char Char Char Char5"/>
    <w:basedOn w:val="1"/>
    <w:next w:val="1"/>
    <w:uiPriority w:val="0"/>
    <w:pPr>
      <w:spacing w:line="240" w:lineRule="auto"/>
      <w:ind w:firstLine="0" w:firstLineChars="0"/>
    </w:pPr>
    <w:rPr>
      <w:sz w:val="21"/>
      <w:szCs w:val="20"/>
    </w:rPr>
  </w:style>
  <w:style w:type="paragraph" w:customStyle="1" w:styleId="624">
    <w:name w:val="Char1 Char Char Char1 Char Char Char Char Char Char Char Char Char Char Char Char4"/>
    <w:basedOn w:val="1"/>
    <w:next w:val="1"/>
    <w:uiPriority w:val="0"/>
    <w:pPr>
      <w:spacing w:line="240" w:lineRule="auto"/>
      <w:ind w:firstLine="0" w:firstLineChars="0"/>
    </w:pPr>
    <w:rPr>
      <w:sz w:val="21"/>
      <w:szCs w:val="20"/>
    </w:rPr>
  </w:style>
  <w:style w:type="paragraph" w:customStyle="1" w:styleId="625">
    <w:name w:val="Char Char Char Char Char Char Char2"/>
    <w:basedOn w:val="1"/>
    <w:semiHidden/>
    <w:uiPriority w:val="0"/>
    <w:pPr>
      <w:spacing w:line="240" w:lineRule="auto"/>
      <w:ind w:firstLine="0" w:firstLineChars="0"/>
    </w:pPr>
    <w:rPr>
      <w:sz w:val="21"/>
      <w:szCs w:val="24"/>
    </w:rPr>
  </w:style>
  <w:style w:type="table" w:customStyle="1" w:styleId="626">
    <w:name w:val="专业网格5"/>
    <w:basedOn w:val="56"/>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7">
    <w:name w:val="专业网格6"/>
    <w:basedOn w:val="56"/>
    <w:uiPriority w:val="59"/>
    <w:pPr>
      <w:widowControl w:val="0"/>
      <w:jc w:val="both"/>
    </w:pPr>
    <w:rPr>
      <w:rFonts w:eastAsia="宋体"/>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28">
    <w:name w:val="SB-改正文"/>
    <w:basedOn w:val="1"/>
    <w:uiPriority w:val="0"/>
    <w:pPr>
      <w:spacing w:line="240" w:lineRule="auto"/>
      <w:ind w:firstLine="480"/>
    </w:pPr>
    <w:rPr>
      <w:spacing w:val="20"/>
      <w:szCs w:val="24"/>
    </w:rPr>
  </w:style>
  <w:style w:type="paragraph" w:customStyle="1" w:styleId="629">
    <w:name w:val="表格格式"/>
    <w:basedOn w:val="1"/>
    <w:next w:val="1"/>
    <w:uiPriority w:val="0"/>
    <w:pPr>
      <w:spacing w:line="240" w:lineRule="auto"/>
      <w:ind w:firstLine="0" w:firstLineChars="0"/>
    </w:pPr>
    <w:rPr>
      <w:spacing w:val="20"/>
      <w:sz w:val="21"/>
    </w:rPr>
  </w:style>
  <w:style w:type="character" w:customStyle="1" w:styleId="630">
    <w:name w:val="样式2 Char"/>
    <w:basedOn w:val="59"/>
    <w:link w:val="132"/>
    <w:uiPriority w:val="0"/>
    <w:rPr>
      <w:rFonts w:ascii="宋体" w:hAnsi="宋体" w:eastAsia="宋体" w:cs="Times New Roman"/>
      <w:sz w:val="24"/>
      <w:szCs w:val="24"/>
    </w:rPr>
  </w:style>
  <w:style w:type="table" w:customStyle="1" w:styleId="631">
    <w:name w:val="网格型112"/>
    <w:basedOn w:val="56"/>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2">
    <w:name w:val="网格型113"/>
    <w:basedOn w:val="56"/>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33">
    <w:name w:val="报告书 正文 Char Char"/>
    <w:link w:val="634"/>
    <w:uiPriority w:val="0"/>
    <w:rPr>
      <w:rFonts w:hAnsi="宋体"/>
      <w:sz w:val="24"/>
    </w:rPr>
  </w:style>
  <w:style w:type="paragraph" w:customStyle="1" w:styleId="634">
    <w:name w:val="报告书 正文"/>
    <w:basedOn w:val="1"/>
    <w:link w:val="633"/>
    <w:uiPriority w:val="0"/>
    <w:pPr>
      <w:tabs>
        <w:tab w:val="left" w:pos="480"/>
      </w:tabs>
    </w:pPr>
    <w:rPr>
      <w:rFonts w:hAnsi="宋体" w:asciiTheme="minorHAnsi" w:eastAsiaTheme="minorEastAsia" w:cstheme="minorBidi"/>
    </w:rPr>
  </w:style>
  <w:style w:type="table" w:customStyle="1" w:styleId="635">
    <w:name w:val="网格型114"/>
    <w:basedOn w:val="56"/>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36">
    <w:name w:val="Placeholder Text"/>
    <w:basedOn w:val="59"/>
    <w:semiHidden/>
    <w:uiPriority w:val="99"/>
    <w:rPr>
      <w:color w:val="808080"/>
    </w:rPr>
  </w:style>
  <w:style w:type="table" w:customStyle="1" w:styleId="637">
    <w:name w:val="网格型115"/>
    <w:basedOn w:val="56"/>
    <w:uiPriority w:val="0"/>
    <w:pPr>
      <w:widowControl w:val="0"/>
      <w:jc w:val="both"/>
    </w:pPr>
    <w:rPr>
      <w:rFonts w:eastAsia="宋体"/>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8">
    <w:name w:val="网格型116"/>
    <w:basedOn w:val="56"/>
    <w:uiPriority w:val="0"/>
    <w:pPr>
      <w:widowControl w:val="0"/>
      <w:jc w:val="both"/>
    </w:pPr>
    <w:rPr>
      <w:rFonts w:eastAsia="宋体"/>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39">
    <w:name w:val="报告正文 Char1"/>
    <w:uiPriority w:val="0"/>
    <w:rPr>
      <w:rFonts w:eastAsia="宋体"/>
      <w:spacing w:val="14"/>
      <w:kern w:val="2"/>
      <w:sz w:val="24"/>
      <w:lang w:val="en-US" w:eastAsia="zh-CN" w:bidi="ar-SA"/>
    </w:rPr>
  </w:style>
  <w:style w:type="character" w:customStyle="1" w:styleId="640">
    <w:name w:val="表格内容 Char"/>
    <w:link w:val="312"/>
    <w:locked/>
    <w:uiPriority w:val="0"/>
    <w:rPr>
      <w:rFonts w:ascii="宋体" w:hAnsi="宋体" w:eastAsia="宋体" w:cs="Arial Unicode MS"/>
      <w:sz w:val="18"/>
      <w:szCs w:val="24"/>
    </w:rPr>
  </w:style>
  <w:style w:type="character" w:customStyle="1" w:styleId="641">
    <w:name w:val="正文缩进1 Char"/>
    <w:link w:val="642"/>
    <w:uiPriority w:val="0"/>
    <w:rPr>
      <w:rFonts w:eastAsia="宋体"/>
      <w:szCs w:val="24"/>
    </w:rPr>
  </w:style>
  <w:style w:type="paragraph" w:customStyle="1" w:styleId="642">
    <w:name w:val="首行缩进1"/>
    <w:basedOn w:val="1"/>
    <w:link w:val="641"/>
    <w:uiPriority w:val="0"/>
    <w:rPr>
      <w:rFonts w:asciiTheme="minorHAnsi" w:hAnsiTheme="minorHAnsi" w:cstheme="minorBidi"/>
      <w:sz w:val="21"/>
      <w:szCs w:val="24"/>
    </w:rPr>
  </w:style>
  <w:style w:type="character" w:customStyle="1" w:styleId="643">
    <w:name w:val="样式6 Char"/>
    <w:link w:val="367"/>
    <w:uiPriority w:val="0"/>
    <w:rPr>
      <w:rFonts w:ascii="宋体" w:hAnsi="宋体" w:eastAsia="宋体" w:cs="Times New Roman"/>
      <w:b/>
      <w:bCs/>
      <w:color w:val="000000"/>
      <w:sz w:val="24"/>
      <w:szCs w:val="28"/>
      <w:lang w:val="zh-CN" w:eastAsia="zh-CN"/>
    </w:rPr>
  </w:style>
  <w:style w:type="character" w:customStyle="1" w:styleId="644">
    <w:name w:val="纯文本 Char2"/>
    <w:uiPriority w:val="0"/>
    <w:rPr>
      <w:rFonts w:ascii="宋体" w:hAnsi="Courier New" w:eastAsia="宋体"/>
      <w:kern w:val="2"/>
      <w:sz w:val="21"/>
      <w:szCs w:val="21"/>
      <w:lang w:val="en-US" w:eastAsia="zh-CN" w:bidi="ar-SA"/>
    </w:rPr>
  </w:style>
  <w:style w:type="paragraph" w:customStyle="1" w:styleId="645">
    <w:name w:val="报表内容"/>
    <w:basedOn w:val="1"/>
    <w:uiPriority w:val="0"/>
    <w:pPr>
      <w:spacing w:line="240" w:lineRule="auto"/>
      <w:ind w:firstLine="0" w:firstLineChars="0"/>
    </w:pPr>
    <w:rPr>
      <w:spacing w:val="14"/>
      <w:sz w:val="21"/>
      <w:szCs w:val="21"/>
    </w:rPr>
  </w:style>
  <w:style w:type="paragraph" w:customStyle="1" w:styleId="646">
    <w:name w:val="正文 New New New New New New New New New New New New New New New New New New New New New New New New New New New New New New New New New New New New New New New New New New New New New New New New New New New New New New New"/>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47">
    <w:name w:val="正文 New New New New New New New New New New New New New New New New New New New New New New New New New New New New New New New New New New New New New New New New New New New New New New New New New New New New New New New New New New New New New New Ne"/>
    <w:uiPriority w:val="0"/>
    <w:pPr>
      <w:widowControl w:val="0"/>
      <w:jc w:val="both"/>
    </w:pPr>
    <w:rPr>
      <w:rFonts w:ascii="Times New Roman" w:hAnsi="Times New Roman" w:eastAsia="仿宋_GB2312" w:cs="Times New Roman"/>
      <w:kern w:val="2"/>
      <w:sz w:val="32"/>
      <w:szCs w:val="24"/>
      <w:lang w:val="en-US" w:eastAsia="zh-CN" w:bidi="ar-SA"/>
    </w:rPr>
  </w:style>
  <w:style w:type="character" w:customStyle="1" w:styleId="648">
    <w:name w:val="KM_表格样式 Char"/>
    <w:link w:val="649"/>
    <w:qFormat/>
    <w:locked/>
    <w:uiPriority w:val="0"/>
    <w:rPr>
      <w:szCs w:val="21"/>
    </w:rPr>
  </w:style>
  <w:style w:type="paragraph" w:customStyle="1" w:styleId="649">
    <w:name w:val="KM_表格样式"/>
    <w:basedOn w:val="1"/>
    <w:link w:val="648"/>
    <w:uiPriority w:val="0"/>
    <w:pPr>
      <w:spacing w:before="40" w:after="40" w:line="240" w:lineRule="auto"/>
      <w:ind w:firstLine="0" w:firstLineChars="0"/>
      <w:jc w:val="center"/>
    </w:pPr>
    <w:rPr>
      <w:rFonts w:asciiTheme="minorHAnsi" w:hAnsiTheme="minorHAnsi" w:eastAsiaTheme="minorEastAsia" w:cstheme="minorBidi"/>
      <w:sz w:val="21"/>
      <w:szCs w:val="21"/>
    </w:rPr>
  </w:style>
  <w:style w:type="paragraph" w:customStyle="1" w:styleId="650">
    <w:name w:val="正文缩进 New"/>
    <w:uiPriority w:val="0"/>
    <w:pPr>
      <w:ind w:firstLine="200" w:firstLineChars="200"/>
    </w:pPr>
    <w:rPr>
      <w:rFonts w:ascii="Times New Roman" w:hAnsi="Times New Roman" w:eastAsia="宋体" w:cs="Times New Roman"/>
      <w:kern w:val="2"/>
      <w:sz w:val="28"/>
      <w:szCs w:val="24"/>
      <w:lang w:val="en-US" w:eastAsia="zh-CN" w:bidi="ar-SA"/>
    </w:rPr>
  </w:style>
  <w:style w:type="paragraph" w:customStyle="1" w:styleId="651">
    <w:name w:val="正文缩进 New New"/>
    <w:basedOn w:val="1"/>
    <w:uiPriority w:val="0"/>
    <w:pPr>
      <w:spacing w:line="240" w:lineRule="auto"/>
    </w:pPr>
    <w:rPr>
      <w:sz w:val="28"/>
      <w:szCs w:val="24"/>
    </w:rPr>
  </w:style>
  <w:style w:type="paragraph" w:customStyle="1" w:styleId="652">
    <w:name w:val="正文 New New New"/>
    <w:uiPriority w:val="0"/>
    <w:pPr>
      <w:widowControl w:val="0"/>
      <w:jc w:val="both"/>
    </w:pPr>
    <w:rPr>
      <w:rFonts w:ascii="Times New Roman" w:hAnsi="Times New Roman" w:eastAsia="宋体" w:cs="Times New Roman"/>
      <w:kern w:val="2"/>
      <w:sz w:val="28"/>
      <w:szCs w:val="24"/>
      <w:lang w:val="en-US" w:eastAsia="zh-CN" w:bidi="ar-SA"/>
    </w:rPr>
  </w:style>
  <w:style w:type="paragraph" w:customStyle="1" w:styleId="653">
    <w:name w:val="正文 New New New New"/>
    <w:uiPriority w:val="0"/>
    <w:pPr>
      <w:widowControl w:val="0"/>
      <w:jc w:val="both"/>
    </w:pPr>
    <w:rPr>
      <w:rFonts w:ascii="Times New Roman" w:hAnsi="Times New Roman" w:eastAsia="宋体" w:cs="Times New Roman"/>
      <w:kern w:val="2"/>
      <w:sz w:val="28"/>
      <w:szCs w:val="24"/>
      <w:lang w:val="en-US" w:eastAsia="zh-CN" w:bidi="ar-SA"/>
    </w:rPr>
  </w:style>
  <w:style w:type="paragraph" w:customStyle="1" w:styleId="654">
    <w:name w:val="正文 New New New New New"/>
    <w:uiPriority w:val="0"/>
    <w:pPr>
      <w:widowControl w:val="0"/>
      <w:jc w:val="both"/>
    </w:pPr>
    <w:rPr>
      <w:rFonts w:ascii="Times New Roman" w:hAnsi="Times New Roman" w:eastAsia="宋体" w:cs="Times New Roman"/>
      <w:kern w:val="2"/>
      <w:sz w:val="28"/>
      <w:szCs w:val="24"/>
      <w:lang w:val="en-US" w:eastAsia="zh-CN" w:bidi="ar-SA"/>
    </w:rPr>
  </w:style>
  <w:style w:type="character" w:customStyle="1" w:styleId="655">
    <w:name w:val="KM_图名和表头 Char"/>
    <w:link w:val="656"/>
    <w:qFormat/>
    <w:locked/>
    <w:uiPriority w:val="0"/>
    <w:rPr>
      <w:rFonts w:ascii="黑体" w:hAnsi="黑体" w:eastAsia="黑体"/>
      <w:sz w:val="24"/>
    </w:rPr>
  </w:style>
  <w:style w:type="paragraph" w:customStyle="1" w:styleId="656">
    <w:name w:val="KM_图名和表头"/>
    <w:basedOn w:val="1"/>
    <w:link w:val="655"/>
    <w:uiPriority w:val="0"/>
    <w:pPr>
      <w:spacing w:before="120" w:after="60" w:line="240" w:lineRule="auto"/>
      <w:ind w:firstLine="0" w:firstLineChars="0"/>
      <w:jc w:val="center"/>
    </w:pPr>
    <w:rPr>
      <w:rFonts w:ascii="黑体" w:hAnsi="黑体" w:eastAsia="黑体" w:cstheme="minorBidi"/>
    </w:rPr>
  </w:style>
  <w:style w:type="paragraph" w:customStyle="1" w:styleId="657">
    <w:name w:val="清华大学字样"/>
    <w:basedOn w:val="1"/>
    <w:uiPriority w:val="0"/>
    <w:pPr>
      <w:widowControl/>
      <w:adjustRightInd w:val="0"/>
      <w:snapToGrid w:val="0"/>
      <w:spacing w:before="480" w:line="400" w:lineRule="exact"/>
      <w:ind w:firstLine="0" w:firstLineChars="0"/>
      <w:jc w:val="center"/>
    </w:pPr>
    <w:rPr>
      <w:rFonts w:eastAsia="隶书"/>
      <w:sz w:val="52"/>
      <w:szCs w:val="24"/>
    </w:rPr>
  </w:style>
  <w:style w:type="paragraph" w:customStyle="1" w:styleId="658">
    <w:name w:val="文本条款"/>
    <w:basedOn w:val="1"/>
    <w:next w:val="47"/>
    <w:uiPriority w:val="0"/>
    <w:pPr>
      <w:spacing w:line="240" w:lineRule="auto"/>
      <w:ind w:firstLine="0" w:firstLineChars="0"/>
    </w:pPr>
    <w:rPr>
      <w:szCs w:val="20"/>
    </w:rPr>
  </w:style>
  <w:style w:type="table" w:customStyle="1" w:styleId="659">
    <w:name w:val="网格型117"/>
    <w:basedOn w:val="56"/>
    <w:uiPriority w:val="0"/>
    <w:pPr>
      <w:widowControl w:val="0"/>
      <w:jc w:val="both"/>
    </w:pPr>
    <w:rPr>
      <w:rFonts w:eastAsia="宋体"/>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5" Type="http://schemas.openxmlformats.org/officeDocument/2006/relationships/fontTable" Target="fontTable.xml"/><Relationship Id="rId54" Type="http://schemas.openxmlformats.org/officeDocument/2006/relationships/image" Target="media/image30.emf"/><Relationship Id="rId53" Type="http://schemas.openxmlformats.org/officeDocument/2006/relationships/oleObject" Target="embeddings/oleObject7.bin"/><Relationship Id="rId52" Type="http://schemas.openxmlformats.org/officeDocument/2006/relationships/image" Target="media/image29.jpeg"/><Relationship Id="rId51" Type="http://schemas.openxmlformats.org/officeDocument/2006/relationships/image" Target="media/image28.jpeg"/><Relationship Id="rId50" Type="http://schemas.openxmlformats.org/officeDocument/2006/relationships/image" Target="media/image27.jpeg"/><Relationship Id="rId5" Type="http://schemas.openxmlformats.org/officeDocument/2006/relationships/header" Target="header1.xml"/><Relationship Id="rId49" Type="http://schemas.openxmlformats.org/officeDocument/2006/relationships/image" Target="media/image26.emf"/><Relationship Id="rId48" Type="http://schemas.openxmlformats.org/officeDocument/2006/relationships/oleObject" Target="embeddings/oleObject6.bin"/><Relationship Id="rId47" Type="http://schemas.openxmlformats.org/officeDocument/2006/relationships/image" Target="media/image25.emf"/><Relationship Id="rId46" Type="http://schemas.openxmlformats.org/officeDocument/2006/relationships/oleObject" Target="embeddings/oleObject5.bin"/><Relationship Id="rId45" Type="http://schemas.openxmlformats.org/officeDocument/2006/relationships/image" Target="media/image24.jpeg"/><Relationship Id="rId44" Type="http://schemas.openxmlformats.org/officeDocument/2006/relationships/image" Target="media/image23.jpeg"/><Relationship Id="rId43" Type="http://schemas.openxmlformats.org/officeDocument/2006/relationships/image" Target="media/image22.jpeg"/><Relationship Id="rId42" Type="http://schemas.openxmlformats.org/officeDocument/2006/relationships/image" Target="media/image21.wmf"/><Relationship Id="rId41" Type="http://schemas.openxmlformats.org/officeDocument/2006/relationships/image" Target="media/image20.wmf"/><Relationship Id="rId40" Type="http://schemas.openxmlformats.org/officeDocument/2006/relationships/oleObject" Target="embeddings/oleObject4.bin"/><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jpeg"/><Relationship Id="rId37" Type="http://schemas.openxmlformats.org/officeDocument/2006/relationships/image" Target="media/image17.jpeg"/><Relationship Id="rId36" Type="http://schemas.openxmlformats.org/officeDocument/2006/relationships/image" Target="media/image16.jpeg"/><Relationship Id="rId35" Type="http://schemas.openxmlformats.org/officeDocument/2006/relationships/image" Target="media/image15.jpeg"/><Relationship Id="rId34" Type="http://schemas.openxmlformats.org/officeDocument/2006/relationships/image" Target="media/image14.jpeg"/><Relationship Id="rId33" Type="http://schemas.openxmlformats.org/officeDocument/2006/relationships/image" Target="media/image13.jpeg"/><Relationship Id="rId32" Type="http://schemas.openxmlformats.org/officeDocument/2006/relationships/image" Target="media/image12.jpe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footnotes" Target="footnotes.xml"/><Relationship Id="rId29" Type="http://schemas.openxmlformats.org/officeDocument/2006/relationships/image" Target="media/image9.jpeg"/><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emf"/><Relationship Id="rId25" Type="http://schemas.openxmlformats.org/officeDocument/2006/relationships/oleObject" Target="embeddings/oleObject3.bin"/><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png"/><Relationship Id="rId21" Type="http://schemas.openxmlformats.org/officeDocument/2006/relationships/image" Target="media/image2.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O</Company>
  <Pages>132</Pages>
  <Words>2481</Words>
  <Characters>3282</Characters>
  <Lines>770</Lines>
  <Paragraphs>216</Paragraphs>
  <TotalTime>24952</TotalTime>
  <ScaleCrop>false</ScaleCrop>
  <LinksUpToDate>false</LinksUpToDate>
  <CharactersWithSpaces>3513</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2015-10-28T06:42:00Z</dcterms:created>
  <dc:creator>chen</dc:creator>
  <cp:lastModifiedBy>刘变香</cp:lastModifiedBy>
  <dcterms:modified xsi:type="dcterms:W3CDTF">2025-04-09T02:54:44Z</dcterms:modified>
  <cp:revision>10933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9D66B2E1A57442EB83274635A01FDA43</vt:lpwstr>
  </property>
</Properties>
</file>